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xml" ContentType="application/vnd.openxmlformats-officedocument.drawingml.chart+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0552CBEE" w14:textId="3BAE38D0" w:rsidR="00084E3A" w:rsidRPr="00737520" w:rsidRDefault="00AC7669" w:rsidP="00737520">
      <w:pPr>
        <w:pStyle w:val="121"/>
        <w:rPr>
          <w:rtl/>
        </w:rPr>
      </w:pPr>
      <w:r w:rsidRPr="00737520">
        <w:rPr>
          <w:rFonts w:hint="cs"/>
          <w:rtl/>
        </w:rPr>
        <w:t>יישום החוק למניעת הטרדה מינית</w:t>
      </w:r>
    </w:p>
    <w:p w14:paraId="42EC2D44" w14:textId="77777777" w:rsidR="00AC7669" w:rsidRDefault="00AC7669" w:rsidP="00AF3BD3">
      <w:pPr>
        <w:spacing w:before="4080" w:line="720" w:lineRule="exact"/>
        <w:jc w:val="center"/>
        <w:rPr>
          <w:rFonts w:ascii="Tahoma" w:hAnsi="Tahoma" w:cs="Tahoma"/>
          <w:sz w:val="24"/>
          <w:rtl/>
        </w:rPr>
      </w:pPr>
    </w:p>
    <w:p w14:paraId="6A2F2EDA" w14:textId="77777777"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264A7FA6" w14:textId="77777777" w:rsidR="0065322E" w:rsidRDefault="0065322E" w:rsidP="0065322E">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headerReference w:type="first" r:id="rId12"/>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7F0D6577" w14:textId="77777777" w:rsidR="00F62588" w:rsidRDefault="00F62588">
      <w:pPr>
        <w:bidi w:val="0"/>
        <w:spacing w:after="200" w:line="276" w:lineRule="auto"/>
        <w:rPr>
          <w:rFonts w:ascii="Tahoma" w:hAnsi="Tahoma" w:cs="Tahoma"/>
          <w:sz w:val="22"/>
          <w:szCs w:val="22"/>
          <w:rtl/>
        </w:rPr>
      </w:pPr>
    </w:p>
    <w:p w14:paraId="41F2B76C" w14:textId="491C9179"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drawing>
          <wp:inline distT="0" distB="0" distL="0" distR="0" wp14:anchorId="7CA6200B" wp14:editId="22EA1160">
            <wp:extent cx="5219999" cy="68283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19999" cy="6828324"/>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5099C3D0"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65D66853">
            <wp:extent cx="5219999" cy="68283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19999" cy="6828324"/>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5D12AE2A"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0DFBBC11">
            <wp:extent cx="5220000" cy="68283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0000" cy="6828324"/>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2CC906A4" w:rsidR="00154682"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4F1AB499" wp14:editId="4D3CC32A">
            <wp:extent cx="5219999" cy="68283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9568" name="104 - 4 - הבטחת היתרון והחדשנות הטכנולוגיים של המשק הישראלי4.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19999" cy="6828324"/>
                    </a:xfrm>
                    <a:prstGeom prst="rect">
                      <a:avLst/>
                    </a:prstGeom>
                    <a:ln>
                      <a:noFill/>
                    </a:ln>
                    <a:extLst>
                      <a:ext uri="{53640926-AAD7-44D8-BBD7-CCE9431645EC}">
                        <a14:shadowObscured xmlns:a14="http://schemas.microsoft.com/office/drawing/2010/main"/>
                      </a:ext>
                    </a:extLst>
                  </pic:spPr>
                </pic:pic>
              </a:graphicData>
            </a:graphic>
          </wp:inline>
        </w:drawing>
      </w: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69ECBACE" w14:textId="22D43A86" w:rsidR="00444597" w:rsidRPr="003F48CD" w:rsidRDefault="00E63675" w:rsidP="00417266">
      <w:pPr>
        <w:pStyle w:val="121"/>
        <w:rPr>
          <w:rtl/>
        </w:rPr>
      </w:pPr>
      <w:r>
        <w:rPr>
          <w:rFonts w:hint="cs"/>
          <w:rtl/>
        </w:rPr>
        <w:lastRenderedPageBreak/>
        <w:t>יישום החוק למניעת הטרדה מינית</w:t>
      </w:r>
    </w:p>
    <w:p w14:paraId="39C753D1" w14:textId="77777777" w:rsidR="00444597" w:rsidRPr="001C72B2" w:rsidRDefault="00417266" w:rsidP="00417266">
      <w:pPr>
        <w:pStyle w:val="316"/>
        <w:rPr>
          <w:bCs/>
          <w:rtl/>
        </w:rPr>
      </w:pPr>
      <w:r w:rsidRPr="001C72B2">
        <w:rPr>
          <w:rtl/>
        </w:rPr>
        <w:t>מבוא</w:t>
      </w:r>
    </w:p>
    <w:p w14:paraId="148C7BB8" w14:textId="7594A5A5" w:rsidR="00417266" w:rsidRPr="00121EA1" w:rsidRDefault="00417266" w:rsidP="00121EA1">
      <w:pPr>
        <w:pStyle w:val="100"/>
        <w:rPr>
          <w:sz w:val="24"/>
          <w:rtl/>
        </w:rPr>
      </w:pPr>
      <w:r w:rsidRPr="00C43F1B">
        <w:rPr>
          <w:rFonts w:hint="cs"/>
          <w:rtl/>
        </w:rPr>
        <w:t>החוק למניעת הטרדה מינית, התשנ"ח-1998 (להלן - החוק או החוק למניעת הטרדה מינית), נחקק לפני כעשרים שנים ונועד להוקיע את ההטרדה המינית בכל הקשר שהוא ולגבי כל אדם ולהגביר את המודעות הציבורית לחומרת התופעה ולחשיבות כיבוד הזולת. מטרת החוק היא להגן על ערכים חשובים כמו כבוד האדם, חירותו, פרטיותו והזכות לשוויון בין המינים</w:t>
      </w:r>
      <w:r w:rsidRPr="00C43F1B">
        <w:rPr>
          <w:rFonts w:hint="cs"/>
          <w:sz w:val="24"/>
          <w:rtl/>
        </w:rPr>
        <w:t>. שר המשפטים הוא השר הממונה על ביצוע החוק</w:t>
      </w:r>
      <w:r>
        <w:rPr>
          <w:rFonts w:hint="cs"/>
          <w:sz w:val="24"/>
          <w:rtl/>
        </w:rPr>
        <w:t>,</w:t>
      </w:r>
      <w:r w:rsidRPr="00C43F1B">
        <w:rPr>
          <w:rFonts w:hint="cs"/>
          <w:sz w:val="24"/>
          <w:rtl/>
        </w:rPr>
        <w:t xml:space="preserve"> והוא רשאי, באישור הוועדה לקידום מעמד האישה ולשוויון מגדרי של הכנסת (להלן - ועדת הכנסת לקידום מעמד האישה), להתקין תקנות בכל עניין הנוגע לביצועו.</w:t>
      </w:r>
    </w:p>
    <w:p w14:paraId="14143B9D" w14:textId="47251B49" w:rsidR="00417266" w:rsidRPr="00C43F1B" w:rsidRDefault="00417266" w:rsidP="00121EA1">
      <w:pPr>
        <w:pStyle w:val="100"/>
        <w:rPr>
          <w:rtl/>
        </w:rPr>
      </w:pPr>
      <w:r w:rsidRPr="00C43F1B">
        <w:rPr>
          <w:rFonts w:hint="cs"/>
          <w:rtl/>
        </w:rPr>
        <w:t xml:space="preserve">עד לחקיקת החוק למניעת הטרדה מינית נושא ההטרדה המינית טופל בחוק שוויון ההזדמנויות בעבודה, התשמ"ח-1988 (להלן - </w:t>
      </w:r>
      <w:r w:rsidRPr="00C43F1B">
        <w:rPr>
          <w:rFonts w:hint="eastAsia"/>
          <w:rtl/>
        </w:rPr>
        <w:t>חוק</w:t>
      </w:r>
      <w:r w:rsidRPr="00C43F1B">
        <w:rPr>
          <w:rtl/>
        </w:rPr>
        <w:t xml:space="preserve"> </w:t>
      </w:r>
      <w:r w:rsidRPr="00C43F1B">
        <w:rPr>
          <w:rFonts w:hint="eastAsia"/>
          <w:rtl/>
        </w:rPr>
        <w:t>שוויון</w:t>
      </w:r>
      <w:r w:rsidRPr="00C43F1B">
        <w:rPr>
          <w:rFonts w:hint="cs"/>
          <w:rtl/>
        </w:rPr>
        <w:t xml:space="preserve"> הזדמנויות בעבודה), ולפיו נאסרו אפליה על רקע מיני ופגיעה בתנאי העבודה של מתלוננים ומתלוננות על הטרדה מינית. </w:t>
      </w:r>
      <w:r>
        <w:rPr>
          <w:rFonts w:hint="cs"/>
          <w:rtl/>
        </w:rPr>
        <w:t>חוק שוויון הזדמנויות בעבודה</w:t>
      </w:r>
      <w:r w:rsidRPr="00C43F1B">
        <w:rPr>
          <w:rFonts w:hint="cs"/>
          <w:rtl/>
        </w:rPr>
        <w:t xml:space="preserve"> עוסק רק ביחסי עבודה, והוא מטפל בתוצאות השליליות של ההטרדה המינית במסגרת העבודה בלבד, ולא בהטרדה עצמה ובדרכים למניעתה. מעשה ההטרדה עצמו לא נאסר לפי חוק </w:t>
      </w:r>
      <w:r>
        <w:rPr>
          <w:rFonts w:hint="cs"/>
          <w:rtl/>
        </w:rPr>
        <w:t>זה</w:t>
      </w:r>
      <w:r w:rsidRPr="00C43F1B">
        <w:rPr>
          <w:rFonts w:hint="cs"/>
          <w:rtl/>
        </w:rPr>
        <w:t xml:space="preserve"> ולא נחשב לעבירה פלילית או לעוולה נזיקית המצדיקה פיצוי.</w:t>
      </w:r>
    </w:p>
    <w:p w14:paraId="673FC47C" w14:textId="0D3678C8" w:rsidR="00417266" w:rsidRPr="00C43F1B" w:rsidRDefault="00417266" w:rsidP="00121EA1">
      <w:pPr>
        <w:pStyle w:val="100"/>
        <w:rPr>
          <w:rtl/>
        </w:rPr>
      </w:pPr>
      <w:r w:rsidRPr="00C43F1B">
        <w:rPr>
          <w:rFonts w:hint="cs"/>
          <w:rtl/>
        </w:rPr>
        <w:t>בדברי ההסבר להצעת החוק למניעת הטרדה מינית נכתב: "הטרדה מינית... פוגעת בכבודו</w:t>
      </w:r>
      <w:r w:rsidR="00121EA1">
        <w:t xml:space="preserve"> </w:t>
      </w:r>
      <w:r w:rsidRPr="00C43F1B">
        <w:rPr>
          <w:rFonts w:hint="cs"/>
          <w:rtl/>
        </w:rPr>
        <w:t>העצמי ובכבודו החברתי של המוטרד. היא משפילה ומבזה את אנושיותו, בין השאר על ידי התייחסות אל האדם כאל אובייקט מיני לשימושו של המטריד. הטרדה מינית שוללת את האוטונומיה של המוטרד ואת שליטתו בגופו ומיניותו... וכן מפלה אותו לרעה לעומת אנשים</w:t>
      </w:r>
      <w:r w:rsidR="00121EA1">
        <w:t xml:space="preserve"> </w:t>
      </w:r>
      <w:r w:rsidRPr="00C43F1B">
        <w:rPr>
          <w:rFonts w:hint="cs"/>
          <w:rtl/>
        </w:rPr>
        <w:t>אחרים. הטרדה מינית כלפי נשים גורמת להשפלתן ביחס למינן או למיניותן ומקשה עליהן</w:t>
      </w:r>
      <w:r w:rsidR="00121EA1">
        <w:t xml:space="preserve"> </w:t>
      </w:r>
      <w:r w:rsidRPr="00C43F1B">
        <w:rPr>
          <w:rFonts w:hint="cs"/>
          <w:rtl/>
        </w:rPr>
        <w:t xml:space="preserve">להשתלב כחברות שוות בעולם העבודה וביתר תחומי החיים ובכך היא פוגעת בשוויונן". </w:t>
      </w:r>
    </w:p>
    <w:p w14:paraId="01B8445F" w14:textId="77777777" w:rsidR="00417266" w:rsidRPr="00C43F1B" w:rsidRDefault="00417266" w:rsidP="00121EA1">
      <w:pPr>
        <w:pStyle w:val="100"/>
        <w:rPr>
          <w:rtl/>
        </w:rPr>
      </w:pPr>
      <w:r w:rsidRPr="00C43F1B">
        <w:rPr>
          <w:rFonts w:hint="cs"/>
          <w:rtl/>
        </w:rPr>
        <w:t xml:space="preserve">החוק </w:t>
      </w:r>
      <w:r>
        <w:rPr>
          <w:rFonts w:hint="cs"/>
          <w:rtl/>
        </w:rPr>
        <w:t xml:space="preserve">למניעת הטרדה מינית </w:t>
      </w:r>
      <w:r w:rsidRPr="00C43F1B">
        <w:rPr>
          <w:rFonts w:hint="cs"/>
          <w:rtl/>
        </w:rPr>
        <w:t xml:space="preserve">קובע אילו התנהגויות יכולות להוות הטרדה מינית אסורה, כדי להורות לציבור כיצד אין להתנהג ולהבהיר שהתנהגויות אלה עלולות להוביל לתביעה וענישה. החוק מתמודד עם התנהגויות המהוות הטרדה מינית בשלושה מסלולים משפטיים: (א) המסלול הפלילי, הקובע שההתנהגות היא עבירה פלילית שניתן להגיש בגינה כתב אישום. (ב) המסלול האזרחי, הקובע שההתנהגות היא עוולה נזיקית ומאפשר לנפגעת להגיש נגד התובע תביעה אזרחית לפיצוי כספי. (ג) מסלול דיני העבודה והדין המשמעתי. </w:t>
      </w:r>
    </w:p>
    <w:p w14:paraId="1490447E" w14:textId="77777777" w:rsidR="00417266" w:rsidRDefault="00417266" w:rsidP="00121EA1">
      <w:pPr>
        <w:pStyle w:val="100"/>
        <w:rPr>
          <w:rtl/>
        </w:rPr>
      </w:pPr>
      <w:r w:rsidRPr="00C43F1B">
        <w:rPr>
          <w:rFonts w:hint="cs"/>
          <w:rtl/>
        </w:rPr>
        <w:t xml:space="preserve">החוק </w:t>
      </w:r>
      <w:r w:rsidRPr="00C43F1B">
        <w:rPr>
          <w:rtl/>
        </w:rPr>
        <w:t>קובע</w:t>
      </w:r>
      <w:r w:rsidRPr="00C43F1B">
        <w:rPr>
          <w:rFonts w:hint="cs"/>
          <w:rtl/>
        </w:rPr>
        <w:t xml:space="preserve"> כי מעסיק חייב לנקוט אמצעים סבירים, </w:t>
      </w:r>
      <w:r>
        <w:rPr>
          <w:rFonts w:hint="cs"/>
          <w:rtl/>
        </w:rPr>
        <w:t xml:space="preserve">בנסיבות העניין, </w:t>
      </w:r>
      <w:r w:rsidRPr="00C43F1B">
        <w:rPr>
          <w:rFonts w:hint="cs"/>
          <w:rtl/>
        </w:rPr>
        <w:t xml:space="preserve">כדי למנוע הטרדה מינית או התנכלות במסגרת יחסי עבודה, על ידי עובדו, או על ידי ממונה מטעמו אף אם אינו עובדו, </w:t>
      </w:r>
      <w:r w:rsidRPr="00C43F1B">
        <w:rPr>
          <w:rFonts w:hint="cs"/>
          <w:rtl/>
        </w:rPr>
        <w:lastRenderedPageBreak/>
        <w:t>ולטפל בכל מקרה כאמור. "מסגרת יחסי עבודה" הוגדרה בחוק כ"מקום העבודה, מקום אחר שבו מתנהלת פעילות מטעם המעסיק, תוך כדי העבודה, או תוך ניצול מרות ביחסי העבודה בכל מקום שהוא".</w:t>
      </w:r>
      <w:r>
        <w:rPr>
          <w:rFonts w:hint="cs"/>
          <w:rtl/>
        </w:rPr>
        <w:t xml:space="preserve"> בתקנות </w:t>
      </w:r>
      <w:r w:rsidRPr="00C43F1B">
        <w:rPr>
          <w:rFonts w:hint="cs"/>
          <w:rtl/>
        </w:rPr>
        <w:t>למניעת הטרדה מינית (חובות מעסיק), התשנ"ח-1998 (להלן - התקנות</w:t>
      </w:r>
      <w:r>
        <w:rPr>
          <w:rFonts w:hint="cs"/>
          <w:rtl/>
        </w:rPr>
        <w:t xml:space="preserve"> או התקנות למניעת הטרדה מינית</w:t>
      </w:r>
      <w:r w:rsidRPr="00C43F1B">
        <w:rPr>
          <w:rFonts w:hint="cs"/>
          <w:rtl/>
        </w:rPr>
        <w:t>)</w:t>
      </w:r>
      <w:r>
        <w:rPr>
          <w:rFonts w:hint="cs"/>
          <w:rtl/>
        </w:rPr>
        <w:t xml:space="preserve"> נקבע כי על מעסיק למנות אחראי שנושא בתפקידים לפי החוק והתקנות, ובהם: קבלת תלונות ובירורן.</w:t>
      </w:r>
    </w:p>
    <w:p w14:paraId="0874B5F2" w14:textId="77777777" w:rsidR="00417266" w:rsidRPr="00C43F1B" w:rsidRDefault="00417266" w:rsidP="00121EA1">
      <w:pPr>
        <w:pStyle w:val="100"/>
        <w:rPr>
          <w:rtl/>
        </w:rPr>
      </w:pPr>
      <w:r>
        <w:rPr>
          <w:rFonts w:hint="cs"/>
          <w:rtl/>
        </w:rPr>
        <w:t>קודם</w:t>
      </w:r>
      <w:r w:rsidRPr="00C43F1B">
        <w:rPr>
          <w:rFonts w:hint="cs"/>
          <w:rtl/>
        </w:rPr>
        <w:t xml:space="preserve"> חקיקת החוק תופעת ההטרדות המיניות הייתה נפוצה </w:t>
      </w:r>
      <w:r>
        <w:rPr>
          <w:rFonts w:hint="cs"/>
          <w:rtl/>
        </w:rPr>
        <w:t xml:space="preserve">וכמעט </w:t>
      </w:r>
      <w:r w:rsidRPr="00C43F1B">
        <w:rPr>
          <w:rFonts w:hint="cs"/>
          <w:rtl/>
        </w:rPr>
        <w:t>מובנת מאליה</w:t>
      </w:r>
      <w:r>
        <w:rPr>
          <w:rFonts w:hint="cs"/>
          <w:rtl/>
        </w:rPr>
        <w:t xml:space="preserve">. </w:t>
      </w:r>
      <w:r w:rsidRPr="00C43F1B">
        <w:rPr>
          <w:rFonts w:hint="cs"/>
          <w:rtl/>
        </w:rPr>
        <w:t xml:space="preserve">הדבר מנע את פיתוח המודעות לכך שהיא מזיקה </w:t>
      </w:r>
      <w:r>
        <w:rPr>
          <w:rFonts w:hint="cs"/>
          <w:rtl/>
        </w:rPr>
        <w:t>ו</w:t>
      </w:r>
      <w:r w:rsidRPr="00C43F1B">
        <w:rPr>
          <w:rFonts w:hint="cs"/>
          <w:rtl/>
        </w:rPr>
        <w:t>פוגע</w:t>
      </w:r>
      <w:r>
        <w:rPr>
          <w:rFonts w:hint="cs"/>
          <w:rtl/>
        </w:rPr>
        <w:t xml:space="preserve">נית ועם זאת - </w:t>
      </w:r>
      <w:r w:rsidRPr="00C43F1B">
        <w:rPr>
          <w:rFonts w:hint="cs"/>
          <w:rtl/>
        </w:rPr>
        <w:t>ניתנת לריסון</w:t>
      </w:r>
      <w:r w:rsidRPr="00C43F1B">
        <w:rPr>
          <w:rStyle w:val="FootnoteReference"/>
          <w:rtl/>
        </w:rPr>
        <w:footnoteReference w:id="1"/>
      </w:r>
      <w:r w:rsidRPr="00C43F1B">
        <w:rPr>
          <w:rFonts w:hint="cs"/>
          <w:rtl/>
        </w:rPr>
        <w:t xml:space="preserve">. הוועדה לביקורת המדינה </w:t>
      </w:r>
      <w:r>
        <w:rPr>
          <w:rFonts w:hint="cs"/>
          <w:rtl/>
        </w:rPr>
        <w:t>ביקשה מ</w:t>
      </w:r>
      <w:r w:rsidRPr="00C43F1B">
        <w:rPr>
          <w:rFonts w:hint="cs"/>
          <w:rtl/>
        </w:rPr>
        <w:t xml:space="preserve">משרד מבקר המדינה להכין חוות דעת </w:t>
      </w:r>
      <w:r>
        <w:rPr>
          <w:rFonts w:hint="cs"/>
          <w:rtl/>
        </w:rPr>
        <w:t xml:space="preserve">לפי סעיף 21 לחוק מבקר המדינה, התשי"ח-1958 [נוסח משולב], </w:t>
      </w:r>
      <w:r w:rsidRPr="00C43F1B">
        <w:rPr>
          <w:rFonts w:hint="cs"/>
          <w:rtl/>
        </w:rPr>
        <w:t>הסוקרת את יישום החוק</w:t>
      </w:r>
      <w:r>
        <w:rPr>
          <w:rFonts w:hint="cs"/>
          <w:rtl/>
        </w:rPr>
        <w:t xml:space="preserve"> למניעת הטרדה מינית</w:t>
      </w:r>
      <w:r w:rsidRPr="00C43F1B">
        <w:rPr>
          <w:rFonts w:hint="cs"/>
          <w:rtl/>
        </w:rPr>
        <w:t>. כעבור 20 שנים מחקיקת החוק החברה הישראלית אינה מצויה במקום שבו הייתה קודם חקיקתו. תהליכים חברתיים שונים התחוללו בארץ ובחו"ל, ואף שבעבר במקרים רבים התייחסו לנושא בקלות ראש והטרדה מינית נחשבה דבר של מה בכך, הרי שהיום ציבור גדול מפגין רגישות רבה יותר למעשי הטרדה מינית. גברה גם המודעות הציבורית להטרדה המינית כתופעה, למשמעויותיה ולקשר שלה לשאר סוגי האלימות והאפליה נגד נשים, ולפגיעתה בכבוד האדם</w:t>
      </w:r>
      <w:r w:rsidRPr="00C43F1B">
        <w:rPr>
          <w:rStyle w:val="FootnoteReference"/>
          <w:rtl/>
        </w:rPr>
        <w:footnoteReference w:id="2"/>
      </w:r>
      <w:r w:rsidRPr="00C43F1B">
        <w:rPr>
          <w:rFonts w:hint="cs"/>
          <w:rtl/>
        </w:rPr>
        <w:t xml:space="preserve">. </w:t>
      </w:r>
    </w:p>
    <w:p w14:paraId="16CD3D48" w14:textId="77777777" w:rsidR="00417266" w:rsidRDefault="00417266" w:rsidP="00121EA1">
      <w:pPr>
        <w:pStyle w:val="100"/>
        <w:rPr>
          <w:rtl/>
        </w:rPr>
      </w:pPr>
      <w:r w:rsidRPr="00C43F1B">
        <w:rPr>
          <w:rFonts w:hint="cs"/>
          <w:rtl/>
        </w:rPr>
        <w:t>שינוי התודעה היסודי בנוגע לחומרת ההתנהגויות המהוות הטרדה מינית בא לידי ביטוי בפסקי הדין של בתי הדין לעבודה. במהלך השנים התנהגויות שבעבר לא היה ברור כי הן עולות כדי הטרדה מינית הוכרו בבתי הדין כהטרדה</w:t>
      </w:r>
      <w:r>
        <w:rPr>
          <w:rFonts w:hint="cs"/>
          <w:rtl/>
        </w:rPr>
        <w:t xml:space="preserve"> מינית</w:t>
      </w:r>
      <w:r w:rsidRPr="00C43F1B">
        <w:rPr>
          <w:rStyle w:val="FootnoteReference"/>
          <w:rtl/>
        </w:rPr>
        <w:footnoteReference w:id="3"/>
      </w:r>
      <w:r w:rsidRPr="00C43F1B">
        <w:rPr>
          <w:rFonts w:hint="cs"/>
          <w:rtl/>
        </w:rPr>
        <w:t xml:space="preserve">, וכן </w:t>
      </w:r>
      <w:r>
        <w:rPr>
          <w:rFonts w:hint="cs"/>
          <w:rtl/>
        </w:rPr>
        <w:t>ניכרת מגמת עלייה ב</w:t>
      </w:r>
      <w:r w:rsidRPr="00C43F1B">
        <w:rPr>
          <w:rFonts w:hint="cs"/>
          <w:rtl/>
        </w:rPr>
        <w:t>סכומי הפיצויים ללא הוכחת נזק שנפסקו לנפגעות</w:t>
      </w:r>
      <w:r>
        <w:rPr>
          <w:rFonts w:hint="cs"/>
          <w:rtl/>
        </w:rPr>
        <w:t xml:space="preserve"> ולנפגעים</w:t>
      </w:r>
      <w:r w:rsidRPr="00C43F1B">
        <w:rPr>
          <w:rFonts w:hint="cs"/>
          <w:rtl/>
        </w:rPr>
        <w:t xml:space="preserve">. שינויים אלו הביאו בתורם לעלייה במודעות הציבור להטרדה מינית. </w:t>
      </w:r>
    </w:p>
    <w:p w14:paraId="61469C8E" w14:textId="77777777" w:rsidR="00417266" w:rsidRDefault="00417266" w:rsidP="00121EA1">
      <w:pPr>
        <w:pStyle w:val="100"/>
        <w:rPr>
          <w:rtl/>
        </w:rPr>
      </w:pPr>
      <w:r>
        <w:rPr>
          <w:rFonts w:hint="cs"/>
          <w:rtl/>
        </w:rPr>
        <w:t>בהכנת חוות דעת זו</w:t>
      </w:r>
      <w:r>
        <w:t xml:space="preserve"> </w:t>
      </w:r>
      <w:r>
        <w:rPr>
          <w:rFonts w:hint="cs"/>
          <w:rtl/>
        </w:rPr>
        <w:t xml:space="preserve">ניתנה הדעת להבחנה בין הממשקים של עובדי ציבור בינם לבין עצמם ובין הממשקים שלהם עם האוכלוסייה הכללית המקבלת את שירותיהם. </w:t>
      </w:r>
      <w:r w:rsidRPr="00C43F1B">
        <w:rPr>
          <w:rFonts w:hint="cs"/>
          <w:rtl/>
        </w:rPr>
        <w:t xml:space="preserve">המניעה </w:t>
      </w:r>
      <w:r>
        <w:rPr>
          <w:rFonts w:hint="cs"/>
          <w:rtl/>
        </w:rPr>
        <w:t>של מעשי</w:t>
      </w:r>
      <w:r w:rsidRPr="00C43F1B">
        <w:rPr>
          <w:rFonts w:hint="cs"/>
          <w:rtl/>
        </w:rPr>
        <w:t xml:space="preserve"> הטרדה מינית בין עובדי </w:t>
      </w:r>
      <w:r>
        <w:rPr>
          <w:rFonts w:hint="cs"/>
          <w:rtl/>
        </w:rPr>
        <w:t>הציבור עצמם</w:t>
      </w:r>
      <w:r w:rsidRPr="00C43F1B">
        <w:rPr>
          <w:rFonts w:hint="cs"/>
          <w:rtl/>
        </w:rPr>
        <w:t xml:space="preserve"> </w:t>
      </w:r>
      <w:r>
        <w:rPr>
          <w:rFonts w:hint="cs"/>
          <w:rtl/>
        </w:rPr>
        <w:t xml:space="preserve">והטיפול בהם </w:t>
      </w:r>
      <w:r w:rsidRPr="00C43F1B">
        <w:rPr>
          <w:rFonts w:hint="cs"/>
          <w:rtl/>
        </w:rPr>
        <w:t xml:space="preserve">מוסדרים בחקיקה או במנגנוני טיפול פנימיים, </w:t>
      </w:r>
      <w:r>
        <w:rPr>
          <w:rFonts w:hint="cs"/>
          <w:rtl/>
        </w:rPr>
        <w:t xml:space="preserve">ואילו בכל הנוגע לאחריות למניעת מעשי הטרדה מינית </w:t>
      </w:r>
      <w:r w:rsidRPr="00C43F1B">
        <w:rPr>
          <w:rFonts w:hint="cs"/>
          <w:rtl/>
        </w:rPr>
        <w:t>בממשק שבין עובדי ה</w:t>
      </w:r>
      <w:r>
        <w:rPr>
          <w:rFonts w:hint="cs"/>
          <w:rtl/>
        </w:rPr>
        <w:t>ציבור</w:t>
      </w:r>
      <w:r w:rsidRPr="00C43F1B">
        <w:rPr>
          <w:rFonts w:hint="cs"/>
          <w:rtl/>
        </w:rPr>
        <w:t xml:space="preserve"> ובין </w:t>
      </w:r>
      <w:r>
        <w:rPr>
          <w:rFonts w:hint="cs"/>
          <w:rtl/>
        </w:rPr>
        <w:t>האוכלוסייה הכללית ולטיפול בהם האסדרה מוגבלת וטעונה שיפור</w:t>
      </w:r>
      <w:r w:rsidRPr="00C43F1B">
        <w:rPr>
          <w:rFonts w:hint="cs"/>
          <w:rtl/>
        </w:rPr>
        <w:t>.</w:t>
      </w:r>
    </w:p>
    <w:p w14:paraId="6CF0E207" w14:textId="6AB880A3" w:rsidR="00417266" w:rsidRDefault="00417266" w:rsidP="00417266">
      <w:pPr>
        <w:spacing w:line="269" w:lineRule="auto"/>
      </w:pPr>
    </w:p>
    <w:p w14:paraId="61A2D0EA" w14:textId="77777777" w:rsidR="002A04CC" w:rsidRDefault="002A04CC" w:rsidP="00417266">
      <w:pPr>
        <w:spacing w:line="269" w:lineRule="auto"/>
        <w:jc w:val="center"/>
        <w:rPr>
          <w:b/>
          <w:bCs/>
        </w:rPr>
      </w:pPr>
    </w:p>
    <w:p w14:paraId="281518B6" w14:textId="77777777" w:rsidR="002A04CC" w:rsidRDefault="002A04CC" w:rsidP="00417266">
      <w:pPr>
        <w:spacing w:line="269" w:lineRule="auto"/>
        <w:jc w:val="center"/>
        <w:rPr>
          <w:b/>
          <w:bCs/>
        </w:rPr>
      </w:pPr>
    </w:p>
    <w:p w14:paraId="5DEC231A" w14:textId="77777777" w:rsidR="002A04CC" w:rsidRDefault="002A04CC" w:rsidP="00417266">
      <w:pPr>
        <w:spacing w:line="269" w:lineRule="auto"/>
        <w:jc w:val="center"/>
        <w:rPr>
          <w:b/>
          <w:bCs/>
        </w:rPr>
      </w:pPr>
    </w:p>
    <w:p w14:paraId="1E4CBA1E" w14:textId="77777777" w:rsidR="002A04CC" w:rsidRDefault="002A04CC" w:rsidP="00417266">
      <w:pPr>
        <w:spacing w:line="269" w:lineRule="auto"/>
        <w:jc w:val="center"/>
        <w:rPr>
          <w:b/>
          <w:bCs/>
        </w:rPr>
      </w:pPr>
    </w:p>
    <w:p w14:paraId="32FD4C8F" w14:textId="77777777" w:rsidR="002A04CC" w:rsidRDefault="002A04CC" w:rsidP="00417266">
      <w:pPr>
        <w:spacing w:line="269" w:lineRule="auto"/>
        <w:jc w:val="center"/>
        <w:rPr>
          <w:b/>
          <w:bCs/>
        </w:rPr>
      </w:pPr>
    </w:p>
    <w:p w14:paraId="473A66B1" w14:textId="77777777" w:rsidR="002A04CC" w:rsidRDefault="002A04CC" w:rsidP="00417266">
      <w:pPr>
        <w:spacing w:line="269" w:lineRule="auto"/>
        <w:jc w:val="center"/>
        <w:rPr>
          <w:b/>
          <w:bCs/>
        </w:rPr>
      </w:pPr>
    </w:p>
    <w:p w14:paraId="73FC15EE" w14:textId="77777777" w:rsidR="002A04CC" w:rsidRDefault="002A04CC" w:rsidP="00417266">
      <w:pPr>
        <w:spacing w:line="269" w:lineRule="auto"/>
        <w:jc w:val="center"/>
        <w:rPr>
          <w:b/>
          <w:bCs/>
        </w:rPr>
      </w:pPr>
    </w:p>
    <w:p w14:paraId="0A47440F" w14:textId="77777777" w:rsidR="002A04CC" w:rsidRDefault="002A04CC" w:rsidP="00417266">
      <w:pPr>
        <w:spacing w:line="269" w:lineRule="auto"/>
        <w:jc w:val="center"/>
        <w:rPr>
          <w:b/>
          <w:bCs/>
        </w:rPr>
      </w:pPr>
    </w:p>
    <w:p w14:paraId="701C1CB4" w14:textId="28E23CE7" w:rsidR="00417266" w:rsidRDefault="00417266" w:rsidP="00892310">
      <w:pPr>
        <w:pStyle w:val="a8"/>
        <w:rPr>
          <w:rtl/>
        </w:rPr>
      </w:pPr>
      <w:r w:rsidRPr="005F30EC">
        <w:rPr>
          <w:rFonts w:hint="cs"/>
          <w:rtl/>
        </w:rPr>
        <w:lastRenderedPageBreak/>
        <w:t xml:space="preserve">תרשים 1: </w:t>
      </w:r>
      <w:r w:rsidRPr="00892310">
        <w:rPr>
          <w:rFonts w:hint="cs"/>
          <w:b/>
          <w:bCs/>
          <w:rtl/>
        </w:rPr>
        <w:t>טיפול עובדי ציבור בהטרדות מיניות לפי מעגלי האוכלוסייה</w:t>
      </w:r>
    </w:p>
    <w:p w14:paraId="01861078" w14:textId="77777777" w:rsidR="00417266" w:rsidRDefault="00417266" w:rsidP="00417266">
      <w:pPr>
        <w:spacing w:line="269" w:lineRule="auto"/>
        <w:jc w:val="center"/>
        <w:rPr>
          <w:rtl/>
        </w:rPr>
      </w:pPr>
      <w:r>
        <w:rPr>
          <w:noProof/>
          <w:rtl/>
        </w:rPr>
        <w:drawing>
          <wp:inline distT="0" distB="0" distL="0" distR="0" wp14:anchorId="29B959F8" wp14:editId="46BD508A">
            <wp:extent cx="3593592" cy="3867912"/>
            <wp:effectExtent l="0" t="0" r="6985" b="0"/>
            <wp:docPr id="33"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רשים הטיפול בהטרדות מיניות-01-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3592" cy="3867912"/>
                    </a:xfrm>
                    <a:prstGeom prst="rect">
                      <a:avLst/>
                    </a:prstGeom>
                  </pic:spPr>
                </pic:pic>
              </a:graphicData>
            </a:graphic>
          </wp:inline>
        </w:drawing>
      </w:r>
    </w:p>
    <w:p w14:paraId="0F326E70" w14:textId="77777777" w:rsidR="00417266" w:rsidRPr="00C363A3" w:rsidRDefault="00417266" w:rsidP="00417266">
      <w:pPr>
        <w:spacing w:line="269" w:lineRule="auto"/>
        <w:jc w:val="center"/>
        <w:rPr>
          <w:rtl/>
        </w:rPr>
      </w:pPr>
    </w:p>
    <w:p w14:paraId="13A8D3C9" w14:textId="77777777" w:rsidR="00417266" w:rsidRPr="00C43F1B" w:rsidRDefault="00417266" w:rsidP="00566629">
      <w:pPr>
        <w:pStyle w:val="316"/>
        <w:rPr>
          <w:rtl/>
        </w:rPr>
      </w:pPr>
      <w:bookmarkStart w:id="0" w:name="_Toc9150771"/>
      <w:r w:rsidRPr="00C43F1B">
        <w:rPr>
          <w:rFonts w:hint="cs"/>
          <w:rtl/>
        </w:rPr>
        <w:t>פעולות הביקורת</w:t>
      </w:r>
      <w:bookmarkEnd w:id="0"/>
      <w:r w:rsidRPr="00C43F1B">
        <w:rPr>
          <w:rFonts w:hint="cs"/>
          <w:rtl/>
        </w:rPr>
        <w:t xml:space="preserve"> </w:t>
      </w:r>
    </w:p>
    <w:p w14:paraId="54AC04B1" w14:textId="77777777" w:rsidR="00417266" w:rsidRDefault="00417266" w:rsidP="00566629">
      <w:pPr>
        <w:pStyle w:val="100"/>
        <w:rPr>
          <w:rtl/>
        </w:rPr>
      </w:pPr>
      <w:r w:rsidRPr="00C43F1B">
        <w:rPr>
          <w:rtl/>
        </w:rPr>
        <w:t xml:space="preserve">בחודשים </w:t>
      </w:r>
      <w:r w:rsidRPr="00C43F1B">
        <w:rPr>
          <w:rFonts w:hint="cs"/>
          <w:rtl/>
        </w:rPr>
        <w:t>מרץ</w:t>
      </w:r>
      <w:r>
        <w:rPr>
          <w:rFonts w:hint="cs"/>
          <w:rtl/>
        </w:rPr>
        <w:t xml:space="preserve"> 2018</w:t>
      </w:r>
      <w:r w:rsidRPr="00C43F1B">
        <w:rPr>
          <w:rFonts w:hint="cs"/>
          <w:rtl/>
        </w:rPr>
        <w:t xml:space="preserve"> </w:t>
      </w:r>
      <w:r w:rsidRPr="00C43F1B">
        <w:rPr>
          <w:rtl/>
        </w:rPr>
        <w:t xml:space="preserve">עד </w:t>
      </w:r>
      <w:r>
        <w:rPr>
          <w:rFonts w:hint="cs"/>
          <w:rtl/>
        </w:rPr>
        <w:t>מאי 2019</w:t>
      </w:r>
      <w:r w:rsidRPr="00C43F1B">
        <w:rPr>
          <w:rtl/>
        </w:rPr>
        <w:t xml:space="preserve"> </w:t>
      </w:r>
      <w:r w:rsidRPr="00C43F1B">
        <w:rPr>
          <w:rFonts w:hint="cs"/>
          <w:rtl/>
        </w:rPr>
        <w:t>בדק</w:t>
      </w:r>
      <w:r w:rsidRPr="00C43F1B">
        <w:rPr>
          <w:rtl/>
        </w:rPr>
        <w:t xml:space="preserve"> משרד מבקר המדינה בין היתר</w:t>
      </w:r>
      <w:r w:rsidRPr="00C43F1B">
        <w:rPr>
          <w:rFonts w:hint="cs"/>
          <w:rtl/>
        </w:rPr>
        <w:t xml:space="preserve"> את</w:t>
      </w:r>
      <w:r w:rsidRPr="00C43F1B">
        <w:rPr>
          <w:rtl/>
        </w:rPr>
        <w:t xml:space="preserve"> הנושאים האלה: </w:t>
      </w:r>
      <w:r w:rsidRPr="00C43F1B">
        <w:rPr>
          <w:rFonts w:hint="cs"/>
          <w:rtl/>
        </w:rPr>
        <w:t>הטמעת החוק במגזר הציבורי</w:t>
      </w:r>
      <w:r w:rsidRPr="00C43F1B">
        <w:rPr>
          <w:rtl/>
        </w:rPr>
        <w:t xml:space="preserve">; </w:t>
      </w:r>
      <w:r w:rsidRPr="00C43F1B">
        <w:rPr>
          <w:rFonts w:hint="cs"/>
          <w:rtl/>
        </w:rPr>
        <w:t>יישום החוק במגזר העבודה הפרטי</w:t>
      </w:r>
      <w:r w:rsidRPr="00C43F1B">
        <w:rPr>
          <w:rtl/>
        </w:rPr>
        <w:t xml:space="preserve">; </w:t>
      </w:r>
      <w:r w:rsidRPr="00C43F1B">
        <w:rPr>
          <w:rFonts w:hint="cs"/>
          <w:rtl/>
        </w:rPr>
        <w:t>יוזמות והתארגנויות לאכיפת החוק.</w:t>
      </w:r>
      <w:r w:rsidRPr="00C43F1B">
        <w:rPr>
          <w:rtl/>
        </w:rPr>
        <w:t xml:space="preserve"> </w:t>
      </w:r>
      <w:r w:rsidRPr="00C43F1B">
        <w:rPr>
          <w:rFonts w:hint="cs"/>
          <w:rtl/>
        </w:rPr>
        <w:t xml:space="preserve">בד בבד בדק משרד מבקר המדינה גם את </w:t>
      </w:r>
      <w:r>
        <w:rPr>
          <w:rFonts w:hint="cs"/>
          <w:rtl/>
        </w:rPr>
        <w:t>ה</w:t>
      </w:r>
      <w:r w:rsidRPr="00C43F1B">
        <w:rPr>
          <w:rFonts w:hint="cs"/>
          <w:rtl/>
        </w:rPr>
        <w:t xml:space="preserve">טיפול </w:t>
      </w:r>
      <w:r>
        <w:rPr>
          <w:rFonts w:hint="cs"/>
          <w:rtl/>
        </w:rPr>
        <w:t>בהטרדות מיניות ב</w:t>
      </w:r>
      <w:r w:rsidRPr="00C43F1B">
        <w:rPr>
          <w:rFonts w:hint="cs"/>
          <w:rtl/>
        </w:rPr>
        <w:t>משרד הבריאות ו</w:t>
      </w:r>
      <w:r>
        <w:rPr>
          <w:rFonts w:hint="cs"/>
          <w:rtl/>
        </w:rPr>
        <w:t>ב</w:t>
      </w:r>
      <w:r w:rsidRPr="00C43F1B">
        <w:rPr>
          <w:rFonts w:hint="cs"/>
          <w:rtl/>
        </w:rPr>
        <w:t xml:space="preserve">משרד החינוך </w:t>
      </w:r>
      <w:r>
        <w:rPr>
          <w:rFonts w:hint="cs"/>
          <w:rtl/>
        </w:rPr>
        <w:t>- שני משרדי ממשלה המעניקים שירותים לאוכלוסייה נרחבת</w:t>
      </w:r>
      <w:r w:rsidRPr="00C43F1B">
        <w:rPr>
          <w:rFonts w:hint="cs"/>
          <w:rtl/>
        </w:rPr>
        <w:t>. הביקורת נעשתה במשרד המשפטים, בנציבות שירות המדינה (להלן - נש</w:t>
      </w:r>
      <w:r w:rsidRPr="00C43F1B">
        <w:rPr>
          <w:rtl/>
        </w:rPr>
        <w:t>"</w:t>
      </w:r>
      <w:r w:rsidRPr="00C43F1B">
        <w:rPr>
          <w:rFonts w:hint="cs"/>
          <w:rtl/>
        </w:rPr>
        <w:t>ם), במשרד העבודה, הרווחה והשירותים החברתיים (להלן - משרד העבודה או בשמו הקודם משרד התמ"ת)</w:t>
      </w:r>
      <w:r>
        <w:rPr>
          <w:rFonts w:hint="cs"/>
          <w:rtl/>
        </w:rPr>
        <w:t xml:space="preserve"> וברשות לקידום מעמד האישה שבמשרד לשוויון חברתי.</w:t>
      </w:r>
      <w:r w:rsidRPr="00C43F1B">
        <w:rPr>
          <w:rtl/>
        </w:rPr>
        <w:t xml:space="preserve"> בדיקות השלמה נעשו </w:t>
      </w:r>
      <w:r w:rsidRPr="00C43F1B">
        <w:rPr>
          <w:rFonts w:hint="cs"/>
          <w:rtl/>
        </w:rPr>
        <w:t>במשרד הכלכלה והתעשייה (</w:t>
      </w:r>
      <w:r w:rsidRPr="003F3A28">
        <w:rPr>
          <w:rFonts w:hint="cs"/>
          <w:rtl/>
        </w:rPr>
        <w:t>להלן</w:t>
      </w:r>
      <w:r w:rsidRPr="00C43F1B">
        <w:rPr>
          <w:rFonts w:hint="cs"/>
          <w:rtl/>
        </w:rPr>
        <w:t xml:space="preserve"> - משרד הכלכלה), במכון התקנים, בצה"ל, במשטרת ישראל </w:t>
      </w:r>
      <w:r>
        <w:rPr>
          <w:rFonts w:hint="cs"/>
          <w:rtl/>
        </w:rPr>
        <w:t>ו</w:t>
      </w:r>
      <w:r w:rsidRPr="00C43F1B">
        <w:rPr>
          <w:rFonts w:hint="cs"/>
          <w:rtl/>
        </w:rPr>
        <w:t xml:space="preserve">בשירות בתי הסוהר (להלן - שב"ס). </w:t>
      </w:r>
      <w:r w:rsidRPr="00C43F1B">
        <w:rPr>
          <w:rFonts w:hint="cs"/>
          <w:rtl/>
        </w:rPr>
        <w:lastRenderedPageBreak/>
        <w:t>משרד מבקר המדינה פרסם בעבר דוחות שעסקו ב</w:t>
      </w:r>
      <w:r w:rsidRPr="00C43F1B">
        <w:rPr>
          <w:rtl/>
        </w:rPr>
        <w:t>טיפול בהטרדות מיניות</w:t>
      </w:r>
      <w:r w:rsidRPr="00C43F1B">
        <w:rPr>
          <w:rFonts w:hint="cs"/>
          <w:rtl/>
        </w:rPr>
        <w:t xml:space="preserve"> בגופים שונים:</w:t>
      </w:r>
      <w:r w:rsidRPr="00C43F1B">
        <w:rPr>
          <w:rtl/>
        </w:rPr>
        <w:t xml:space="preserve"> </w:t>
      </w:r>
      <w:r w:rsidRPr="00C43F1B">
        <w:rPr>
          <w:rFonts w:hint="cs"/>
          <w:rtl/>
        </w:rPr>
        <w:t>צה"ל, ה</w:t>
      </w:r>
      <w:r w:rsidRPr="00C43F1B">
        <w:rPr>
          <w:rtl/>
        </w:rPr>
        <w:t>רשויות המקומיות</w:t>
      </w:r>
      <w:r w:rsidRPr="00C43F1B">
        <w:rPr>
          <w:rFonts w:hint="cs"/>
          <w:rtl/>
        </w:rPr>
        <w:t xml:space="preserve"> והמוסדות להשכלה גבוהה</w:t>
      </w:r>
      <w:r w:rsidRPr="008D0A77">
        <w:rPr>
          <w:rStyle w:val="FootnoteReference"/>
          <w:rtl/>
        </w:rPr>
        <w:footnoteReference w:id="4"/>
      </w:r>
      <w:r w:rsidRPr="00C43F1B">
        <w:rPr>
          <w:rFonts w:hint="cs"/>
          <w:rtl/>
        </w:rPr>
        <w:t>.</w:t>
      </w:r>
    </w:p>
    <w:p w14:paraId="48CE01CA" w14:textId="77777777" w:rsidR="00417266" w:rsidRPr="00C43F1B" w:rsidRDefault="00417266" w:rsidP="00B55E82">
      <w:pPr>
        <w:pStyle w:val="100"/>
        <w:rPr>
          <w:rtl/>
        </w:rPr>
      </w:pPr>
      <w:r w:rsidRPr="00C43F1B">
        <w:rPr>
          <w:rFonts w:hint="cs"/>
          <w:rtl/>
        </w:rPr>
        <w:t xml:space="preserve">בדברי ההסבר להצעת החוק למניעת הטרדה מינית נכתב כי הטרדה מינית פוגעת באנשים רבים ובייחוד בנשים. ככלל בחוות דעת זו </w:t>
      </w:r>
      <w:r>
        <w:rPr>
          <w:rFonts w:hint="cs"/>
          <w:rtl/>
        </w:rPr>
        <w:t xml:space="preserve">ידובר על </w:t>
      </w:r>
      <w:r w:rsidRPr="00C43F1B">
        <w:rPr>
          <w:rFonts w:hint="cs"/>
          <w:rtl/>
        </w:rPr>
        <w:t xml:space="preserve">מוטרדות ומתלוננות (להוציא מערכת החינוך, שבה שיעור ההטרדות המיניות של בנים ובנות דומה), אך </w:t>
      </w:r>
      <w:r w:rsidRPr="00C43F1B">
        <w:rPr>
          <w:rFonts w:hint="eastAsia"/>
          <w:rtl/>
        </w:rPr>
        <w:t>בכל</w:t>
      </w:r>
      <w:r w:rsidRPr="00C43F1B">
        <w:rPr>
          <w:rtl/>
        </w:rPr>
        <w:t xml:space="preserve"> </w:t>
      </w:r>
      <w:r w:rsidRPr="00C43F1B">
        <w:rPr>
          <w:rFonts w:hint="eastAsia"/>
          <w:rtl/>
        </w:rPr>
        <w:t>מקום</w:t>
      </w:r>
      <w:r w:rsidRPr="00C43F1B">
        <w:rPr>
          <w:rtl/>
        </w:rPr>
        <w:t xml:space="preserve"> </w:t>
      </w:r>
      <w:r w:rsidRPr="00C43F1B">
        <w:rPr>
          <w:rFonts w:hint="eastAsia"/>
          <w:rtl/>
        </w:rPr>
        <w:t>שנכתב</w:t>
      </w:r>
      <w:r w:rsidRPr="00C43F1B">
        <w:rPr>
          <w:rtl/>
        </w:rPr>
        <w:t xml:space="preserve"> </w:t>
      </w:r>
      <w:r w:rsidRPr="00C43F1B">
        <w:rPr>
          <w:rFonts w:hint="eastAsia"/>
          <w:rtl/>
        </w:rPr>
        <w:t>בלשון</w:t>
      </w:r>
      <w:r w:rsidRPr="00C43F1B">
        <w:rPr>
          <w:rtl/>
        </w:rPr>
        <w:t xml:space="preserve"> </w:t>
      </w:r>
      <w:r w:rsidRPr="00C43F1B">
        <w:rPr>
          <w:rFonts w:hint="eastAsia"/>
          <w:rtl/>
        </w:rPr>
        <w:t>נקבה</w:t>
      </w:r>
      <w:r w:rsidRPr="00C43F1B">
        <w:rPr>
          <w:rtl/>
        </w:rPr>
        <w:t xml:space="preserve">, </w:t>
      </w:r>
      <w:r w:rsidRPr="00C43F1B">
        <w:rPr>
          <w:rFonts w:hint="eastAsia"/>
          <w:rtl/>
        </w:rPr>
        <w:t>הכוונה</w:t>
      </w:r>
      <w:r w:rsidRPr="00C43F1B">
        <w:rPr>
          <w:rtl/>
        </w:rPr>
        <w:t xml:space="preserve"> </w:t>
      </w:r>
      <w:r w:rsidRPr="00C43F1B">
        <w:rPr>
          <w:rFonts w:hint="eastAsia"/>
          <w:rtl/>
        </w:rPr>
        <w:t>היא</w:t>
      </w:r>
      <w:r w:rsidRPr="00C43F1B">
        <w:rPr>
          <w:rtl/>
        </w:rPr>
        <w:t xml:space="preserve"> </w:t>
      </w:r>
      <w:r w:rsidRPr="00C43F1B">
        <w:rPr>
          <w:rFonts w:hint="eastAsia"/>
          <w:rtl/>
        </w:rPr>
        <w:t>ל</w:t>
      </w:r>
      <w:r w:rsidRPr="00C43F1B">
        <w:rPr>
          <w:rFonts w:hint="cs"/>
          <w:rtl/>
        </w:rPr>
        <w:t xml:space="preserve">בני </w:t>
      </w:r>
      <w:r w:rsidRPr="00C43F1B">
        <w:rPr>
          <w:rFonts w:hint="eastAsia"/>
          <w:rtl/>
        </w:rPr>
        <w:t>שני</w:t>
      </w:r>
      <w:r w:rsidRPr="00C43F1B">
        <w:rPr>
          <w:rtl/>
        </w:rPr>
        <w:t xml:space="preserve"> </w:t>
      </w:r>
      <w:r w:rsidRPr="00C43F1B">
        <w:rPr>
          <w:rFonts w:hint="eastAsia"/>
          <w:rtl/>
        </w:rPr>
        <w:t>המינים</w:t>
      </w:r>
      <w:r w:rsidRPr="00C43F1B">
        <w:rPr>
          <w:rtl/>
        </w:rPr>
        <w:t>.</w:t>
      </w:r>
    </w:p>
    <w:p w14:paraId="614DF76F" w14:textId="77777777" w:rsidR="00417266" w:rsidRDefault="00417266" w:rsidP="00B55E82">
      <w:pPr>
        <w:pStyle w:val="100"/>
        <w:rPr>
          <w:rtl/>
        </w:rPr>
      </w:pPr>
      <w:r w:rsidRPr="009F6279">
        <w:rPr>
          <w:rFonts w:hint="eastAsia"/>
          <w:rtl/>
        </w:rPr>
        <w:t>שני</w:t>
      </w:r>
      <w:r w:rsidRPr="009F6279">
        <w:rPr>
          <w:rtl/>
        </w:rPr>
        <w:t xml:space="preserve"> חלקים לחוות הדעת. בחלקה הראשון</w:t>
      </w:r>
      <w:r>
        <w:rPr>
          <w:rFonts w:hint="cs"/>
          <w:rtl/>
        </w:rPr>
        <w:t xml:space="preserve"> נבחנים </w:t>
      </w:r>
      <w:r w:rsidRPr="009F6279">
        <w:rPr>
          <w:rFonts w:hint="eastAsia"/>
          <w:rtl/>
        </w:rPr>
        <w:t>המסלולים</w:t>
      </w:r>
      <w:r w:rsidRPr="009F6279">
        <w:rPr>
          <w:rtl/>
        </w:rPr>
        <w:t xml:space="preserve"> </w:t>
      </w:r>
      <w:r w:rsidRPr="009F6279">
        <w:rPr>
          <w:rFonts w:hint="eastAsia"/>
          <w:rtl/>
        </w:rPr>
        <w:t>המשפטיים</w:t>
      </w:r>
      <w:r w:rsidRPr="009F6279">
        <w:rPr>
          <w:rtl/>
        </w:rPr>
        <w:t xml:space="preserve"> </w:t>
      </w:r>
      <w:r w:rsidRPr="009F6279">
        <w:rPr>
          <w:rFonts w:hint="eastAsia"/>
          <w:rtl/>
        </w:rPr>
        <w:t>הקבועים</w:t>
      </w:r>
      <w:r w:rsidRPr="009F6279">
        <w:rPr>
          <w:rtl/>
        </w:rPr>
        <w:t xml:space="preserve"> </w:t>
      </w:r>
      <w:r w:rsidRPr="009F6279">
        <w:rPr>
          <w:rFonts w:hint="eastAsia"/>
          <w:rtl/>
        </w:rPr>
        <w:t>בחוק</w:t>
      </w:r>
      <w:r w:rsidRPr="009F6279">
        <w:rPr>
          <w:rtl/>
        </w:rPr>
        <w:t xml:space="preserve">, </w:t>
      </w:r>
      <w:r w:rsidRPr="009F6279">
        <w:rPr>
          <w:rFonts w:hint="eastAsia"/>
          <w:rtl/>
        </w:rPr>
        <w:t>המענים</w:t>
      </w:r>
      <w:r w:rsidRPr="009F6279">
        <w:rPr>
          <w:rtl/>
        </w:rPr>
        <w:t xml:space="preserve"> </w:t>
      </w:r>
      <w:r w:rsidRPr="009F6279">
        <w:rPr>
          <w:rFonts w:hint="eastAsia"/>
          <w:rtl/>
        </w:rPr>
        <w:t>שהם</w:t>
      </w:r>
      <w:r w:rsidRPr="009F6279">
        <w:rPr>
          <w:rtl/>
        </w:rPr>
        <w:t xml:space="preserve"> </w:t>
      </w:r>
      <w:r w:rsidRPr="009F6279">
        <w:rPr>
          <w:rFonts w:hint="eastAsia"/>
          <w:rtl/>
        </w:rPr>
        <w:t>מציעים</w:t>
      </w:r>
      <w:r w:rsidRPr="009F6279">
        <w:rPr>
          <w:rtl/>
        </w:rPr>
        <w:t xml:space="preserve"> </w:t>
      </w:r>
      <w:r w:rsidRPr="009F6279">
        <w:rPr>
          <w:rFonts w:hint="eastAsia"/>
          <w:rtl/>
        </w:rPr>
        <w:t>לנפגעות</w:t>
      </w:r>
      <w:r w:rsidRPr="009F6279">
        <w:rPr>
          <w:rtl/>
        </w:rPr>
        <w:t xml:space="preserve"> </w:t>
      </w:r>
      <w:r w:rsidRPr="009F6279">
        <w:rPr>
          <w:rFonts w:hint="eastAsia"/>
          <w:rtl/>
        </w:rPr>
        <w:t>והחסמים</w:t>
      </w:r>
      <w:r w:rsidRPr="009F6279">
        <w:rPr>
          <w:rtl/>
        </w:rPr>
        <w:t xml:space="preserve"> </w:t>
      </w:r>
      <w:r w:rsidRPr="009F6279">
        <w:rPr>
          <w:rFonts w:hint="eastAsia"/>
          <w:rtl/>
        </w:rPr>
        <w:t>העומדים</w:t>
      </w:r>
      <w:r w:rsidRPr="009F6279">
        <w:rPr>
          <w:rtl/>
        </w:rPr>
        <w:t xml:space="preserve"> </w:t>
      </w:r>
      <w:r w:rsidRPr="009F6279">
        <w:rPr>
          <w:rFonts w:hint="eastAsia"/>
          <w:rtl/>
        </w:rPr>
        <w:t>בפניהן</w:t>
      </w:r>
      <w:r w:rsidRPr="009F6279">
        <w:rPr>
          <w:rtl/>
        </w:rPr>
        <w:t xml:space="preserve"> </w:t>
      </w:r>
      <w:r w:rsidRPr="009F6279">
        <w:rPr>
          <w:rFonts w:hint="eastAsia"/>
          <w:rtl/>
        </w:rPr>
        <w:t>בכל</w:t>
      </w:r>
      <w:r w:rsidRPr="009F6279">
        <w:rPr>
          <w:rtl/>
        </w:rPr>
        <w:t xml:space="preserve"> </w:t>
      </w:r>
      <w:r w:rsidRPr="009F6279">
        <w:rPr>
          <w:rFonts w:hint="eastAsia"/>
          <w:rtl/>
        </w:rPr>
        <w:t>מסלול</w:t>
      </w:r>
      <w:r w:rsidRPr="009F6279">
        <w:rPr>
          <w:rtl/>
        </w:rPr>
        <w:t>. בחלקה השני</w:t>
      </w:r>
      <w:r>
        <w:rPr>
          <w:rFonts w:hint="cs"/>
          <w:rtl/>
        </w:rPr>
        <w:t xml:space="preserve"> עוסקת</w:t>
      </w:r>
      <w:r w:rsidRPr="009F6279">
        <w:rPr>
          <w:rtl/>
        </w:rPr>
        <w:t xml:space="preserve"> </w:t>
      </w:r>
      <w:r w:rsidRPr="009F6279">
        <w:rPr>
          <w:rFonts w:hint="eastAsia"/>
          <w:rtl/>
        </w:rPr>
        <w:t>חוות</w:t>
      </w:r>
      <w:r w:rsidRPr="009F6279">
        <w:rPr>
          <w:rtl/>
        </w:rPr>
        <w:t xml:space="preserve"> </w:t>
      </w:r>
      <w:r w:rsidRPr="009F6279">
        <w:rPr>
          <w:rFonts w:hint="eastAsia"/>
          <w:rtl/>
        </w:rPr>
        <w:t>הדעת</w:t>
      </w:r>
      <w:r w:rsidRPr="009F6279">
        <w:rPr>
          <w:rtl/>
        </w:rPr>
        <w:t xml:space="preserve"> </w:t>
      </w:r>
      <w:r w:rsidRPr="009F6279">
        <w:rPr>
          <w:rFonts w:hint="eastAsia"/>
          <w:rtl/>
        </w:rPr>
        <w:t>בשתי</w:t>
      </w:r>
      <w:r w:rsidRPr="009F6279">
        <w:rPr>
          <w:rtl/>
        </w:rPr>
        <w:t xml:space="preserve"> </w:t>
      </w:r>
      <w:r w:rsidRPr="009F6279">
        <w:rPr>
          <w:rFonts w:hint="eastAsia"/>
          <w:rtl/>
        </w:rPr>
        <w:t>מערכות</w:t>
      </w:r>
      <w:r w:rsidRPr="009F6279">
        <w:rPr>
          <w:rtl/>
        </w:rPr>
        <w:t xml:space="preserve"> </w:t>
      </w:r>
      <w:r w:rsidRPr="009F6279">
        <w:rPr>
          <w:rFonts w:hint="eastAsia"/>
          <w:rtl/>
        </w:rPr>
        <w:t>מדינתיות</w:t>
      </w:r>
      <w:r w:rsidRPr="009F6279">
        <w:rPr>
          <w:rtl/>
        </w:rPr>
        <w:t xml:space="preserve"> </w:t>
      </w:r>
      <w:r w:rsidRPr="009F6279">
        <w:rPr>
          <w:rFonts w:hint="eastAsia"/>
          <w:rtl/>
        </w:rPr>
        <w:t>הנוגעות</w:t>
      </w:r>
      <w:r w:rsidRPr="009F6279">
        <w:rPr>
          <w:rtl/>
        </w:rPr>
        <w:t xml:space="preserve"> </w:t>
      </w:r>
      <w:r w:rsidRPr="009F6279">
        <w:rPr>
          <w:rFonts w:hint="eastAsia"/>
          <w:rtl/>
        </w:rPr>
        <w:t>לחיי</w:t>
      </w:r>
      <w:r w:rsidRPr="009F6279">
        <w:rPr>
          <w:rtl/>
        </w:rPr>
        <w:t xml:space="preserve"> </w:t>
      </w:r>
      <w:r w:rsidRPr="009F6279">
        <w:rPr>
          <w:rFonts w:hint="eastAsia"/>
          <w:rtl/>
        </w:rPr>
        <w:t>היומיום</w:t>
      </w:r>
      <w:r w:rsidRPr="009F6279">
        <w:rPr>
          <w:rtl/>
        </w:rPr>
        <w:t xml:space="preserve"> </w:t>
      </w:r>
      <w:r w:rsidRPr="009F6279">
        <w:rPr>
          <w:rFonts w:hint="eastAsia"/>
          <w:rtl/>
        </w:rPr>
        <w:t>של</w:t>
      </w:r>
      <w:r w:rsidRPr="009F6279">
        <w:rPr>
          <w:rtl/>
        </w:rPr>
        <w:t xml:space="preserve"> </w:t>
      </w:r>
      <w:r w:rsidRPr="009F6279">
        <w:rPr>
          <w:rFonts w:hint="eastAsia"/>
          <w:rtl/>
        </w:rPr>
        <w:t>אוכלוסייה</w:t>
      </w:r>
      <w:r w:rsidRPr="009F6279">
        <w:rPr>
          <w:rtl/>
        </w:rPr>
        <w:t xml:space="preserve"> </w:t>
      </w:r>
      <w:r w:rsidRPr="009F6279">
        <w:rPr>
          <w:rFonts w:hint="eastAsia"/>
          <w:rtl/>
        </w:rPr>
        <w:t>נרחבת</w:t>
      </w:r>
      <w:r>
        <w:rPr>
          <w:rFonts w:hint="cs"/>
          <w:rtl/>
        </w:rPr>
        <w:t>:</w:t>
      </w:r>
      <w:r w:rsidRPr="009F6279">
        <w:rPr>
          <w:rtl/>
        </w:rPr>
        <w:t xml:space="preserve"> </w:t>
      </w:r>
      <w:r w:rsidRPr="009F6279">
        <w:rPr>
          <w:rFonts w:hint="eastAsia"/>
          <w:rtl/>
        </w:rPr>
        <w:t>הראשונה</w:t>
      </w:r>
      <w:r w:rsidRPr="009F6279">
        <w:rPr>
          <w:rtl/>
        </w:rPr>
        <w:t xml:space="preserve">, </w:t>
      </w:r>
      <w:r>
        <w:rPr>
          <w:rFonts w:hint="cs"/>
          <w:rtl/>
        </w:rPr>
        <w:t>ה</w:t>
      </w:r>
      <w:r w:rsidRPr="009F6279">
        <w:rPr>
          <w:rFonts w:hint="eastAsia"/>
          <w:rtl/>
        </w:rPr>
        <w:t>ממשקים</w:t>
      </w:r>
      <w:r w:rsidRPr="009F6279">
        <w:rPr>
          <w:rtl/>
        </w:rPr>
        <w:t xml:space="preserve"> </w:t>
      </w:r>
      <w:r w:rsidRPr="009F6279">
        <w:rPr>
          <w:rFonts w:hint="eastAsia"/>
          <w:rtl/>
        </w:rPr>
        <w:t>המתקיימים</w:t>
      </w:r>
      <w:r w:rsidRPr="009F6279">
        <w:rPr>
          <w:rtl/>
        </w:rPr>
        <w:t xml:space="preserve"> </w:t>
      </w:r>
      <w:r w:rsidRPr="009F6279">
        <w:rPr>
          <w:rFonts w:hint="eastAsia"/>
          <w:rtl/>
        </w:rPr>
        <w:t>במערכת</w:t>
      </w:r>
      <w:r w:rsidRPr="009F6279">
        <w:rPr>
          <w:rtl/>
        </w:rPr>
        <w:t xml:space="preserve"> </w:t>
      </w:r>
      <w:r w:rsidRPr="009F6279">
        <w:rPr>
          <w:rFonts w:hint="eastAsia"/>
          <w:rtl/>
        </w:rPr>
        <w:t>הבריאות</w:t>
      </w:r>
      <w:r w:rsidRPr="009F6279">
        <w:rPr>
          <w:rtl/>
        </w:rPr>
        <w:t xml:space="preserve">, </w:t>
      </w:r>
      <w:r w:rsidRPr="009F6279">
        <w:rPr>
          <w:rFonts w:hint="eastAsia"/>
          <w:rtl/>
        </w:rPr>
        <w:t>בין</w:t>
      </w:r>
      <w:r w:rsidRPr="009F6279">
        <w:rPr>
          <w:rtl/>
        </w:rPr>
        <w:t xml:space="preserve"> </w:t>
      </w:r>
      <w:r w:rsidRPr="009F6279">
        <w:rPr>
          <w:rFonts w:hint="eastAsia"/>
          <w:rtl/>
        </w:rPr>
        <w:t>היתר</w:t>
      </w:r>
      <w:r w:rsidRPr="009F6279">
        <w:rPr>
          <w:rtl/>
        </w:rPr>
        <w:t xml:space="preserve"> </w:t>
      </w:r>
      <w:r w:rsidRPr="009F6279">
        <w:rPr>
          <w:rFonts w:hint="eastAsia"/>
          <w:rtl/>
        </w:rPr>
        <w:t>בין</w:t>
      </w:r>
      <w:r w:rsidRPr="009F6279">
        <w:rPr>
          <w:rtl/>
        </w:rPr>
        <w:t xml:space="preserve"> </w:t>
      </w:r>
      <w:r w:rsidRPr="009F6279">
        <w:rPr>
          <w:rFonts w:hint="eastAsia"/>
          <w:rtl/>
        </w:rPr>
        <w:t>אנשי</w:t>
      </w:r>
      <w:r w:rsidRPr="009F6279">
        <w:rPr>
          <w:rtl/>
        </w:rPr>
        <w:t xml:space="preserve"> </w:t>
      </w:r>
      <w:r w:rsidRPr="009F6279">
        <w:rPr>
          <w:rFonts w:hint="eastAsia"/>
          <w:rtl/>
        </w:rPr>
        <w:t>הצוות</w:t>
      </w:r>
      <w:r w:rsidRPr="009F6279">
        <w:rPr>
          <w:rtl/>
        </w:rPr>
        <w:t xml:space="preserve"> </w:t>
      </w:r>
      <w:r w:rsidRPr="009F6279">
        <w:rPr>
          <w:rFonts w:hint="eastAsia"/>
          <w:rtl/>
        </w:rPr>
        <w:t>הרפואי</w:t>
      </w:r>
      <w:r w:rsidRPr="009F6279">
        <w:rPr>
          <w:rtl/>
        </w:rPr>
        <w:t xml:space="preserve"> </w:t>
      </w:r>
      <w:r w:rsidRPr="009F6279">
        <w:rPr>
          <w:rFonts w:hint="eastAsia"/>
          <w:rtl/>
        </w:rPr>
        <w:t>ובין</w:t>
      </w:r>
      <w:r w:rsidRPr="009F6279">
        <w:rPr>
          <w:rtl/>
        </w:rPr>
        <w:t xml:space="preserve"> </w:t>
      </w:r>
      <w:r w:rsidRPr="009F6279">
        <w:rPr>
          <w:rFonts w:hint="eastAsia"/>
          <w:rtl/>
        </w:rPr>
        <w:t>מטופלות</w:t>
      </w:r>
      <w:r w:rsidRPr="009F6279">
        <w:rPr>
          <w:rtl/>
        </w:rPr>
        <w:t xml:space="preserve"> </w:t>
      </w:r>
      <w:r w:rsidRPr="009F6279">
        <w:rPr>
          <w:rFonts w:hint="eastAsia"/>
          <w:rtl/>
        </w:rPr>
        <w:t>ומטופלים</w:t>
      </w:r>
      <w:r w:rsidRPr="009F6279">
        <w:rPr>
          <w:rtl/>
        </w:rPr>
        <w:t xml:space="preserve">. </w:t>
      </w:r>
      <w:r w:rsidRPr="009F6279">
        <w:rPr>
          <w:rFonts w:hint="eastAsia"/>
          <w:rtl/>
        </w:rPr>
        <w:t>השנייה</w:t>
      </w:r>
      <w:r w:rsidRPr="009F6279">
        <w:rPr>
          <w:rtl/>
        </w:rPr>
        <w:t xml:space="preserve">, </w:t>
      </w:r>
      <w:r>
        <w:rPr>
          <w:rFonts w:hint="cs"/>
          <w:rtl/>
        </w:rPr>
        <w:t>ה</w:t>
      </w:r>
      <w:r w:rsidRPr="009F6279">
        <w:rPr>
          <w:rFonts w:hint="eastAsia"/>
          <w:rtl/>
        </w:rPr>
        <w:t>ממשקים</w:t>
      </w:r>
      <w:r w:rsidRPr="009F6279">
        <w:rPr>
          <w:rtl/>
        </w:rPr>
        <w:t xml:space="preserve"> </w:t>
      </w:r>
      <w:r w:rsidRPr="009F6279">
        <w:rPr>
          <w:rFonts w:hint="eastAsia"/>
          <w:rtl/>
        </w:rPr>
        <w:t>המתקיימים</w:t>
      </w:r>
      <w:r w:rsidRPr="009F6279">
        <w:rPr>
          <w:rtl/>
        </w:rPr>
        <w:t xml:space="preserve"> </w:t>
      </w:r>
      <w:r w:rsidRPr="009F6279">
        <w:rPr>
          <w:rFonts w:hint="eastAsia"/>
          <w:rtl/>
        </w:rPr>
        <w:t>במערכת</w:t>
      </w:r>
      <w:r w:rsidRPr="009F6279">
        <w:rPr>
          <w:rtl/>
        </w:rPr>
        <w:t xml:space="preserve"> </w:t>
      </w:r>
      <w:r w:rsidRPr="009F6279">
        <w:rPr>
          <w:rFonts w:hint="eastAsia"/>
          <w:rtl/>
        </w:rPr>
        <w:t>החינוך</w:t>
      </w:r>
      <w:r w:rsidRPr="009F6279">
        <w:rPr>
          <w:rtl/>
        </w:rPr>
        <w:t xml:space="preserve">, </w:t>
      </w:r>
      <w:r w:rsidRPr="009F6279">
        <w:rPr>
          <w:rFonts w:hint="eastAsia"/>
          <w:rtl/>
        </w:rPr>
        <w:t>בין</w:t>
      </w:r>
      <w:r w:rsidRPr="009F6279">
        <w:rPr>
          <w:rtl/>
        </w:rPr>
        <w:t xml:space="preserve"> </w:t>
      </w:r>
      <w:r w:rsidRPr="009F6279">
        <w:rPr>
          <w:rFonts w:hint="eastAsia"/>
          <w:rtl/>
        </w:rPr>
        <w:t>היתר</w:t>
      </w:r>
      <w:r w:rsidRPr="009F6279">
        <w:rPr>
          <w:rtl/>
        </w:rPr>
        <w:t xml:space="preserve"> </w:t>
      </w:r>
      <w:r w:rsidRPr="009F6279">
        <w:rPr>
          <w:rFonts w:hint="eastAsia"/>
          <w:rtl/>
        </w:rPr>
        <w:t>בין</w:t>
      </w:r>
      <w:r w:rsidRPr="009F6279">
        <w:rPr>
          <w:rtl/>
        </w:rPr>
        <w:t xml:space="preserve"> </w:t>
      </w:r>
      <w:r w:rsidRPr="009F6279">
        <w:rPr>
          <w:rFonts w:hint="eastAsia"/>
          <w:rtl/>
        </w:rPr>
        <w:t>עובדי</w:t>
      </w:r>
      <w:r w:rsidRPr="009F6279">
        <w:rPr>
          <w:rtl/>
        </w:rPr>
        <w:t xml:space="preserve"> </w:t>
      </w:r>
      <w:r w:rsidRPr="009F6279">
        <w:rPr>
          <w:rFonts w:hint="eastAsia"/>
          <w:rtl/>
        </w:rPr>
        <w:t>הוראה</w:t>
      </w:r>
      <w:r w:rsidRPr="009F6279">
        <w:rPr>
          <w:rtl/>
        </w:rPr>
        <w:t xml:space="preserve"> </w:t>
      </w:r>
      <w:r w:rsidRPr="009F6279">
        <w:rPr>
          <w:rFonts w:hint="eastAsia"/>
          <w:rtl/>
        </w:rPr>
        <w:t>ובין</w:t>
      </w:r>
      <w:r w:rsidRPr="009F6279">
        <w:rPr>
          <w:rtl/>
        </w:rPr>
        <w:t xml:space="preserve"> </w:t>
      </w:r>
      <w:r w:rsidRPr="009F6279">
        <w:rPr>
          <w:rFonts w:hint="eastAsia"/>
          <w:rtl/>
        </w:rPr>
        <w:t>תלמידים</w:t>
      </w:r>
      <w:r w:rsidRPr="009F6279">
        <w:rPr>
          <w:rtl/>
        </w:rPr>
        <w:t>.</w:t>
      </w:r>
    </w:p>
    <w:p w14:paraId="071A5A4F" w14:textId="77777777" w:rsidR="00417266" w:rsidRDefault="00417266" w:rsidP="00417266">
      <w:pPr>
        <w:pStyle w:val="Heading1"/>
        <w:spacing w:line="269" w:lineRule="auto"/>
        <w:rPr>
          <w:rtl/>
        </w:rPr>
      </w:pPr>
      <w:bookmarkStart w:id="1" w:name="_Toc9150772"/>
    </w:p>
    <w:p w14:paraId="19073B47" w14:textId="77777777" w:rsidR="00417266" w:rsidRDefault="00417266" w:rsidP="00417266">
      <w:pPr>
        <w:bidi w:val="0"/>
        <w:spacing w:after="200" w:line="276" w:lineRule="auto"/>
        <w:rPr>
          <w:rFonts w:eastAsiaTheme="majorEastAsia"/>
          <w:bCs/>
          <w:szCs w:val="36"/>
          <w:u w:val="single"/>
        </w:rPr>
      </w:pPr>
      <w:r>
        <w:rPr>
          <w:rtl/>
        </w:rPr>
        <w:br w:type="page"/>
      </w:r>
    </w:p>
    <w:p w14:paraId="4579DD92" w14:textId="77777777" w:rsidR="00417266" w:rsidRPr="00C43F1B" w:rsidRDefault="00417266" w:rsidP="00C959C2">
      <w:pPr>
        <w:pStyle w:val="121"/>
        <w:rPr>
          <w:rtl/>
        </w:rPr>
      </w:pPr>
      <w:r w:rsidRPr="00C43F1B">
        <w:rPr>
          <w:rFonts w:hint="cs"/>
          <w:rtl/>
        </w:rPr>
        <w:lastRenderedPageBreak/>
        <w:t>חלק ראשון</w:t>
      </w:r>
    </w:p>
    <w:p w14:paraId="53D2B11D" w14:textId="77777777" w:rsidR="00C959C2" w:rsidRDefault="00417266" w:rsidP="00C959C2">
      <w:pPr>
        <w:pStyle w:val="218"/>
        <w:rPr>
          <w:rtl/>
        </w:rPr>
      </w:pPr>
      <w:r w:rsidRPr="00C959C2">
        <w:rPr>
          <w:rFonts w:hint="cs"/>
          <w:rtl/>
        </w:rPr>
        <w:t>יישום החוק למניעת הטרדה מינית</w:t>
      </w:r>
    </w:p>
    <w:p w14:paraId="07D7CE0D" w14:textId="77777777" w:rsidR="00417266" w:rsidRPr="00C43F1B" w:rsidRDefault="00417266" w:rsidP="00635B2E">
      <w:pPr>
        <w:pStyle w:val="316"/>
        <w:rPr>
          <w:rtl/>
        </w:rPr>
      </w:pPr>
      <w:r w:rsidRPr="00C43F1B">
        <w:rPr>
          <w:rFonts w:hint="cs"/>
          <w:rtl/>
        </w:rPr>
        <w:t>נתונים על תופעת ההטרדות המיניות</w:t>
      </w:r>
      <w:bookmarkEnd w:id="1"/>
    </w:p>
    <w:p w14:paraId="480A93CA" w14:textId="77777777" w:rsidR="00417266" w:rsidRDefault="00417266" w:rsidP="00635B2E">
      <w:pPr>
        <w:pStyle w:val="100"/>
        <w:rPr>
          <w:rtl/>
        </w:rPr>
      </w:pPr>
      <w:r w:rsidRPr="00C43F1B">
        <w:rPr>
          <w:rFonts w:hint="cs"/>
          <w:rtl/>
        </w:rPr>
        <w:t xml:space="preserve">ההתייחסות להטרדות מיניות כאל תופעה, ולא כאל </w:t>
      </w:r>
      <w:r>
        <w:rPr>
          <w:rFonts w:hint="cs"/>
          <w:rtl/>
        </w:rPr>
        <w:t>מעשים</w:t>
      </w:r>
      <w:r w:rsidRPr="00C43F1B">
        <w:rPr>
          <w:rFonts w:hint="cs"/>
          <w:rtl/>
        </w:rPr>
        <w:t xml:space="preserve"> מעטים וחריגים, עומדת בבסיס החוק למניעת הטרדה מינית. עקב ההכרה בשכיחותה של תופעה זו ובצורך במניעתה, החוק קובע חובות על המעסיק </w:t>
      </w:r>
      <w:r>
        <w:rPr>
          <w:rFonts w:hint="cs"/>
          <w:rtl/>
        </w:rPr>
        <w:t>לביצוע פעולות</w:t>
      </w:r>
      <w:r w:rsidRPr="00C43F1B">
        <w:rPr>
          <w:rFonts w:hint="cs"/>
          <w:rtl/>
        </w:rPr>
        <w:t xml:space="preserve"> למניעת הטרדה מינית במקום העבודה</w:t>
      </w:r>
      <w:r>
        <w:rPr>
          <w:rFonts w:hint="cs"/>
          <w:rtl/>
        </w:rPr>
        <w:t xml:space="preserve"> ולטיפול בתלונות. ה</w:t>
      </w:r>
      <w:r w:rsidRPr="00C43F1B">
        <w:rPr>
          <w:rFonts w:hint="cs"/>
          <w:rtl/>
        </w:rPr>
        <w:t xml:space="preserve">אחריות </w:t>
      </w:r>
      <w:r>
        <w:rPr>
          <w:rFonts w:hint="cs"/>
          <w:rtl/>
        </w:rPr>
        <w:t xml:space="preserve">שממנה נגזרות חובות אלו </w:t>
      </w:r>
      <w:r w:rsidRPr="00C43F1B">
        <w:rPr>
          <w:rFonts w:hint="cs"/>
          <w:rtl/>
        </w:rPr>
        <w:t xml:space="preserve">נרחבת מהאחריות החלה על הפוגע כלפי הנפגע, בדרך כלל, בדין הפלילי </w:t>
      </w:r>
      <w:r>
        <w:rPr>
          <w:rFonts w:hint="cs"/>
          <w:rtl/>
        </w:rPr>
        <w:t>ו</w:t>
      </w:r>
      <w:r w:rsidRPr="00C43F1B">
        <w:rPr>
          <w:rFonts w:hint="cs"/>
          <w:rtl/>
        </w:rPr>
        <w:t xml:space="preserve">האזרחי. </w:t>
      </w:r>
    </w:p>
    <w:p w14:paraId="69E3A4C2" w14:textId="77777777" w:rsidR="00417266" w:rsidRPr="00954E3A" w:rsidRDefault="00417266" w:rsidP="00635B2E">
      <w:pPr>
        <w:pStyle w:val="100"/>
        <w:rPr>
          <w:rtl/>
        </w:rPr>
      </w:pPr>
      <w:r>
        <w:rPr>
          <w:rtl/>
        </w:rPr>
        <w:t xml:space="preserve">אף שהחוק נועד להתמודד עם תופעה חברתית נפוצה, נמצא כי במהלך השנים שעברו מאז נחקק לא נעשו </w:t>
      </w:r>
      <w:r>
        <w:rPr>
          <w:rFonts w:hint="cs"/>
          <w:rtl/>
        </w:rPr>
        <w:t xml:space="preserve">די </w:t>
      </w:r>
      <w:r>
        <w:rPr>
          <w:rtl/>
        </w:rPr>
        <w:t>פעולות סדורות לאיסוף מידע לצורך מעקב אחר היקף התופעה במגזרים שונים ובחברה בכלל. חסרים אפוא נתונים היכולים לספק הערכה מבוססת בדבר השינויים שחלו במהלך השנים במאפייני התופעה ובהיקפה ובדבר האפקטיביות של הוראות החוק.</w:t>
      </w:r>
    </w:p>
    <w:p w14:paraId="475B7959" w14:textId="5342CD91" w:rsidR="00417266" w:rsidRDefault="00417266" w:rsidP="00635B2E">
      <w:pPr>
        <w:pStyle w:val="100"/>
        <w:rPr>
          <w:rtl/>
        </w:rPr>
      </w:pPr>
      <w:r w:rsidRPr="00C43F1B">
        <w:rPr>
          <w:rFonts w:hint="cs"/>
          <w:rtl/>
        </w:rPr>
        <w:t>מידע על מניעת הטרדות מיניות ועל הטיפול בהן נאסף בידי "איגוד מרכזי הסיוע לנפגעות ולנפגעי תקיפה מינית בישראל" (להלן - איגוד מרכזי הסיוע</w:t>
      </w:r>
      <w:r>
        <w:rPr>
          <w:rFonts w:hint="cs"/>
          <w:rtl/>
        </w:rPr>
        <w:t>)</w:t>
      </w:r>
      <w:r>
        <w:rPr>
          <w:rStyle w:val="FootnoteReference"/>
          <w:rtl/>
        </w:rPr>
        <w:footnoteReference w:id="5"/>
      </w:r>
      <w:r w:rsidRPr="00C43F1B">
        <w:rPr>
          <w:rFonts w:hint="cs"/>
          <w:rtl/>
        </w:rPr>
        <w:t>. האיגוד פועל לשינוי חברתי, להשגת זכויות ושיפור השירותים לנפגעי תקיפה מינית ולצמצום התופעה בישראל</w:t>
      </w:r>
      <w:r w:rsidRPr="00C43F1B">
        <w:rPr>
          <w:rStyle w:val="FootnoteReference"/>
          <w:rtl/>
        </w:rPr>
        <w:footnoteReference w:id="6"/>
      </w:r>
      <w:r w:rsidRPr="00C43F1B">
        <w:rPr>
          <w:rFonts w:hint="cs"/>
          <w:rtl/>
        </w:rPr>
        <w:t xml:space="preserve">. </w:t>
      </w:r>
      <w:r>
        <w:rPr>
          <w:rFonts w:hint="cs"/>
          <w:rtl/>
        </w:rPr>
        <w:t>להלן יובאו נתונים שנאספו בידי גופים שונים במהלך השנים ולאחריהם הנתונים שנאספו בידי איגוד מרכזי הסיוע.</w:t>
      </w:r>
    </w:p>
    <w:p w14:paraId="2EEEC2DD" w14:textId="77777777" w:rsidR="00417266" w:rsidRPr="00DD7B55" w:rsidRDefault="00417266" w:rsidP="00E83DC4">
      <w:pPr>
        <w:pStyle w:val="a0"/>
      </w:pPr>
      <w:r w:rsidRPr="00E83DC4">
        <w:rPr>
          <w:rFonts w:hint="eastAsia"/>
          <w:rtl/>
        </w:rPr>
        <w:t>להלן</w:t>
      </w:r>
      <w:r w:rsidRPr="00DD7B55">
        <w:rPr>
          <w:rFonts w:hint="cs"/>
          <w:rtl/>
        </w:rPr>
        <w:t xml:space="preserve"> פרטים</w:t>
      </w:r>
      <w:r w:rsidRPr="00DD7B55">
        <w:rPr>
          <w:rtl/>
        </w:rPr>
        <w:t xml:space="preserve"> על </w:t>
      </w:r>
      <w:r w:rsidRPr="00DD7B55">
        <w:rPr>
          <w:rFonts w:hint="cs"/>
          <w:rtl/>
        </w:rPr>
        <w:t>ה</w:t>
      </w:r>
      <w:r w:rsidRPr="00DD7B55">
        <w:rPr>
          <w:rFonts w:hint="eastAsia"/>
          <w:rtl/>
        </w:rPr>
        <w:t>מחקרים</w:t>
      </w:r>
      <w:r w:rsidRPr="00DD7B55">
        <w:rPr>
          <w:rtl/>
        </w:rPr>
        <w:t xml:space="preserve"> </w:t>
      </w:r>
      <w:r w:rsidRPr="00DD7B55">
        <w:rPr>
          <w:rFonts w:hint="cs"/>
          <w:rtl/>
        </w:rPr>
        <w:t xml:space="preserve">והסקרים הכלליים </w:t>
      </w:r>
      <w:r w:rsidRPr="00DD7B55">
        <w:rPr>
          <w:rFonts w:hint="eastAsia"/>
          <w:rtl/>
        </w:rPr>
        <w:t>שנעשו</w:t>
      </w:r>
      <w:r w:rsidRPr="00DD7B55">
        <w:rPr>
          <w:rtl/>
        </w:rPr>
        <w:t xml:space="preserve"> במשך השנים. </w:t>
      </w:r>
    </w:p>
    <w:p w14:paraId="25CCFAC5" w14:textId="77777777" w:rsidR="00417266" w:rsidRPr="00266AA9" w:rsidRDefault="00417266" w:rsidP="00266AA9">
      <w:pPr>
        <w:pStyle w:val="a"/>
      </w:pPr>
      <w:r w:rsidRPr="00266AA9">
        <w:rPr>
          <w:rtl/>
        </w:rPr>
        <w:t xml:space="preserve">משנת 2014 מבצעת הלשכה המרכזית לסטטיסטיקה "סקר ביטחון אישי" בהזמנת המשרד לביטחון הפנים ובמימונו. מטרותיו העיקריות של הסקר הן לספק אומדן סטטיסטי של היפגעות אוכלוסיית ישראל מפשיעה נגד הפרט, נגד רכוש משק הבית ונגד ילדי משק הבית. הסקר בוחן את הדיווחים על ארבע סוגי עבירות: גניבה, אלימות או איום באלימות, עבירות מקוונות והטרדה מינית. אוכלוסיית הסקר היא האוכלוסייה הקבועה של מדינת ישראל, בני 20 ומעלה במשקי הבית. הסקר משלים את מדידת ההיפגעות מהעבריינות המדווחת למשטרה משום שהוא סוקר גם את הפגיעות שאינן מדווחות </w:t>
      </w:r>
      <w:r w:rsidRPr="00266AA9">
        <w:rPr>
          <w:rtl/>
        </w:rPr>
        <w:lastRenderedPageBreak/>
        <w:t xml:space="preserve">למשטרה. להלן תוצאות סקרי הביטחון האישי בנוגע להיפגעות מעבירת הטרדה מינית לאורך השנים: </w:t>
      </w:r>
    </w:p>
    <w:p w14:paraId="3B2385F7" w14:textId="61C0BDF2" w:rsidR="00417266" w:rsidRPr="00C363A3" w:rsidRDefault="00417266" w:rsidP="003370BA">
      <w:pPr>
        <w:pStyle w:val="a8"/>
        <w:rPr>
          <w:rtl/>
        </w:rPr>
      </w:pPr>
      <w:r w:rsidRPr="005F30EC">
        <w:rPr>
          <w:rFonts w:hint="cs"/>
          <w:rtl/>
        </w:rPr>
        <w:t xml:space="preserve">תרשים </w:t>
      </w:r>
      <w:r>
        <w:rPr>
          <w:rFonts w:hint="cs"/>
          <w:rtl/>
        </w:rPr>
        <w:t>2</w:t>
      </w:r>
      <w:r w:rsidRPr="005F30EC">
        <w:rPr>
          <w:rFonts w:hint="cs"/>
          <w:rtl/>
        </w:rPr>
        <w:t xml:space="preserve">: </w:t>
      </w:r>
      <w:r w:rsidRPr="003370BA">
        <w:rPr>
          <w:rFonts w:hint="cs"/>
          <w:b/>
          <w:bCs/>
          <w:rtl/>
        </w:rPr>
        <w:t>דיווחים על היפגעות מ</w:t>
      </w:r>
      <w:r w:rsidRPr="003370BA">
        <w:rPr>
          <w:b/>
          <w:bCs/>
          <w:rtl/>
        </w:rPr>
        <w:t>עבירת הטרדה מינית</w:t>
      </w:r>
      <w:r w:rsidRPr="003370BA">
        <w:rPr>
          <w:rFonts w:hint="cs"/>
          <w:b/>
          <w:bCs/>
          <w:rtl/>
        </w:rPr>
        <w:t>,</w:t>
      </w:r>
      <w:r w:rsidRPr="003370BA">
        <w:rPr>
          <w:b/>
          <w:bCs/>
          <w:rtl/>
        </w:rPr>
        <w:t xml:space="preserve"> 201</w:t>
      </w:r>
      <w:r w:rsidRPr="003370BA">
        <w:rPr>
          <w:rFonts w:hint="cs"/>
          <w:b/>
          <w:bCs/>
          <w:rtl/>
        </w:rPr>
        <w:t xml:space="preserve">4 </w:t>
      </w:r>
      <w:r w:rsidRPr="003370BA">
        <w:rPr>
          <w:b/>
          <w:bCs/>
          <w:rtl/>
        </w:rPr>
        <w:t>-</w:t>
      </w:r>
      <w:r w:rsidRPr="003370BA">
        <w:rPr>
          <w:rFonts w:hint="cs"/>
          <w:b/>
          <w:bCs/>
          <w:rtl/>
        </w:rPr>
        <w:t xml:space="preserve"> </w:t>
      </w:r>
      <w:r w:rsidRPr="003370BA">
        <w:rPr>
          <w:b/>
          <w:bCs/>
          <w:rtl/>
        </w:rPr>
        <w:t>201</w:t>
      </w:r>
      <w:r w:rsidRPr="003370BA">
        <w:rPr>
          <w:rFonts w:hint="cs"/>
          <w:b/>
          <w:bCs/>
          <w:rtl/>
        </w:rPr>
        <w:t>8</w:t>
      </w:r>
    </w:p>
    <w:p w14:paraId="42BB6FE6" w14:textId="77777777" w:rsidR="00417266" w:rsidRPr="001B6648" w:rsidRDefault="00417266" w:rsidP="00417266">
      <w:pPr>
        <w:pStyle w:val="ListParagraph"/>
        <w:spacing w:line="269" w:lineRule="auto"/>
        <w:ind w:left="709"/>
      </w:pPr>
      <w:r w:rsidRPr="00D7155D">
        <w:rPr>
          <w:noProof/>
        </w:rPr>
        <w:drawing>
          <wp:inline distT="0" distB="0" distL="0" distR="0" wp14:anchorId="67C7A8FA" wp14:editId="7E055851">
            <wp:extent cx="4763135" cy="3045460"/>
            <wp:effectExtent l="0" t="0" r="18415" b="2540"/>
            <wp:docPr id="34" name="תרשים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BC092A3" w14:textId="30B1F616" w:rsidR="00417266" w:rsidRPr="007D0BF0" w:rsidRDefault="00417266" w:rsidP="000E7B7C">
      <w:pPr>
        <w:pStyle w:val="aa"/>
        <w:rPr>
          <w:rtl/>
        </w:rPr>
      </w:pPr>
      <w:r w:rsidRPr="007D0BF0">
        <w:rPr>
          <w:rFonts w:hint="cs"/>
          <w:rtl/>
        </w:rPr>
        <w:t>על פי נתוני סקרי הביטחון האישי, בעיבוד משרד מבקר המדינה.</w:t>
      </w:r>
    </w:p>
    <w:p w14:paraId="5B4C2913" w14:textId="77777777" w:rsidR="003370BA" w:rsidRDefault="003370BA" w:rsidP="003370BA">
      <w:pPr>
        <w:pStyle w:val="100"/>
        <w:rPr>
          <w:rtl/>
        </w:rPr>
      </w:pPr>
    </w:p>
    <w:p w14:paraId="729F2916" w14:textId="4AB9F72C" w:rsidR="00417266" w:rsidRPr="00E07453" w:rsidRDefault="00417266" w:rsidP="00E07453">
      <w:pPr>
        <w:pStyle w:val="a9"/>
        <w:rPr>
          <w:rtl/>
        </w:rPr>
      </w:pPr>
      <w:r w:rsidRPr="00E07453">
        <w:rPr>
          <w:rFonts w:hint="cs"/>
          <w:rtl/>
        </w:rPr>
        <w:t>לכל אורך השנים העבירה ששיעור הדיווח עליה למשטרה הוא הנמוך ביותר מבין העבירות הנסקרות היא עבירת ההטרדה המינית. מהסקרים עולה כי בין 95% לבין 98% מנפגעי הטרדה מינית אינם מגישים תלונות למשטרה.</w:t>
      </w:r>
    </w:p>
    <w:p w14:paraId="6EF7C5C6" w14:textId="77777777" w:rsidR="00417266" w:rsidRPr="00E07453" w:rsidRDefault="00417266" w:rsidP="00E07453">
      <w:pPr>
        <w:pStyle w:val="a9"/>
        <w:rPr>
          <w:rtl/>
        </w:rPr>
      </w:pPr>
      <w:r w:rsidRPr="00E07453">
        <w:rPr>
          <w:rFonts w:hint="cs"/>
          <w:rtl/>
        </w:rPr>
        <w:t>בסקר הביטחון האישי לשנת 2017, שפורסם בשנת 2018, נמצא כי 121,000 בני 20 ומעלה (כ-2.2% מהאוכלוסייה בגילאים אלה), בהם 96,000 נשים, נפגעו בשנת 2017 מהטרדה מינית. כ-30.5% מהנשים שהוטרדו נפגעו במקום עבודתן.</w:t>
      </w:r>
    </w:p>
    <w:p w14:paraId="57BEAB8B" w14:textId="77777777" w:rsidR="00417266" w:rsidRPr="00C43F1B" w:rsidRDefault="00417266" w:rsidP="00EB50F0">
      <w:pPr>
        <w:pStyle w:val="ab"/>
        <w:rPr>
          <w:rtl/>
        </w:rPr>
      </w:pPr>
      <w:r>
        <w:rPr>
          <w:rFonts w:hint="cs"/>
          <w:rtl/>
        </w:rPr>
        <w:t>משרד מבקר המדינה רואה בחיוב</w:t>
      </w:r>
      <w:r w:rsidRPr="00C43F1B">
        <w:rPr>
          <w:rFonts w:hint="cs"/>
          <w:rtl/>
        </w:rPr>
        <w:t xml:space="preserve"> </w:t>
      </w:r>
      <w:r>
        <w:rPr>
          <w:rFonts w:hint="cs"/>
          <w:rtl/>
        </w:rPr>
        <w:t>את הביצוע העקבי, שנה אחר שנה, של הסקר, המאפשר לזהות מגמות ולהסיק מסקנות מעשיות.</w:t>
      </w:r>
    </w:p>
    <w:p w14:paraId="34314D03" w14:textId="5F357673" w:rsidR="00417266" w:rsidRDefault="00266AA9" w:rsidP="00266AA9">
      <w:pPr>
        <w:pStyle w:val="a"/>
        <w:numPr>
          <w:ilvl w:val="0"/>
          <w:numId w:val="0"/>
        </w:numPr>
        <w:ind w:left="652" w:hanging="397"/>
        <w:rPr>
          <w:rtl/>
        </w:rPr>
      </w:pPr>
      <w:r>
        <w:rPr>
          <w:rFonts w:hint="cs"/>
          <w:rtl/>
        </w:rPr>
        <w:t>ב.</w:t>
      </w:r>
      <w:r>
        <w:rPr>
          <w:rtl/>
        </w:rPr>
        <w:tab/>
      </w:r>
      <w:r w:rsidR="00417266" w:rsidRPr="00266AA9">
        <w:rPr>
          <w:rFonts w:hint="cs"/>
          <w:rtl/>
        </w:rPr>
        <w:t>עשר</w:t>
      </w:r>
      <w:r w:rsidR="00417266" w:rsidRPr="00C43F1B">
        <w:rPr>
          <w:rFonts w:hint="cs"/>
          <w:rtl/>
        </w:rPr>
        <w:t xml:space="preserve"> שנים לאחר חקיקת החוק </w:t>
      </w:r>
      <w:r w:rsidR="00417266">
        <w:rPr>
          <w:rFonts w:hint="cs"/>
          <w:rtl/>
        </w:rPr>
        <w:t xml:space="preserve">למניעת הטרדה מינית </w:t>
      </w:r>
      <w:r w:rsidR="00417266" w:rsidRPr="00C43F1B">
        <w:rPr>
          <w:rFonts w:hint="cs"/>
          <w:rtl/>
        </w:rPr>
        <w:t>נערך מחקר שניתח את כל תיקי</w:t>
      </w:r>
      <w:r w:rsidR="00417266" w:rsidRPr="00266AA9">
        <w:rPr>
          <w:rFonts w:hint="cs"/>
          <w:vertAlign w:val="superscript"/>
          <w:rtl/>
        </w:rPr>
        <w:t xml:space="preserve"> </w:t>
      </w:r>
      <w:r w:rsidR="00417266" w:rsidRPr="00C43F1B">
        <w:rPr>
          <w:rFonts w:hint="cs"/>
          <w:rtl/>
        </w:rPr>
        <w:t>ההטרדה המינית בבתי המשפט ובבתי הדין המשמעתיים הפועלים במגזר הציבורי (</w:t>
      </w:r>
      <w:r w:rsidR="00417266">
        <w:rPr>
          <w:rFonts w:hint="cs"/>
          <w:rtl/>
        </w:rPr>
        <w:t xml:space="preserve">כ-430 תיקים; </w:t>
      </w:r>
      <w:r w:rsidR="00417266" w:rsidRPr="00C43F1B">
        <w:rPr>
          <w:rFonts w:hint="cs"/>
          <w:rtl/>
        </w:rPr>
        <w:t>להלן - מחקר העשור)</w:t>
      </w:r>
      <w:r w:rsidR="00417266" w:rsidRPr="00C43F1B">
        <w:rPr>
          <w:vertAlign w:val="superscript"/>
          <w:rtl/>
        </w:rPr>
        <w:footnoteReference w:id="7"/>
      </w:r>
      <w:r w:rsidR="00417266" w:rsidRPr="00C43F1B">
        <w:rPr>
          <w:rFonts w:hint="cs"/>
          <w:rtl/>
        </w:rPr>
        <w:t xml:space="preserve">. </w:t>
      </w:r>
      <w:r w:rsidR="00417266">
        <w:rPr>
          <w:rFonts w:hint="cs"/>
          <w:rtl/>
        </w:rPr>
        <w:t xml:space="preserve">אחד המאפיינים שהמחקר בחן היה מגזרי העבודה </w:t>
      </w:r>
      <w:r w:rsidR="00417266">
        <w:rPr>
          <w:rFonts w:hint="cs"/>
          <w:rtl/>
        </w:rPr>
        <w:lastRenderedPageBreak/>
        <w:t>של המתלוננות ומגזרי העבודה של המשיבים (הנאשמים בתיקים הפליליים והנתבעים בתיקים האזרחיים). אלו תוצאות המחקר:</w:t>
      </w:r>
    </w:p>
    <w:p w14:paraId="03366F7F" w14:textId="767774D3" w:rsidR="00417266" w:rsidRPr="00C64B36" w:rsidRDefault="00417266" w:rsidP="00C64B36">
      <w:pPr>
        <w:pStyle w:val="a8"/>
        <w:bidi w:val="0"/>
        <w:rPr>
          <w:rtl/>
        </w:rPr>
      </w:pPr>
      <w:r w:rsidRPr="00C64B36">
        <w:rPr>
          <w:rFonts w:hint="cs"/>
          <w:rtl/>
        </w:rPr>
        <w:t xml:space="preserve">תרשים 3: </w:t>
      </w:r>
      <w:r w:rsidRPr="00C64B36">
        <w:rPr>
          <w:rFonts w:hint="cs"/>
          <w:b/>
          <w:bCs/>
          <w:rtl/>
        </w:rPr>
        <w:t>השוואה בין מגזרי העבודה של המתלוננות לאלה של המשיבים</w:t>
      </w:r>
    </w:p>
    <w:p w14:paraId="5A6009F7" w14:textId="5FC9C40D" w:rsidR="00417266" w:rsidRPr="009F6279" w:rsidRDefault="00C64B36" w:rsidP="00417266">
      <w:pPr>
        <w:spacing w:line="269" w:lineRule="auto"/>
        <w:rPr>
          <w:rtl/>
        </w:rPr>
      </w:pPr>
      <w:r>
        <w:rPr>
          <w:noProof/>
          <w:rtl/>
        </w:rPr>
        <mc:AlternateContent>
          <mc:Choice Requires="wps">
            <w:drawing>
              <wp:anchor distT="45720" distB="45720" distL="114300" distR="114300" simplePos="0" relativeHeight="251670528" behindDoc="0" locked="0" layoutInCell="1" allowOverlap="1" wp14:anchorId="34F4998F" wp14:editId="6320CE8A">
                <wp:simplePos x="0" y="0"/>
                <wp:positionH relativeFrom="column">
                  <wp:posOffset>196215</wp:posOffset>
                </wp:positionH>
                <wp:positionV relativeFrom="paragraph">
                  <wp:posOffset>64770</wp:posOffset>
                </wp:positionV>
                <wp:extent cx="2023110" cy="222250"/>
                <wp:effectExtent l="0" t="0" r="15240" b="25400"/>
                <wp:wrapSquare wrapText="bothSides"/>
                <wp:docPr id="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23110" cy="222250"/>
                        </a:xfrm>
                        <a:prstGeom prst="rect">
                          <a:avLst/>
                        </a:prstGeom>
                        <a:solidFill>
                          <a:srgbClr val="FFFFFF"/>
                        </a:solidFill>
                        <a:ln w="9525">
                          <a:solidFill>
                            <a:srgbClr val="000000"/>
                          </a:solidFill>
                          <a:miter lim="800000"/>
                          <a:headEnd/>
                          <a:tailEnd/>
                        </a:ln>
                      </wps:spPr>
                      <wps:txbx>
                        <w:txbxContent>
                          <w:p w14:paraId="71DF3CDD" w14:textId="77777777" w:rsidR="00492C76" w:rsidRDefault="00492C76" w:rsidP="00C64B36">
                            <w:pPr>
                              <w:pStyle w:val="100"/>
                              <w:jc w:val="center"/>
                              <w:rPr>
                                <w:rtl/>
                                <w:cs/>
                              </w:rPr>
                            </w:pPr>
                            <w:r>
                              <w:rPr>
                                <w:rFonts w:hint="cs"/>
                                <w:rtl/>
                              </w:rPr>
                              <w:t>מגזרי העבודה של המשיבים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4F4998F" id="_x0000_t202" coordsize="21600,21600" o:spt="202" path="m,l,21600r21600,l21600,xe">
                <v:stroke joinstyle="miter"/>
                <v:path gradientshapeok="t" o:connecttype="rect"/>
              </v:shapetype>
              <v:shape id="_x0000_s1026" type="#_x0000_t202" style="position:absolute;left:0;text-align:left;margin-left:15.45pt;margin-top:5.1pt;width:159.3pt;height:17.5pt;flip:x;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">
                <v:textbox>
                  <w:txbxContent>
                    <w:p w14:paraId="71DF3CDD" w14:textId="77777777" w:rsidR="00492C76" w:rsidRDefault="00492C76" w:rsidP="00C64B36">
                      <w:pPr>
                        <w:pStyle w:val="100"/>
                        <w:jc w:val="center"/>
                        <w:rPr>
                          <w:rtl/>
                          <w:cs/>
                        </w:rPr>
                      </w:pPr>
                      <w:r>
                        <w:rPr>
                          <w:rFonts w:hint="cs"/>
                          <w:rtl/>
                        </w:rPr>
                        <w:t>מגזרי העבודה של המשיבים</w:t>
                      </w:r>
                    </w:p>
                  </w:txbxContent>
                </v:textbox>
                <w10:wrap type="square"/>
              </v:shape>
            </w:pict>
          </mc:Fallback>
        </mc:AlternateContent>
      </w:r>
      <w:r>
        <w:rPr>
          <w:noProof/>
          <w:rtl/>
        </w:rPr>
        <mc:AlternateContent>
          <mc:Choice Requires="wps">
            <w:drawing>
              <wp:anchor distT="45720" distB="45720" distL="114300" distR="114300" simplePos="0" relativeHeight="251669504" behindDoc="0" locked="0" layoutInCell="1" allowOverlap="1" wp14:anchorId="5CAB88BE" wp14:editId="7455DE2D">
                <wp:simplePos x="0" y="0"/>
                <wp:positionH relativeFrom="column">
                  <wp:posOffset>2719705</wp:posOffset>
                </wp:positionH>
                <wp:positionV relativeFrom="paragraph">
                  <wp:posOffset>64135</wp:posOffset>
                </wp:positionV>
                <wp:extent cx="2143125" cy="238125"/>
                <wp:effectExtent l="0" t="0" r="28575" b="28575"/>
                <wp:wrapSquare wrapText="bothSides"/>
                <wp:docPr id="3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43125" cy="238125"/>
                        </a:xfrm>
                        <a:prstGeom prst="rect">
                          <a:avLst/>
                        </a:prstGeom>
                        <a:solidFill>
                          <a:srgbClr val="FFFFFF"/>
                        </a:solidFill>
                        <a:ln w="9525">
                          <a:solidFill>
                            <a:srgbClr val="000000"/>
                          </a:solidFill>
                          <a:miter lim="800000"/>
                          <a:headEnd/>
                          <a:tailEnd/>
                        </a:ln>
                      </wps:spPr>
                      <wps:txbx>
                        <w:txbxContent>
                          <w:p w14:paraId="4B7CB679" w14:textId="77777777" w:rsidR="00492C76" w:rsidRDefault="00492C76" w:rsidP="00C64B36">
                            <w:pPr>
                              <w:pStyle w:val="100"/>
                              <w:jc w:val="center"/>
                              <w:rPr>
                                <w:rtl/>
                                <w:cs/>
                              </w:rPr>
                            </w:pPr>
                            <w:r>
                              <w:rPr>
                                <w:rFonts w:hint="cs"/>
                                <w:rtl/>
                              </w:rPr>
                              <w:t>מגזרי העבודה של המתלוננות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CAB88BE" id="_x0000_s1027" type="#_x0000_t202" style="position:absolute;left:0;text-align:left;margin-left:214.15pt;margin-top:5.05pt;width:168.75pt;height:18.75pt;flip:x;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">
                <v:textbox>
                  <w:txbxContent>
                    <w:p w14:paraId="4B7CB679" w14:textId="77777777" w:rsidR="00492C76" w:rsidRDefault="00492C76" w:rsidP="00C64B36">
                      <w:pPr>
                        <w:pStyle w:val="100"/>
                        <w:jc w:val="center"/>
                        <w:rPr>
                          <w:rtl/>
                          <w:cs/>
                        </w:rPr>
                      </w:pPr>
                      <w:r>
                        <w:rPr>
                          <w:rFonts w:hint="cs"/>
                          <w:rtl/>
                        </w:rPr>
                        <w:t>מגזרי העבודה של המתלוננות</w:t>
                      </w:r>
                    </w:p>
                  </w:txbxContent>
                </v:textbox>
                <w10:wrap type="square"/>
              </v:shape>
            </w:pict>
          </mc:Fallback>
        </mc:AlternateContent>
      </w:r>
    </w:p>
    <w:p w14:paraId="316B36BB" w14:textId="77777777" w:rsidR="00417266" w:rsidRPr="009F6279" w:rsidRDefault="00417266" w:rsidP="00417266">
      <w:pPr>
        <w:spacing w:line="269" w:lineRule="auto"/>
        <w:rPr>
          <w:rtl/>
        </w:rPr>
      </w:pPr>
      <w:r>
        <w:rPr>
          <w:noProof/>
          <w:rtl/>
        </w:rPr>
        <w:drawing>
          <wp:anchor distT="0" distB="0" distL="114300" distR="114300" simplePos="0" relativeHeight="251672576" behindDoc="0" locked="0" layoutInCell="1" allowOverlap="1" wp14:anchorId="7D8E929F" wp14:editId="786C5F80">
            <wp:simplePos x="0" y="0"/>
            <wp:positionH relativeFrom="margin">
              <wp:align>left</wp:align>
            </wp:positionH>
            <wp:positionV relativeFrom="paragraph">
              <wp:posOffset>232410</wp:posOffset>
            </wp:positionV>
            <wp:extent cx="2374265" cy="2105025"/>
            <wp:effectExtent l="0" t="0" r="6985" b="9525"/>
            <wp:wrapSquare wrapText="bothSides"/>
            <wp:docPr id="35" name="תרשים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noProof/>
          <w:rtl/>
        </w:rPr>
        <w:drawing>
          <wp:anchor distT="0" distB="0" distL="114300" distR="114300" simplePos="0" relativeHeight="251671552" behindDoc="0" locked="0" layoutInCell="1" allowOverlap="1" wp14:anchorId="31BC3435" wp14:editId="7FB01740">
            <wp:simplePos x="0" y="0"/>
            <wp:positionH relativeFrom="column">
              <wp:posOffset>2723515</wp:posOffset>
            </wp:positionH>
            <wp:positionV relativeFrom="paragraph">
              <wp:posOffset>232410</wp:posOffset>
            </wp:positionV>
            <wp:extent cx="2165350" cy="2114550"/>
            <wp:effectExtent l="0" t="0" r="6350" b="0"/>
            <wp:wrapTopAndBottom/>
            <wp:docPr id="36" name="תרשים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791F60EC" w14:textId="77777777" w:rsidR="00417266" w:rsidRPr="006A5409" w:rsidRDefault="00417266" w:rsidP="00417266">
      <w:pPr>
        <w:spacing w:line="269" w:lineRule="auto"/>
        <w:jc w:val="center"/>
        <w:rPr>
          <w:rtl/>
        </w:rPr>
      </w:pPr>
      <w:r>
        <w:rPr>
          <w:noProof/>
        </w:rPr>
        <w:drawing>
          <wp:inline distT="0" distB="0" distL="0" distR="0" wp14:anchorId="4E685140" wp14:editId="338D4D73">
            <wp:extent cx="1353185" cy="892175"/>
            <wp:effectExtent l="0" t="0" r="0" b="317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3185" cy="892175"/>
                    </a:xfrm>
                    <a:prstGeom prst="rect">
                      <a:avLst/>
                    </a:prstGeom>
                    <a:noFill/>
                    <a:ln>
                      <a:noFill/>
                    </a:ln>
                  </pic:spPr>
                </pic:pic>
              </a:graphicData>
            </a:graphic>
          </wp:inline>
        </w:drawing>
      </w:r>
    </w:p>
    <w:p w14:paraId="43D63864" w14:textId="77777777" w:rsidR="00417266" w:rsidRPr="00F45AFE" w:rsidRDefault="00417266" w:rsidP="00E80437">
      <w:pPr>
        <w:pStyle w:val="aa"/>
        <w:rPr>
          <w:sz w:val="22"/>
          <w:szCs w:val="22"/>
          <w:rtl/>
        </w:rPr>
      </w:pPr>
      <w:r w:rsidRPr="00526012">
        <w:rPr>
          <w:rFonts w:hint="eastAsia"/>
          <w:rtl/>
        </w:rPr>
        <w:t>על</w:t>
      </w:r>
      <w:r w:rsidRPr="00526012">
        <w:rPr>
          <w:rtl/>
        </w:rPr>
        <w:t xml:space="preserve"> פי </w:t>
      </w:r>
      <w:r w:rsidRPr="00526012">
        <w:rPr>
          <w:rFonts w:hint="eastAsia"/>
          <w:rtl/>
        </w:rPr>
        <w:t>נתוני</w:t>
      </w:r>
      <w:r w:rsidRPr="00526012">
        <w:rPr>
          <w:rtl/>
        </w:rPr>
        <w:t xml:space="preserve"> </w:t>
      </w:r>
      <w:r w:rsidRPr="00526012">
        <w:rPr>
          <w:rFonts w:hint="eastAsia"/>
          <w:rtl/>
        </w:rPr>
        <w:t>מחקר</w:t>
      </w:r>
      <w:r w:rsidRPr="00526012">
        <w:rPr>
          <w:rtl/>
        </w:rPr>
        <w:t xml:space="preserve"> </w:t>
      </w:r>
      <w:r w:rsidRPr="00526012">
        <w:rPr>
          <w:rFonts w:hint="eastAsia"/>
          <w:rtl/>
        </w:rPr>
        <w:t>העשור</w:t>
      </w:r>
      <w:r w:rsidRPr="00526012">
        <w:rPr>
          <w:rtl/>
        </w:rPr>
        <w:t xml:space="preserve">, </w:t>
      </w:r>
      <w:r w:rsidRPr="00526012">
        <w:rPr>
          <w:rFonts w:hint="eastAsia"/>
          <w:rtl/>
        </w:rPr>
        <w:t>בעיבוד</w:t>
      </w:r>
      <w:r w:rsidRPr="00526012">
        <w:rPr>
          <w:rtl/>
        </w:rPr>
        <w:t xml:space="preserve"> </w:t>
      </w:r>
      <w:r w:rsidRPr="00526012">
        <w:rPr>
          <w:rFonts w:hint="eastAsia"/>
          <w:rtl/>
        </w:rPr>
        <w:t>משרד</w:t>
      </w:r>
      <w:r w:rsidRPr="00526012">
        <w:rPr>
          <w:rtl/>
        </w:rPr>
        <w:t xml:space="preserve"> </w:t>
      </w:r>
      <w:r w:rsidRPr="00526012">
        <w:rPr>
          <w:rFonts w:hint="eastAsia"/>
          <w:rtl/>
        </w:rPr>
        <w:t>מבקר</w:t>
      </w:r>
      <w:r w:rsidRPr="00526012">
        <w:rPr>
          <w:rtl/>
        </w:rPr>
        <w:t xml:space="preserve"> </w:t>
      </w:r>
      <w:r w:rsidRPr="00526012">
        <w:rPr>
          <w:rFonts w:hint="eastAsia"/>
          <w:rtl/>
        </w:rPr>
        <w:t>המדינה</w:t>
      </w:r>
      <w:r w:rsidRPr="00F45AFE">
        <w:rPr>
          <w:rFonts w:hint="cs"/>
          <w:sz w:val="22"/>
          <w:szCs w:val="22"/>
          <w:rtl/>
        </w:rPr>
        <w:t>.</w:t>
      </w:r>
    </w:p>
    <w:p w14:paraId="5E546C70" w14:textId="77777777" w:rsidR="006C1D80" w:rsidRDefault="006C1D80" w:rsidP="006C1D80">
      <w:pPr>
        <w:pStyle w:val="a9"/>
        <w:rPr>
          <w:rtl/>
        </w:rPr>
      </w:pPr>
    </w:p>
    <w:p w14:paraId="4A7DA246" w14:textId="43819C42" w:rsidR="00417266" w:rsidRDefault="00417266" w:rsidP="006C1D80">
      <w:pPr>
        <w:pStyle w:val="a9"/>
        <w:rPr>
          <w:rtl/>
        </w:rPr>
      </w:pPr>
      <w:r w:rsidRPr="00C43F1B">
        <w:rPr>
          <w:rFonts w:hint="cs"/>
          <w:rtl/>
        </w:rPr>
        <w:t xml:space="preserve">ממצא מובהק שעלה מן המחקר הוא כי מרבית ההטרדות (כ-69% מהתיקים במאגר) נעשו בהקשר של עבודה משותפת של המתלוננת ושל מי שנטען שהטריד. ממצא מובהק נוסף הוא שקטינות, חיילות, פקידות בתפקידים זוטרים, שוטרות, עובדות מטבח, עובדות בתי אבות ומנקות התלוננו על הטרדות מיניות יותר מפקידות בדרג הבינוני ובדרג הגבוה, מורות, עובדות סוציאליות, עורכות דין ורופאות. </w:t>
      </w:r>
    </w:p>
    <w:p w14:paraId="03F67E89" w14:textId="086CBFD3" w:rsidR="00417266" w:rsidRPr="0061662B" w:rsidRDefault="00417266" w:rsidP="00E80437">
      <w:pPr>
        <w:pStyle w:val="ab"/>
        <w:rPr>
          <w:rtl/>
        </w:rPr>
      </w:pPr>
      <w:r w:rsidRPr="0061662B">
        <w:rPr>
          <w:rFonts w:hint="eastAsia"/>
          <w:noProof/>
          <w:rtl/>
        </w:rPr>
        <w:lastRenderedPageBreak/>
        <w:t>מן</w:t>
      </w:r>
      <w:r w:rsidRPr="0061662B">
        <w:rPr>
          <w:noProof/>
          <w:rtl/>
        </w:rPr>
        <w:t xml:space="preserve"> הנתונים עולה כי </w:t>
      </w:r>
      <w:r w:rsidRPr="0061662B">
        <w:rPr>
          <w:rFonts w:hint="eastAsia"/>
          <w:noProof/>
          <w:rtl/>
        </w:rPr>
        <w:t>מתלוננות</w:t>
      </w:r>
      <w:r w:rsidRPr="0061662B">
        <w:rPr>
          <w:noProof/>
          <w:rtl/>
        </w:rPr>
        <w:t xml:space="preserve"> </w:t>
      </w:r>
      <w:r w:rsidRPr="0061662B">
        <w:rPr>
          <w:rFonts w:hint="eastAsia"/>
          <w:noProof/>
          <w:rtl/>
        </w:rPr>
        <w:t>מהמגזר</w:t>
      </w:r>
      <w:r w:rsidRPr="0061662B">
        <w:rPr>
          <w:noProof/>
          <w:rtl/>
        </w:rPr>
        <w:t xml:space="preserve"> </w:t>
      </w:r>
      <w:r w:rsidRPr="0061662B">
        <w:rPr>
          <w:rFonts w:hint="eastAsia"/>
          <w:noProof/>
          <w:rtl/>
        </w:rPr>
        <w:t>הציבורי</w:t>
      </w:r>
      <w:r w:rsidRPr="0061662B">
        <w:rPr>
          <w:noProof/>
          <w:rtl/>
        </w:rPr>
        <w:t xml:space="preserve"> ובעיקר מגופי הביטחון </w:t>
      </w:r>
      <w:r w:rsidRPr="0061662B">
        <w:rPr>
          <w:rFonts w:hint="eastAsia"/>
          <w:noProof/>
          <w:rtl/>
        </w:rPr>
        <w:t>התלוננו</w:t>
      </w:r>
      <w:r w:rsidRPr="0061662B">
        <w:rPr>
          <w:noProof/>
          <w:rtl/>
        </w:rPr>
        <w:t xml:space="preserve"> יותר מעובדות במגזר הפרטי. נתון זה יכול להצביע על מודעות גבוהה יותר לחוק או על תמיכה גדולה יותר </w:t>
      </w:r>
      <w:r>
        <w:rPr>
          <w:rFonts w:hint="cs"/>
          <w:noProof/>
          <w:rtl/>
        </w:rPr>
        <w:t>ב</w:t>
      </w:r>
      <w:r w:rsidRPr="0061662B">
        <w:rPr>
          <w:noProof/>
          <w:rtl/>
        </w:rPr>
        <w:t>הגשת תלונה ב</w:t>
      </w:r>
      <w:r w:rsidRPr="0061662B">
        <w:rPr>
          <w:rFonts w:hint="eastAsia"/>
          <w:noProof/>
          <w:rtl/>
        </w:rPr>
        <w:t>מגזר</w:t>
      </w:r>
      <w:r w:rsidRPr="0061662B">
        <w:rPr>
          <w:noProof/>
          <w:rtl/>
        </w:rPr>
        <w:t xml:space="preserve"> הציבורי. </w:t>
      </w:r>
      <w:r w:rsidRPr="0061662B">
        <w:rPr>
          <w:rFonts w:hint="eastAsia"/>
          <w:rtl/>
        </w:rPr>
        <w:t>מרבית</w:t>
      </w:r>
      <w:r w:rsidRPr="0061662B">
        <w:rPr>
          <w:rtl/>
        </w:rPr>
        <w:t xml:space="preserve"> </w:t>
      </w:r>
      <w:r w:rsidRPr="0061662B">
        <w:rPr>
          <w:rFonts w:hint="eastAsia"/>
          <w:rtl/>
        </w:rPr>
        <w:t>המשיבים</w:t>
      </w:r>
      <w:r w:rsidRPr="0061662B">
        <w:rPr>
          <w:rtl/>
        </w:rPr>
        <w:t xml:space="preserve"> (כ-</w:t>
      </w:r>
      <w:r>
        <w:rPr>
          <w:rFonts w:hint="cs"/>
          <w:rtl/>
        </w:rPr>
        <w:t>64</w:t>
      </w:r>
      <w:r w:rsidRPr="0061662B">
        <w:rPr>
          <w:rtl/>
        </w:rPr>
        <w:t xml:space="preserve">%) </w:t>
      </w:r>
      <w:r w:rsidRPr="0061662B">
        <w:rPr>
          <w:rFonts w:hint="eastAsia"/>
          <w:rtl/>
        </w:rPr>
        <w:t>השתייכו</w:t>
      </w:r>
      <w:r w:rsidRPr="0061662B">
        <w:rPr>
          <w:rtl/>
        </w:rPr>
        <w:t xml:space="preserve"> למגזר </w:t>
      </w:r>
      <w:r w:rsidRPr="0061662B">
        <w:rPr>
          <w:rFonts w:hint="eastAsia"/>
          <w:rtl/>
        </w:rPr>
        <w:t>הצ</w:t>
      </w:r>
      <w:r>
        <w:rPr>
          <w:rFonts w:hint="cs"/>
          <w:rtl/>
        </w:rPr>
        <w:t>י</w:t>
      </w:r>
      <w:r w:rsidRPr="0061662B">
        <w:rPr>
          <w:rFonts w:hint="eastAsia"/>
          <w:rtl/>
        </w:rPr>
        <w:t>בורי</w:t>
      </w:r>
      <w:r>
        <w:rPr>
          <w:rFonts w:hint="cs"/>
          <w:rtl/>
        </w:rPr>
        <w:t>,</w:t>
      </w:r>
      <w:r w:rsidRPr="0061662B">
        <w:rPr>
          <w:rtl/>
        </w:rPr>
        <w:t xml:space="preserve"> ובלטו </w:t>
      </w:r>
      <w:r>
        <w:rPr>
          <w:rFonts w:hint="cs"/>
          <w:rtl/>
        </w:rPr>
        <w:t xml:space="preserve">בחלקם </w:t>
      </w:r>
      <w:r w:rsidRPr="0061662B">
        <w:rPr>
          <w:rtl/>
        </w:rPr>
        <w:t xml:space="preserve">משיבים העובדים בגופי ביטחון, </w:t>
      </w:r>
      <w:r w:rsidRPr="0061662B">
        <w:rPr>
          <w:noProof/>
          <w:sz w:val="24"/>
          <w:rtl/>
        </w:rPr>
        <w:t>וא</w:t>
      </w:r>
      <w:r w:rsidRPr="0061662B">
        <w:rPr>
          <w:rFonts w:hint="eastAsia"/>
          <w:noProof/>
          <w:sz w:val="24"/>
          <w:rtl/>
        </w:rPr>
        <w:t>חריהם</w:t>
      </w:r>
      <w:r w:rsidRPr="0061662B">
        <w:rPr>
          <w:noProof/>
          <w:sz w:val="24"/>
          <w:rtl/>
        </w:rPr>
        <w:t xml:space="preserve"> </w:t>
      </w:r>
      <w:r w:rsidRPr="0061662B">
        <w:rPr>
          <w:rFonts w:hint="eastAsia"/>
          <w:noProof/>
          <w:sz w:val="24"/>
          <w:rtl/>
        </w:rPr>
        <w:t>משיבים</w:t>
      </w:r>
      <w:r w:rsidRPr="0061662B">
        <w:rPr>
          <w:noProof/>
          <w:sz w:val="24"/>
          <w:rtl/>
        </w:rPr>
        <w:t xml:space="preserve"> </w:t>
      </w:r>
      <w:r w:rsidRPr="0061662B">
        <w:rPr>
          <w:rFonts w:hint="eastAsia"/>
          <w:noProof/>
          <w:sz w:val="24"/>
          <w:rtl/>
        </w:rPr>
        <w:t>השייכים</w:t>
      </w:r>
      <w:r w:rsidRPr="0061662B">
        <w:rPr>
          <w:noProof/>
          <w:sz w:val="24"/>
          <w:rtl/>
        </w:rPr>
        <w:t xml:space="preserve"> </w:t>
      </w:r>
      <w:r w:rsidRPr="0061662B">
        <w:rPr>
          <w:rFonts w:hint="eastAsia"/>
          <w:noProof/>
          <w:sz w:val="24"/>
          <w:rtl/>
        </w:rPr>
        <w:t>לתחומי</w:t>
      </w:r>
      <w:r w:rsidRPr="0061662B">
        <w:rPr>
          <w:noProof/>
          <w:sz w:val="24"/>
          <w:rtl/>
        </w:rPr>
        <w:t xml:space="preserve"> </w:t>
      </w:r>
      <w:r w:rsidRPr="0061662B">
        <w:rPr>
          <w:rFonts w:hint="eastAsia"/>
          <w:noProof/>
          <w:sz w:val="24"/>
          <w:rtl/>
        </w:rPr>
        <w:t>החינוך</w:t>
      </w:r>
      <w:r w:rsidRPr="0061662B">
        <w:rPr>
          <w:noProof/>
          <w:sz w:val="24"/>
          <w:rtl/>
        </w:rPr>
        <w:t xml:space="preserve">, </w:t>
      </w:r>
      <w:r w:rsidRPr="0061662B">
        <w:rPr>
          <w:rFonts w:hint="eastAsia"/>
          <w:noProof/>
          <w:sz w:val="24"/>
          <w:rtl/>
        </w:rPr>
        <w:t>הבריאות</w:t>
      </w:r>
      <w:r w:rsidRPr="0061662B">
        <w:rPr>
          <w:noProof/>
          <w:sz w:val="24"/>
          <w:rtl/>
        </w:rPr>
        <w:t xml:space="preserve"> </w:t>
      </w:r>
      <w:r w:rsidRPr="0061662B">
        <w:rPr>
          <w:rFonts w:hint="eastAsia"/>
          <w:noProof/>
          <w:sz w:val="24"/>
          <w:rtl/>
        </w:rPr>
        <w:t>והסיעוד</w:t>
      </w:r>
      <w:r w:rsidRPr="0061662B">
        <w:rPr>
          <w:noProof/>
          <w:sz w:val="24"/>
          <w:rtl/>
        </w:rPr>
        <w:t xml:space="preserve">. </w:t>
      </w:r>
      <w:r>
        <w:rPr>
          <w:rFonts w:hint="cs"/>
          <w:noProof/>
          <w:sz w:val="24"/>
          <w:rtl/>
        </w:rPr>
        <w:t>שיעור המשיבים מהמגזר הציבורי גדול משיעור המתלוננות ממגזר זה, ו</w:t>
      </w:r>
      <w:r w:rsidRPr="0061662B">
        <w:rPr>
          <w:rFonts w:hint="eastAsia"/>
          <w:noProof/>
          <w:sz w:val="24"/>
          <w:rtl/>
        </w:rPr>
        <w:t>מכאן</w:t>
      </w:r>
      <w:r w:rsidRPr="0061662B">
        <w:rPr>
          <w:noProof/>
          <w:sz w:val="24"/>
          <w:rtl/>
        </w:rPr>
        <w:t xml:space="preserve"> שגם אזרחיות</w:t>
      </w:r>
      <w:r>
        <w:rPr>
          <w:rFonts w:hint="cs"/>
          <w:noProof/>
          <w:sz w:val="24"/>
          <w:rtl/>
        </w:rPr>
        <w:t xml:space="preserve"> שאינן עובדות השירות הציבורי</w:t>
      </w:r>
      <w:r w:rsidRPr="0061662B">
        <w:rPr>
          <w:noProof/>
          <w:sz w:val="24"/>
          <w:rtl/>
        </w:rPr>
        <w:t xml:space="preserve"> (מטופלות, תלמידות וכיו"ב) </w:t>
      </w:r>
      <w:r w:rsidRPr="0061662B">
        <w:rPr>
          <w:rFonts w:hint="eastAsia"/>
          <w:noProof/>
          <w:sz w:val="24"/>
          <w:rtl/>
        </w:rPr>
        <w:t>התלוננו</w:t>
      </w:r>
      <w:r w:rsidRPr="0061662B">
        <w:rPr>
          <w:noProof/>
          <w:sz w:val="24"/>
          <w:rtl/>
        </w:rPr>
        <w:t xml:space="preserve"> </w:t>
      </w:r>
      <w:r w:rsidRPr="0061662B">
        <w:rPr>
          <w:rFonts w:hint="eastAsia"/>
          <w:noProof/>
          <w:sz w:val="24"/>
          <w:rtl/>
        </w:rPr>
        <w:t>על</w:t>
      </w:r>
      <w:r w:rsidRPr="0061662B">
        <w:rPr>
          <w:noProof/>
          <w:sz w:val="24"/>
          <w:rtl/>
        </w:rPr>
        <w:t xml:space="preserve"> </w:t>
      </w:r>
      <w:r w:rsidRPr="0061662B">
        <w:rPr>
          <w:rFonts w:hint="eastAsia"/>
          <w:noProof/>
          <w:sz w:val="24"/>
          <w:rtl/>
        </w:rPr>
        <w:t>משיבים</w:t>
      </w:r>
      <w:r w:rsidRPr="0061662B">
        <w:rPr>
          <w:noProof/>
          <w:sz w:val="24"/>
          <w:rtl/>
        </w:rPr>
        <w:t xml:space="preserve"> </w:t>
      </w:r>
      <w:r w:rsidRPr="0061662B">
        <w:rPr>
          <w:rFonts w:hint="eastAsia"/>
          <w:noProof/>
          <w:sz w:val="24"/>
          <w:rtl/>
        </w:rPr>
        <w:t>מהמגזר</w:t>
      </w:r>
      <w:r w:rsidRPr="0061662B">
        <w:rPr>
          <w:noProof/>
          <w:sz w:val="24"/>
          <w:rtl/>
        </w:rPr>
        <w:t xml:space="preserve"> </w:t>
      </w:r>
      <w:r w:rsidRPr="0061662B">
        <w:rPr>
          <w:rFonts w:hint="eastAsia"/>
          <w:noProof/>
          <w:sz w:val="24"/>
          <w:rtl/>
        </w:rPr>
        <w:t>הציבורי</w:t>
      </w:r>
      <w:r w:rsidRPr="0061662B">
        <w:rPr>
          <w:noProof/>
          <w:sz w:val="24"/>
          <w:rtl/>
        </w:rPr>
        <w:t>.</w:t>
      </w:r>
      <w:r w:rsidRPr="0061662B">
        <w:rPr>
          <w:rtl/>
        </w:rPr>
        <w:t xml:space="preserve"> השיעור הגבוה של הטרדות </w:t>
      </w:r>
      <w:r>
        <w:rPr>
          <w:rFonts w:hint="cs"/>
          <w:rtl/>
        </w:rPr>
        <w:t xml:space="preserve">מיניות </w:t>
      </w:r>
      <w:r w:rsidRPr="0061662B">
        <w:rPr>
          <w:rtl/>
        </w:rPr>
        <w:t xml:space="preserve">שנעשו בהקשר של עבודה משותפת </w:t>
      </w:r>
      <w:r w:rsidRPr="0061662B">
        <w:rPr>
          <w:rFonts w:hint="eastAsia"/>
          <w:rtl/>
        </w:rPr>
        <w:t>יכול</w:t>
      </w:r>
      <w:r w:rsidRPr="0061662B">
        <w:rPr>
          <w:rtl/>
        </w:rPr>
        <w:t xml:space="preserve"> </w:t>
      </w:r>
      <w:r w:rsidRPr="0061662B">
        <w:rPr>
          <w:rFonts w:hint="eastAsia"/>
          <w:rtl/>
        </w:rPr>
        <w:t>להצביע</w:t>
      </w:r>
      <w:r w:rsidRPr="0061662B">
        <w:rPr>
          <w:rtl/>
        </w:rPr>
        <w:t xml:space="preserve"> על כך </w:t>
      </w:r>
      <w:r>
        <w:rPr>
          <w:rFonts w:hint="cs"/>
          <w:rtl/>
        </w:rPr>
        <w:t>שמקום</w:t>
      </w:r>
      <w:r w:rsidRPr="0061662B">
        <w:rPr>
          <w:rtl/>
        </w:rPr>
        <w:t xml:space="preserve"> העבודה הוא </w:t>
      </w:r>
      <w:r>
        <w:rPr>
          <w:rFonts w:hint="cs"/>
          <w:rtl/>
        </w:rPr>
        <w:t>הסביבה</w:t>
      </w:r>
      <w:r w:rsidRPr="0061662B">
        <w:rPr>
          <w:rtl/>
        </w:rPr>
        <w:t xml:space="preserve"> המועד</w:t>
      </w:r>
      <w:r>
        <w:rPr>
          <w:rFonts w:hint="cs"/>
          <w:rtl/>
        </w:rPr>
        <w:t>ת</w:t>
      </w:r>
      <w:r w:rsidRPr="0061662B">
        <w:rPr>
          <w:rtl/>
        </w:rPr>
        <w:t xml:space="preserve"> </w:t>
      </w:r>
      <w:r w:rsidRPr="0061662B">
        <w:rPr>
          <w:rFonts w:hint="eastAsia"/>
          <w:rtl/>
        </w:rPr>
        <w:t>ביותר</w:t>
      </w:r>
      <w:r w:rsidRPr="0061662B">
        <w:rPr>
          <w:rtl/>
        </w:rPr>
        <w:t xml:space="preserve"> </w:t>
      </w:r>
      <w:r w:rsidRPr="0061662B">
        <w:rPr>
          <w:rFonts w:hint="eastAsia"/>
          <w:rtl/>
        </w:rPr>
        <w:t>להטרדה</w:t>
      </w:r>
      <w:r w:rsidRPr="0061662B">
        <w:rPr>
          <w:rtl/>
        </w:rPr>
        <w:t xml:space="preserve"> </w:t>
      </w:r>
      <w:r w:rsidRPr="0061662B">
        <w:rPr>
          <w:rFonts w:hint="eastAsia"/>
          <w:rtl/>
        </w:rPr>
        <w:t>מינית</w:t>
      </w:r>
      <w:r w:rsidRPr="0061662B">
        <w:rPr>
          <w:rtl/>
        </w:rPr>
        <w:t xml:space="preserve"> (כפי </w:t>
      </w:r>
      <w:r w:rsidRPr="0061662B">
        <w:rPr>
          <w:rFonts w:hint="eastAsia"/>
          <w:rtl/>
        </w:rPr>
        <w:t>שיפורט</w:t>
      </w:r>
      <w:r w:rsidRPr="0061662B">
        <w:rPr>
          <w:rtl/>
        </w:rPr>
        <w:t xml:space="preserve"> </w:t>
      </w:r>
      <w:r w:rsidRPr="0061662B">
        <w:rPr>
          <w:rFonts w:hint="eastAsia"/>
          <w:rtl/>
        </w:rPr>
        <w:t>בהמשך</w:t>
      </w:r>
      <w:r w:rsidRPr="0061662B">
        <w:rPr>
          <w:rtl/>
        </w:rPr>
        <w:t>).</w:t>
      </w:r>
    </w:p>
    <w:p w14:paraId="0028CC2A" w14:textId="24A3A221" w:rsidR="00417266" w:rsidRPr="00C43F1B" w:rsidRDefault="00417266" w:rsidP="006C1D80">
      <w:pPr>
        <w:pStyle w:val="ac"/>
        <w:rPr>
          <w:rtl/>
        </w:rPr>
      </w:pPr>
      <w:r w:rsidRPr="003F7AD2">
        <w:rPr>
          <w:rFonts w:hint="cs"/>
          <w:rtl/>
        </w:rPr>
        <w:t>נתוני הסקרים של ה</w:t>
      </w:r>
      <w:r>
        <w:rPr>
          <w:rFonts w:hint="cs"/>
          <w:rtl/>
        </w:rPr>
        <w:t>משרד לביטחון הפנים</w:t>
      </w:r>
      <w:r w:rsidRPr="003F7AD2">
        <w:rPr>
          <w:rFonts w:hint="cs"/>
          <w:rtl/>
        </w:rPr>
        <w:t xml:space="preserve"> בעניין פגיעות מהטרדות מיניות מספקים תמונה חלקית לגבי התופעה של הטרדה מינית</w:t>
      </w:r>
      <w:r>
        <w:rPr>
          <w:rFonts w:hint="cs"/>
          <w:rtl/>
        </w:rPr>
        <w:t xml:space="preserve">: </w:t>
      </w:r>
      <w:r w:rsidRPr="003F7AD2">
        <w:rPr>
          <w:rFonts w:hint="cs"/>
          <w:rtl/>
        </w:rPr>
        <w:t xml:space="preserve">הסקר נערך באוריינטציה פלילית, </w:t>
      </w:r>
      <w:r>
        <w:rPr>
          <w:rFonts w:hint="cs"/>
          <w:rtl/>
        </w:rPr>
        <w:t>ו</w:t>
      </w:r>
      <w:r w:rsidRPr="003F7AD2">
        <w:rPr>
          <w:rFonts w:hint="cs"/>
          <w:rtl/>
        </w:rPr>
        <w:t xml:space="preserve">הנסקרים </w:t>
      </w:r>
      <w:r>
        <w:rPr>
          <w:rFonts w:hint="cs"/>
          <w:rtl/>
        </w:rPr>
        <w:t xml:space="preserve">נשאלים </w:t>
      </w:r>
      <w:r w:rsidRPr="003F7AD2">
        <w:rPr>
          <w:rFonts w:hint="cs"/>
          <w:rtl/>
        </w:rPr>
        <w:t>על עבירות שונות כנגדם</w:t>
      </w:r>
      <w:r>
        <w:rPr>
          <w:rFonts w:hint="cs"/>
          <w:rtl/>
        </w:rPr>
        <w:t>,</w:t>
      </w:r>
      <w:r w:rsidRPr="003F7AD2">
        <w:rPr>
          <w:rFonts w:hint="cs"/>
          <w:rtl/>
        </w:rPr>
        <w:t xml:space="preserve"> וייתכן כי נשאלות שחוו הטרדה מינית לא </w:t>
      </w:r>
      <w:r>
        <w:rPr>
          <w:rFonts w:hint="cs"/>
          <w:rtl/>
        </w:rPr>
        <w:t>ידעו שמדובר ב</w:t>
      </w:r>
      <w:r w:rsidRPr="003F7AD2">
        <w:rPr>
          <w:rFonts w:hint="cs"/>
          <w:rtl/>
        </w:rPr>
        <w:t xml:space="preserve">עבירה פלילית. </w:t>
      </w:r>
      <w:r>
        <w:rPr>
          <w:rFonts w:hint="cs"/>
          <w:sz w:val="24"/>
          <w:rtl/>
        </w:rPr>
        <w:t>גם מספר</w:t>
      </w:r>
      <w:r w:rsidRPr="00292E00">
        <w:rPr>
          <w:sz w:val="24"/>
          <w:rtl/>
        </w:rPr>
        <w:t xml:space="preserve"> ההליכים המשפטיים </w:t>
      </w:r>
      <w:r>
        <w:rPr>
          <w:rFonts w:hint="cs"/>
          <w:sz w:val="24"/>
          <w:rtl/>
        </w:rPr>
        <w:t>אינו</w:t>
      </w:r>
      <w:r w:rsidRPr="00292E00">
        <w:rPr>
          <w:sz w:val="24"/>
          <w:rtl/>
        </w:rPr>
        <w:t xml:space="preserve"> משק</w:t>
      </w:r>
      <w:r>
        <w:rPr>
          <w:rFonts w:hint="cs"/>
          <w:sz w:val="24"/>
          <w:rtl/>
        </w:rPr>
        <w:t>ף</w:t>
      </w:r>
      <w:r w:rsidRPr="00292E00">
        <w:rPr>
          <w:sz w:val="24"/>
          <w:rtl/>
        </w:rPr>
        <w:t xml:space="preserve"> את תמונת המצב המלאה של תופעת ההטרדות המיניות</w:t>
      </w:r>
      <w:r>
        <w:rPr>
          <w:rFonts w:hint="cs"/>
          <w:sz w:val="24"/>
          <w:rtl/>
        </w:rPr>
        <w:t>,</w:t>
      </w:r>
      <w:r w:rsidRPr="00292E00">
        <w:rPr>
          <w:sz w:val="24"/>
          <w:rtl/>
        </w:rPr>
        <w:t xml:space="preserve"> משום ש</w:t>
      </w:r>
      <w:r w:rsidRPr="00292E00">
        <w:rPr>
          <w:rFonts w:hint="eastAsia"/>
          <w:sz w:val="24"/>
          <w:rtl/>
        </w:rPr>
        <w:t>יש</w:t>
      </w:r>
      <w:r w:rsidRPr="00292E00">
        <w:rPr>
          <w:sz w:val="24"/>
          <w:rtl/>
        </w:rPr>
        <w:t xml:space="preserve"> </w:t>
      </w:r>
      <w:r w:rsidRPr="00292E00">
        <w:rPr>
          <w:rFonts w:hint="eastAsia"/>
          <w:sz w:val="24"/>
          <w:rtl/>
        </w:rPr>
        <w:t>מוטרדות</w:t>
      </w:r>
      <w:r w:rsidRPr="00292E00">
        <w:rPr>
          <w:sz w:val="24"/>
          <w:rtl/>
        </w:rPr>
        <w:t xml:space="preserve"> </w:t>
      </w:r>
      <w:r w:rsidRPr="00292E00">
        <w:rPr>
          <w:rFonts w:hint="eastAsia"/>
          <w:sz w:val="24"/>
          <w:rtl/>
        </w:rPr>
        <w:t>שאינן</w:t>
      </w:r>
      <w:r w:rsidRPr="00292E00">
        <w:rPr>
          <w:sz w:val="24"/>
          <w:rtl/>
        </w:rPr>
        <w:t xml:space="preserve"> פונות להליכים משפטיים (בבית </w:t>
      </w:r>
      <w:r w:rsidRPr="00292E00">
        <w:rPr>
          <w:rFonts w:hint="eastAsia"/>
          <w:sz w:val="24"/>
          <w:rtl/>
        </w:rPr>
        <w:t>המשפט</w:t>
      </w:r>
      <w:r w:rsidRPr="00292E00">
        <w:rPr>
          <w:sz w:val="24"/>
          <w:rtl/>
        </w:rPr>
        <w:t xml:space="preserve"> </w:t>
      </w:r>
      <w:r w:rsidRPr="00292E00">
        <w:rPr>
          <w:rFonts w:hint="eastAsia"/>
          <w:sz w:val="24"/>
          <w:rtl/>
        </w:rPr>
        <w:t>או</w:t>
      </w:r>
      <w:r w:rsidRPr="00292E00">
        <w:rPr>
          <w:sz w:val="24"/>
          <w:rtl/>
        </w:rPr>
        <w:t xml:space="preserve"> </w:t>
      </w:r>
      <w:r w:rsidRPr="00292E00">
        <w:rPr>
          <w:rFonts w:hint="eastAsia"/>
          <w:sz w:val="24"/>
          <w:rtl/>
        </w:rPr>
        <w:t>בבתי</w:t>
      </w:r>
      <w:r w:rsidRPr="00292E00">
        <w:rPr>
          <w:sz w:val="24"/>
          <w:rtl/>
        </w:rPr>
        <w:t xml:space="preserve"> </w:t>
      </w:r>
      <w:r w:rsidRPr="00292E00">
        <w:rPr>
          <w:rFonts w:hint="eastAsia"/>
          <w:sz w:val="24"/>
          <w:rtl/>
        </w:rPr>
        <w:t>הדין</w:t>
      </w:r>
      <w:r w:rsidRPr="00292E00">
        <w:rPr>
          <w:sz w:val="24"/>
          <w:rtl/>
        </w:rPr>
        <w:t xml:space="preserve"> </w:t>
      </w:r>
      <w:r w:rsidRPr="00292E00">
        <w:rPr>
          <w:rFonts w:hint="eastAsia"/>
          <w:sz w:val="24"/>
          <w:rtl/>
        </w:rPr>
        <w:t>המשמעתיים</w:t>
      </w:r>
      <w:r w:rsidRPr="00292E00">
        <w:rPr>
          <w:sz w:val="24"/>
          <w:rtl/>
        </w:rPr>
        <w:t xml:space="preserve">) </w:t>
      </w:r>
      <w:r w:rsidRPr="00292E00">
        <w:rPr>
          <w:rFonts w:hint="eastAsia"/>
          <w:sz w:val="24"/>
          <w:rtl/>
        </w:rPr>
        <w:t>ובוחרות</w:t>
      </w:r>
      <w:r w:rsidRPr="00292E00">
        <w:rPr>
          <w:sz w:val="24"/>
          <w:rtl/>
        </w:rPr>
        <w:t xml:space="preserve"> </w:t>
      </w:r>
      <w:r w:rsidRPr="00292E00">
        <w:rPr>
          <w:rFonts w:hint="eastAsia"/>
          <w:sz w:val="24"/>
          <w:rtl/>
        </w:rPr>
        <w:t>להתלונן</w:t>
      </w:r>
      <w:r w:rsidRPr="00292E00">
        <w:rPr>
          <w:sz w:val="24"/>
          <w:rtl/>
        </w:rPr>
        <w:t xml:space="preserve"> </w:t>
      </w:r>
      <w:r w:rsidRPr="00292E00">
        <w:rPr>
          <w:rFonts w:hint="eastAsia"/>
          <w:sz w:val="24"/>
          <w:rtl/>
        </w:rPr>
        <w:t>במקום</w:t>
      </w:r>
      <w:r w:rsidRPr="00292E00">
        <w:rPr>
          <w:sz w:val="24"/>
          <w:rtl/>
        </w:rPr>
        <w:t xml:space="preserve"> </w:t>
      </w:r>
      <w:r w:rsidRPr="00292E00">
        <w:rPr>
          <w:rFonts w:hint="eastAsia"/>
          <w:sz w:val="24"/>
          <w:rtl/>
        </w:rPr>
        <w:t>העבודה</w:t>
      </w:r>
      <w:r w:rsidRPr="00292E00">
        <w:rPr>
          <w:sz w:val="24"/>
          <w:rtl/>
        </w:rPr>
        <w:t xml:space="preserve"> </w:t>
      </w:r>
      <w:r w:rsidRPr="00292E00">
        <w:rPr>
          <w:rFonts w:hint="eastAsia"/>
          <w:sz w:val="24"/>
          <w:rtl/>
        </w:rPr>
        <w:t>או</w:t>
      </w:r>
      <w:r w:rsidRPr="00292E00">
        <w:rPr>
          <w:sz w:val="24"/>
          <w:rtl/>
        </w:rPr>
        <w:t xml:space="preserve"> </w:t>
      </w:r>
      <w:r w:rsidRPr="00292E00">
        <w:rPr>
          <w:rFonts w:hint="eastAsia"/>
          <w:sz w:val="24"/>
          <w:rtl/>
        </w:rPr>
        <w:t>שאינן</w:t>
      </w:r>
      <w:r w:rsidRPr="00292E00">
        <w:rPr>
          <w:sz w:val="24"/>
          <w:rtl/>
        </w:rPr>
        <w:t xml:space="preserve"> </w:t>
      </w:r>
      <w:r w:rsidRPr="00292E00">
        <w:rPr>
          <w:rFonts w:hint="eastAsia"/>
          <w:sz w:val="24"/>
          <w:rtl/>
        </w:rPr>
        <w:t>מתלוננות</w:t>
      </w:r>
      <w:r w:rsidRPr="00292E00">
        <w:rPr>
          <w:sz w:val="24"/>
          <w:rtl/>
        </w:rPr>
        <w:t xml:space="preserve"> </w:t>
      </w:r>
      <w:r w:rsidRPr="00292E00">
        <w:rPr>
          <w:rFonts w:hint="eastAsia"/>
          <w:sz w:val="24"/>
          <w:rtl/>
        </w:rPr>
        <w:t>כלל</w:t>
      </w:r>
      <w:r w:rsidRPr="00292E00">
        <w:rPr>
          <w:sz w:val="24"/>
          <w:rtl/>
        </w:rPr>
        <w:t xml:space="preserve">. </w:t>
      </w:r>
    </w:p>
    <w:p w14:paraId="5C7A2CE4" w14:textId="77777777" w:rsidR="00774E68" w:rsidRDefault="00417266" w:rsidP="00774E68">
      <w:pPr>
        <w:pStyle w:val="a0"/>
        <w:rPr>
          <w:rtl/>
        </w:rPr>
      </w:pPr>
      <w:r w:rsidRPr="00774E68">
        <w:rPr>
          <w:rFonts w:hint="cs"/>
          <w:rtl/>
        </w:rPr>
        <w:t>נוסף</w:t>
      </w:r>
      <w:r w:rsidRPr="00C43F1B">
        <w:rPr>
          <w:rFonts w:hint="cs"/>
          <w:rtl/>
        </w:rPr>
        <w:t xml:space="preserve"> על המחקר והסקרים שצוינו לעיל</w:t>
      </w:r>
      <w:r>
        <w:rPr>
          <w:rFonts w:hint="cs"/>
          <w:rtl/>
        </w:rPr>
        <w:t>,</w:t>
      </w:r>
      <w:r w:rsidRPr="00C43F1B">
        <w:rPr>
          <w:rFonts w:hint="cs"/>
          <w:rtl/>
        </w:rPr>
        <w:t xml:space="preserve"> כמה משרדי ממשלה וגופים ציבוריים ערכו מחקרים ואספו נתונים הקשורים לתחומי הפעילות שלהם. להלן הפרטים.</w:t>
      </w:r>
      <w:bookmarkStart w:id="2" w:name="_Toc9150773"/>
    </w:p>
    <w:p w14:paraId="05025994" w14:textId="11A81C23" w:rsidR="00417266" w:rsidRDefault="00417266" w:rsidP="00085B99">
      <w:pPr>
        <w:pStyle w:val="a"/>
      </w:pPr>
      <w:r w:rsidRPr="00F12F5F">
        <w:rPr>
          <w:rFonts w:eastAsiaTheme="minorEastAsia" w:hint="cs"/>
          <w:b/>
          <w:bCs/>
          <w:color w:val="004E6C"/>
          <w:rtl/>
        </w:rPr>
        <w:t>נציבות שירות המדינה:</w:t>
      </w:r>
      <w:bookmarkEnd w:id="2"/>
      <w:r w:rsidRPr="00F12F5F">
        <w:rPr>
          <w:rFonts w:hint="cs"/>
          <w:color w:val="004E6C"/>
          <w:rtl/>
        </w:rPr>
        <w:t xml:space="preserve"> </w:t>
      </w:r>
      <w:r w:rsidRPr="00C43F1B">
        <w:rPr>
          <w:rFonts w:hint="cs"/>
          <w:rtl/>
        </w:rPr>
        <w:t>אגף המשמעת בנש"ם הוא הגוף המטפל בתלונות על הטרד</w:t>
      </w:r>
      <w:r>
        <w:rPr>
          <w:rFonts w:hint="cs"/>
          <w:rtl/>
        </w:rPr>
        <w:t>ה</w:t>
      </w:r>
      <w:r w:rsidRPr="00C43F1B">
        <w:rPr>
          <w:rFonts w:hint="cs"/>
          <w:rtl/>
        </w:rPr>
        <w:t xml:space="preserve"> מינית בידי עובדי מדינה. המידע שנאסף בנש</w:t>
      </w:r>
      <w:r w:rsidRPr="00C43F1B">
        <w:rPr>
          <w:rtl/>
        </w:rPr>
        <w:t>"</w:t>
      </w:r>
      <w:r w:rsidRPr="00C43F1B">
        <w:rPr>
          <w:rFonts w:hint="cs"/>
          <w:rtl/>
        </w:rPr>
        <w:t xml:space="preserve">ם כולל את מספר התלונות שהתקבלו ממשרדי הממשלה, מרשויות שלטוניות ומגופים ממשלתיים שונים. </w:t>
      </w:r>
      <w:r>
        <w:rPr>
          <w:rFonts w:hint="cs"/>
          <w:rtl/>
        </w:rPr>
        <w:t>ראו להלן את מספר התיקים שנפתחו בנש"ם לאורך השנים.</w:t>
      </w:r>
    </w:p>
    <w:p w14:paraId="463331F8" w14:textId="00E6E917" w:rsidR="00417266" w:rsidRDefault="00417266" w:rsidP="00417266">
      <w:pPr>
        <w:spacing w:line="269" w:lineRule="auto"/>
      </w:pPr>
    </w:p>
    <w:p w14:paraId="3510E191" w14:textId="21D5A84A" w:rsidR="00417266" w:rsidRPr="007163C0" w:rsidRDefault="00417266" w:rsidP="007163C0">
      <w:pPr>
        <w:pStyle w:val="a8"/>
        <w:rPr>
          <w:b/>
          <w:bCs/>
          <w:rtl/>
        </w:rPr>
      </w:pPr>
      <w:r w:rsidRPr="00875449">
        <w:rPr>
          <w:rFonts w:hint="cs"/>
          <w:rtl/>
        </w:rPr>
        <w:lastRenderedPageBreak/>
        <w:t xml:space="preserve">תרשים 4: </w:t>
      </w:r>
      <w:r w:rsidRPr="007163C0">
        <w:rPr>
          <w:rFonts w:hint="cs"/>
          <w:b/>
          <w:bCs/>
          <w:rtl/>
        </w:rPr>
        <w:t>תיקי הטרדה מינית שנפתחו בנש"ם, 2015 - 2018</w:t>
      </w:r>
    </w:p>
    <w:p w14:paraId="63AA55C9" w14:textId="119E1CB0" w:rsidR="00417266" w:rsidRPr="00C43F1B" w:rsidRDefault="00417266" w:rsidP="00417266">
      <w:pPr>
        <w:spacing w:line="269" w:lineRule="auto"/>
        <w:ind w:left="708"/>
        <w:jc w:val="center"/>
        <w:rPr>
          <w:rtl/>
        </w:rPr>
      </w:pPr>
      <w:r>
        <w:rPr>
          <w:noProof/>
          <w:rtl/>
        </w:rPr>
        <w:drawing>
          <wp:inline distT="0" distB="0" distL="0" distR="0" wp14:anchorId="4A10C5C2" wp14:editId="2B16E21B">
            <wp:extent cx="3736800" cy="2084400"/>
            <wp:effectExtent l="0" t="0" r="16510" b="11430"/>
            <wp:docPr id="38" name="תרשים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A9DF42" w14:textId="039D7A68" w:rsidR="00417266" w:rsidRPr="000F4B6E" w:rsidRDefault="00417266" w:rsidP="000F4B6E">
      <w:pPr>
        <w:pStyle w:val="aa"/>
        <w:rPr>
          <w:rtl/>
        </w:rPr>
      </w:pPr>
      <w:r w:rsidRPr="000F4B6E">
        <w:rPr>
          <w:rFonts w:hint="cs"/>
          <w:rtl/>
        </w:rPr>
        <w:t>על פי נתוני נש"ם, בעיבוד משרד מבקר המדינה.</w:t>
      </w:r>
    </w:p>
    <w:p w14:paraId="47E69548" w14:textId="4B6DA2C0" w:rsidR="00417266" w:rsidRPr="00457156" w:rsidRDefault="00417266" w:rsidP="00417266">
      <w:pPr>
        <w:spacing w:line="269" w:lineRule="auto"/>
        <w:rPr>
          <w:rtl/>
        </w:rPr>
      </w:pPr>
    </w:p>
    <w:p w14:paraId="73F9CEBC" w14:textId="77777777" w:rsidR="00417266" w:rsidRDefault="00417266" w:rsidP="008A78F7">
      <w:pPr>
        <w:pStyle w:val="ad"/>
        <w:rPr>
          <w:rtl/>
        </w:rPr>
      </w:pPr>
      <w:r>
        <w:rPr>
          <w:rFonts w:hint="cs"/>
          <w:rtl/>
        </w:rPr>
        <w:t>אם החליט אגף המשמעת כי יש לנהל הליך משמעתי, הוא יבחר</w:t>
      </w:r>
      <w:r w:rsidRPr="00E702F4">
        <w:rPr>
          <w:rtl/>
        </w:rPr>
        <w:t xml:space="preserve"> באחת משתי דרכי טיפול - האחת, הגשת </w:t>
      </w:r>
      <w:r>
        <w:rPr>
          <w:rFonts w:hint="cs"/>
          <w:rtl/>
        </w:rPr>
        <w:t>קובלנה</w:t>
      </w:r>
      <w:r w:rsidRPr="00E702F4">
        <w:rPr>
          <w:rtl/>
        </w:rPr>
        <w:t xml:space="preserve"> משמעתית נגד המטריד, שתידון בבית הדין המשמעתי</w:t>
      </w:r>
      <w:r>
        <w:rPr>
          <w:rFonts w:hint="cs"/>
          <w:rtl/>
        </w:rPr>
        <w:t xml:space="preserve"> של עובדי המדינה</w:t>
      </w:r>
      <w:r w:rsidRPr="00E702F4">
        <w:rPr>
          <w:rtl/>
        </w:rPr>
        <w:t xml:space="preserve">. השנייה, השבת התלונה </w:t>
      </w:r>
      <w:r>
        <w:rPr>
          <w:rFonts w:hint="cs"/>
          <w:rtl/>
        </w:rPr>
        <w:t>לטיפול משמעתי פנימי במשרד הממשלתי עם המלצה (שאינה מחייבת) לגבי הטיפול המשמעתי הנדרש.</w:t>
      </w:r>
      <w:r w:rsidRPr="00E702F4">
        <w:rPr>
          <w:rFonts w:hint="cs"/>
          <w:rtl/>
        </w:rPr>
        <w:t xml:space="preserve"> </w:t>
      </w:r>
      <w:r>
        <w:rPr>
          <w:rFonts w:hint="cs"/>
          <w:rtl/>
        </w:rPr>
        <w:t xml:space="preserve">נש"ם העבירה לצוות הביקורת נתונים לגבי 404 תיקים שנפתחו בשנים 2015 - 2018 בעקבות תלונה על הטרדה מינית. 198 מתיקים אלה עודם פתוחים, ולגבי 206 תיקים ניתן לדעת כיצד הסתיים הטיפול בהם. </w:t>
      </w:r>
    </w:p>
    <w:p w14:paraId="406341E0" w14:textId="77777777" w:rsidR="00417266" w:rsidRDefault="00417266" w:rsidP="008A78F7">
      <w:pPr>
        <w:pStyle w:val="ad"/>
        <w:rPr>
          <w:rtl/>
        </w:rPr>
      </w:pPr>
      <w:r>
        <w:rPr>
          <w:rFonts w:hint="cs"/>
          <w:rtl/>
        </w:rPr>
        <w:t>אמצעי המשמעת שבידי נש"ם קבועים ב</w:t>
      </w:r>
      <w:r w:rsidRPr="00C43F1B">
        <w:rPr>
          <w:rtl/>
        </w:rPr>
        <w:t>חוק שירות המדינה (משמעת), התשכ"ג-1963 (להלן - חוק המשמעת</w:t>
      </w:r>
      <w:r w:rsidRPr="00C43F1B">
        <w:rPr>
          <w:rFonts w:hint="cs"/>
          <w:rtl/>
        </w:rPr>
        <w:t>)</w:t>
      </w:r>
      <w:r>
        <w:rPr>
          <w:rFonts w:hint="cs"/>
          <w:rtl/>
        </w:rPr>
        <w:t>. להלן הפרטים על אופן סיום הטיפול בתיקי הטרדה מינית שנפתחו בנש"ם.</w:t>
      </w:r>
    </w:p>
    <w:p w14:paraId="108292EB" w14:textId="77777777" w:rsidR="00417266" w:rsidRPr="001F6AE0" w:rsidRDefault="00417266" w:rsidP="00417266">
      <w:pPr>
        <w:spacing w:line="269" w:lineRule="auto"/>
        <w:jc w:val="center"/>
        <w:rPr>
          <w:rFonts w:ascii="Tahoma" w:eastAsiaTheme="minorEastAsia" w:hAnsi="Tahoma" w:cs="Tahoma"/>
          <w:b/>
          <w:bCs/>
          <w:color w:val="365F91" w:themeColor="accent1" w:themeShade="BF"/>
          <w:szCs w:val="20"/>
          <w:rtl/>
        </w:rPr>
      </w:pPr>
      <w:r w:rsidRPr="001F6AE0">
        <w:rPr>
          <w:rFonts w:ascii="Tahoma" w:eastAsiaTheme="minorEastAsia" w:hAnsi="Tahoma" w:cs="Tahoma" w:hint="eastAsia"/>
          <w:color w:val="365F91" w:themeColor="accent1" w:themeShade="BF"/>
          <w:szCs w:val="20"/>
          <w:rtl/>
        </w:rPr>
        <w:t>לוח</w:t>
      </w:r>
      <w:r w:rsidRPr="001F6AE0">
        <w:rPr>
          <w:rFonts w:ascii="Tahoma" w:eastAsiaTheme="minorEastAsia" w:hAnsi="Tahoma" w:cs="Tahoma"/>
          <w:color w:val="365F91" w:themeColor="accent1" w:themeShade="BF"/>
          <w:szCs w:val="20"/>
          <w:rtl/>
        </w:rPr>
        <w:t xml:space="preserve"> 1:</w:t>
      </w:r>
      <w:r w:rsidRPr="001F6AE0">
        <w:rPr>
          <w:rFonts w:ascii="Tahoma" w:eastAsiaTheme="minorEastAsia" w:hAnsi="Tahoma" w:cs="Tahoma"/>
          <w:b/>
          <w:bCs/>
          <w:color w:val="365F91" w:themeColor="accent1" w:themeShade="BF"/>
          <w:szCs w:val="20"/>
          <w:rtl/>
        </w:rPr>
        <w:t xml:space="preserve"> </w:t>
      </w:r>
      <w:r w:rsidRPr="001F6AE0">
        <w:rPr>
          <w:rFonts w:ascii="Tahoma" w:eastAsiaTheme="minorEastAsia" w:hAnsi="Tahoma" w:cs="Tahoma" w:hint="eastAsia"/>
          <w:b/>
          <w:bCs/>
          <w:color w:val="365F91" w:themeColor="accent1" w:themeShade="BF"/>
          <w:szCs w:val="20"/>
          <w:rtl/>
        </w:rPr>
        <w:t>תוצאות</w:t>
      </w:r>
      <w:r w:rsidRPr="001F6AE0">
        <w:rPr>
          <w:rFonts w:ascii="Tahoma" w:eastAsiaTheme="minorEastAsia" w:hAnsi="Tahoma" w:cs="Tahoma"/>
          <w:b/>
          <w:bCs/>
          <w:color w:val="365F91" w:themeColor="accent1" w:themeShade="BF"/>
          <w:szCs w:val="20"/>
          <w:rtl/>
        </w:rPr>
        <w:t xml:space="preserve"> </w:t>
      </w:r>
      <w:r w:rsidRPr="001F6AE0">
        <w:rPr>
          <w:rFonts w:ascii="Tahoma" w:eastAsiaTheme="minorEastAsia" w:hAnsi="Tahoma" w:cs="Tahoma" w:hint="eastAsia"/>
          <w:b/>
          <w:bCs/>
          <w:color w:val="365F91" w:themeColor="accent1" w:themeShade="BF"/>
          <w:szCs w:val="20"/>
          <w:rtl/>
        </w:rPr>
        <w:t>הטיפול</w:t>
      </w:r>
      <w:r w:rsidRPr="001F6AE0">
        <w:rPr>
          <w:rFonts w:ascii="Tahoma" w:eastAsiaTheme="minorEastAsia" w:hAnsi="Tahoma" w:cs="Tahoma"/>
          <w:b/>
          <w:bCs/>
          <w:color w:val="365F91" w:themeColor="accent1" w:themeShade="BF"/>
          <w:szCs w:val="20"/>
          <w:rtl/>
        </w:rPr>
        <w:t xml:space="preserve"> </w:t>
      </w:r>
      <w:r w:rsidRPr="001F6AE0">
        <w:rPr>
          <w:rFonts w:ascii="Tahoma" w:eastAsiaTheme="minorEastAsia" w:hAnsi="Tahoma" w:cs="Tahoma" w:hint="eastAsia"/>
          <w:b/>
          <w:bCs/>
          <w:color w:val="365F91" w:themeColor="accent1" w:themeShade="BF"/>
          <w:szCs w:val="20"/>
          <w:rtl/>
        </w:rPr>
        <w:t>המשמעתי</w:t>
      </w:r>
      <w:r w:rsidRPr="001F6AE0">
        <w:rPr>
          <w:rFonts w:ascii="Tahoma" w:eastAsiaTheme="minorEastAsia" w:hAnsi="Tahoma" w:cs="Tahoma"/>
          <w:b/>
          <w:bCs/>
          <w:color w:val="365F91" w:themeColor="accent1" w:themeShade="BF"/>
          <w:szCs w:val="20"/>
          <w:rtl/>
        </w:rPr>
        <w:t xml:space="preserve"> </w:t>
      </w:r>
      <w:r w:rsidRPr="001F6AE0">
        <w:rPr>
          <w:rFonts w:ascii="Tahoma" w:eastAsiaTheme="minorEastAsia" w:hAnsi="Tahoma" w:cs="Tahoma" w:hint="eastAsia"/>
          <w:b/>
          <w:bCs/>
          <w:color w:val="365F91" w:themeColor="accent1" w:themeShade="BF"/>
          <w:szCs w:val="20"/>
          <w:rtl/>
        </w:rPr>
        <w:t>בידי</w:t>
      </w:r>
      <w:r w:rsidRPr="001F6AE0">
        <w:rPr>
          <w:rFonts w:ascii="Tahoma" w:eastAsiaTheme="minorEastAsia" w:hAnsi="Tahoma" w:cs="Tahoma"/>
          <w:b/>
          <w:bCs/>
          <w:color w:val="365F91" w:themeColor="accent1" w:themeShade="BF"/>
          <w:szCs w:val="20"/>
          <w:rtl/>
        </w:rPr>
        <w:t xml:space="preserve"> </w:t>
      </w:r>
      <w:r w:rsidRPr="001F6AE0">
        <w:rPr>
          <w:rFonts w:ascii="Tahoma" w:eastAsiaTheme="minorEastAsia" w:hAnsi="Tahoma" w:cs="Tahoma" w:hint="eastAsia"/>
          <w:b/>
          <w:bCs/>
          <w:color w:val="365F91" w:themeColor="accent1" w:themeShade="BF"/>
          <w:szCs w:val="20"/>
          <w:rtl/>
        </w:rPr>
        <w:t>נש</w:t>
      </w:r>
      <w:r w:rsidRPr="001F6AE0">
        <w:rPr>
          <w:rFonts w:ascii="Tahoma" w:eastAsiaTheme="minorEastAsia" w:hAnsi="Tahoma" w:cs="Tahoma"/>
          <w:b/>
          <w:bCs/>
          <w:color w:val="365F91" w:themeColor="accent1" w:themeShade="BF"/>
          <w:szCs w:val="20"/>
          <w:rtl/>
        </w:rPr>
        <w:t>"ם</w:t>
      </w:r>
      <w:r w:rsidRPr="001F6AE0">
        <w:rPr>
          <w:rFonts w:ascii="Tahoma" w:eastAsiaTheme="minorEastAsia" w:hAnsi="Tahoma" w:cs="Tahoma" w:hint="cs"/>
          <w:b/>
          <w:bCs/>
          <w:color w:val="365F91" w:themeColor="accent1" w:themeShade="BF"/>
          <w:szCs w:val="20"/>
          <w:rtl/>
        </w:rPr>
        <w:t>, 2015 - 2018</w:t>
      </w:r>
    </w:p>
    <w:p w14:paraId="7C4B0939" w14:textId="77777777" w:rsidR="00417266" w:rsidRPr="00292E00" w:rsidRDefault="00417266" w:rsidP="00417266">
      <w:pPr>
        <w:spacing w:line="269" w:lineRule="auto"/>
        <w:jc w:val="center"/>
        <w:rPr>
          <w:b/>
          <w:bCs/>
          <w:rtl/>
        </w:rPr>
      </w:pPr>
    </w:p>
    <w:tbl>
      <w:tblPr>
        <w:tblStyle w:val="TableGrid"/>
        <w:bidiVisual/>
        <w:tblW w:w="0" w:type="auto"/>
        <w:jc w:val="center"/>
        <w:tblLook w:val="04A0" w:firstRow="1" w:lastRow="0" w:firstColumn="1" w:lastColumn="0" w:noHBand="0" w:noVBand="1"/>
      </w:tblPr>
      <w:tblGrid>
        <w:gridCol w:w="3406"/>
        <w:gridCol w:w="2410"/>
      </w:tblGrid>
      <w:tr w:rsidR="00417266" w:rsidRPr="00F45AFE" w14:paraId="4EE382BB" w14:textId="77777777" w:rsidTr="00EC760C">
        <w:trPr>
          <w:tblHeader/>
          <w:jc w:val="center"/>
        </w:trPr>
        <w:tc>
          <w:tcPr>
            <w:tcW w:w="3406" w:type="dxa"/>
            <w:shd w:val="clear" w:color="auto" w:fill="CEEAF5"/>
          </w:tcPr>
          <w:p w14:paraId="65ADD753" w14:textId="77777777" w:rsidR="00417266" w:rsidRPr="00DC394C" w:rsidRDefault="00417266" w:rsidP="00DC394C">
            <w:pPr>
              <w:pStyle w:val="af"/>
              <w:rPr>
                <w:szCs w:val="20"/>
                <w:rtl/>
              </w:rPr>
            </w:pPr>
            <w:r w:rsidRPr="00DC394C">
              <w:rPr>
                <w:rFonts w:hint="cs"/>
                <w:szCs w:val="20"/>
                <w:rtl/>
              </w:rPr>
              <w:t>תוצאות ההליך</w:t>
            </w:r>
          </w:p>
        </w:tc>
        <w:tc>
          <w:tcPr>
            <w:tcW w:w="2410" w:type="dxa"/>
            <w:shd w:val="clear" w:color="auto" w:fill="CEEAF5"/>
          </w:tcPr>
          <w:p w14:paraId="592A82A9" w14:textId="77777777" w:rsidR="00417266" w:rsidRPr="00DC394C" w:rsidRDefault="00417266" w:rsidP="00DC394C">
            <w:pPr>
              <w:pStyle w:val="af"/>
              <w:rPr>
                <w:szCs w:val="20"/>
                <w:rtl/>
              </w:rPr>
            </w:pPr>
            <w:r w:rsidRPr="00DC394C">
              <w:rPr>
                <w:rFonts w:hint="cs"/>
                <w:szCs w:val="20"/>
                <w:rtl/>
              </w:rPr>
              <w:t>מספר התיקים</w:t>
            </w:r>
          </w:p>
        </w:tc>
      </w:tr>
      <w:tr w:rsidR="00417266" w:rsidRPr="00F45AFE" w14:paraId="724DB4DB" w14:textId="77777777" w:rsidTr="00417266">
        <w:trPr>
          <w:jc w:val="center"/>
        </w:trPr>
        <w:tc>
          <w:tcPr>
            <w:tcW w:w="5816" w:type="dxa"/>
            <w:gridSpan w:val="2"/>
          </w:tcPr>
          <w:p w14:paraId="091B2B03" w14:textId="77777777" w:rsidR="00417266" w:rsidRPr="00464DF0" w:rsidRDefault="00417266" w:rsidP="00464DF0">
            <w:pPr>
              <w:pStyle w:val="B"/>
              <w:rPr>
                <w:szCs w:val="20"/>
                <w:rtl/>
              </w:rPr>
            </w:pPr>
            <w:r w:rsidRPr="00464DF0">
              <w:rPr>
                <w:rFonts w:hint="eastAsia"/>
                <w:szCs w:val="20"/>
                <w:rtl/>
              </w:rPr>
              <w:t>התיק</w:t>
            </w:r>
            <w:r w:rsidRPr="00464DF0">
              <w:rPr>
                <w:szCs w:val="20"/>
                <w:rtl/>
              </w:rPr>
              <w:t xml:space="preserve"> </w:t>
            </w:r>
            <w:r w:rsidRPr="00464DF0">
              <w:rPr>
                <w:rFonts w:hint="eastAsia"/>
                <w:szCs w:val="20"/>
                <w:rtl/>
              </w:rPr>
              <w:t>נסגר</w:t>
            </w:r>
            <w:r w:rsidRPr="00464DF0">
              <w:rPr>
                <w:rFonts w:hint="cs"/>
                <w:szCs w:val="20"/>
                <w:rtl/>
              </w:rPr>
              <w:t xml:space="preserve"> - 92 תיקים</w:t>
            </w:r>
          </w:p>
        </w:tc>
      </w:tr>
      <w:tr w:rsidR="00417266" w:rsidRPr="00F45AFE" w14:paraId="17176217" w14:textId="77777777" w:rsidTr="00417266">
        <w:trPr>
          <w:jc w:val="center"/>
        </w:trPr>
        <w:tc>
          <w:tcPr>
            <w:tcW w:w="3406" w:type="dxa"/>
          </w:tcPr>
          <w:p w14:paraId="2A201A30" w14:textId="77777777" w:rsidR="00417266" w:rsidRPr="00464DF0" w:rsidRDefault="00417266" w:rsidP="00464DF0">
            <w:pPr>
              <w:pStyle w:val="R"/>
              <w:rPr>
                <w:szCs w:val="20"/>
                <w:rtl/>
              </w:rPr>
            </w:pPr>
            <w:r w:rsidRPr="00464DF0">
              <w:rPr>
                <w:rFonts w:hint="cs"/>
                <w:szCs w:val="20"/>
                <w:rtl/>
              </w:rPr>
              <w:t>חוסר ראיות</w:t>
            </w:r>
          </w:p>
        </w:tc>
        <w:tc>
          <w:tcPr>
            <w:tcW w:w="2410" w:type="dxa"/>
          </w:tcPr>
          <w:p w14:paraId="2C997B2E" w14:textId="77777777" w:rsidR="00417266" w:rsidRPr="00464DF0" w:rsidRDefault="00417266" w:rsidP="00464DF0">
            <w:pPr>
              <w:pStyle w:val="R"/>
              <w:rPr>
                <w:szCs w:val="20"/>
                <w:rtl/>
              </w:rPr>
            </w:pPr>
            <w:r w:rsidRPr="00464DF0">
              <w:rPr>
                <w:rFonts w:hint="cs"/>
                <w:szCs w:val="20"/>
                <w:rtl/>
              </w:rPr>
              <w:t>23</w:t>
            </w:r>
          </w:p>
        </w:tc>
      </w:tr>
      <w:tr w:rsidR="00417266" w:rsidRPr="00F45AFE" w14:paraId="05D39856" w14:textId="77777777" w:rsidTr="00417266">
        <w:trPr>
          <w:jc w:val="center"/>
        </w:trPr>
        <w:tc>
          <w:tcPr>
            <w:tcW w:w="3406" w:type="dxa"/>
          </w:tcPr>
          <w:p w14:paraId="771ABFAE" w14:textId="77777777" w:rsidR="00417266" w:rsidRPr="00464DF0" w:rsidRDefault="00417266" w:rsidP="00464DF0">
            <w:pPr>
              <w:pStyle w:val="R"/>
              <w:rPr>
                <w:szCs w:val="20"/>
                <w:rtl/>
              </w:rPr>
            </w:pPr>
            <w:r w:rsidRPr="00464DF0">
              <w:rPr>
                <w:rFonts w:hint="cs"/>
                <w:szCs w:val="20"/>
                <w:rtl/>
              </w:rPr>
              <w:t>חוסר אשמה</w:t>
            </w:r>
          </w:p>
        </w:tc>
        <w:tc>
          <w:tcPr>
            <w:tcW w:w="2410" w:type="dxa"/>
          </w:tcPr>
          <w:p w14:paraId="5838604F" w14:textId="77777777" w:rsidR="00417266" w:rsidRPr="00464DF0" w:rsidRDefault="00417266" w:rsidP="00464DF0">
            <w:pPr>
              <w:pStyle w:val="R"/>
              <w:rPr>
                <w:szCs w:val="20"/>
                <w:rtl/>
              </w:rPr>
            </w:pPr>
            <w:r w:rsidRPr="00464DF0">
              <w:rPr>
                <w:rFonts w:hint="cs"/>
                <w:szCs w:val="20"/>
                <w:rtl/>
              </w:rPr>
              <w:t>39</w:t>
            </w:r>
          </w:p>
        </w:tc>
      </w:tr>
      <w:tr w:rsidR="00417266" w:rsidRPr="00F45AFE" w14:paraId="2CF97362" w14:textId="77777777" w:rsidTr="00417266">
        <w:trPr>
          <w:jc w:val="center"/>
        </w:trPr>
        <w:tc>
          <w:tcPr>
            <w:tcW w:w="3406" w:type="dxa"/>
          </w:tcPr>
          <w:p w14:paraId="2187C25B" w14:textId="77777777" w:rsidR="00417266" w:rsidRPr="00464DF0" w:rsidRDefault="00417266" w:rsidP="00464DF0">
            <w:pPr>
              <w:pStyle w:val="R"/>
              <w:rPr>
                <w:szCs w:val="20"/>
                <w:rtl/>
              </w:rPr>
            </w:pPr>
            <w:r w:rsidRPr="00464DF0">
              <w:rPr>
                <w:rFonts w:hint="cs"/>
                <w:szCs w:val="20"/>
                <w:rtl/>
              </w:rPr>
              <w:t>פרישה והתפטרות</w:t>
            </w:r>
          </w:p>
        </w:tc>
        <w:tc>
          <w:tcPr>
            <w:tcW w:w="2410" w:type="dxa"/>
          </w:tcPr>
          <w:p w14:paraId="7037EFDA" w14:textId="77777777" w:rsidR="00417266" w:rsidRPr="00464DF0" w:rsidRDefault="00417266" w:rsidP="00464DF0">
            <w:pPr>
              <w:pStyle w:val="R"/>
              <w:rPr>
                <w:szCs w:val="20"/>
                <w:rtl/>
              </w:rPr>
            </w:pPr>
            <w:r w:rsidRPr="00464DF0">
              <w:rPr>
                <w:rFonts w:hint="cs"/>
                <w:szCs w:val="20"/>
                <w:rtl/>
              </w:rPr>
              <w:t>7</w:t>
            </w:r>
          </w:p>
        </w:tc>
      </w:tr>
      <w:tr w:rsidR="00417266" w:rsidRPr="00F45AFE" w14:paraId="330C55F0" w14:textId="77777777" w:rsidTr="00417266">
        <w:trPr>
          <w:jc w:val="center"/>
        </w:trPr>
        <w:tc>
          <w:tcPr>
            <w:tcW w:w="3406" w:type="dxa"/>
          </w:tcPr>
          <w:p w14:paraId="78CC53BC" w14:textId="77777777" w:rsidR="00417266" w:rsidRPr="00464DF0" w:rsidRDefault="00417266" w:rsidP="00464DF0">
            <w:pPr>
              <w:pStyle w:val="R"/>
              <w:rPr>
                <w:szCs w:val="20"/>
                <w:rtl/>
              </w:rPr>
            </w:pPr>
            <w:r w:rsidRPr="00464DF0">
              <w:rPr>
                <w:rFonts w:hint="cs"/>
                <w:szCs w:val="20"/>
                <w:rtl/>
              </w:rPr>
              <w:t>המתלוננת לא שיתפה פעולה</w:t>
            </w:r>
          </w:p>
        </w:tc>
        <w:tc>
          <w:tcPr>
            <w:tcW w:w="2410" w:type="dxa"/>
          </w:tcPr>
          <w:p w14:paraId="51B54B08" w14:textId="77777777" w:rsidR="00417266" w:rsidRPr="00464DF0" w:rsidRDefault="00417266" w:rsidP="00464DF0">
            <w:pPr>
              <w:pStyle w:val="R"/>
              <w:rPr>
                <w:szCs w:val="20"/>
                <w:rtl/>
              </w:rPr>
            </w:pPr>
            <w:r w:rsidRPr="00464DF0">
              <w:rPr>
                <w:rFonts w:hint="cs"/>
                <w:szCs w:val="20"/>
                <w:rtl/>
              </w:rPr>
              <w:t>6</w:t>
            </w:r>
          </w:p>
        </w:tc>
      </w:tr>
      <w:tr w:rsidR="00417266" w:rsidRPr="00F45AFE" w14:paraId="138F89FC" w14:textId="77777777" w:rsidTr="00417266">
        <w:trPr>
          <w:jc w:val="center"/>
        </w:trPr>
        <w:tc>
          <w:tcPr>
            <w:tcW w:w="3406" w:type="dxa"/>
          </w:tcPr>
          <w:p w14:paraId="7B499E78" w14:textId="77777777" w:rsidR="00417266" w:rsidRPr="00464DF0" w:rsidRDefault="00417266" w:rsidP="00464DF0">
            <w:pPr>
              <w:pStyle w:val="R"/>
              <w:rPr>
                <w:szCs w:val="20"/>
                <w:rtl/>
              </w:rPr>
            </w:pPr>
            <w:r w:rsidRPr="00464DF0">
              <w:rPr>
                <w:rFonts w:hint="cs"/>
                <w:szCs w:val="20"/>
                <w:rtl/>
              </w:rPr>
              <w:t>תלונה אנונימית</w:t>
            </w:r>
          </w:p>
        </w:tc>
        <w:tc>
          <w:tcPr>
            <w:tcW w:w="2410" w:type="dxa"/>
          </w:tcPr>
          <w:p w14:paraId="525149F8" w14:textId="77777777" w:rsidR="00417266" w:rsidRPr="00464DF0" w:rsidRDefault="00417266" w:rsidP="00464DF0">
            <w:pPr>
              <w:pStyle w:val="R"/>
              <w:rPr>
                <w:szCs w:val="20"/>
                <w:rtl/>
              </w:rPr>
            </w:pPr>
            <w:r w:rsidRPr="00464DF0">
              <w:rPr>
                <w:rFonts w:hint="cs"/>
                <w:szCs w:val="20"/>
                <w:rtl/>
              </w:rPr>
              <w:t>5</w:t>
            </w:r>
          </w:p>
        </w:tc>
      </w:tr>
      <w:tr w:rsidR="00417266" w:rsidRPr="00F45AFE" w14:paraId="1A1F031C" w14:textId="77777777" w:rsidTr="00417266">
        <w:trPr>
          <w:jc w:val="center"/>
        </w:trPr>
        <w:tc>
          <w:tcPr>
            <w:tcW w:w="3406" w:type="dxa"/>
          </w:tcPr>
          <w:p w14:paraId="04AD48B0" w14:textId="77777777" w:rsidR="00417266" w:rsidRPr="00464DF0" w:rsidRDefault="00417266" w:rsidP="00464DF0">
            <w:pPr>
              <w:pStyle w:val="R"/>
              <w:rPr>
                <w:szCs w:val="20"/>
                <w:rtl/>
              </w:rPr>
            </w:pPr>
            <w:r w:rsidRPr="00464DF0">
              <w:rPr>
                <w:rFonts w:hint="cs"/>
                <w:szCs w:val="20"/>
                <w:rtl/>
              </w:rPr>
              <w:t>התיישנות</w:t>
            </w:r>
          </w:p>
        </w:tc>
        <w:tc>
          <w:tcPr>
            <w:tcW w:w="2410" w:type="dxa"/>
          </w:tcPr>
          <w:p w14:paraId="06CA4E00" w14:textId="77777777" w:rsidR="00417266" w:rsidRPr="00464DF0" w:rsidRDefault="00417266" w:rsidP="00464DF0">
            <w:pPr>
              <w:pStyle w:val="R"/>
              <w:rPr>
                <w:szCs w:val="20"/>
                <w:rtl/>
              </w:rPr>
            </w:pPr>
            <w:r w:rsidRPr="00464DF0">
              <w:rPr>
                <w:rFonts w:hint="cs"/>
                <w:szCs w:val="20"/>
                <w:rtl/>
              </w:rPr>
              <w:t>3</w:t>
            </w:r>
          </w:p>
        </w:tc>
      </w:tr>
      <w:tr w:rsidR="00417266" w:rsidRPr="00F45AFE" w14:paraId="076719C0" w14:textId="77777777" w:rsidTr="00417266">
        <w:trPr>
          <w:jc w:val="center"/>
        </w:trPr>
        <w:tc>
          <w:tcPr>
            <w:tcW w:w="3406" w:type="dxa"/>
          </w:tcPr>
          <w:p w14:paraId="32C709FC" w14:textId="77777777" w:rsidR="00417266" w:rsidRPr="00464DF0" w:rsidRDefault="00417266" w:rsidP="00464DF0">
            <w:pPr>
              <w:pStyle w:val="R"/>
              <w:rPr>
                <w:szCs w:val="20"/>
                <w:rtl/>
              </w:rPr>
            </w:pPr>
            <w:r w:rsidRPr="00464DF0">
              <w:rPr>
                <w:rFonts w:hint="cs"/>
                <w:szCs w:val="20"/>
                <w:rtl/>
              </w:rPr>
              <w:t>נפתח בטעות</w:t>
            </w:r>
          </w:p>
        </w:tc>
        <w:tc>
          <w:tcPr>
            <w:tcW w:w="2410" w:type="dxa"/>
          </w:tcPr>
          <w:p w14:paraId="18D6E6F6" w14:textId="77777777" w:rsidR="00417266" w:rsidRPr="00464DF0" w:rsidRDefault="00417266" w:rsidP="00464DF0">
            <w:pPr>
              <w:pStyle w:val="R"/>
              <w:rPr>
                <w:szCs w:val="20"/>
                <w:rtl/>
              </w:rPr>
            </w:pPr>
            <w:r w:rsidRPr="00464DF0">
              <w:rPr>
                <w:rFonts w:hint="cs"/>
                <w:szCs w:val="20"/>
                <w:rtl/>
              </w:rPr>
              <w:t>2</w:t>
            </w:r>
          </w:p>
        </w:tc>
      </w:tr>
      <w:tr w:rsidR="00417266" w:rsidRPr="00F45AFE" w14:paraId="370C4808" w14:textId="77777777" w:rsidTr="00417266">
        <w:trPr>
          <w:jc w:val="center"/>
        </w:trPr>
        <w:tc>
          <w:tcPr>
            <w:tcW w:w="3406" w:type="dxa"/>
          </w:tcPr>
          <w:p w14:paraId="19539EF0" w14:textId="77777777" w:rsidR="00417266" w:rsidRPr="00464DF0" w:rsidRDefault="00417266" w:rsidP="00464DF0">
            <w:pPr>
              <w:pStyle w:val="R"/>
              <w:rPr>
                <w:szCs w:val="20"/>
                <w:rtl/>
              </w:rPr>
            </w:pPr>
            <w:r w:rsidRPr="00464DF0">
              <w:rPr>
                <w:rFonts w:hint="cs"/>
                <w:szCs w:val="20"/>
                <w:rtl/>
              </w:rPr>
              <w:t>אינו עובד מדינה</w:t>
            </w:r>
          </w:p>
        </w:tc>
        <w:tc>
          <w:tcPr>
            <w:tcW w:w="2410" w:type="dxa"/>
          </w:tcPr>
          <w:p w14:paraId="38051BE7" w14:textId="77777777" w:rsidR="00417266" w:rsidRPr="00464DF0" w:rsidRDefault="00417266" w:rsidP="00464DF0">
            <w:pPr>
              <w:pStyle w:val="R"/>
              <w:rPr>
                <w:szCs w:val="20"/>
                <w:rtl/>
              </w:rPr>
            </w:pPr>
            <w:r w:rsidRPr="00464DF0">
              <w:rPr>
                <w:rFonts w:hint="cs"/>
                <w:szCs w:val="20"/>
                <w:rtl/>
              </w:rPr>
              <w:t>3</w:t>
            </w:r>
          </w:p>
        </w:tc>
      </w:tr>
      <w:tr w:rsidR="00417266" w:rsidRPr="00F45AFE" w14:paraId="22A980FD" w14:textId="77777777" w:rsidTr="00417266">
        <w:trPr>
          <w:jc w:val="center"/>
        </w:trPr>
        <w:tc>
          <w:tcPr>
            <w:tcW w:w="3406" w:type="dxa"/>
          </w:tcPr>
          <w:p w14:paraId="6D342FF3" w14:textId="77777777" w:rsidR="00417266" w:rsidRPr="00464DF0" w:rsidRDefault="00417266" w:rsidP="00464DF0">
            <w:pPr>
              <w:pStyle w:val="R"/>
              <w:rPr>
                <w:szCs w:val="20"/>
                <w:rtl/>
              </w:rPr>
            </w:pPr>
            <w:r w:rsidRPr="00464DF0">
              <w:rPr>
                <w:rFonts w:hint="cs"/>
                <w:szCs w:val="20"/>
                <w:rtl/>
              </w:rPr>
              <w:lastRenderedPageBreak/>
              <w:t>חוסר סמכות</w:t>
            </w:r>
          </w:p>
        </w:tc>
        <w:tc>
          <w:tcPr>
            <w:tcW w:w="2410" w:type="dxa"/>
          </w:tcPr>
          <w:p w14:paraId="06205D57" w14:textId="77777777" w:rsidR="00417266" w:rsidRPr="00464DF0" w:rsidRDefault="00417266" w:rsidP="00464DF0">
            <w:pPr>
              <w:pStyle w:val="R"/>
              <w:rPr>
                <w:szCs w:val="20"/>
                <w:rtl/>
              </w:rPr>
            </w:pPr>
            <w:r w:rsidRPr="00464DF0">
              <w:rPr>
                <w:rFonts w:hint="cs"/>
                <w:szCs w:val="20"/>
                <w:rtl/>
              </w:rPr>
              <w:t>1</w:t>
            </w:r>
          </w:p>
        </w:tc>
      </w:tr>
      <w:tr w:rsidR="00417266" w:rsidRPr="00F45AFE" w14:paraId="1346F43A" w14:textId="77777777" w:rsidTr="00417266">
        <w:trPr>
          <w:jc w:val="center"/>
        </w:trPr>
        <w:tc>
          <w:tcPr>
            <w:tcW w:w="3406" w:type="dxa"/>
          </w:tcPr>
          <w:p w14:paraId="5BC62E18" w14:textId="77777777" w:rsidR="00417266" w:rsidRPr="00464DF0" w:rsidRDefault="00417266" w:rsidP="00464DF0">
            <w:pPr>
              <w:pStyle w:val="R"/>
              <w:rPr>
                <w:szCs w:val="20"/>
                <w:rtl/>
              </w:rPr>
            </w:pPr>
            <w:r w:rsidRPr="00464DF0">
              <w:rPr>
                <w:rFonts w:hint="cs"/>
                <w:szCs w:val="20"/>
                <w:rtl/>
              </w:rPr>
              <w:t>נסגר ללא פירוט עילת הסגירה</w:t>
            </w:r>
          </w:p>
        </w:tc>
        <w:tc>
          <w:tcPr>
            <w:tcW w:w="2410" w:type="dxa"/>
          </w:tcPr>
          <w:p w14:paraId="5CE333CC" w14:textId="77777777" w:rsidR="00417266" w:rsidRPr="00464DF0" w:rsidRDefault="00417266" w:rsidP="00464DF0">
            <w:pPr>
              <w:pStyle w:val="R"/>
              <w:rPr>
                <w:szCs w:val="20"/>
                <w:rtl/>
              </w:rPr>
            </w:pPr>
            <w:r w:rsidRPr="00464DF0">
              <w:rPr>
                <w:rFonts w:hint="cs"/>
                <w:szCs w:val="20"/>
                <w:rtl/>
              </w:rPr>
              <w:t>3</w:t>
            </w:r>
          </w:p>
        </w:tc>
      </w:tr>
      <w:tr w:rsidR="00417266" w:rsidRPr="00F45AFE" w14:paraId="2EE0BCCF" w14:textId="77777777" w:rsidTr="00417266">
        <w:trPr>
          <w:jc w:val="center"/>
        </w:trPr>
        <w:tc>
          <w:tcPr>
            <w:tcW w:w="5816" w:type="dxa"/>
            <w:gridSpan w:val="2"/>
          </w:tcPr>
          <w:p w14:paraId="241403C1" w14:textId="77777777" w:rsidR="00417266" w:rsidRPr="00464DF0" w:rsidRDefault="00417266" w:rsidP="00464DF0">
            <w:pPr>
              <w:pStyle w:val="B"/>
              <w:rPr>
                <w:szCs w:val="20"/>
                <w:rtl/>
              </w:rPr>
            </w:pPr>
            <w:r w:rsidRPr="00464DF0">
              <w:rPr>
                <w:rFonts w:hint="cs"/>
                <w:szCs w:val="20"/>
                <w:rtl/>
              </w:rPr>
              <w:t>התיק הועבר ל</w:t>
            </w:r>
            <w:r w:rsidRPr="00464DF0">
              <w:rPr>
                <w:rFonts w:hint="eastAsia"/>
                <w:szCs w:val="20"/>
                <w:rtl/>
              </w:rPr>
              <w:t>בית</w:t>
            </w:r>
            <w:r w:rsidRPr="00464DF0">
              <w:rPr>
                <w:szCs w:val="20"/>
                <w:rtl/>
              </w:rPr>
              <w:t xml:space="preserve"> </w:t>
            </w:r>
            <w:r w:rsidRPr="00464DF0">
              <w:rPr>
                <w:rFonts w:hint="eastAsia"/>
                <w:szCs w:val="20"/>
                <w:rtl/>
              </w:rPr>
              <w:t>הדין</w:t>
            </w:r>
            <w:r w:rsidRPr="00464DF0">
              <w:rPr>
                <w:szCs w:val="20"/>
                <w:rtl/>
              </w:rPr>
              <w:t xml:space="preserve"> </w:t>
            </w:r>
            <w:r w:rsidRPr="00464DF0">
              <w:rPr>
                <w:rFonts w:hint="eastAsia"/>
                <w:szCs w:val="20"/>
                <w:rtl/>
              </w:rPr>
              <w:t>למשמעת</w:t>
            </w:r>
            <w:r w:rsidRPr="00464DF0">
              <w:rPr>
                <w:rFonts w:hint="cs"/>
                <w:szCs w:val="20"/>
                <w:rtl/>
              </w:rPr>
              <w:t xml:space="preserve"> - 12 תיקים</w:t>
            </w:r>
            <w:r w:rsidRPr="00464DF0">
              <w:rPr>
                <w:rStyle w:val="FootnoteReference"/>
                <w:szCs w:val="20"/>
                <w:rtl/>
              </w:rPr>
              <w:footnoteReference w:id="8"/>
            </w:r>
          </w:p>
        </w:tc>
      </w:tr>
      <w:tr w:rsidR="00417266" w:rsidRPr="00F45AFE" w14:paraId="7369C560" w14:textId="77777777" w:rsidTr="00417266">
        <w:trPr>
          <w:jc w:val="center"/>
        </w:trPr>
        <w:tc>
          <w:tcPr>
            <w:tcW w:w="3406" w:type="dxa"/>
          </w:tcPr>
          <w:p w14:paraId="7EB825CA" w14:textId="77777777" w:rsidR="00417266" w:rsidRPr="00464DF0" w:rsidRDefault="00417266" w:rsidP="00464DF0">
            <w:pPr>
              <w:pStyle w:val="R"/>
              <w:rPr>
                <w:szCs w:val="20"/>
                <w:rtl/>
              </w:rPr>
            </w:pPr>
            <w:r w:rsidRPr="00464DF0">
              <w:rPr>
                <w:rFonts w:hint="cs"/>
                <w:szCs w:val="20"/>
                <w:rtl/>
              </w:rPr>
              <w:t>פיטורים</w:t>
            </w:r>
          </w:p>
        </w:tc>
        <w:tc>
          <w:tcPr>
            <w:tcW w:w="2410" w:type="dxa"/>
          </w:tcPr>
          <w:p w14:paraId="798EB95B" w14:textId="77777777" w:rsidR="00417266" w:rsidRPr="00464DF0" w:rsidRDefault="00417266" w:rsidP="00464DF0">
            <w:pPr>
              <w:pStyle w:val="R"/>
              <w:rPr>
                <w:szCs w:val="20"/>
                <w:rtl/>
              </w:rPr>
            </w:pPr>
            <w:r w:rsidRPr="00464DF0">
              <w:rPr>
                <w:rFonts w:hint="cs"/>
                <w:szCs w:val="20"/>
                <w:rtl/>
              </w:rPr>
              <w:t>5</w:t>
            </w:r>
          </w:p>
        </w:tc>
      </w:tr>
      <w:tr w:rsidR="00417266" w:rsidRPr="00F45AFE" w14:paraId="5A962392" w14:textId="77777777" w:rsidTr="00417266">
        <w:trPr>
          <w:jc w:val="center"/>
        </w:trPr>
        <w:tc>
          <w:tcPr>
            <w:tcW w:w="3406" w:type="dxa"/>
          </w:tcPr>
          <w:p w14:paraId="3BC5F4AD" w14:textId="77777777" w:rsidR="00417266" w:rsidRPr="00464DF0" w:rsidRDefault="00417266" w:rsidP="00464DF0">
            <w:pPr>
              <w:pStyle w:val="R"/>
              <w:rPr>
                <w:szCs w:val="20"/>
                <w:rtl/>
              </w:rPr>
            </w:pPr>
            <w:r w:rsidRPr="00464DF0">
              <w:rPr>
                <w:rFonts w:hint="cs"/>
                <w:szCs w:val="20"/>
                <w:rtl/>
              </w:rPr>
              <w:t>הפקעת משכורת</w:t>
            </w:r>
          </w:p>
        </w:tc>
        <w:tc>
          <w:tcPr>
            <w:tcW w:w="2410" w:type="dxa"/>
          </w:tcPr>
          <w:p w14:paraId="344873FB" w14:textId="77777777" w:rsidR="00417266" w:rsidRPr="00464DF0" w:rsidRDefault="00417266" w:rsidP="00464DF0">
            <w:pPr>
              <w:pStyle w:val="R"/>
              <w:rPr>
                <w:szCs w:val="20"/>
                <w:rtl/>
              </w:rPr>
            </w:pPr>
            <w:r w:rsidRPr="00464DF0">
              <w:rPr>
                <w:rFonts w:hint="cs"/>
                <w:szCs w:val="20"/>
                <w:rtl/>
              </w:rPr>
              <w:t>4</w:t>
            </w:r>
          </w:p>
        </w:tc>
      </w:tr>
      <w:tr w:rsidR="00417266" w:rsidRPr="00F45AFE" w14:paraId="56488A24" w14:textId="77777777" w:rsidTr="00417266">
        <w:trPr>
          <w:jc w:val="center"/>
        </w:trPr>
        <w:tc>
          <w:tcPr>
            <w:tcW w:w="3406" w:type="dxa"/>
          </w:tcPr>
          <w:p w14:paraId="4CDF8B81" w14:textId="77777777" w:rsidR="00417266" w:rsidRPr="00464DF0" w:rsidRDefault="00417266" w:rsidP="00464DF0">
            <w:pPr>
              <w:pStyle w:val="R"/>
              <w:rPr>
                <w:szCs w:val="20"/>
                <w:rtl/>
              </w:rPr>
            </w:pPr>
            <w:r w:rsidRPr="00464DF0">
              <w:rPr>
                <w:rFonts w:hint="cs"/>
                <w:szCs w:val="20"/>
                <w:rtl/>
              </w:rPr>
              <w:t>פסילה מתפקיד</w:t>
            </w:r>
          </w:p>
        </w:tc>
        <w:tc>
          <w:tcPr>
            <w:tcW w:w="2410" w:type="dxa"/>
          </w:tcPr>
          <w:p w14:paraId="36F7AA2E" w14:textId="77777777" w:rsidR="00417266" w:rsidRPr="00464DF0" w:rsidRDefault="00417266" w:rsidP="00464DF0">
            <w:pPr>
              <w:pStyle w:val="R"/>
              <w:rPr>
                <w:szCs w:val="20"/>
                <w:rtl/>
              </w:rPr>
            </w:pPr>
            <w:r w:rsidRPr="00464DF0">
              <w:rPr>
                <w:rFonts w:hint="cs"/>
                <w:szCs w:val="20"/>
                <w:rtl/>
              </w:rPr>
              <w:t>1</w:t>
            </w:r>
          </w:p>
        </w:tc>
      </w:tr>
      <w:tr w:rsidR="00417266" w:rsidRPr="00F45AFE" w14:paraId="6065004E" w14:textId="77777777" w:rsidTr="00417266">
        <w:trPr>
          <w:jc w:val="center"/>
        </w:trPr>
        <w:tc>
          <w:tcPr>
            <w:tcW w:w="3406" w:type="dxa"/>
          </w:tcPr>
          <w:p w14:paraId="37E86257" w14:textId="77777777" w:rsidR="00417266" w:rsidRPr="00464DF0" w:rsidRDefault="00417266" w:rsidP="00464DF0">
            <w:pPr>
              <w:pStyle w:val="R"/>
              <w:rPr>
                <w:szCs w:val="20"/>
                <w:rtl/>
              </w:rPr>
            </w:pPr>
            <w:r w:rsidRPr="00464DF0">
              <w:rPr>
                <w:rFonts w:hint="cs"/>
                <w:szCs w:val="20"/>
                <w:rtl/>
              </w:rPr>
              <w:t>גזר הדין לא פורט</w:t>
            </w:r>
          </w:p>
        </w:tc>
        <w:tc>
          <w:tcPr>
            <w:tcW w:w="2410" w:type="dxa"/>
          </w:tcPr>
          <w:p w14:paraId="69118695" w14:textId="77777777" w:rsidR="00417266" w:rsidRPr="00464DF0" w:rsidRDefault="00417266" w:rsidP="00464DF0">
            <w:pPr>
              <w:pStyle w:val="R"/>
              <w:rPr>
                <w:szCs w:val="20"/>
                <w:rtl/>
              </w:rPr>
            </w:pPr>
            <w:r w:rsidRPr="00464DF0">
              <w:rPr>
                <w:rFonts w:hint="cs"/>
                <w:szCs w:val="20"/>
                <w:rtl/>
              </w:rPr>
              <w:t>2</w:t>
            </w:r>
          </w:p>
        </w:tc>
      </w:tr>
      <w:tr w:rsidR="00417266" w:rsidRPr="00F45AFE" w14:paraId="5CD9F790" w14:textId="77777777" w:rsidTr="00417266">
        <w:trPr>
          <w:jc w:val="center"/>
        </w:trPr>
        <w:tc>
          <w:tcPr>
            <w:tcW w:w="5816" w:type="dxa"/>
            <w:gridSpan w:val="2"/>
          </w:tcPr>
          <w:p w14:paraId="1DC9AC0C" w14:textId="77777777" w:rsidR="00417266" w:rsidRPr="00464DF0" w:rsidRDefault="00417266" w:rsidP="00464DF0">
            <w:pPr>
              <w:pStyle w:val="B"/>
              <w:rPr>
                <w:szCs w:val="20"/>
                <w:rtl/>
              </w:rPr>
            </w:pPr>
            <w:r w:rsidRPr="00464DF0">
              <w:rPr>
                <w:rFonts w:hint="cs"/>
                <w:szCs w:val="20"/>
                <w:rtl/>
              </w:rPr>
              <w:t>ננקט הליך משמעתי פנימי במשרד הממשלתי - 102 תיקים</w:t>
            </w:r>
          </w:p>
        </w:tc>
      </w:tr>
      <w:tr w:rsidR="00417266" w:rsidRPr="00F45AFE" w14:paraId="50927B39" w14:textId="77777777" w:rsidTr="00417266">
        <w:trPr>
          <w:jc w:val="center"/>
        </w:trPr>
        <w:tc>
          <w:tcPr>
            <w:tcW w:w="3406" w:type="dxa"/>
          </w:tcPr>
          <w:p w14:paraId="30FB39C9" w14:textId="77777777" w:rsidR="00417266" w:rsidRPr="00464DF0" w:rsidRDefault="00417266" w:rsidP="00464DF0">
            <w:pPr>
              <w:pStyle w:val="R"/>
              <w:rPr>
                <w:szCs w:val="20"/>
                <w:rtl/>
              </w:rPr>
            </w:pPr>
            <w:r w:rsidRPr="00464DF0">
              <w:rPr>
                <w:rFonts w:hint="cs"/>
                <w:szCs w:val="20"/>
                <w:rtl/>
              </w:rPr>
              <w:t>פיטורים מחמת אי-התאמה</w:t>
            </w:r>
          </w:p>
        </w:tc>
        <w:tc>
          <w:tcPr>
            <w:tcW w:w="2410" w:type="dxa"/>
          </w:tcPr>
          <w:p w14:paraId="30E4B221" w14:textId="77777777" w:rsidR="00417266" w:rsidRPr="00464DF0" w:rsidRDefault="00417266" w:rsidP="00464DF0">
            <w:pPr>
              <w:pStyle w:val="R"/>
              <w:rPr>
                <w:szCs w:val="20"/>
                <w:rtl/>
              </w:rPr>
            </w:pPr>
            <w:r w:rsidRPr="00464DF0">
              <w:rPr>
                <w:rFonts w:hint="cs"/>
                <w:szCs w:val="20"/>
                <w:rtl/>
              </w:rPr>
              <w:t>5</w:t>
            </w:r>
          </w:p>
        </w:tc>
      </w:tr>
      <w:tr w:rsidR="00417266" w:rsidRPr="00F45AFE" w14:paraId="5049B757" w14:textId="77777777" w:rsidTr="00417266">
        <w:trPr>
          <w:jc w:val="center"/>
        </w:trPr>
        <w:tc>
          <w:tcPr>
            <w:tcW w:w="3406" w:type="dxa"/>
          </w:tcPr>
          <w:p w14:paraId="1E8E0E61" w14:textId="77777777" w:rsidR="00417266" w:rsidRPr="00464DF0" w:rsidRDefault="00417266" w:rsidP="00464DF0">
            <w:pPr>
              <w:pStyle w:val="R"/>
              <w:rPr>
                <w:szCs w:val="20"/>
                <w:rtl/>
              </w:rPr>
            </w:pPr>
            <w:r w:rsidRPr="00464DF0">
              <w:rPr>
                <w:rFonts w:hint="cs"/>
                <w:szCs w:val="20"/>
                <w:rtl/>
              </w:rPr>
              <w:t>הערה</w:t>
            </w:r>
          </w:p>
        </w:tc>
        <w:tc>
          <w:tcPr>
            <w:tcW w:w="2410" w:type="dxa"/>
          </w:tcPr>
          <w:p w14:paraId="4ACA5C74" w14:textId="77777777" w:rsidR="00417266" w:rsidRPr="00464DF0" w:rsidRDefault="00417266" w:rsidP="00464DF0">
            <w:pPr>
              <w:pStyle w:val="R"/>
              <w:rPr>
                <w:szCs w:val="20"/>
                <w:rtl/>
              </w:rPr>
            </w:pPr>
            <w:r w:rsidRPr="00464DF0">
              <w:rPr>
                <w:rFonts w:hint="cs"/>
                <w:szCs w:val="20"/>
                <w:rtl/>
              </w:rPr>
              <w:t>9</w:t>
            </w:r>
          </w:p>
        </w:tc>
      </w:tr>
      <w:tr w:rsidR="00417266" w:rsidRPr="00F45AFE" w14:paraId="4ED6D512" w14:textId="77777777" w:rsidTr="00417266">
        <w:trPr>
          <w:jc w:val="center"/>
        </w:trPr>
        <w:tc>
          <w:tcPr>
            <w:tcW w:w="3406" w:type="dxa"/>
          </w:tcPr>
          <w:p w14:paraId="370B5F58" w14:textId="77777777" w:rsidR="00417266" w:rsidRPr="00464DF0" w:rsidRDefault="00417266" w:rsidP="00464DF0">
            <w:pPr>
              <w:pStyle w:val="R"/>
              <w:rPr>
                <w:szCs w:val="20"/>
                <w:rtl/>
              </w:rPr>
            </w:pPr>
            <w:r w:rsidRPr="00464DF0">
              <w:rPr>
                <w:rFonts w:hint="cs"/>
                <w:szCs w:val="20"/>
                <w:rtl/>
              </w:rPr>
              <w:t>התראה</w:t>
            </w:r>
          </w:p>
        </w:tc>
        <w:tc>
          <w:tcPr>
            <w:tcW w:w="2410" w:type="dxa"/>
          </w:tcPr>
          <w:p w14:paraId="4A558B89" w14:textId="77777777" w:rsidR="00417266" w:rsidRPr="00464DF0" w:rsidRDefault="00417266" w:rsidP="00464DF0">
            <w:pPr>
              <w:pStyle w:val="R"/>
              <w:rPr>
                <w:szCs w:val="20"/>
                <w:rtl/>
              </w:rPr>
            </w:pPr>
            <w:r w:rsidRPr="00464DF0">
              <w:rPr>
                <w:rFonts w:hint="cs"/>
                <w:szCs w:val="20"/>
                <w:rtl/>
              </w:rPr>
              <w:t>10</w:t>
            </w:r>
          </w:p>
        </w:tc>
      </w:tr>
      <w:tr w:rsidR="00417266" w:rsidRPr="00F45AFE" w14:paraId="34853F6C" w14:textId="77777777" w:rsidTr="00417266">
        <w:trPr>
          <w:jc w:val="center"/>
        </w:trPr>
        <w:tc>
          <w:tcPr>
            <w:tcW w:w="3406" w:type="dxa"/>
          </w:tcPr>
          <w:p w14:paraId="22B8E643" w14:textId="77777777" w:rsidR="00417266" w:rsidRPr="00464DF0" w:rsidRDefault="00417266" w:rsidP="00464DF0">
            <w:pPr>
              <w:pStyle w:val="R"/>
              <w:rPr>
                <w:szCs w:val="20"/>
                <w:rtl/>
              </w:rPr>
            </w:pPr>
            <w:r w:rsidRPr="00464DF0">
              <w:rPr>
                <w:rFonts w:hint="cs"/>
                <w:szCs w:val="20"/>
                <w:rtl/>
              </w:rPr>
              <w:t>נזיפה</w:t>
            </w:r>
          </w:p>
        </w:tc>
        <w:tc>
          <w:tcPr>
            <w:tcW w:w="2410" w:type="dxa"/>
          </w:tcPr>
          <w:p w14:paraId="2A666033" w14:textId="77777777" w:rsidR="00417266" w:rsidRPr="00464DF0" w:rsidRDefault="00417266" w:rsidP="00464DF0">
            <w:pPr>
              <w:pStyle w:val="R"/>
              <w:rPr>
                <w:szCs w:val="20"/>
                <w:rtl/>
              </w:rPr>
            </w:pPr>
            <w:r w:rsidRPr="00464DF0">
              <w:rPr>
                <w:rFonts w:hint="cs"/>
                <w:szCs w:val="20"/>
                <w:rtl/>
              </w:rPr>
              <w:t>15</w:t>
            </w:r>
          </w:p>
        </w:tc>
      </w:tr>
      <w:tr w:rsidR="00417266" w:rsidRPr="00F45AFE" w14:paraId="6BDE1FB1" w14:textId="77777777" w:rsidTr="00417266">
        <w:trPr>
          <w:jc w:val="center"/>
        </w:trPr>
        <w:tc>
          <w:tcPr>
            <w:tcW w:w="3406" w:type="dxa"/>
          </w:tcPr>
          <w:p w14:paraId="76DEE33B" w14:textId="77777777" w:rsidR="00417266" w:rsidRPr="00464DF0" w:rsidRDefault="00417266" w:rsidP="00464DF0">
            <w:pPr>
              <w:pStyle w:val="R"/>
              <w:rPr>
                <w:szCs w:val="20"/>
                <w:rtl/>
              </w:rPr>
            </w:pPr>
            <w:r w:rsidRPr="00464DF0">
              <w:rPr>
                <w:rFonts w:hint="cs"/>
                <w:szCs w:val="20"/>
                <w:rtl/>
              </w:rPr>
              <w:t>שיחת הבהרה</w:t>
            </w:r>
          </w:p>
        </w:tc>
        <w:tc>
          <w:tcPr>
            <w:tcW w:w="2410" w:type="dxa"/>
          </w:tcPr>
          <w:p w14:paraId="5FC035D5" w14:textId="77777777" w:rsidR="00417266" w:rsidRPr="00464DF0" w:rsidRDefault="00417266" w:rsidP="00464DF0">
            <w:pPr>
              <w:pStyle w:val="R"/>
              <w:rPr>
                <w:szCs w:val="20"/>
                <w:rtl/>
              </w:rPr>
            </w:pPr>
            <w:r w:rsidRPr="00464DF0">
              <w:rPr>
                <w:rFonts w:hint="cs"/>
                <w:szCs w:val="20"/>
                <w:rtl/>
              </w:rPr>
              <w:t>8</w:t>
            </w:r>
          </w:p>
        </w:tc>
      </w:tr>
      <w:tr w:rsidR="00417266" w:rsidRPr="00F45AFE" w14:paraId="07E75F61" w14:textId="77777777" w:rsidTr="00417266">
        <w:trPr>
          <w:jc w:val="center"/>
        </w:trPr>
        <w:tc>
          <w:tcPr>
            <w:tcW w:w="3406" w:type="dxa"/>
          </w:tcPr>
          <w:p w14:paraId="4372B80C" w14:textId="77777777" w:rsidR="00417266" w:rsidRPr="00464DF0" w:rsidRDefault="00417266" w:rsidP="00464DF0">
            <w:pPr>
              <w:pStyle w:val="R"/>
              <w:rPr>
                <w:szCs w:val="20"/>
                <w:rtl/>
              </w:rPr>
            </w:pPr>
            <w:r w:rsidRPr="00464DF0">
              <w:rPr>
                <w:rFonts w:hint="cs"/>
                <w:szCs w:val="20"/>
                <w:rtl/>
              </w:rPr>
              <w:t>טופל במשרד (אין פרטים נוספים)</w:t>
            </w:r>
          </w:p>
        </w:tc>
        <w:tc>
          <w:tcPr>
            <w:tcW w:w="2410" w:type="dxa"/>
          </w:tcPr>
          <w:p w14:paraId="230B69D2" w14:textId="77777777" w:rsidR="00417266" w:rsidRPr="00464DF0" w:rsidRDefault="00417266" w:rsidP="00464DF0">
            <w:pPr>
              <w:pStyle w:val="R"/>
              <w:rPr>
                <w:szCs w:val="20"/>
                <w:rtl/>
              </w:rPr>
            </w:pPr>
            <w:r w:rsidRPr="00464DF0">
              <w:rPr>
                <w:rFonts w:hint="cs"/>
                <w:szCs w:val="20"/>
                <w:rtl/>
              </w:rPr>
              <w:t>47</w:t>
            </w:r>
          </w:p>
        </w:tc>
      </w:tr>
      <w:tr w:rsidR="00417266" w:rsidRPr="00F45AFE" w14:paraId="797806F7" w14:textId="77777777" w:rsidTr="00417266">
        <w:trPr>
          <w:jc w:val="center"/>
        </w:trPr>
        <w:tc>
          <w:tcPr>
            <w:tcW w:w="3406" w:type="dxa"/>
          </w:tcPr>
          <w:p w14:paraId="5242C7A8" w14:textId="77777777" w:rsidR="00417266" w:rsidRPr="00464DF0" w:rsidRDefault="00417266" w:rsidP="00464DF0">
            <w:pPr>
              <w:pStyle w:val="R"/>
              <w:rPr>
                <w:szCs w:val="20"/>
                <w:rtl/>
              </w:rPr>
            </w:pPr>
            <w:r w:rsidRPr="00464DF0">
              <w:rPr>
                <w:rFonts w:hint="cs"/>
                <w:szCs w:val="20"/>
                <w:rtl/>
              </w:rPr>
              <w:t>המשרד החליט שלא לנזוף</w:t>
            </w:r>
          </w:p>
        </w:tc>
        <w:tc>
          <w:tcPr>
            <w:tcW w:w="2410" w:type="dxa"/>
          </w:tcPr>
          <w:p w14:paraId="66F25371" w14:textId="77777777" w:rsidR="00417266" w:rsidRPr="00464DF0" w:rsidRDefault="00417266" w:rsidP="00464DF0">
            <w:pPr>
              <w:pStyle w:val="R"/>
              <w:rPr>
                <w:szCs w:val="20"/>
                <w:rtl/>
              </w:rPr>
            </w:pPr>
            <w:r w:rsidRPr="00464DF0">
              <w:rPr>
                <w:rFonts w:hint="cs"/>
                <w:szCs w:val="20"/>
                <w:rtl/>
              </w:rPr>
              <w:t>8</w:t>
            </w:r>
          </w:p>
        </w:tc>
      </w:tr>
    </w:tbl>
    <w:p w14:paraId="0CB027AC" w14:textId="77777777" w:rsidR="00417266" w:rsidRPr="00526012" w:rsidRDefault="00417266" w:rsidP="00F6754F">
      <w:pPr>
        <w:pStyle w:val="aa"/>
        <w:rPr>
          <w:rtl/>
        </w:rPr>
      </w:pPr>
      <w:r w:rsidRPr="00F45AFE">
        <w:rPr>
          <w:rFonts w:hint="cs"/>
          <w:sz w:val="22"/>
          <w:szCs w:val="22"/>
          <w:rtl/>
        </w:rPr>
        <w:t xml:space="preserve"> </w:t>
      </w:r>
      <w:r w:rsidRPr="00526012">
        <w:rPr>
          <w:rFonts w:hint="eastAsia"/>
          <w:rtl/>
        </w:rPr>
        <w:t>על</w:t>
      </w:r>
      <w:r w:rsidRPr="00526012">
        <w:rPr>
          <w:rtl/>
        </w:rPr>
        <w:t xml:space="preserve"> פי </w:t>
      </w:r>
      <w:r w:rsidRPr="00526012">
        <w:rPr>
          <w:rFonts w:hint="eastAsia"/>
          <w:rtl/>
        </w:rPr>
        <w:t>נתוני</w:t>
      </w:r>
      <w:r w:rsidRPr="00526012">
        <w:rPr>
          <w:rtl/>
        </w:rPr>
        <w:t xml:space="preserve"> </w:t>
      </w:r>
      <w:r w:rsidRPr="00526012">
        <w:rPr>
          <w:rFonts w:hint="eastAsia"/>
          <w:rtl/>
        </w:rPr>
        <w:t>נש</w:t>
      </w:r>
      <w:r w:rsidRPr="00526012">
        <w:rPr>
          <w:rtl/>
        </w:rPr>
        <w:t xml:space="preserve">"ם, </w:t>
      </w:r>
      <w:r w:rsidRPr="00526012">
        <w:rPr>
          <w:rFonts w:hint="eastAsia"/>
          <w:rtl/>
        </w:rPr>
        <w:t>בעיבוד</w:t>
      </w:r>
      <w:r w:rsidRPr="00526012">
        <w:rPr>
          <w:rtl/>
        </w:rPr>
        <w:t xml:space="preserve"> </w:t>
      </w:r>
      <w:r w:rsidRPr="00526012">
        <w:rPr>
          <w:rFonts w:hint="eastAsia"/>
          <w:rtl/>
        </w:rPr>
        <w:t>משרד</w:t>
      </w:r>
      <w:r w:rsidRPr="00526012">
        <w:rPr>
          <w:rtl/>
        </w:rPr>
        <w:t xml:space="preserve"> </w:t>
      </w:r>
      <w:r w:rsidRPr="00526012">
        <w:rPr>
          <w:rFonts w:hint="eastAsia"/>
          <w:rtl/>
        </w:rPr>
        <w:t>מבקר</w:t>
      </w:r>
      <w:r w:rsidRPr="00526012">
        <w:rPr>
          <w:rtl/>
        </w:rPr>
        <w:t xml:space="preserve"> </w:t>
      </w:r>
      <w:r w:rsidRPr="00526012">
        <w:rPr>
          <w:rFonts w:hint="eastAsia"/>
          <w:rtl/>
        </w:rPr>
        <w:t>המדינה</w:t>
      </w:r>
      <w:r w:rsidRPr="00526012">
        <w:rPr>
          <w:rtl/>
        </w:rPr>
        <w:t>.</w:t>
      </w:r>
    </w:p>
    <w:p w14:paraId="5CEEA15D" w14:textId="4661A7D0" w:rsidR="00417266" w:rsidRDefault="00417266" w:rsidP="00417266">
      <w:pPr>
        <w:spacing w:line="269" w:lineRule="auto"/>
        <w:rPr>
          <w:rtl/>
        </w:rPr>
      </w:pPr>
    </w:p>
    <w:p w14:paraId="49B1493F" w14:textId="58C0CA37" w:rsidR="00417266" w:rsidRPr="00DF55D6" w:rsidRDefault="00417266" w:rsidP="00DF55D6">
      <w:pPr>
        <w:pStyle w:val="ad"/>
        <w:rPr>
          <w:rtl/>
        </w:rPr>
      </w:pPr>
      <w:r w:rsidRPr="00DF55D6">
        <w:rPr>
          <w:rFonts w:hint="cs"/>
          <w:rtl/>
        </w:rPr>
        <w:t xml:space="preserve">מן הנתונים עולה כי עילת סגירת התיקים השכיחה ביותר בידי נש"ם היא היעדר אשמה, ולאחריה - היעדר ראיות מספיקות. </w:t>
      </w:r>
    </w:p>
    <w:p w14:paraId="78299AAB" w14:textId="77777777" w:rsidR="00417266" w:rsidRPr="00DF55D6" w:rsidRDefault="00417266" w:rsidP="00DF55D6">
      <w:pPr>
        <w:pStyle w:val="ad"/>
        <w:rPr>
          <w:rtl/>
        </w:rPr>
      </w:pPr>
      <w:r w:rsidRPr="00DF55D6">
        <w:rPr>
          <w:rFonts w:hint="eastAsia"/>
          <w:rtl/>
        </w:rPr>
        <w:t>נמצא</w:t>
      </w:r>
      <w:r w:rsidRPr="00DF55D6">
        <w:rPr>
          <w:rtl/>
        </w:rPr>
        <w:t xml:space="preserve"> כי לגבי </w:t>
      </w:r>
      <w:r w:rsidRPr="00DF55D6">
        <w:rPr>
          <w:rFonts w:hint="eastAsia"/>
          <w:rtl/>
        </w:rPr>
        <w:t>כ</w:t>
      </w:r>
      <w:r w:rsidRPr="00DF55D6">
        <w:rPr>
          <w:rtl/>
        </w:rPr>
        <w:t xml:space="preserve">-30% מהתיקים אין </w:t>
      </w:r>
      <w:r w:rsidRPr="00DF55D6">
        <w:rPr>
          <w:rFonts w:hint="eastAsia"/>
          <w:rtl/>
        </w:rPr>
        <w:t>לנש</w:t>
      </w:r>
      <w:r w:rsidRPr="00DF55D6">
        <w:rPr>
          <w:rtl/>
        </w:rPr>
        <w:t xml:space="preserve">"ם מידע </w:t>
      </w:r>
      <w:r w:rsidRPr="00DF55D6">
        <w:rPr>
          <w:rFonts w:hint="cs"/>
          <w:rtl/>
        </w:rPr>
        <w:t>על</w:t>
      </w:r>
      <w:r w:rsidRPr="00DF55D6">
        <w:rPr>
          <w:rtl/>
        </w:rPr>
        <w:t xml:space="preserve"> אופן הטיפול בתיק</w:t>
      </w:r>
      <w:r w:rsidRPr="00DF55D6">
        <w:rPr>
          <w:rFonts w:hint="cs"/>
          <w:rtl/>
        </w:rPr>
        <w:t>,</w:t>
      </w:r>
      <w:r w:rsidRPr="00DF55D6">
        <w:rPr>
          <w:rtl/>
        </w:rPr>
        <w:t xml:space="preserve"> ו</w:t>
      </w:r>
      <w:r w:rsidRPr="00DF55D6">
        <w:rPr>
          <w:rFonts w:hint="cs"/>
          <w:rtl/>
        </w:rPr>
        <w:t xml:space="preserve">לגבי </w:t>
      </w:r>
      <w:r w:rsidRPr="00DF55D6">
        <w:rPr>
          <w:rFonts w:hint="eastAsia"/>
          <w:rtl/>
        </w:rPr>
        <w:t>כ</w:t>
      </w:r>
      <w:r w:rsidRPr="00DF55D6">
        <w:rPr>
          <w:rtl/>
        </w:rPr>
        <w:t xml:space="preserve">-46% מהתיקים </w:t>
      </w:r>
      <w:r w:rsidRPr="00DF55D6">
        <w:rPr>
          <w:rFonts w:hint="eastAsia"/>
          <w:rtl/>
        </w:rPr>
        <w:t>שנש</w:t>
      </w:r>
      <w:r w:rsidRPr="00DF55D6">
        <w:rPr>
          <w:rtl/>
        </w:rPr>
        <w:t xml:space="preserve">"ם החזירה </w:t>
      </w:r>
      <w:r w:rsidRPr="00DF55D6">
        <w:rPr>
          <w:rFonts w:hint="cs"/>
          <w:rtl/>
        </w:rPr>
        <w:t xml:space="preserve">למשרד הממשלתי </w:t>
      </w:r>
      <w:r w:rsidRPr="00DF55D6">
        <w:rPr>
          <w:rtl/>
        </w:rPr>
        <w:t xml:space="preserve">לטיפול משמעתי פנימי - </w:t>
      </w:r>
      <w:r w:rsidRPr="00DF55D6">
        <w:rPr>
          <w:rFonts w:hint="cs"/>
          <w:rtl/>
        </w:rPr>
        <w:t>היא</w:t>
      </w:r>
      <w:r w:rsidRPr="00DF55D6">
        <w:rPr>
          <w:rtl/>
        </w:rPr>
        <w:t xml:space="preserve"> </w:t>
      </w:r>
      <w:r w:rsidRPr="00DF55D6">
        <w:rPr>
          <w:rFonts w:hint="eastAsia"/>
          <w:rtl/>
        </w:rPr>
        <w:t>לא</w:t>
      </w:r>
      <w:r w:rsidRPr="00DF55D6">
        <w:rPr>
          <w:rtl/>
        </w:rPr>
        <w:t xml:space="preserve"> </w:t>
      </w:r>
      <w:r w:rsidRPr="00DF55D6">
        <w:rPr>
          <w:rFonts w:hint="eastAsia"/>
          <w:rtl/>
        </w:rPr>
        <w:t>עודכנה</w:t>
      </w:r>
      <w:r w:rsidRPr="00DF55D6">
        <w:rPr>
          <w:rtl/>
        </w:rPr>
        <w:t xml:space="preserve"> לגבי סיום הטיפול בתיק.</w:t>
      </w:r>
    </w:p>
    <w:p w14:paraId="2976C950" w14:textId="717402C3" w:rsidR="00417266" w:rsidRDefault="00B03B7D" w:rsidP="00B03B7D">
      <w:pPr>
        <w:pStyle w:val="a"/>
        <w:numPr>
          <w:ilvl w:val="0"/>
          <w:numId w:val="0"/>
        </w:numPr>
        <w:ind w:left="794" w:hanging="397"/>
      </w:pPr>
      <w:bookmarkStart w:id="3" w:name="_Toc9150774"/>
      <w:r w:rsidRPr="00B03B7D">
        <w:rPr>
          <w:rFonts w:eastAsiaTheme="minorEastAsia" w:hint="cs"/>
          <w:rtl/>
        </w:rPr>
        <w:t>ב.</w:t>
      </w:r>
      <w:r>
        <w:rPr>
          <w:rFonts w:eastAsiaTheme="minorEastAsia"/>
          <w:b/>
          <w:bCs/>
          <w:color w:val="365F91" w:themeColor="accent1" w:themeShade="BF"/>
          <w:rtl/>
        </w:rPr>
        <w:tab/>
      </w:r>
      <w:r w:rsidR="00417266" w:rsidRPr="00F12F5F">
        <w:rPr>
          <w:rFonts w:eastAsiaTheme="minorEastAsia" w:hint="cs"/>
          <w:b/>
          <w:bCs/>
          <w:color w:val="004E6C"/>
          <w:rtl/>
        </w:rPr>
        <w:t>מערכת החינוך:</w:t>
      </w:r>
      <w:bookmarkEnd w:id="3"/>
      <w:r w:rsidR="00417266" w:rsidRPr="00F12F5F">
        <w:rPr>
          <w:rFonts w:hint="cs"/>
          <w:color w:val="004E6C"/>
          <w:rtl/>
        </w:rPr>
        <w:t xml:space="preserve"> </w:t>
      </w:r>
      <w:r w:rsidR="00417266" w:rsidRPr="005A4DC0">
        <w:rPr>
          <w:rFonts w:hint="cs"/>
          <w:rtl/>
        </w:rPr>
        <w:t>ב</w:t>
      </w:r>
      <w:r w:rsidR="00417266">
        <w:rPr>
          <w:rFonts w:hint="cs"/>
          <w:rtl/>
        </w:rPr>
        <w:t>פברואר</w:t>
      </w:r>
      <w:r w:rsidR="00417266" w:rsidRPr="005A4DC0">
        <w:rPr>
          <w:rFonts w:hint="cs"/>
          <w:rtl/>
        </w:rPr>
        <w:t xml:space="preserve"> 2018 התפרסמו נתונים מסקרי ניטור רמת האלימות בבתי הספר על פי דיווחי תלמידים. את הסקר </w:t>
      </w:r>
      <w:r w:rsidR="00417266">
        <w:rPr>
          <w:rFonts w:hint="cs"/>
          <w:rtl/>
        </w:rPr>
        <w:t>עורכת</w:t>
      </w:r>
      <w:r w:rsidR="00417266" w:rsidRPr="005A4DC0">
        <w:rPr>
          <w:rFonts w:hint="cs"/>
          <w:rtl/>
        </w:rPr>
        <w:t xml:space="preserve"> הרשות הארצית למדידה והערכה בחינוך (להלן - ראמ"ה)</w:t>
      </w:r>
      <w:r w:rsidR="00417266">
        <w:rPr>
          <w:rFonts w:hint="cs"/>
          <w:rtl/>
        </w:rPr>
        <w:t xml:space="preserve"> אחת לשנתיים. בשנת 2017 </w:t>
      </w:r>
      <w:r w:rsidR="00417266" w:rsidRPr="00C43F1B">
        <w:rPr>
          <w:rFonts w:hint="cs"/>
          <w:rtl/>
        </w:rPr>
        <w:t>השתתפו בו 24,145 תלמידים מכיתות ד'-י"א ב-448 בתי ספר בחינוך הממלכתי, הממלכתי-דתי והערבי (בכלל זה הדרוזי והבדואי)</w:t>
      </w:r>
      <w:r w:rsidR="00417266" w:rsidRPr="00C43F1B">
        <w:rPr>
          <w:rStyle w:val="FootnoteReference"/>
          <w:rtl/>
        </w:rPr>
        <w:footnoteReference w:id="9"/>
      </w:r>
      <w:r w:rsidR="00417266" w:rsidRPr="00C43F1B">
        <w:rPr>
          <w:rFonts w:hint="cs"/>
          <w:rtl/>
        </w:rPr>
        <w:t xml:space="preserve">. הסקר בדק אירועי אלימות </w:t>
      </w:r>
      <w:r w:rsidR="00417266">
        <w:rPr>
          <w:rFonts w:hint="cs"/>
          <w:rtl/>
        </w:rPr>
        <w:t xml:space="preserve">ובכלל זה אלימות </w:t>
      </w:r>
      <w:r w:rsidR="00417266" w:rsidRPr="00C43F1B">
        <w:rPr>
          <w:rFonts w:hint="cs"/>
          <w:rtl/>
        </w:rPr>
        <w:t>מינית בחודש שקדם למועד הסקר.</w:t>
      </w:r>
      <w:r w:rsidR="00417266">
        <w:rPr>
          <w:rFonts w:hint="cs"/>
          <w:rtl/>
        </w:rPr>
        <w:t xml:space="preserve"> התלמידים נשאלו על חלק מההתנהגויות המהוות הטרדה מינית לפי החוק למניעת הטרדה מינית ובעיקר על התנהגויות המהוות מעשים מגונים.</w:t>
      </w:r>
    </w:p>
    <w:p w14:paraId="5AC47D09" w14:textId="77777777" w:rsidR="00417266" w:rsidRDefault="00417266" w:rsidP="00DF55D6">
      <w:pPr>
        <w:pStyle w:val="ad"/>
        <w:rPr>
          <w:rtl/>
        </w:rPr>
      </w:pPr>
      <w:r>
        <w:rPr>
          <w:rFonts w:hint="cs"/>
          <w:rtl/>
        </w:rPr>
        <w:lastRenderedPageBreak/>
        <w:t xml:space="preserve">מנתוני הסקר עלה כי כ-13% מהתלמידים דיווחו על פגיעה מהתנהגות המהווה הטרדה מינית לפי החוק. ראו את פירוט הנתונים בלוח שלהלן: </w:t>
      </w:r>
    </w:p>
    <w:p w14:paraId="3EFDB6EF" w14:textId="77777777" w:rsidR="00417266" w:rsidRDefault="00417266" w:rsidP="00417266">
      <w:pPr>
        <w:spacing w:line="269" w:lineRule="auto"/>
        <w:rPr>
          <w:rtl/>
        </w:rPr>
      </w:pPr>
    </w:p>
    <w:p w14:paraId="4290DFB7" w14:textId="77777777" w:rsidR="00417266" w:rsidRDefault="00417266" w:rsidP="003B639B">
      <w:pPr>
        <w:pStyle w:val="a8"/>
        <w:rPr>
          <w:rtl/>
        </w:rPr>
      </w:pPr>
      <w:r>
        <w:rPr>
          <w:rFonts w:hint="cs"/>
          <w:rtl/>
        </w:rPr>
        <w:t>לוח 2</w:t>
      </w:r>
      <w:r w:rsidRPr="004C25BC">
        <w:rPr>
          <w:rtl/>
        </w:rPr>
        <w:t xml:space="preserve">: </w:t>
      </w:r>
      <w:bookmarkStart w:id="4" w:name="_Ref505067251"/>
      <w:r w:rsidRPr="003B639B">
        <w:rPr>
          <w:b/>
          <w:bCs/>
          <w:rtl/>
        </w:rPr>
        <w:t xml:space="preserve">דיווחי התלמידים על </w:t>
      </w:r>
      <w:r w:rsidRPr="003B639B">
        <w:rPr>
          <w:rFonts w:hint="cs"/>
          <w:b/>
          <w:bCs/>
          <w:rtl/>
        </w:rPr>
        <w:t>אלימות מינית של תלמידים (באחוזים)</w:t>
      </w:r>
      <w:bookmarkEnd w:id="4"/>
      <w:r w:rsidRPr="003B639B">
        <w:rPr>
          <w:rFonts w:hint="cs"/>
          <w:b/>
          <w:bCs/>
          <w:rtl/>
        </w:rPr>
        <w:t>, 2017</w:t>
      </w:r>
    </w:p>
    <w:p w14:paraId="4AE350BD" w14:textId="77777777" w:rsidR="00417266" w:rsidRDefault="00417266" w:rsidP="00417266">
      <w:pPr>
        <w:spacing w:line="269" w:lineRule="auto"/>
        <w:ind w:left="709"/>
        <w:jc w:val="center"/>
        <w:rPr>
          <w:b/>
          <w:bCs/>
          <w:rtl/>
        </w:rPr>
      </w:pPr>
      <w:r>
        <w:rPr>
          <w:noProof/>
        </w:rPr>
        <w:drawing>
          <wp:inline distT="0" distB="0" distL="0" distR="0" wp14:anchorId="3883E0BE" wp14:editId="3651A3A7">
            <wp:extent cx="4798128" cy="4810539"/>
            <wp:effectExtent l="0" t="0" r="2540" b="9525"/>
            <wp:docPr id="3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98128" cy="4810539"/>
                    </a:xfrm>
                    <a:prstGeom prst="rect">
                      <a:avLst/>
                    </a:prstGeom>
                  </pic:spPr>
                </pic:pic>
              </a:graphicData>
            </a:graphic>
          </wp:inline>
        </w:drawing>
      </w:r>
    </w:p>
    <w:p w14:paraId="0D9D33A9" w14:textId="77777777" w:rsidR="00417266" w:rsidRDefault="00417266" w:rsidP="00417266">
      <w:pPr>
        <w:pStyle w:val="ListParagraph"/>
        <w:spacing w:line="269" w:lineRule="auto"/>
        <w:ind w:left="709"/>
        <w:rPr>
          <w:szCs w:val="20"/>
          <w:rtl/>
        </w:rPr>
      </w:pPr>
      <w:r>
        <w:rPr>
          <w:noProof/>
        </w:rPr>
        <w:drawing>
          <wp:inline distT="0" distB="0" distL="0" distR="0" wp14:anchorId="75001FAC" wp14:editId="20CBF9CE">
            <wp:extent cx="4786575" cy="977243"/>
            <wp:effectExtent l="0" t="0" r="0" b="0"/>
            <wp:docPr id="40"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28475" cy="985797"/>
                    </a:xfrm>
                    <a:prstGeom prst="rect">
                      <a:avLst/>
                    </a:prstGeom>
                  </pic:spPr>
                </pic:pic>
              </a:graphicData>
            </a:graphic>
          </wp:inline>
        </w:drawing>
      </w:r>
    </w:p>
    <w:p w14:paraId="62D39B6E" w14:textId="77777777" w:rsidR="00417266" w:rsidRPr="00526012" w:rsidRDefault="00417266" w:rsidP="003B639B">
      <w:pPr>
        <w:pStyle w:val="aa"/>
        <w:rPr>
          <w:rtl/>
        </w:rPr>
      </w:pPr>
      <w:r w:rsidRPr="00526012">
        <w:rPr>
          <w:rFonts w:hint="eastAsia"/>
          <w:rtl/>
        </w:rPr>
        <w:t>המקור</w:t>
      </w:r>
      <w:r w:rsidRPr="00526012">
        <w:rPr>
          <w:rtl/>
        </w:rPr>
        <w:t xml:space="preserve">: סקר </w:t>
      </w:r>
      <w:r w:rsidRPr="00526012">
        <w:rPr>
          <w:rFonts w:hint="eastAsia"/>
          <w:rtl/>
        </w:rPr>
        <w:t>ראמ</w:t>
      </w:r>
      <w:r w:rsidRPr="00526012">
        <w:rPr>
          <w:rtl/>
        </w:rPr>
        <w:t>"ה.</w:t>
      </w:r>
    </w:p>
    <w:p w14:paraId="6AFEBE46" w14:textId="3773DF51" w:rsidR="00417266" w:rsidRPr="00C43F1B" w:rsidRDefault="00417266" w:rsidP="0099172C">
      <w:pPr>
        <w:pStyle w:val="100"/>
        <w:rPr>
          <w:rtl/>
        </w:rPr>
      </w:pPr>
    </w:p>
    <w:p w14:paraId="49D6722C" w14:textId="66E25A9E" w:rsidR="00417266" w:rsidRDefault="00417266" w:rsidP="0099172C">
      <w:pPr>
        <w:pStyle w:val="ad"/>
        <w:rPr>
          <w:rtl/>
        </w:rPr>
      </w:pPr>
      <w:r w:rsidRPr="00C43F1B">
        <w:rPr>
          <w:rFonts w:hint="cs"/>
          <w:rtl/>
        </w:rPr>
        <w:lastRenderedPageBreak/>
        <w:t xml:space="preserve">אשר להטרדות מיניות בידי צוות בית הספר, </w:t>
      </w:r>
      <w:r>
        <w:rPr>
          <w:rFonts w:hint="cs"/>
          <w:rtl/>
        </w:rPr>
        <w:t xml:space="preserve">בממוצע </w:t>
      </w:r>
      <w:r w:rsidRPr="00C43F1B">
        <w:rPr>
          <w:rFonts w:hint="cs"/>
          <w:rtl/>
        </w:rPr>
        <w:t xml:space="preserve">4% מהתלמידים דיווחו על הערות שיש בהן כוונות מיניות, </w:t>
      </w:r>
      <w:r>
        <w:rPr>
          <w:rFonts w:hint="cs"/>
          <w:rtl/>
        </w:rPr>
        <w:t xml:space="preserve">ובממוצע </w:t>
      </w:r>
      <w:r w:rsidRPr="00C43F1B">
        <w:rPr>
          <w:rFonts w:hint="cs"/>
          <w:rtl/>
        </w:rPr>
        <w:t xml:space="preserve">2% דיווחו על נגיעות בעלות אופי מיני או במקומות אינטימיים. </w:t>
      </w:r>
      <w:r>
        <w:rPr>
          <w:rFonts w:hint="cs"/>
          <w:rtl/>
        </w:rPr>
        <w:t xml:space="preserve">ראו את פירוט הנתונים בלוח שלהלן: </w:t>
      </w:r>
    </w:p>
    <w:p w14:paraId="50D2324D" w14:textId="6F9AD34B" w:rsidR="00417266" w:rsidRPr="0099172C" w:rsidRDefault="00417266" w:rsidP="008E5512">
      <w:pPr>
        <w:pStyle w:val="a8"/>
        <w:bidi w:val="0"/>
        <w:rPr>
          <w:rtl/>
        </w:rPr>
      </w:pPr>
      <w:r w:rsidRPr="0019400A">
        <w:rPr>
          <w:rFonts w:hint="eastAsia"/>
          <w:rtl/>
        </w:rPr>
        <w:t>לוח</w:t>
      </w:r>
      <w:r w:rsidRPr="0019400A">
        <w:rPr>
          <w:rtl/>
        </w:rPr>
        <w:t xml:space="preserve"> </w:t>
      </w:r>
      <w:r>
        <w:rPr>
          <w:rFonts w:hint="cs"/>
          <w:rtl/>
        </w:rPr>
        <w:t>3</w:t>
      </w:r>
      <w:r w:rsidRPr="008E5512">
        <w:rPr>
          <w:rtl/>
        </w:rPr>
        <w:t>:</w:t>
      </w:r>
      <w:r w:rsidRPr="008E5512">
        <w:rPr>
          <w:b/>
          <w:bCs/>
          <w:rtl/>
        </w:rPr>
        <w:t xml:space="preserve"> </w:t>
      </w:r>
      <w:r w:rsidRPr="008E5512">
        <w:rPr>
          <w:rFonts w:hint="eastAsia"/>
          <w:b/>
          <w:bCs/>
          <w:rtl/>
        </w:rPr>
        <w:t>דיווחי</w:t>
      </w:r>
      <w:r w:rsidRPr="008E5512">
        <w:rPr>
          <w:b/>
          <w:bCs/>
          <w:rtl/>
        </w:rPr>
        <w:t xml:space="preserve"> </w:t>
      </w:r>
      <w:r w:rsidRPr="008E5512">
        <w:rPr>
          <w:rFonts w:hint="eastAsia"/>
          <w:b/>
          <w:bCs/>
          <w:rtl/>
        </w:rPr>
        <w:t>התלמידים</w:t>
      </w:r>
      <w:r w:rsidRPr="008E5512">
        <w:rPr>
          <w:b/>
          <w:bCs/>
          <w:rtl/>
        </w:rPr>
        <w:t xml:space="preserve"> </w:t>
      </w:r>
      <w:r w:rsidRPr="008E5512">
        <w:rPr>
          <w:rFonts w:hint="cs"/>
          <w:b/>
          <w:bCs/>
          <w:rtl/>
        </w:rPr>
        <w:t xml:space="preserve">על </w:t>
      </w:r>
      <w:r w:rsidRPr="008E5512">
        <w:rPr>
          <w:rFonts w:hint="eastAsia"/>
          <w:b/>
          <w:bCs/>
          <w:rtl/>
        </w:rPr>
        <w:t>אלימות</w:t>
      </w:r>
      <w:r w:rsidRPr="008E5512">
        <w:rPr>
          <w:b/>
          <w:bCs/>
          <w:rtl/>
        </w:rPr>
        <w:t xml:space="preserve"> </w:t>
      </w:r>
      <w:r w:rsidRPr="008E5512">
        <w:rPr>
          <w:rFonts w:hint="eastAsia"/>
          <w:b/>
          <w:bCs/>
          <w:rtl/>
        </w:rPr>
        <w:t>מינית</w:t>
      </w:r>
      <w:r w:rsidRPr="008E5512">
        <w:rPr>
          <w:b/>
          <w:bCs/>
          <w:rtl/>
        </w:rPr>
        <w:t xml:space="preserve"> </w:t>
      </w:r>
      <w:r w:rsidRPr="008E5512">
        <w:rPr>
          <w:rFonts w:hint="cs"/>
          <w:b/>
          <w:bCs/>
          <w:rtl/>
        </w:rPr>
        <w:t>של</w:t>
      </w:r>
      <w:r w:rsidRPr="008E5512">
        <w:rPr>
          <w:b/>
          <w:bCs/>
          <w:rtl/>
        </w:rPr>
        <w:t xml:space="preserve"> </w:t>
      </w:r>
      <w:r w:rsidRPr="008E5512">
        <w:rPr>
          <w:rFonts w:hint="eastAsia"/>
          <w:b/>
          <w:bCs/>
          <w:rtl/>
        </w:rPr>
        <w:t>אנשי</w:t>
      </w:r>
      <w:r w:rsidRPr="008E5512">
        <w:rPr>
          <w:b/>
          <w:bCs/>
          <w:rtl/>
        </w:rPr>
        <w:t xml:space="preserve"> </w:t>
      </w:r>
      <w:r w:rsidRPr="008E5512">
        <w:rPr>
          <w:rFonts w:hint="eastAsia"/>
          <w:b/>
          <w:bCs/>
          <w:rtl/>
        </w:rPr>
        <w:t>צוות</w:t>
      </w:r>
      <w:r w:rsidRPr="008E5512">
        <w:rPr>
          <w:rFonts w:hint="cs"/>
          <w:b/>
          <w:bCs/>
          <w:rtl/>
        </w:rPr>
        <w:t xml:space="preserve"> בבתי הספר (באחוזים)</w:t>
      </w:r>
    </w:p>
    <w:p w14:paraId="2AE08F63" w14:textId="77777777" w:rsidR="00417266" w:rsidRDefault="00417266" w:rsidP="008E5512">
      <w:pPr>
        <w:pStyle w:val="a8"/>
        <w:rPr>
          <w:rtl/>
        </w:rPr>
      </w:pPr>
      <w:r>
        <w:rPr>
          <w:noProof/>
        </w:rPr>
        <w:drawing>
          <wp:inline distT="0" distB="0" distL="0" distR="0" wp14:anchorId="4C3B121A" wp14:editId="1132471D">
            <wp:extent cx="4735195" cy="2274073"/>
            <wp:effectExtent l="0" t="0" r="8255" b="0"/>
            <wp:docPr id="41"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45303" cy="2278927"/>
                    </a:xfrm>
                    <a:prstGeom prst="rect">
                      <a:avLst/>
                    </a:prstGeom>
                  </pic:spPr>
                </pic:pic>
              </a:graphicData>
            </a:graphic>
          </wp:inline>
        </w:drawing>
      </w:r>
    </w:p>
    <w:p w14:paraId="03E99386" w14:textId="77777777" w:rsidR="00417266" w:rsidRPr="00526012" w:rsidRDefault="00417266" w:rsidP="0099172C">
      <w:pPr>
        <w:pStyle w:val="aa"/>
        <w:rPr>
          <w:rtl/>
        </w:rPr>
      </w:pPr>
      <w:r w:rsidRPr="00526012">
        <w:rPr>
          <w:rFonts w:hint="eastAsia"/>
          <w:rtl/>
        </w:rPr>
        <w:t>המקור</w:t>
      </w:r>
      <w:r w:rsidRPr="00526012">
        <w:rPr>
          <w:rtl/>
        </w:rPr>
        <w:t xml:space="preserve">: </w:t>
      </w:r>
      <w:r w:rsidRPr="00526012">
        <w:rPr>
          <w:rFonts w:hint="eastAsia"/>
          <w:rtl/>
        </w:rPr>
        <w:t>סקר</w:t>
      </w:r>
      <w:r w:rsidRPr="00526012">
        <w:rPr>
          <w:rtl/>
        </w:rPr>
        <w:t xml:space="preserve"> </w:t>
      </w:r>
      <w:r w:rsidRPr="00526012">
        <w:rPr>
          <w:rFonts w:hint="eastAsia"/>
          <w:rtl/>
        </w:rPr>
        <w:t>ראמ</w:t>
      </w:r>
      <w:r w:rsidRPr="00526012">
        <w:rPr>
          <w:rtl/>
        </w:rPr>
        <w:t>"ה.</w:t>
      </w:r>
    </w:p>
    <w:p w14:paraId="164D7048" w14:textId="77777777" w:rsidR="0099172C" w:rsidRDefault="0099172C" w:rsidP="0099172C">
      <w:pPr>
        <w:pStyle w:val="ad"/>
        <w:rPr>
          <w:rtl/>
        </w:rPr>
      </w:pPr>
    </w:p>
    <w:p w14:paraId="030D14ED" w14:textId="6078D342" w:rsidR="00417266" w:rsidRPr="00622293" w:rsidRDefault="00417266" w:rsidP="0099172C">
      <w:pPr>
        <w:pStyle w:val="ad"/>
        <w:rPr>
          <w:rtl/>
        </w:rPr>
      </w:pPr>
      <w:r w:rsidRPr="00BD0AF9">
        <w:rPr>
          <w:rFonts w:hint="eastAsia"/>
          <w:rtl/>
        </w:rPr>
        <w:t>מן</w:t>
      </w:r>
      <w:r w:rsidRPr="00BD0AF9">
        <w:rPr>
          <w:rtl/>
        </w:rPr>
        <w:t xml:space="preserve"> הנתונים עולה כי בשנת 2017 כ- 1,560 תלמידים דיווחו במסגרת השאלון על הטרדה מינית של אנשי צוות, </w:t>
      </w:r>
      <w:r w:rsidRPr="00BD0AF9">
        <w:rPr>
          <w:rFonts w:hint="eastAsia"/>
          <w:rtl/>
        </w:rPr>
        <w:t>מתוכם</w:t>
      </w:r>
      <w:r w:rsidRPr="00BD0AF9">
        <w:rPr>
          <w:rtl/>
        </w:rPr>
        <w:t xml:space="preserve"> </w:t>
      </w:r>
      <w:r w:rsidRPr="00BD0AF9">
        <w:rPr>
          <w:rFonts w:hint="eastAsia"/>
          <w:rtl/>
        </w:rPr>
        <w:t>כ</w:t>
      </w:r>
      <w:r w:rsidRPr="00BD0AF9">
        <w:rPr>
          <w:rtl/>
        </w:rPr>
        <w:t>-1</w:t>
      </w:r>
      <w:r>
        <w:rPr>
          <w:rFonts w:hint="cs"/>
          <w:rtl/>
        </w:rPr>
        <w:t>,</w:t>
      </w:r>
      <w:r w:rsidRPr="00BD0AF9">
        <w:rPr>
          <w:rtl/>
        </w:rPr>
        <w:t xml:space="preserve">200 </w:t>
      </w:r>
      <w:r w:rsidRPr="00BD0AF9">
        <w:rPr>
          <w:rFonts w:hint="eastAsia"/>
          <w:rtl/>
        </w:rPr>
        <w:t>תלמידים</w:t>
      </w:r>
      <w:r w:rsidRPr="00BD0AF9">
        <w:rPr>
          <w:rtl/>
        </w:rPr>
        <w:t xml:space="preserve"> </w:t>
      </w:r>
      <w:r w:rsidRPr="00BD0AF9">
        <w:rPr>
          <w:rFonts w:hint="eastAsia"/>
          <w:rtl/>
        </w:rPr>
        <w:t>מבתי</w:t>
      </w:r>
      <w:r w:rsidRPr="00BD0AF9">
        <w:rPr>
          <w:rtl/>
        </w:rPr>
        <w:t xml:space="preserve"> </w:t>
      </w:r>
      <w:r w:rsidRPr="00BD0AF9">
        <w:rPr>
          <w:rFonts w:hint="eastAsia"/>
          <w:rtl/>
        </w:rPr>
        <w:t>הספר</w:t>
      </w:r>
      <w:r w:rsidRPr="00BD0AF9">
        <w:rPr>
          <w:rtl/>
        </w:rPr>
        <w:t xml:space="preserve"> </w:t>
      </w:r>
      <w:r w:rsidRPr="00BD0AF9">
        <w:rPr>
          <w:rFonts w:hint="eastAsia"/>
          <w:rtl/>
        </w:rPr>
        <w:t>דוברי</w:t>
      </w:r>
      <w:r w:rsidRPr="00BD0AF9">
        <w:rPr>
          <w:rtl/>
        </w:rPr>
        <w:t xml:space="preserve"> </w:t>
      </w:r>
      <w:r w:rsidRPr="00BD0AF9">
        <w:rPr>
          <w:rFonts w:hint="eastAsia"/>
          <w:rtl/>
        </w:rPr>
        <w:t>הערבית</w:t>
      </w:r>
      <w:r w:rsidRPr="00BD0AF9">
        <w:rPr>
          <w:rtl/>
        </w:rPr>
        <w:t>.</w:t>
      </w:r>
    </w:p>
    <w:p w14:paraId="1B277B9B" w14:textId="77777777" w:rsidR="00417266" w:rsidRPr="00EC137D" w:rsidRDefault="00417266" w:rsidP="0099172C">
      <w:pPr>
        <w:pStyle w:val="ab"/>
        <w:rPr>
          <w:rtl/>
        </w:rPr>
      </w:pPr>
      <w:r>
        <w:rPr>
          <w:rFonts w:hint="cs"/>
          <w:rtl/>
        </w:rPr>
        <w:t>משרד מבקר המדינה ממליץ למשרד החינוך להגביר את הפעולות להעלאת המודעות להטרדות מיניות בידי תלמידים ובידי אנשי הצוות בייחוד בבתי הספר דוברי הערבית.</w:t>
      </w:r>
    </w:p>
    <w:p w14:paraId="641506C5" w14:textId="77777777" w:rsidR="00817040" w:rsidRDefault="00817040">
      <w:pPr>
        <w:bidi w:val="0"/>
        <w:spacing w:after="200" w:line="276" w:lineRule="auto"/>
        <w:rPr>
          <w:rFonts w:ascii="Tahoma" w:hAnsi="Tahoma" w:cs="Tahoma"/>
          <w:szCs w:val="20"/>
          <w:rtl/>
        </w:rPr>
      </w:pPr>
      <w:r>
        <w:rPr>
          <w:rtl/>
        </w:rPr>
        <w:br w:type="page"/>
      </w:r>
    </w:p>
    <w:p w14:paraId="0DDAA727" w14:textId="21A8CEDF" w:rsidR="00417266" w:rsidRDefault="00417266" w:rsidP="0099172C">
      <w:pPr>
        <w:pStyle w:val="ad"/>
        <w:rPr>
          <w:rtl/>
        </w:rPr>
      </w:pPr>
      <w:r>
        <w:rPr>
          <w:rFonts w:hint="cs"/>
          <w:rtl/>
        </w:rPr>
        <w:lastRenderedPageBreak/>
        <w:t xml:space="preserve">ראו בתרשים שלהלן את השוואת מספרי אירועי האלימות המינית שעליהם דווח בסקר ראמ"ה בשנת 2017 והתלונות על הטרדה מינית של ילדים שהוגשו בשנה זו למשטרה: </w:t>
      </w:r>
    </w:p>
    <w:p w14:paraId="1B730779" w14:textId="77777777" w:rsidR="00417266" w:rsidRPr="0019400A" w:rsidRDefault="00417266" w:rsidP="0099172C">
      <w:pPr>
        <w:pStyle w:val="a8"/>
        <w:rPr>
          <w:rtl/>
        </w:rPr>
      </w:pPr>
      <w:r w:rsidRPr="0019400A">
        <w:rPr>
          <w:rFonts w:hint="eastAsia"/>
          <w:rtl/>
        </w:rPr>
        <w:t>תרשים</w:t>
      </w:r>
      <w:r w:rsidRPr="0019400A">
        <w:rPr>
          <w:rtl/>
        </w:rPr>
        <w:t xml:space="preserve"> </w:t>
      </w:r>
      <w:r>
        <w:rPr>
          <w:rFonts w:hint="cs"/>
          <w:rtl/>
        </w:rPr>
        <w:t>5</w:t>
      </w:r>
      <w:r w:rsidRPr="0019400A">
        <w:rPr>
          <w:rtl/>
        </w:rPr>
        <w:t xml:space="preserve">: </w:t>
      </w:r>
      <w:r w:rsidRPr="0099172C">
        <w:rPr>
          <w:b/>
          <w:bCs/>
          <w:rtl/>
        </w:rPr>
        <w:t xml:space="preserve">דיווחים על הטרדות מיניות </w:t>
      </w:r>
      <w:r w:rsidRPr="0099172C">
        <w:rPr>
          <w:rFonts w:hint="cs"/>
          <w:b/>
          <w:bCs/>
          <w:rtl/>
        </w:rPr>
        <w:t>ב</w:t>
      </w:r>
      <w:r w:rsidRPr="0099172C">
        <w:rPr>
          <w:b/>
          <w:bCs/>
          <w:rtl/>
        </w:rPr>
        <w:t xml:space="preserve">סקרי </w:t>
      </w:r>
      <w:r w:rsidRPr="0099172C">
        <w:rPr>
          <w:rFonts w:hint="eastAsia"/>
          <w:b/>
          <w:bCs/>
          <w:rtl/>
        </w:rPr>
        <w:t>ראמ</w:t>
      </w:r>
      <w:r w:rsidRPr="0099172C">
        <w:rPr>
          <w:b/>
          <w:bCs/>
          <w:rtl/>
        </w:rPr>
        <w:t>"ה ותלונות קטינים למשטר</w:t>
      </w:r>
      <w:r w:rsidRPr="0099172C">
        <w:rPr>
          <w:rFonts w:hint="cs"/>
          <w:b/>
          <w:bCs/>
          <w:rtl/>
        </w:rPr>
        <w:t>ה, 2017</w:t>
      </w:r>
    </w:p>
    <w:p w14:paraId="26F27890" w14:textId="77777777" w:rsidR="00417266" w:rsidRPr="002D17DA" w:rsidRDefault="00417266" w:rsidP="008E5512">
      <w:pPr>
        <w:pStyle w:val="a8"/>
        <w:rPr>
          <w:rtl/>
        </w:rPr>
      </w:pPr>
      <w:r>
        <w:rPr>
          <w:noProof/>
          <w:rtl/>
        </w:rPr>
        <w:drawing>
          <wp:inline distT="0" distB="0" distL="0" distR="0" wp14:anchorId="50DEEAF1" wp14:editId="2D25554B">
            <wp:extent cx="4763135" cy="2487168"/>
            <wp:effectExtent l="0" t="0" r="18415" b="8890"/>
            <wp:docPr id="42" name="תרשים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07EA5A" w14:textId="7D6CD165" w:rsidR="00417266" w:rsidRDefault="00417266" w:rsidP="0099172C">
      <w:pPr>
        <w:pStyle w:val="aa"/>
        <w:rPr>
          <w:rtl/>
        </w:rPr>
      </w:pPr>
      <w:r w:rsidRPr="00702AB6">
        <w:rPr>
          <w:rFonts w:hint="cs"/>
          <w:rtl/>
        </w:rPr>
        <w:t>על פי סקר ראמ"ה ונתוני המשטרה לשנת 2017, בעיבוד משרד מבקר המדינה.</w:t>
      </w:r>
    </w:p>
    <w:p w14:paraId="52AA154A" w14:textId="77777777" w:rsidR="008E5512" w:rsidRPr="00702AB6" w:rsidRDefault="008E5512" w:rsidP="008E5512">
      <w:pPr>
        <w:pStyle w:val="100"/>
        <w:rPr>
          <w:rtl/>
        </w:rPr>
      </w:pPr>
    </w:p>
    <w:p w14:paraId="49B9B70F" w14:textId="77777777" w:rsidR="00417266" w:rsidRDefault="00417266" w:rsidP="0099172C">
      <w:pPr>
        <w:pStyle w:val="ab"/>
        <w:rPr>
          <w:rtl/>
        </w:rPr>
      </w:pPr>
      <w:r w:rsidRPr="00C43F1B">
        <w:rPr>
          <w:rFonts w:hint="cs"/>
          <w:rtl/>
        </w:rPr>
        <w:t>הסקרים במערכת החינוך מלמדים כי תופעת הפגיעה המינית ובתוכה ההטרדה המינית של ילדים ב</w:t>
      </w:r>
      <w:r>
        <w:rPr>
          <w:rFonts w:hint="cs"/>
          <w:rtl/>
        </w:rPr>
        <w:t xml:space="preserve">תוך </w:t>
      </w:r>
      <w:r w:rsidRPr="00C43F1B">
        <w:rPr>
          <w:rFonts w:hint="cs"/>
          <w:rtl/>
        </w:rPr>
        <w:t>מוסדות החינוך היא לכאורה נפוצה לאין שיעור לעומת מספר התלונות המגיע</w:t>
      </w:r>
      <w:r>
        <w:rPr>
          <w:rFonts w:hint="cs"/>
          <w:rtl/>
        </w:rPr>
        <w:t>ות</w:t>
      </w:r>
      <w:r w:rsidRPr="00C43F1B">
        <w:rPr>
          <w:rFonts w:hint="cs"/>
          <w:rtl/>
        </w:rPr>
        <w:t xml:space="preserve"> לטיפול המשטרה</w:t>
      </w:r>
      <w:r w:rsidRPr="0020114F">
        <w:rPr>
          <w:rStyle w:val="FootnoteReference"/>
          <w:sz w:val="24"/>
          <w:rtl/>
        </w:rPr>
        <w:footnoteReference w:id="10"/>
      </w:r>
      <w:r w:rsidRPr="00C43F1B">
        <w:rPr>
          <w:rFonts w:hint="cs"/>
          <w:rtl/>
        </w:rPr>
        <w:t>. אשר לנתוני המשטרה -</w:t>
      </w:r>
      <w:r>
        <w:rPr>
          <w:rFonts w:hint="cs"/>
          <w:rtl/>
        </w:rPr>
        <w:t xml:space="preserve"> מבין כלל התלונות,</w:t>
      </w:r>
      <w:r w:rsidRPr="00C43F1B">
        <w:rPr>
          <w:rFonts w:hint="cs"/>
          <w:rtl/>
        </w:rPr>
        <w:t xml:space="preserve"> </w:t>
      </w:r>
      <w:r w:rsidRPr="006E4738">
        <w:rPr>
          <w:rtl/>
        </w:rPr>
        <w:t xml:space="preserve">33 (כ-8%) היו על מעשים שהתרחשו במסגרת מוסדות חינוך. </w:t>
      </w:r>
      <w:r>
        <w:rPr>
          <w:rFonts w:hint="cs"/>
          <w:rtl/>
        </w:rPr>
        <w:t xml:space="preserve">נתונים אלו </w:t>
      </w:r>
      <w:r w:rsidRPr="00C43F1B">
        <w:rPr>
          <w:rFonts w:hint="cs"/>
          <w:rtl/>
        </w:rPr>
        <w:t xml:space="preserve">עשויים ללמד כי הטרדות מיניות של ילדים מחוץ למוסדות החינוך נפוצות הרבה יותר מן ההטרדות בתוך המוסדות. </w:t>
      </w:r>
    </w:p>
    <w:p w14:paraId="35A2E7A4" w14:textId="77777777" w:rsidR="00417266" w:rsidRDefault="00417266" w:rsidP="0099172C">
      <w:pPr>
        <w:pStyle w:val="ad"/>
        <w:rPr>
          <w:rtl/>
        </w:rPr>
      </w:pPr>
      <w:r w:rsidRPr="00313C31">
        <w:rPr>
          <w:rFonts w:hint="cs"/>
          <w:rtl/>
        </w:rPr>
        <w:t>האגף הבכיר למשמעת ולטוהר המידות במשרד החינוך</w:t>
      </w:r>
      <w:r w:rsidRPr="00313C31">
        <w:rPr>
          <w:rStyle w:val="FootnoteReference"/>
          <w:sz w:val="24"/>
          <w:rtl/>
        </w:rPr>
        <w:footnoteReference w:id="11"/>
      </w:r>
      <w:r w:rsidRPr="00313C31">
        <w:rPr>
          <w:rFonts w:hint="cs"/>
          <w:rtl/>
        </w:rPr>
        <w:t xml:space="preserve"> מסר בתגובתו מיולי 2019 כי הוא ער לדלות המחקרים שנערכו בעת האחרונה בנושא של הטרדות מיניות וכי ישמח לקדם מחקר אמפירי, בשיתוף פעולה של כלל הגורמים הנוגעים בדבר, לשם יצירת ידע מחקרי עכשווי על תחום הפגיעות המיניות של עובדי ההוראה בתלמידים בכלל והטרדה מינית בפרט.</w:t>
      </w:r>
    </w:p>
    <w:p w14:paraId="3FCBD8C0" w14:textId="77777777" w:rsidR="00417266" w:rsidRPr="00C43F1B" w:rsidRDefault="00417266" w:rsidP="0099172C">
      <w:pPr>
        <w:pStyle w:val="ab"/>
        <w:rPr>
          <w:rtl/>
        </w:rPr>
      </w:pPr>
      <w:r>
        <w:rPr>
          <w:rFonts w:hint="cs"/>
          <w:rtl/>
        </w:rPr>
        <w:lastRenderedPageBreak/>
        <w:t>ה</w:t>
      </w:r>
      <w:r w:rsidRPr="00C43F1B">
        <w:rPr>
          <w:rFonts w:hint="cs"/>
          <w:rtl/>
        </w:rPr>
        <w:t xml:space="preserve">נתונים מעלים חשש </w:t>
      </w:r>
      <w:r>
        <w:rPr>
          <w:rFonts w:hint="cs"/>
          <w:rtl/>
        </w:rPr>
        <w:t xml:space="preserve">כי ממצאי הסקרים </w:t>
      </w:r>
      <w:r w:rsidRPr="00C43F1B">
        <w:rPr>
          <w:rFonts w:hint="cs"/>
          <w:rtl/>
        </w:rPr>
        <w:t xml:space="preserve">לגבי הטרדות של תלמידים בין כותלי בתי הספר מציגים </w:t>
      </w:r>
      <w:r>
        <w:rPr>
          <w:rFonts w:hint="cs"/>
          <w:rtl/>
        </w:rPr>
        <w:t>תמונה חלקית ביותר של אירועי ההטרדה</w:t>
      </w:r>
      <w:r w:rsidRPr="00C43F1B">
        <w:rPr>
          <w:rFonts w:hint="cs"/>
          <w:rtl/>
        </w:rPr>
        <w:t>, ו</w:t>
      </w:r>
      <w:r>
        <w:rPr>
          <w:rFonts w:hint="cs"/>
          <w:rtl/>
        </w:rPr>
        <w:t xml:space="preserve">כי </w:t>
      </w:r>
      <w:r w:rsidRPr="00C43F1B">
        <w:rPr>
          <w:rFonts w:hint="cs"/>
          <w:rtl/>
        </w:rPr>
        <w:t xml:space="preserve">מספר הקטינים שהוטרדו מינית מחוץ למסגרות החינוך הפורמליות גדול בהרבה. </w:t>
      </w:r>
      <w:r>
        <w:rPr>
          <w:rFonts w:hint="cs"/>
          <w:rtl/>
        </w:rPr>
        <w:t>נתונים אלה מלמדים על הצורך לבחון אם נדרשות התייחסות והיערכות נפרדות ל</w:t>
      </w:r>
      <w:r w:rsidRPr="00C43F1B">
        <w:rPr>
          <w:rFonts w:hint="cs"/>
          <w:rtl/>
        </w:rPr>
        <w:t xml:space="preserve">התמודדות עם </w:t>
      </w:r>
      <w:r>
        <w:rPr>
          <w:rFonts w:hint="cs"/>
          <w:rtl/>
        </w:rPr>
        <w:t>ההטרדות</w:t>
      </w:r>
      <w:r w:rsidRPr="00C43F1B">
        <w:rPr>
          <w:rFonts w:hint="cs"/>
          <w:rtl/>
        </w:rPr>
        <w:t xml:space="preserve"> מחוץ למוסדות החינוך</w:t>
      </w:r>
      <w:r>
        <w:rPr>
          <w:rFonts w:hint="cs"/>
          <w:rtl/>
        </w:rPr>
        <w:t>.</w:t>
      </w:r>
    </w:p>
    <w:p w14:paraId="653583F5" w14:textId="374A9315" w:rsidR="00417266" w:rsidRPr="00937446" w:rsidRDefault="00417266" w:rsidP="00F10ECA">
      <w:pPr>
        <w:pStyle w:val="a"/>
        <w:numPr>
          <w:ilvl w:val="1"/>
          <w:numId w:val="17"/>
        </w:numPr>
      </w:pPr>
      <w:bookmarkStart w:id="5" w:name="_Toc9150775"/>
      <w:r w:rsidRPr="00F12F5F">
        <w:rPr>
          <w:rFonts w:eastAsiaTheme="minorEastAsia" w:hint="cs"/>
          <w:b/>
          <w:bCs/>
          <w:color w:val="004E6C"/>
          <w:rtl/>
        </w:rPr>
        <w:t>מערכת הבריאות</w:t>
      </w:r>
      <w:r w:rsidRPr="008E3175">
        <w:rPr>
          <w:rFonts w:eastAsiaTheme="minorEastAsia" w:hint="cs"/>
          <w:b/>
          <w:bCs/>
          <w:color w:val="365F91" w:themeColor="accent1" w:themeShade="BF"/>
          <w:rtl/>
        </w:rPr>
        <w:t>:</w:t>
      </w:r>
      <w:bookmarkEnd w:id="5"/>
      <w:r w:rsidRPr="00937446">
        <w:rPr>
          <w:rFonts w:hint="cs"/>
          <w:rtl/>
        </w:rPr>
        <w:t xml:space="preserve"> מערכת הבריאות בישראל מורכבת ממכלול מוסדות: מטה משרד </w:t>
      </w:r>
      <w:r w:rsidRPr="00F10ECA">
        <w:rPr>
          <w:rFonts w:hint="cs"/>
          <w:rtl/>
        </w:rPr>
        <w:t>הבריאות</w:t>
      </w:r>
      <w:r w:rsidRPr="00937446">
        <w:rPr>
          <w:rFonts w:hint="cs"/>
          <w:rtl/>
        </w:rPr>
        <w:t xml:space="preserve"> הוא המאסדר, המנחה והמפקח על מגוון מוסדות הבריאות בארץ. נוסף עליו פזורות ברחבי הארץ לשכות הבריאות, הנותנות מענה לאוכלוסייה המקומית, </w:t>
      </w:r>
      <w:r>
        <w:rPr>
          <w:rFonts w:hint="cs"/>
          <w:rtl/>
        </w:rPr>
        <w:t>ו</w:t>
      </w:r>
      <w:r w:rsidRPr="00937446">
        <w:rPr>
          <w:rFonts w:hint="cs"/>
          <w:rtl/>
        </w:rPr>
        <w:t>עובדיהן הם עובדי משרד</w:t>
      </w:r>
      <w:r>
        <w:rPr>
          <w:rFonts w:hint="cs"/>
          <w:rtl/>
        </w:rPr>
        <w:t xml:space="preserve"> הבריאות</w:t>
      </w:r>
      <w:r w:rsidRPr="00937446">
        <w:rPr>
          <w:rFonts w:hint="cs"/>
          <w:rtl/>
        </w:rPr>
        <w:t xml:space="preserve">. נוסף על כך </w:t>
      </w:r>
      <w:r>
        <w:rPr>
          <w:rFonts w:hint="cs"/>
          <w:rtl/>
        </w:rPr>
        <w:t>פועלות</w:t>
      </w:r>
      <w:r w:rsidRPr="00937446">
        <w:rPr>
          <w:rFonts w:hint="cs"/>
          <w:rtl/>
        </w:rPr>
        <w:t xml:space="preserve"> ארבע קופות חולים, שהן תאגידים רפואיים ללא מטרות רווח, והן מעניקות שירות לאזרחי המדינה על פי חוק בריאות ממלכתי, התשנ"ד-1994. חלק מבתי החולים הם ממשלתיים, ועובדיהם הם עובדי משרד הבריאות. שאר בתי החולים הם בבעלות קופות החולים או בבעלות פרטית או בבעלות רשות מקומית. </w:t>
      </w:r>
    </w:p>
    <w:p w14:paraId="0D82D88F" w14:textId="77777777" w:rsidR="00417266" w:rsidRPr="00C43F1B" w:rsidRDefault="00417266" w:rsidP="00723C1D">
      <w:pPr>
        <w:pStyle w:val="ad"/>
      </w:pPr>
      <w:r w:rsidRPr="00C43F1B">
        <w:rPr>
          <w:rFonts w:hint="cs"/>
          <w:rtl/>
        </w:rPr>
        <w:t xml:space="preserve">הטרדות מיניות במערכת הבריאות </w:t>
      </w:r>
      <w:r>
        <w:rPr>
          <w:rFonts w:hint="cs"/>
          <w:rtl/>
        </w:rPr>
        <w:t>עלולות להתרחש</w:t>
      </w:r>
      <w:r w:rsidRPr="00C43F1B">
        <w:rPr>
          <w:rFonts w:hint="cs"/>
          <w:rtl/>
        </w:rPr>
        <w:t xml:space="preserve"> בין עובדי משרד הבריאות, </w:t>
      </w:r>
      <w:r w:rsidRPr="003414EF">
        <w:rPr>
          <w:rFonts w:hint="cs"/>
          <w:rtl/>
        </w:rPr>
        <w:t>הטרדות של נשות צוות רפואי בידי מטופלים וגם הטרדות של מטופלות בידי מטפלים</w:t>
      </w:r>
      <w:r w:rsidRPr="00C43F1B">
        <w:rPr>
          <w:rFonts w:hint="cs"/>
          <w:rtl/>
        </w:rPr>
        <w:t xml:space="preserve">. </w:t>
      </w:r>
    </w:p>
    <w:p w14:paraId="63B106DF" w14:textId="77777777" w:rsidR="00417266" w:rsidRPr="00C43F1B" w:rsidRDefault="00417266" w:rsidP="00723C1D">
      <w:pPr>
        <w:pStyle w:val="ad"/>
      </w:pPr>
      <w:r w:rsidRPr="00C43F1B">
        <w:rPr>
          <w:rFonts w:hint="cs"/>
          <w:rtl/>
        </w:rPr>
        <w:t>בשנים 201</w:t>
      </w:r>
      <w:r>
        <w:rPr>
          <w:rFonts w:hint="cs"/>
          <w:rtl/>
        </w:rPr>
        <w:t xml:space="preserve">5 </w:t>
      </w:r>
      <w:r w:rsidRPr="00C43F1B">
        <w:rPr>
          <w:rFonts w:hint="cs"/>
          <w:rtl/>
        </w:rPr>
        <w:t>-</w:t>
      </w:r>
      <w:r>
        <w:rPr>
          <w:rFonts w:hint="cs"/>
          <w:rtl/>
        </w:rPr>
        <w:t xml:space="preserve"> </w:t>
      </w:r>
      <w:r w:rsidRPr="00C43F1B">
        <w:rPr>
          <w:rFonts w:hint="cs"/>
          <w:rtl/>
        </w:rPr>
        <w:t>201</w:t>
      </w:r>
      <w:r>
        <w:rPr>
          <w:rFonts w:hint="cs"/>
          <w:rtl/>
        </w:rPr>
        <w:t>7</w:t>
      </w:r>
      <w:r w:rsidRPr="00C43F1B">
        <w:rPr>
          <w:rFonts w:hint="cs"/>
          <w:rtl/>
        </w:rPr>
        <w:t xml:space="preserve"> התקבלו במשרד הבריאות 55 תלונות על הטרדה מינית של מטופלים ומטופלות בידי אנשי הצוות הרפואי, ובארבע קופות החולים - 247 תלונות.</w:t>
      </w:r>
    </w:p>
    <w:p w14:paraId="4F14B21A" w14:textId="77777777" w:rsidR="00417266" w:rsidRPr="00C43F1B" w:rsidRDefault="00417266" w:rsidP="009E2EA7">
      <w:pPr>
        <w:pStyle w:val="ab"/>
      </w:pPr>
      <w:r w:rsidRPr="00C43F1B">
        <w:rPr>
          <w:rFonts w:hint="cs"/>
          <w:rtl/>
        </w:rPr>
        <w:t>ב</w:t>
      </w:r>
      <w:r w:rsidRPr="00C43F1B">
        <w:rPr>
          <w:rFonts w:hint="eastAsia"/>
          <w:rtl/>
        </w:rPr>
        <w:t>משרד</w:t>
      </w:r>
      <w:r w:rsidRPr="00C43F1B">
        <w:rPr>
          <w:rtl/>
        </w:rPr>
        <w:t xml:space="preserve"> הבריאות ל</w:t>
      </w:r>
      <w:r w:rsidRPr="00C43F1B">
        <w:rPr>
          <w:rFonts w:hint="cs"/>
          <w:rtl/>
        </w:rPr>
        <w:t xml:space="preserve">א הוכן </w:t>
      </w:r>
      <w:r w:rsidRPr="00C43F1B">
        <w:rPr>
          <w:rtl/>
        </w:rPr>
        <w:t xml:space="preserve">סקר </w:t>
      </w:r>
      <w:r w:rsidRPr="00C43F1B">
        <w:rPr>
          <w:rFonts w:hint="cs"/>
          <w:rtl/>
        </w:rPr>
        <w:t>מקיף שמ</w:t>
      </w:r>
      <w:r w:rsidRPr="00C43F1B">
        <w:rPr>
          <w:rtl/>
        </w:rPr>
        <w:t xml:space="preserve">מפה </w:t>
      </w:r>
      <w:r w:rsidRPr="00C43F1B">
        <w:rPr>
          <w:rFonts w:hint="cs"/>
          <w:rtl/>
        </w:rPr>
        <w:t xml:space="preserve">ומפלח </w:t>
      </w:r>
      <w:r w:rsidRPr="00C43F1B">
        <w:rPr>
          <w:rtl/>
        </w:rPr>
        <w:t>את תופע</w:t>
      </w:r>
      <w:r w:rsidRPr="00C43F1B">
        <w:rPr>
          <w:rFonts w:hint="cs"/>
          <w:rtl/>
        </w:rPr>
        <w:t>ת ה</w:t>
      </w:r>
      <w:r w:rsidRPr="00C43F1B">
        <w:rPr>
          <w:rtl/>
        </w:rPr>
        <w:t xml:space="preserve">פגיעות </w:t>
      </w:r>
      <w:r w:rsidRPr="00C43F1B">
        <w:rPr>
          <w:rFonts w:hint="cs"/>
          <w:rtl/>
        </w:rPr>
        <w:t>ה</w:t>
      </w:r>
      <w:r w:rsidRPr="00C43F1B">
        <w:rPr>
          <w:rtl/>
        </w:rPr>
        <w:t>מיניות במערכת הבריאות</w:t>
      </w:r>
      <w:r w:rsidRPr="00C43F1B">
        <w:rPr>
          <w:rFonts w:hint="cs"/>
          <w:rtl/>
        </w:rPr>
        <w:t xml:space="preserve"> על כל רבדיה </w:t>
      </w:r>
      <w:r>
        <w:rPr>
          <w:rFonts w:hint="cs"/>
          <w:rtl/>
        </w:rPr>
        <w:t xml:space="preserve">על מנת </w:t>
      </w:r>
      <w:r w:rsidRPr="00C43F1B">
        <w:rPr>
          <w:rFonts w:hint="cs"/>
          <w:rtl/>
        </w:rPr>
        <w:t>לאמוד את ממדיה</w:t>
      </w:r>
      <w:r w:rsidRPr="001132D9">
        <w:rPr>
          <w:rStyle w:val="FootnoteReference"/>
          <w:sz w:val="24"/>
          <w:rtl/>
        </w:rPr>
        <w:footnoteReference w:id="12"/>
      </w:r>
      <w:r w:rsidRPr="001132D9">
        <w:rPr>
          <w:rFonts w:hint="cs"/>
          <w:rtl/>
        </w:rPr>
        <w:t xml:space="preserve">. </w:t>
      </w:r>
    </w:p>
    <w:p w14:paraId="1A1C9C97" w14:textId="77777777" w:rsidR="00417266" w:rsidRPr="009E2EA7" w:rsidRDefault="00417266" w:rsidP="00322998">
      <w:pPr>
        <w:pStyle w:val="a1"/>
      </w:pPr>
      <w:r w:rsidRPr="009E2EA7">
        <w:rPr>
          <w:rtl/>
        </w:rPr>
        <w:t>ביום 9.2.16, בדיון בוועדה לקידום מעמד האישה בכנסת בנושא פגיעות מיניות במטופלות במערכת הבריאות, הוצג סקר שערכה עמותה הפועלת למען צדק חברתי ולמימוש זכויות נשים. הסקר בחן את התקיימותן של שבע התנהגויות המהוות הטרדה מינית וכן אונס במהלך טיפול רפואי. 175 נשים ענו על השאלון בשפה העברית ו-99 נשים ענו על השאלון בשפה הערבית. אלו תוצאות הסקר:</w:t>
      </w:r>
    </w:p>
    <w:p w14:paraId="5FFC9E8D" w14:textId="1F2281C6" w:rsidR="00417266" w:rsidRDefault="00417266" w:rsidP="00DD514C">
      <w:pPr>
        <w:pStyle w:val="a8"/>
        <w:bidi w:val="0"/>
        <w:rPr>
          <w:rtl/>
        </w:rPr>
      </w:pPr>
      <w:r>
        <w:rPr>
          <w:rtl/>
        </w:rPr>
        <w:br w:type="page"/>
      </w:r>
      <w:r>
        <w:rPr>
          <w:rFonts w:hint="cs"/>
          <w:rtl/>
        </w:rPr>
        <w:lastRenderedPageBreak/>
        <w:t>תרשים 6</w:t>
      </w:r>
      <w:r w:rsidRPr="00DD514C">
        <w:rPr>
          <w:rFonts w:hint="cs"/>
          <w:rtl/>
        </w:rPr>
        <w:t xml:space="preserve">: </w:t>
      </w:r>
      <w:r w:rsidRPr="00DD514C">
        <w:rPr>
          <w:b/>
          <w:bCs/>
          <w:rtl/>
        </w:rPr>
        <w:t>דיווחים על פגיעה מינית במהלך טיפול רפואי</w:t>
      </w:r>
    </w:p>
    <w:p w14:paraId="795B77E9" w14:textId="77777777" w:rsidR="00417266" w:rsidRDefault="00417266" w:rsidP="00417266">
      <w:pPr>
        <w:spacing w:line="269" w:lineRule="auto"/>
        <w:jc w:val="center"/>
        <w:rPr>
          <w:rtl/>
        </w:rPr>
      </w:pPr>
      <w:r>
        <w:rPr>
          <w:noProof/>
          <w:rtl/>
        </w:rPr>
        <mc:AlternateContent>
          <mc:Choice Requires="wps">
            <w:drawing>
              <wp:inline distT="0" distB="0" distL="0" distR="0" wp14:anchorId="68EF9C25" wp14:editId="4B461C98">
                <wp:extent cx="2288761" cy="222250"/>
                <wp:effectExtent l="0" t="0" r="16510" b="25400"/>
                <wp:docPr id="2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88761" cy="222250"/>
                        </a:xfrm>
                        <a:prstGeom prst="rect">
                          <a:avLst/>
                        </a:prstGeom>
                        <a:solidFill>
                          <a:srgbClr val="FFFFFF"/>
                        </a:solidFill>
                        <a:ln w="9525">
                          <a:solidFill>
                            <a:srgbClr val="000000"/>
                          </a:solidFill>
                          <a:miter lim="800000"/>
                          <a:headEnd/>
                          <a:tailEnd/>
                        </a:ln>
                      </wps:spPr>
                      <wps:txbx>
                        <w:txbxContent>
                          <w:p w14:paraId="2EF7A44B" w14:textId="77777777" w:rsidR="00492C76" w:rsidRDefault="00492C76" w:rsidP="00B17C66">
                            <w:pPr>
                              <w:pStyle w:val="100"/>
                              <w:jc w:val="center"/>
                              <w:rPr>
                                <w:rtl/>
                                <w:cs/>
                              </w:rPr>
                            </w:pPr>
                            <w:r>
                              <w:rPr>
                                <w:rFonts w:hint="cs"/>
                                <w:rtl/>
                              </w:rPr>
                              <w:t>דוברות עברית</w:t>
                            </w:r>
                          </w:p>
                        </w:txbxContent>
                      </wps:txbx>
                      <wps:bodyPr rot="0" vert="horz" wrap="square" lIns="91440" tIns="45720" rIns="91440" bIns="45720" anchor="t" anchorCtr="0">
                        <a:noAutofit/>
                      </wps:bodyPr>
                    </wps:wsp>
                  </a:graphicData>
                </a:graphic>
              </wp:inline>
            </w:drawing>
          </mc:Choice>
          <mc:Fallback xmlns:w16="http://schemas.microsoft.com/office/word/2018/wordml" xmlns:w16cex="http://schemas.microsoft.com/office/word/2018/wordml/cex">
            <w:pict>
              <v:shape w14:anchorId="68EF9C25" id="תיבת טקסט 2" o:spid="_x0000_s1028" type="#_x0000_t202" style="width:180.2pt;height:17.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">
                <v:textbox>
                  <w:txbxContent>
                    <w:p w14:paraId="2EF7A44B" w14:textId="77777777" w:rsidR="00492C76" w:rsidRDefault="00492C76" w:rsidP="00B17C66">
                      <w:pPr>
                        <w:pStyle w:val="100"/>
                        <w:jc w:val="center"/>
                        <w:rPr>
                          <w:rtl/>
                          <w:cs/>
                        </w:rPr>
                      </w:pPr>
                      <w:r>
                        <w:rPr>
                          <w:rFonts w:hint="cs"/>
                          <w:rtl/>
                        </w:rPr>
                        <w:t>דוברות עברית</w:t>
                      </w:r>
                    </w:p>
                  </w:txbxContent>
                </v:textbox>
                <w10:anchorlock/>
              </v:shape>
            </w:pict>
          </mc:Fallback>
        </mc:AlternateContent>
      </w:r>
      <w:r>
        <w:rPr>
          <w:noProof/>
          <w:rtl/>
        </w:rPr>
        <mc:AlternateContent>
          <mc:Choice Requires="wps">
            <w:drawing>
              <wp:inline distT="0" distB="0" distL="0" distR="0" wp14:anchorId="5BC3D54C" wp14:editId="02DABBE6">
                <wp:extent cx="2401294" cy="222250"/>
                <wp:effectExtent l="0" t="0" r="18415" b="25400"/>
                <wp:docPr id="2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01294" cy="222250"/>
                        </a:xfrm>
                        <a:prstGeom prst="rect">
                          <a:avLst/>
                        </a:prstGeom>
                        <a:solidFill>
                          <a:srgbClr val="FFFFFF"/>
                        </a:solidFill>
                        <a:ln w="9525">
                          <a:solidFill>
                            <a:srgbClr val="000000"/>
                          </a:solidFill>
                          <a:miter lim="800000"/>
                          <a:headEnd/>
                          <a:tailEnd/>
                        </a:ln>
                      </wps:spPr>
                      <wps:txbx>
                        <w:txbxContent>
                          <w:p w14:paraId="14263A8B" w14:textId="77777777" w:rsidR="00492C76" w:rsidRDefault="00492C76" w:rsidP="00B17C66">
                            <w:pPr>
                              <w:pStyle w:val="100"/>
                              <w:jc w:val="center"/>
                              <w:rPr>
                                <w:rtl/>
                                <w:cs/>
                              </w:rPr>
                            </w:pPr>
                            <w:r>
                              <w:rPr>
                                <w:rFonts w:hint="cs"/>
                                <w:rtl/>
                              </w:rPr>
                              <w:t>דוברות ערבית</w:t>
                            </w:r>
                          </w:p>
                        </w:txbxContent>
                      </wps:txbx>
                      <wps:bodyPr rot="0" vert="horz" wrap="square" lIns="91440" tIns="45720" rIns="91440" bIns="45720" anchor="t" anchorCtr="0">
                        <a:noAutofit/>
                      </wps:bodyPr>
                    </wps:wsp>
                  </a:graphicData>
                </a:graphic>
              </wp:inline>
            </w:drawing>
          </mc:Choice>
          <mc:Fallback xmlns:w16="http://schemas.microsoft.com/office/word/2018/wordml" xmlns:w16cex="http://schemas.microsoft.com/office/word/2018/wordml/cex">
            <w:pict>
              <v:shape w14:anchorId="5BC3D54C" id="_x0000_s1029" type="#_x0000_t202" style="width:189.1pt;height:17.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">
                <v:textbox>
                  <w:txbxContent>
                    <w:p w14:paraId="14263A8B" w14:textId="77777777" w:rsidR="00492C76" w:rsidRDefault="00492C76" w:rsidP="00B17C66">
                      <w:pPr>
                        <w:pStyle w:val="100"/>
                        <w:jc w:val="center"/>
                        <w:rPr>
                          <w:rtl/>
                          <w:cs/>
                        </w:rPr>
                      </w:pPr>
                      <w:r>
                        <w:rPr>
                          <w:rFonts w:hint="cs"/>
                          <w:rtl/>
                        </w:rPr>
                        <w:t>דוברות ערבית</w:t>
                      </w:r>
                    </w:p>
                  </w:txbxContent>
                </v:textbox>
                <w10:anchorlock/>
              </v:shape>
            </w:pict>
          </mc:Fallback>
        </mc:AlternateContent>
      </w:r>
      <w:r>
        <w:rPr>
          <w:noProof/>
          <w:szCs w:val="20"/>
          <w:rtl/>
        </w:rPr>
        <w:drawing>
          <wp:inline distT="0" distB="0" distL="0" distR="0" wp14:anchorId="1C6720A0" wp14:editId="7062FE74">
            <wp:extent cx="2297430" cy="2476500"/>
            <wp:effectExtent l="0" t="0" r="0" b="0"/>
            <wp:docPr id="219" name="תרשים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szCs w:val="20"/>
          <w:rtl/>
        </w:rPr>
        <w:drawing>
          <wp:inline distT="0" distB="0" distL="0" distR="0" wp14:anchorId="3D2C6289" wp14:editId="4AF240AE">
            <wp:extent cx="2439670" cy="2486025"/>
            <wp:effectExtent l="0" t="0" r="17780" b="9525"/>
            <wp:docPr id="220" name="תרשים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5142D0A" w14:textId="77777777" w:rsidR="00417266" w:rsidRDefault="00417266" w:rsidP="00417266">
      <w:pPr>
        <w:pStyle w:val="ListParagraph"/>
        <w:spacing w:line="269" w:lineRule="auto"/>
        <w:ind w:left="709"/>
        <w:jc w:val="center"/>
        <w:rPr>
          <w:szCs w:val="20"/>
          <w:rtl/>
        </w:rPr>
      </w:pPr>
      <w:r>
        <w:rPr>
          <w:noProof/>
          <w:szCs w:val="20"/>
        </w:rPr>
        <w:drawing>
          <wp:inline distT="0" distB="0" distL="0" distR="0" wp14:anchorId="56B4CC22" wp14:editId="71081C93">
            <wp:extent cx="3196590" cy="862965"/>
            <wp:effectExtent l="0" t="0" r="3810" b="0"/>
            <wp:docPr id="43"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6590" cy="862965"/>
                    </a:xfrm>
                    <a:prstGeom prst="rect">
                      <a:avLst/>
                    </a:prstGeom>
                    <a:noFill/>
                    <a:ln>
                      <a:noFill/>
                    </a:ln>
                  </pic:spPr>
                </pic:pic>
              </a:graphicData>
            </a:graphic>
          </wp:inline>
        </w:drawing>
      </w:r>
    </w:p>
    <w:p w14:paraId="3210BB2A" w14:textId="77777777" w:rsidR="00417266" w:rsidRPr="000A7028" w:rsidRDefault="00417266" w:rsidP="00B17C66">
      <w:pPr>
        <w:pStyle w:val="aa"/>
      </w:pPr>
      <w:r>
        <w:rPr>
          <w:rFonts w:hint="cs"/>
          <w:rtl/>
        </w:rPr>
        <w:t>על פי נתוני סקר העמותה</w:t>
      </w:r>
      <w:r w:rsidRPr="008C7017">
        <w:rPr>
          <w:rtl/>
        </w:rPr>
        <w:t xml:space="preserve"> הפועלת למען צדק חברתי ולמימוש זכויות נשים</w:t>
      </w:r>
      <w:r>
        <w:rPr>
          <w:rFonts w:hint="cs"/>
          <w:rtl/>
        </w:rPr>
        <w:t xml:space="preserve">, </w:t>
      </w:r>
      <w:r w:rsidRPr="000A7028">
        <w:rPr>
          <w:rFonts w:hint="eastAsia"/>
          <w:rtl/>
        </w:rPr>
        <w:t>בעיבוד</w:t>
      </w:r>
      <w:r w:rsidRPr="000A7028">
        <w:rPr>
          <w:rtl/>
        </w:rPr>
        <w:t xml:space="preserve"> </w:t>
      </w:r>
      <w:r w:rsidRPr="000A7028">
        <w:rPr>
          <w:rFonts w:hint="eastAsia"/>
          <w:rtl/>
        </w:rPr>
        <w:t>משרד</w:t>
      </w:r>
      <w:r w:rsidRPr="000A7028">
        <w:rPr>
          <w:rtl/>
        </w:rPr>
        <w:t xml:space="preserve"> </w:t>
      </w:r>
      <w:r w:rsidRPr="000A7028">
        <w:rPr>
          <w:rFonts w:hint="eastAsia"/>
          <w:rtl/>
        </w:rPr>
        <w:t>מבקר</w:t>
      </w:r>
      <w:r w:rsidRPr="000A7028">
        <w:rPr>
          <w:rtl/>
        </w:rPr>
        <w:t xml:space="preserve"> </w:t>
      </w:r>
      <w:r w:rsidRPr="000A7028">
        <w:rPr>
          <w:rFonts w:hint="eastAsia"/>
          <w:rtl/>
        </w:rPr>
        <w:t>המדינה</w:t>
      </w:r>
      <w:r w:rsidRPr="000A7028">
        <w:rPr>
          <w:rtl/>
        </w:rPr>
        <w:t>.</w:t>
      </w:r>
    </w:p>
    <w:p w14:paraId="46E90EA1" w14:textId="3EBA0F11" w:rsidR="00417266" w:rsidRPr="003660CC" w:rsidRDefault="00417266" w:rsidP="00417266">
      <w:pPr>
        <w:spacing w:line="269" w:lineRule="auto"/>
        <w:rPr>
          <w:rtl/>
        </w:rPr>
      </w:pPr>
    </w:p>
    <w:p w14:paraId="75E2FE31" w14:textId="77777777" w:rsidR="00417266" w:rsidRDefault="00417266" w:rsidP="00B17C66">
      <w:pPr>
        <w:pStyle w:val="ad"/>
      </w:pPr>
      <w:r>
        <w:rPr>
          <w:rFonts w:hint="cs"/>
          <w:rtl/>
        </w:rPr>
        <w:t>נוסף על מספר הנפגעות המופיע בתרשים, כ-10% מהמשיבות דיווחו על חוויה שלילית בעלת גוון מיני שלא הופיעה בשאלון. 20 נשים (כ-21% מהמדווחות על פגיעה מינית) פנו לגורם מטפל.</w:t>
      </w:r>
    </w:p>
    <w:p w14:paraId="1C46494A" w14:textId="77777777" w:rsidR="00417266" w:rsidRPr="00C43F1B" w:rsidRDefault="00417266" w:rsidP="00B17C66">
      <w:pPr>
        <w:pStyle w:val="ab"/>
        <w:rPr>
          <w:rtl/>
        </w:rPr>
      </w:pPr>
      <w:r w:rsidRPr="00C43F1B">
        <w:rPr>
          <w:rFonts w:hint="eastAsia"/>
          <w:rtl/>
        </w:rPr>
        <w:t>בדיון</w:t>
      </w:r>
      <w:r w:rsidRPr="00C43F1B">
        <w:rPr>
          <w:rtl/>
        </w:rPr>
        <w:t xml:space="preserve"> </w:t>
      </w:r>
      <w:r>
        <w:rPr>
          <w:rFonts w:hint="cs"/>
          <w:rtl/>
        </w:rPr>
        <w:t>עמדה</w:t>
      </w:r>
      <w:r w:rsidRPr="00C43F1B">
        <w:rPr>
          <w:rFonts w:hint="cs"/>
          <w:rtl/>
        </w:rPr>
        <w:t xml:space="preserve"> </w:t>
      </w:r>
      <w:r w:rsidRPr="00C43F1B">
        <w:rPr>
          <w:rtl/>
        </w:rPr>
        <w:t>ה</w:t>
      </w:r>
      <w:r w:rsidRPr="00C43F1B">
        <w:rPr>
          <w:rFonts w:hint="eastAsia"/>
          <w:rtl/>
        </w:rPr>
        <w:t>וועדה</w:t>
      </w:r>
      <w:r w:rsidRPr="00C43F1B">
        <w:rPr>
          <w:rtl/>
        </w:rPr>
        <w:t xml:space="preserve"> </w:t>
      </w:r>
      <w:r>
        <w:rPr>
          <w:rFonts w:hint="cs"/>
          <w:rtl/>
        </w:rPr>
        <w:t>על הצורך ש</w:t>
      </w:r>
      <w:r w:rsidRPr="00C43F1B">
        <w:rPr>
          <w:rFonts w:hint="eastAsia"/>
          <w:rtl/>
        </w:rPr>
        <w:t>משרד</w:t>
      </w:r>
      <w:r w:rsidRPr="00C43F1B">
        <w:rPr>
          <w:rtl/>
        </w:rPr>
        <w:t xml:space="preserve"> הבריאות </w:t>
      </w:r>
      <w:r>
        <w:rPr>
          <w:rFonts w:hint="cs"/>
          <w:rtl/>
        </w:rPr>
        <w:t>י</w:t>
      </w:r>
      <w:r w:rsidRPr="00C43F1B">
        <w:rPr>
          <w:rtl/>
        </w:rPr>
        <w:t xml:space="preserve">כיר בחיוניות עריכתו של סקר לאומי אשר </w:t>
      </w:r>
      <w:r w:rsidRPr="00C43F1B">
        <w:rPr>
          <w:rFonts w:hint="cs"/>
          <w:rtl/>
        </w:rPr>
        <w:t xml:space="preserve">יאמוד </w:t>
      </w:r>
      <w:r w:rsidRPr="00C43F1B">
        <w:rPr>
          <w:rtl/>
        </w:rPr>
        <w:t xml:space="preserve">את ממדי התופעה של פגיעות מיניות במערכת הבריאות. </w:t>
      </w:r>
      <w:r>
        <w:rPr>
          <w:rFonts w:hint="cs"/>
          <w:rtl/>
        </w:rPr>
        <w:t>ב</w:t>
      </w:r>
      <w:r w:rsidRPr="00C43F1B">
        <w:rPr>
          <w:rFonts w:hint="eastAsia"/>
          <w:rtl/>
        </w:rPr>
        <w:t>מועד</w:t>
      </w:r>
      <w:r w:rsidRPr="00C43F1B">
        <w:rPr>
          <w:rtl/>
        </w:rPr>
        <w:t xml:space="preserve"> </w:t>
      </w:r>
      <w:r w:rsidRPr="00C43F1B">
        <w:rPr>
          <w:rFonts w:hint="eastAsia"/>
          <w:rtl/>
        </w:rPr>
        <w:t>סיום</w:t>
      </w:r>
      <w:r w:rsidRPr="00C43F1B">
        <w:rPr>
          <w:rtl/>
        </w:rPr>
        <w:t xml:space="preserve"> </w:t>
      </w:r>
      <w:r w:rsidRPr="00C43F1B">
        <w:rPr>
          <w:rFonts w:hint="eastAsia"/>
          <w:rtl/>
        </w:rPr>
        <w:t>הביקורת</w:t>
      </w:r>
      <w:r w:rsidRPr="00C43F1B">
        <w:rPr>
          <w:rtl/>
        </w:rPr>
        <w:t xml:space="preserve"> </w:t>
      </w:r>
      <w:r>
        <w:rPr>
          <w:rFonts w:hint="cs"/>
          <w:rtl/>
        </w:rPr>
        <w:t>טרם</w:t>
      </w:r>
      <w:r w:rsidRPr="00C43F1B">
        <w:rPr>
          <w:rFonts w:hint="cs"/>
          <w:rtl/>
        </w:rPr>
        <w:t xml:space="preserve"> נעשה </w:t>
      </w:r>
      <w:r w:rsidRPr="00C43F1B">
        <w:rPr>
          <w:rFonts w:hint="eastAsia"/>
          <w:rtl/>
        </w:rPr>
        <w:t>סקר</w:t>
      </w:r>
      <w:r w:rsidRPr="00C43F1B">
        <w:rPr>
          <w:rtl/>
        </w:rPr>
        <w:t xml:space="preserve"> </w:t>
      </w:r>
      <w:r w:rsidRPr="00C43F1B">
        <w:rPr>
          <w:rFonts w:hint="eastAsia"/>
          <w:rtl/>
        </w:rPr>
        <w:t>כזה</w:t>
      </w:r>
      <w:r w:rsidRPr="00C43F1B">
        <w:rPr>
          <w:rtl/>
        </w:rPr>
        <w:t>.</w:t>
      </w:r>
    </w:p>
    <w:p w14:paraId="0ABAD7FC" w14:textId="77777777" w:rsidR="00417266" w:rsidRDefault="00417266" w:rsidP="00322998">
      <w:pPr>
        <w:pStyle w:val="a1"/>
      </w:pPr>
      <w:r w:rsidRPr="00C43F1B">
        <w:rPr>
          <w:rFonts w:hint="eastAsia"/>
          <w:rtl/>
        </w:rPr>
        <w:t>בשנת</w:t>
      </w:r>
      <w:r w:rsidRPr="00C43F1B">
        <w:rPr>
          <w:rtl/>
        </w:rPr>
        <w:t xml:space="preserve"> 2015 התפרסם מחקר</w:t>
      </w:r>
      <w:r w:rsidRPr="00C43F1B">
        <w:rPr>
          <w:rFonts w:hint="cs"/>
          <w:rtl/>
        </w:rPr>
        <w:t xml:space="preserve"> </w:t>
      </w:r>
      <w:r w:rsidRPr="00C43F1B">
        <w:rPr>
          <w:rtl/>
        </w:rPr>
        <w:t xml:space="preserve">אשר בדק את החשיפה של </w:t>
      </w:r>
      <w:r w:rsidRPr="00C43F1B">
        <w:rPr>
          <w:rFonts w:hint="cs"/>
          <w:rtl/>
        </w:rPr>
        <w:t>נשים</w:t>
      </w:r>
      <w:r w:rsidRPr="00C43F1B">
        <w:rPr>
          <w:rtl/>
        </w:rPr>
        <w:t xml:space="preserve"> </w:t>
      </w:r>
      <w:r w:rsidRPr="00C43F1B">
        <w:rPr>
          <w:rFonts w:hint="cs"/>
          <w:rtl/>
        </w:rPr>
        <w:t>ב</w:t>
      </w:r>
      <w:r w:rsidRPr="00C43F1B">
        <w:rPr>
          <w:rFonts w:hint="eastAsia"/>
          <w:rtl/>
        </w:rPr>
        <w:t>צוות</w:t>
      </w:r>
      <w:r w:rsidRPr="00C43F1B">
        <w:rPr>
          <w:rFonts w:hint="cs"/>
          <w:rtl/>
        </w:rPr>
        <w:t>ים</w:t>
      </w:r>
      <w:r w:rsidRPr="00C43F1B">
        <w:rPr>
          <w:rtl/>
        </w:rPr>
        <w:t xml:space="preserve"> הרפואי</w:t>
      </w:r>
      <w:r w:rsidRPr="00C43F1B">
        <w:rPr>
          <w:rFonts w:hint="cs"/>
          <w:rtl/>
        </w:rPr>
        <w:t>ים</w:t>
      </w:r>
      <w:r w:rsidRPr="00C43F1B">
        <w:rPr>
          <w:rtl/>
        </w:rPr>
        <w:t xml:space="preserve"> (רופאות ואחיות) להטרדות מיניות </w:t>
      </w:r>
      <w:r w:rsidRPr="00C43F1B">
        <w:rPr>
          <w:rFonts w:hint="cs"/>
          <w:rtl/>
        </w:rPr>
        <w:t xml:space="preserve">של </w:t>
      </w:r>
      <w:r w:rsidRPr="00C43F1B">
        <w:rPr>
          <w:rtl/>
        </w:rPr>
        <w:t>מטופלים ומלוויהם</w:t>
      </w:r>
      <w:r w:rsidRPr="00C43F1B">
        <w:rPr>
          <w:vertAlign w:val="superscript"/>
          <w:rtl/>
        </w:rPr>
        <w:footnoteReference w:id="13"/>
      </w:r>
      <w:r w:rsidRPr="00C43F1B">
        <w:rPr>
          <w:rtl/>
        </w:rPr>
        <w:t xml:space="preserve">. במסגרת המחקר הופצו שאלונים </w:t>
      </w:r>
      <w:r w:rsidRPr="00C43F1B">
        <w:rPr>
          <w:rFonts w:hint="cs"/>
          <w:rtl/>
        </w:rPr>
        <w:t>בקרב</w:t>
      </w:r>
      <w:r w:rsidRPr="00C43F1B">
        <w:rPr>
          <w:rtl/>
        </w:rPr>
        <w:t xml:space="preserve"> </w:t>
      </w:r>
      <w:r>
        <w:rPr>
          <w:rFonts w:hint="cs"/>
          <w:rtl/>
        </w:rPr>
        <w:t>434</w:t>
      </w:r>
      <w:r>
        <w:rPr>
          <w:rtl/>
        </w:rPr>
        <w:t xml:space="preserve"> רופאות</w:t>
      </w:r>
      <w:r>
        <w:rPr>
          <w:rFonts w:hint="cs"/>
          <w:rtl/>
        </w:rPr>
        <w:t>,</w:t>
      </w:r>
      <w:r>
        <w:rPr>
          <w:rtl/>
        </w:rPr>
        <w:t xml:space="preserve"> </w:t>
      </w:r>
      <w:r w:rsidRPr="00C43F1B">
        <w:rPr>
          <w:rtl/>
        </w:rPr>
        <w:t>אחיות</w:t>
      </w:r>
      <w:r>
        <w:rPr>
          <w:rFonts w:hint="cs"/>
          <w:rtl/>
        </w:rPr>
        <w:t xml:space="preserve"> ונשות כוח עזר רפואי</w:t>
      </w:r>
      <w:r w:rsidRPr="00C43F1B">
        <w:rPr>
          <w:rtl/>
        </w:rPr>
        <w:t xml:space="preserve"> בשלושה בתי חולים במרכז הארץ</w:t>
      </w:r>
      <w:r w:rsidRPr="00C43F1B">
        <w:rPr>
          <w:rFonts w:hint="cs"/>
          <w:rtl/>
        </w:rPr>
        <w:t>.</w:t>
      </w:r>
      <w:r w:rsidRPr="00C43F1B">
        <w:rPr>
          <w:rtl/>
        </w:rPr>
        <w:t xml:space="preserve"> </w:t>
      </w:r>
      <w:r>
        <w:rPr>
          <w:rFonts w:hint="cs"/>
          <w:rtl/>
        </w:rPr>
        <w:t xml:space="preserve">411 משתתפות השיבו כי נחשפו להטרדות מיניות של מטופלים ומלוויהם. אלו תוצאות המחקר: </w:t>
      </w:r>
    </w:p>
    <w:p w14:paraId="40C8F8E8" w14:textId="1C3B2AB9" w:rsidR="00417266" w:rsidRPr="008F71BC" w:rsidRDefault="00417266" w:rsidP="008F71BC">
      <w:pPr>
        <w:pStyle w:val="a8"/>
        <w:bidi w:val="0"/>
        <w:rPr>
          <w:b/>
          <w:bCs/>
          <w:rtl/>
        </w:rPr>
      </w:pPr>
      <w:r>
        <w:rPr>
          <w:rtl/>
        </w:rPr>
        <w:br w:type="page"/>
      </w:r>
      <w:r>
        <w:rPr>
          <w:rFonts w:hint="cs"/>
          <w:rtl/>
        </w:rPr>
        <w:lastRenderedPageBreak/>
        <w:t>לוח 4</w:t>
      </w:r>
      <w:r w:rsidRPr="008F71BC">
        <w:rPr>
          <w:rFonts w:hint="cs"/>
          <w:rtl/>
        </w:rPr>
        <w:t>:</w:t>
      </w:r>
      <w:r w:rsidRPr="008F71BC">
        <w:rPr>
          <w:rFonts w:hint="cs"/>
          <w:b/>
          <w:bCs/>
          <w:rtl/>
        </w:rPr>
        <w:t xml:space="preserve"> </w:t>
      </w:r>
      <w:r w:rsidRPr="008F71BC">
        <w:rPr>
          <w:b/>
          <w:bCs/>
          <w:rtl/>
        </w:rPr>
        <w:t>חשיפת נשות צוות רפואי להטרדות מיניות של מטופלים ומלוויהם</w:t>
      </w:r>
      <w:r w:rsidRPr="008F71BC">
        <w:rPr>
          <w:rFonts w:hint="cs"/>
          <w:b/>
          <w:bCs/>
          <w:rtl/>
        </w:rPr>
        <w:t xml:space="preserve"> (באחוזים)</w:t>
      </w:r>
      <w:r w:rsidRPr="008F71BC">
        <w:rPr>
          <w:rStyle w:val="FootnoteReference"/>
          <w:b/>
          <w:bCs/>
          <w:rtl/>
        </w:rPr>
        <w:footnoteReference w:id="14"/>
      </w:r>
    </w:p>
    <w:p w14:paraId="7901AE2D" w14:textId="0093B07E" w:rsidR="00417266" w:rsidRDefault="00F21A12" w:rsidP="00426862">
      <w:pPr>
        <w:pStyle w:val="a8"/>
        <w:rPr>
          <w:rtl/>
        </w:rPr>
      </w:pPr>
      <w:r w:rsidRPr="00F96854">
        <w:rPr>
          <w:noProof/>
          <w:rtl/>
        </w:rPr>
        <w:drawing>
          <wp:inline distT="0" distB="0" distL="0" distR="0" wp14:anchorId="3CE69163" wp14:editId="210425C2">
            <wp:extent cx="5219700" cy="3133500"/>
            <wp:effectExtent l="0" t="0" r="0" b="0"/>
            <wp:docPr id="621" name="תמונה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55167" name="Picture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219700" cy="3133500"/>
                    </a:xfrm>
                    <a:prstGeom prst="rect">
                      <a:avLst/>
                    </a:prstGeom>
                    <a:noFill/>
                    <a:ln>
                      <a:noFill/>
                    </a:ln>
                  </pic:spPr>
                </pic:pic>
              </a:graphicData>
            </a:graphic>
          </wp:inline>
        </w:drawing>
      </w:r>
    </w:p>
    <w:p w14:paraId="5083E2A4" w14:textId="203E8081" w:rsidR="00417266" w:rsidRPr="00702AB6" w:rsidRDefault="00417266" w:rsidP="006E663F">
      <w:pPr>
        <w:pStyle w:val="aa"/>
        <w:rPr>
          <w:rtl/>
        </w:rPr>
      </w:pPr>
      <w:r w:rsidRPr="00702AB6">
        <w:rPr>
          <w:rFonts w:hint="cs"/>
          <w:rtl/>
        </w:rPr>
        <w:t>על פי נתוני המחקר, בעיבוד משרד מבקר המדינה.</w:t>
      </w:r>
    </w:p>
    <w:p w14:paraId="6E9A95CD" w14:textId="4ED0183B" w:rsidR="00417266" w:rsidRDefault="00417266" w:rsidP="00417266">
      <w:pPr>
        <w:spacing w:line="269" w:lineRule="auto"/>
        <w:rPr>
          <w:rtl/>
        </w:rPr>
      </w:pPr>
    </w:p>
    <w:p w14:paraId="3B71CCB7" w14:textId="77777777" w:rsidR="00417266" w:rsidRPr="00662B89" w:rsidRDefault="00417266" w:rsidP="008D42F6">
      <w:pPr>
        <w:pStyle w:val="af0"/>
        <w:rPr>
          <w:rtl/>
        </w:rPr>
      </w:pPr>
      <w:r>
        <w:rPr>
          <w:rFonts w:hint="cs"/>
          <w:rtl/>
        </w:rPr>
        <w:t xml:space="preserve">מן הנתונים עולה כי הטרדות מיניות של נשות צוות רפואי בידי מטופלים ומלוויהם עלולות לקרות לכל אחת מנשות הצוות הרפואי, אך קיימת שונות בסוג ההתנהגות השכיח כלפי כל בעלת תפקיד. לדוגמה: רופאות יסבלו יותר מבעלות תפקיד אחרות מאמירות בעלות אופי מיני. ואילו נשות כוח עזר יסבלו יותר מבעלות תפקיד אחרות ממגע מיני לא רצוי. מעט </w:t>
      </w:r>
      <w:r w:rsidRPr="00C43F1B">
        <w:rPr>
          <w:rtl/>
        </w:rPr>
        <w:t xml:space="preserve">משתתפות </w:t>
      </w:r>
      <w:r>
        <w:rPr>
          <w:rFonts w:hint="cs"/>
          <w:rtl/>
        </w:rPr>
        <w:t xml:space="preserve">במחקר (לא צוין מספר מדויק) </w:t>
      </w:r>
      <w:r w:rsidRPr="00C43F1B">
        <w:rPr>
          <w:rtl/>
        </w:rPr>
        <w:t xml:space="preserve">ציינו כי קיבלו הדרכה </w:t>
      </w:r>
      <w:r w:rsidRPr="00C43F1B">
        <w:rPr>
          <w:rFonts w:hint="cs"/>
          <w:rtl/>
        </w:rPr>
        <w:t xml:space="preserve">בנושא </w:t>
      </w:r>
      <w:r w:rsidRPr="00C43F1B">
        <w:rPr>
          <w:rtl/>
        </w:rPr>
        <w:t>החוק למניעת הטרדה מינית והדרכים להתמודדות עם ההטרדה</w:t>
      </w:r>
      <w:r w:rsidRPr="00C43F1B">
        <w:rPr>
          <w:rFonts w:hint="cs"/>
          <w:rtl/>
        </w:rPr>
        <w:t>.</w:t>
      </w:r>
      <w:r>
        <w:rPr>
          <w:rFonts w:hint="cs"/>
          <w:rtl/>
        </w:rPr>
        <w:t xml:space="preserve"> </w:t>
      </w:r>
    </w:p>
    <w:p w14:paraId="53705F5D" w14:textId="77777777" w:rsidR="00417266" w:rsidRPr="00C43F1B" w:rsidRDefault="00417266" w:rsidP="006E663F">
      <w:pPr>
        <w:pStyle w:val="a1"/>
      </w:pPr>
      <w:r w:rsidRPr="00C43F1B">
        <w:rPr>
          <w:rFonts w:hint="eastAsia"/>
          <w:rtl/>
        </w:rPr>
        <w:t>בשנת</w:t>
      </w:r>
      <w:r w:rsidRPr="00C43F1B">
        <w:rPr>
          <w:rtl/>
        </w:rPr>
        <w:t xml:space="preserve"> 2017 </w:t>
      </w:r>
      <w:r w:rsidRPr="00C43F1B">
        <w:rPr>
          <w:rFonts w:hint="eastAsia"/>
          <w:rtl/>
        </w:rPr>
        <w:t>הפיצה</w:t>
      </w:r>
      <w:r w:rsidRPr="00C43F1B">
        <w:rPr>
          <w:rtl/>
        </w:rPr>
        <w:t xml:space="preserve"> </w:t>
      </w:r>
      <w:r w:rsidRPr="00C43F1B">
        <w:rPr>
          <w:rFonts w:hint="eastAsia"/>
          <w:rtl/>
        </w:rPr>
        <w:t>קרן</w:t>
      </w:r>
      <w:r w:rsidRPr="00C43F1B">
        <w:rPr>
          <w:rtl/>
        </w:rPr>
        <w:t xml:space="preserve"> </w:t>
      </w:r>
      <w:r w:rsidRPr="00C43F1B">
        <w:rPr>
          <w:rFonts w:hint="cs"/>
          <w:rtl/>
        </w:rPr>
        <w:t>פרטית</w:t>
      </w:r>
      <w:r w:rsidRPr="00C43F1B">
        <w:rPr>
          <w:rtl/>
        </w:rPr>
        <w:t xml:space="preserve"> </w:t>
      </w:r>
      <w:r>
        <w:rPr>
          <w:rFonts w:hint="cs"/>
          <w:rtl/>
        </w:rPr>
        <w:t xml:space="preserve">(חל"צ) </w:t>
      </w:r>
      <w:r w:rsidRPr="00C43F1B">
        <w:rPr>
          <w:rFonts w:hint="cs"/>
          <w:rtl/>
        </w:rPr>
        <w:t xml:space="preserve">שהוקמה כדי לשפר את השירות </w:t>
      </w:r>
      <w:r>
        <w:rPr>
          <w:rFonts w:hint="cs"/>
          <w:rtl/>
        </w:rPr>
        <w:t>ו</w:t>
      </w:r>
      <w:r w:rsidRPr="00C43F1B">
        <w:rPr>
          <w:rFonts w:hint="cs"/>
          <w:rtl/>
        </w:rPr>
        <w:t xml:space="preserve">הטיפול שנשים מקבלות במערכת הבריאות </w:t>
      </w:r>
      <w:r w:rsidRPr="00C43F1B">
        <w:rPr>
          <w:rFonts w:hint="eastAsia"/>
          <w:rtl/>
        </w:rPr>
        <w:t>שאלון</w:t>
      </w:r>
      <w:r w:rsidRPr="00C43F1B">
        <w:rPr>
          <w:rtl/>
        </w:rPr>
        <w:t xml:space="preserve"> </w:t>
      </w:r>
      <w:r w:rsidRPr="00C43F1B">
        <w:rPr>
          <w:rFonts w:hint="cs"/>
          <w:rtl/>
        </w:rPr>
        <w:t>במרשתת</w:t>
      </w:r>
      <w:r>
        <w:rPr>
          <w:rFonts w:hint="cs"/>
          <w:rtl/>
        </w:rPr>
        <w:t>,</w:t>
      </w:r>
      <w:r w:rsidRPr="00C43F1B">
        <w:rPr>
          <w:rFonts w:hint="cs"/>
          <w:rtl/>
        </w:rPr>
        <w:t xml:space="preserve"> ו</w:t>
      </w:r>
      <w:r w:rsidRPr="00C43F1B">
        <w:rPr>
          <w:rFonts w:hint="eastAsia"/>
          <w:rtl/>
        </w:rPr>
        <w:t>בו</w:t>
      </w:r>
      <w:r w:rsidRPr="00C43F1B">
        <w:rPr>
          <w:rtl/>
        </w:rPr>
        <w:t xml:space="preserve"> </w:t>
      </w:r>
      <w:r w:rsidRPr="00C43F1B">
        <w:rPr>
          <w:rFonts w:hint="eastAsia"/>
          <w:rtl/>
        </w:rPr>
        <w:t>השתתפו</w:t>
      </w:r>
      <w:r w:rsidRPr="00C43F1B">
        <w:t xml:space="preserve"> </w:t>
      </w:r>
      <w:r w:rsidRPr="00C43F1B">
        <w:rPr>
          <w:rtl/>
        </w:rPr>
        <w:t xml:space="preserve">6,508 </w:t>
      </w:r>
      <w:r w:rsidRPr="00C43F1B">
        <w:rPr>
          <w:rFonts w:hint="eastAsia"/>
          <w:rtl/>
        </w:rPr>
        <w:t>נשים</w:t>
      </w:r>
      <w:r w:rsidRPr="00C43F1B">
        <w:t xml:space="preserve"> </w:t>
      </w:r>
      <w:r w:rsidRPr="00C43F1B">
        <w:rPr>
          <w:rFonts w:hint="eastAsia"/>
          <w:rtl/>
        </w:rPr>
        <w:t>ממגוון</w:t>
      </w:r>
      <w:r w:rsidRPr="00C43F1B">
        <w:t xml:space="preserve"> </w:t>
      </w:r>
      <w:r w:rsidRPr="00C43F1B">
        <w:rPr>
          <w:rFonts w:hint="eastAsia"/>
          <w:rtl/>
        </w:rPr>
        <w:t>גילאים</w:t>
      </w:r>
      <w:r w:rsidRPr="00C43F1B">
        <w:t xml:space="preserve"> </w:t>
      </w:r>
      <w:r w:rsidRPr="00C43F1B">
        <w:rPr>
          <w:rFonts w:hint="eastAsia"/>
          <w:rtl/>
        </w:rPr>
        <w:t>ומגזרים</w:t>
      </w:r>
      <w:r w:rsidRPr="00C43F1B">
        <w:rPr>
          <w:rtl/>
        </w:rPr>
        <w:t>.</w:t>
      </w:r>
      <w:r>
        <w:rPr>
          <w:rFonts w:hint="cs"/>
          <w:rtl/>
        </w:rPr>
        <w:t xml:space="preserve"> </w:t>
      </w:r>
      <w:r w:rsidRPr="00AC53DC">
        <w:rPr>
          <w:rFonts w:hint="cs"/>
          <w:rtl/>
        </w:rPr>
        <w:t>מטרת השאלון ה</w:t>
      </w:r>
      <w:r>
        <w:rPr>
          <w:rFonts w:hint="cs"/>
          <w:rtl/>
        </w:rPr>
        <w:t>י</w:t>
      </w:r>
      <w:r w:rsidRPr="00AC53DC">
        <w:rPr>
          <w:rFonts w:hint="cs"/>
          <w:rtl/>
        </w:rPr>
        <w:t xml:space="preserve">יתה </w:t>
      </w:r>
      <w:r w:rsidRPr="009F6279">
        <w:rPr>
          <w:rFonts w:hint="eastAsia"/>
          <w:rtl/>
        </w:rPr>
        <w:t>לזהות</w:t>
      </w:r>
      <w:r w:rsidRPr="009F6279">
        <w:rPr>
          <w:rtl/>
        </w:rPr>
        <w:t xml:space="preserve"> </w:t>
      </w:r>
      <w:r w:rsidRPr="009F6279">
        <w:rPr>
          <w:rFonts w:hint="eastAsia"/>
          <w:rtl/>
        </w:rPr>
        <w:t>צרכים</w:t>
      </w:r>
      <w:r w:rsidRPr="009F6279">
        <w:rPr>
          <w:rtl/>
        </w:rPr>
        <w:t xml:space="preserve"> </w:t>
      </w:r>
      <w:r w:rsidRPr="009F6279">
        <w:rPr>
          <w:rFonts w:hint="eastAsia"/>
          <w:rtl/>
        </w:rPr>
        <w:t>ורצונות</w:t>
      </w:r>
      <w:r w:rsidRPr="009F6279">
        <w:rPr>
          <w:rtl/>
        </w:rPr>
        <w:t xml:space="preserve"> </w:t>
      </w:r>
      <w:r w:rsidRPr="009F6279">
        <w:rPr>
          <w:rFonts w:hint="eastAsia"/>
          <w:rtl/>
        </w:rPr>
        <w:t>של</w:t>
      </w:r>
      <w:r w:rsidRPr="009F6279">
        <w:rPr>
          <w:rtl/>
        </w:rPr>
        <w:t xml:space="preserve"> </w:t>
      </w:r>
      <w:r w:rsidRPr="009F6279">
        <w:rPr>
          <w:rFonts w:hint="eastAsia"/>
          <w:rtl/>
        </w:rPr>
        <w:t>נשים</w:t>
      </w:r>
      <w:r w:rsidRPr="009F6279">
        <w:rPr>
          <w:rtl/>
        </w:rPr>
        <w:t xml:space="preserve"> </w:t>
      </w:r>
      <w:r>
        <w:rPr>
          <w:rFonts w:hint="cs"/>
          <w:rtl/>
        </w:rPr>
        <w:t>בנוגע</w:t>
      </w:r>
      <w:r w:rsidRPr="009F6279">
        <w:rPr>
          <w:rtl/>
        </w:rPr>
        <w:t xml:space="preserve"> </w:t>
      </w:r>
      <w:r w:rsidRPr="009F6279">
        <w:rPr>
          <w:rFonts w:hint="eastAsia"/>
          <w:rtl/>
        </w:rPr>
        <w:t>לבדיקה</w:t>
      </w:r>
      <w:r w:rsidRPr="009F6279">
        <w:rPr>
          <w:rtl/>
        </w:rPr>
        <w:t xml:space="preserve"> </w:t>
      </w:r>
      <w:r w:rsidRPr="009F6279">
        <w:rPr>
          <w:rFonts w:hint="eastAsia"/>
          <w:rtl/>
        </w:rPr>
        <w:t>הג</w:t>
      </w:r>
      <w:r>
        <w:rPr>
          <w:rFonts w:hint="cs"/>
          <w:rtl/>
        </w:rPr>
        <w:t>י</w:t>
      </w:r>
      <w:r w:rsidRPr="009F6279">
        <w:rPr>
          <w:rFonts w:hint="eastAsia"/>
          <w:rtl/>
        </w:rPr>
        <w:t>נקולוגית</w:t>
      </w:r>
      <w:r w:rsidRPr="009F6279">
        <w:rPr>
          <w:rtl/>
        </w:rPr>
        <w:t>.</w:t>
      </w:r>
      <w:r w:rsidRPr="00C43F1B">
        <w:rPr>
          <w:rtl/>
        </w:rPr>
        <w:t xml:space="preserve"> 16%</w:t>
      </w:r>
      <w:r w:rsidRPr="00C43F1B">
        <w:t xml:space="preserve"> </w:t>
      </w:r>
      <w:r w:rsidRPr="00C43F1B">
        <w:rPr>
          <w:rFonts w:hint="cs"/>
          <w:rtl/>
        </w:rPr>
        <w:t>מהנשאלות</w:t>
      </w:r>
      <w:r w:rsidRPr="00C43F1B">
        <w:t xml:space="preserve"> </w:t>
      </w:r>
      <w:r w:rsidRPr="00C43F1B">
        <w:rPr>
          <w:rFonts w:hint="eastAsia"/>
          <w:rtl/>
        </w:rPr>
        <w:t>העידו</w:t>
      </w:r>
      <w:r w:rsidRPr="00C43F1B">
        <w:t xml:space="preserve"> </w:t>
      </w:r>
      <w:r w:rsidRPr="00C43F1B">
        <w:rPr>
          <w:rFonts w:hint="eastAsia"/>
          <w:rtl/>
        </w:rPr>
        <w:t>כי</w:t>
      </w:r>
      <w:r w:rsidRPr="00C43F1B">
        <w:rPr>
          <w:rFonts w:hint="cs"/>
          <w:rtl/>
        </w:rPr>
        <w:t xml:space="preserve"> במהלך בדיקה גינקולוגית שמעו </w:t>
      </w:r>
      <w:r w:rsidRPr="00C43F1B">
        <w:rPr>
          <w:rFonts w:hint="eastAsia"/>
          <w:rtl/>
        </w:rPr>
        <w:t>לפחות</w:t>
      </w:r>
      <w:r w:rsidRPr="00C43F1B">
        <w:rPr>
          <w:rFonts w:hint="cs"/>
          <w:rtl/>
        </w:rPr>
        <w:t xml:space="preserve"> </w:t>
      </w:r>
      <w:r w:rsidRPr="00C43F1B">
        <w:rPr>
          <w:rFonts w:hint="eastAsia"/>
          <w:rtl/>
        </w:rPr>
        <w:t>פעם</w:t>
      </w:r>
      <w:r w:rsidRPr="00C43F1B">
        <w:rPr>
          <w:rFonts w:hint="cs"/>
          <w:rtl/>
        </w:rPr>
        <w:t xml:space="preserve"> </w:t>
      </w:r>
      <w:r w:rsidRPr="00C43F1B">
        <w:rPr>
          <w:rFonts w:hint="eastAsia"/>
          <w:rtl/>
        </w:rPr>
        <w:t>אחת</w:t>
      </w:r>
      <w:r w:rsidRPr="00C43F1B">
        <w:rPr>
          <w:rFonts w:hint="cs"/>
          <w:rtl/>
        </w:rPr>
        <w:t xml:space="preserve"> ה</w:t>
      </w:r>
      <w:r w:rsidRPr="00C43F1B">
        <w:rPr>
          <w:rFonts w:hint="eastAsia"/>
          <w:rtl/>
        </w:rPr>
        <w:t>ערה</w:t>
      </w:r>
      <w:r w:rsidRPr="00C43F1B">
        <w:rPr>
          <w:rtl/>
        </w:rPr>
        <w:t xml:space="preserve"> או </w:t>
      </w:r>
      <w:r w:rsidRPr="00C43F1B">
        <w:rPr>
          <w:rFonts w:hint="eastAsia"/>
          <w:rtl/>
        </w:rPr>
        <w:t>שאלה</w:t>
      </w:r>
      <w:r w:rsidRPr="00C43F1B">
        <w:t xml:space="preserve"> </w:t>
      </w:r>
      <w:r w:rsidRPr="00C43F1B">
        <w:rPr>
          <w:rFonts w:hint="eastAsia"/>
          <w:rtl/>
        </w:rPr>
        <w:t>שנתפס</w:t>
      </w:r>
      <w:r w:rsidRPr="00C43F1B">
        <w:rPr>
          <w:rFonts w:hint="cs"/>
          <w:rtl/>
        </w:rPr>
        <w:t xml:space="preserve">ו </w:t>
      </w:r>
      <w:r w:rsidRPr="00C43F1B">
        <w:rPr>
          <w:rFonts w:hint="eastAsia"/>
          <w:rtl/>
        </w:rPr>
        <w:t>בעיניהן</w:t>
      </w:r>
      <w:r w:rsidRPr="00C43F1B">
        <w:rPr>
          <w:rFonts w:hint="cs"/>
          <w:rtl/>
        </w:rPr>
        <w:t xml:space="preserve"> </w:t>
      </w:r>
      <w:r w:rsidRPr="00C43F1B">
        <w:rPr>
          <w:rFonts w:hint="eastAsia"/>
          <w:rtl/>
        </w:rPr>
        <w:t>לא</w:t>
      </w:r>
      <w:r w:rsidRPr="00C43F1B">
        <w:rPr>
          <w:rFonts w:hint="cs"/>
          <w:rtl/>
        </w:rPr>
        <w:t xml:space="preserve"> </w:t>
      </w:r>
      <w:r w:rsidRPr="00C43F1B">
        <w:rPr>
          <w:rFonts w:hint="eastAsia"/>
          <w:rtl/>
        </w:rPr>
        <w:t>ראוי</w:t>
      </w:r>
      <w:r w:rsidRPr="00C43F1B">
        <w:rPr>
          <w:rFonts w:hint="cs"/>
          <w:rtl/>
        </w:rPr>
        <w:t>ות</w:t>
      </w:r>
      <w:r w:rsidRPr="00C43F1B">
        <w:t>.</w:t>
      </w:r>
      <w:r w:rsidRPr="00C43F1B">
        <w:rPr>
          <w:rFonts w:hint="cs"/>
          <w:rtl/>
        </w:rPr>
        <w:t xml:space="preserve"> </w:t>
      </w:r>
    </w:p>
    <w:p w14:paraId="46E2B581" w14:textId="77777777" w:rsidR="00417266" w:rsidRPr="00C43F1B" w:rsidRDefault="00417266" w:rsidP="006E663F">
      <w:pPr>
        <w:pStyle w:val="af0"/>
        <w:rPr>
          <w:rtl/>
        </w:rPr>
      </w:pPr>
      <w:r w:rsidRPr="00C43F1B">
        <w:rPr>
          <w:rFonts w:hint="cs"/>
          <w:rtl/>
        </w:rPr>
        <w:t xml:space="preserve">הוראות החוק אוסרות </w:t>
      </w:r>
      <w:r>
        <w:rPr>
          <w:rFonts w:hint="cs"/>
          <w:rtl/>
        </w:rPr>
        <w:t>על הצעות חוזרות בעלות אופי מיני והתייחסויות חוזרות לאדם המתמקדות</w:t>
      </w:r>
      <w:r w:rsidRPr="00C43F1B">
        <w:rPr>
          <w:rFonts w:hint="cs"/>
          <w:rtl/>
        </w:rPr>
        <w:t xml:space="preserve"> במיניותו</w:t>
      </w:r>
      <w:r>
        <w:rPr>
          <w:rFonts w:hint="cs"/>
          <w:rtl/>
        </w:rPr>
        <w:t>, אם אותו אדם הראה למטריד כי אינו מעונין בהצעות או בהתייחסויות האמורות</w:t>
      </w:r>
      <w:r w:rsidRPr="00C43F1B">
        <w:rPr>
          <w:rFonts w:hint="cs"/>
          <w:rtl/>
        </w:rPr>
        <w:t>. בנוגע לטיפול רפואי החוק אף קובע כי לא נדרש שהמטופלות יראו למטרידים כי אינן מעוניינות ב</w:t>
      </w:r>
      <w:r>
        <w:rPr>
          <w:rFonts w:hint="cs"/>
          <w:rtl/>
        </w:rPr>
        <w:t>הצעות או ב</w:t>
      </w:r>
      <w:r w:rsidRPr="00C43F1B">
        <w:rPr>
          <w:rFonts w:hint="cs"/>
          <w:rtl/>
        </w:rPr>
        <w:t xml:space="preserve">התייחסויות האמורות </w:t>
      </w:r>
      <w:r>
        <w:rPr>
          <w:rFonts w:hint="cs"/>
          <w:rtl/>
        </w:rPr>
        <w:lastRenderedPageBreak/>
        <w:t>הנאמרות תוך ניצול תלותו של המטופל במטפל כדי</w:t>
      </w:r>
      <w:r w:rsidRPr="00C43F1B">
        <w:rPr>
          <w:rFonts w:hint="cs"/>
          <w:rtl/>
        </w:rPr>
        <w:t xml:space="preserve"> שההתנהגות תיחשב להטרדה</w:t>
      </w:r>
      <w:r>
        <w:rPr>
          <w:rFonts w:hint="cs"/>
          <w:rtl/>
        </w:rPr>
        <w:t>.</w:t>
      </w:r>
    </w:p>
    <w:p w14:paraId="5175853B" w14:textId="77777777" w:rsidR="00417266" w:rsidRPr="00C43F1B" w:rsidRDefault="00417266" w:rsidP="00230B94">
      <w:pPr>
        <w:pStyle w:val="af1"/>
        <w:rPr>
          <w:rtl/>
        </w:rPr>
      </w:pPr>
      <w:r w:rsidRPr="00C43F1B">
        <w:rPr>
          <w:rFonts w:hint="cs"/>
          <w:rtl/>
        </w:rPr>
        <w:t xml:space="preserve">שאלון זה, גם אם אין בו ממצאים מובהקים לגבי הטרדות מיניות, מלמד על המורכבות של יחסי מטופלות ומטפלים במערכת הבריאות. </w:t>
      </w:r>
    </w:p>
    <w:p w14:paraId="1FCBC80D" w14:textId="77777777" w:rsidR="00417266" w:rsidRDefault="00417266" w:rsidP="00230B94">
      <w:pPr>
        <w:pStyle w:val="ab"/>
        <w:rPr>
          <w:rtl/>
        </w:rPr>
      </w:pPr>
      <w:r w:rsidRPr="00C43F1B">
        <w:rPr>
          <w:rFonts w:hint="cs"/>
          <w:rtl/>
        </w:rPr>
        <w:t xml:space="preserve">מהסקרים והמחקרים המעטים שנעשו </w:t>
      </w:r>
      <w:r>
        <w:rPr>
          <w:rFonts w:hint="cs"/>
          <w:rtl/>
        </w:rPr>
        <w:t>בארץ עולה תמונה ולפיה במערכת הבריאות רווחות גם הטרדות של נשות צוות רפואי בידי מטופלים וגם הטרדות של מטופלות בידי מטפלים.</w:t>
      </w:r>
      <w:r w:rsidRPr="00C43F1B">
        <w:rPr>
          <w:rFonts w:hint="cs"/>
          <w:rtl/>
        </w:rPr>
        <w:t xml:space="preserve"> כאמור, </w:t>
      </w:r>
      <w:r w:rsidRPr="00C43F1B">
        <w:rPr>
          <w:rFonts w:hint="eastAsia"/>
          <w:rtl/>
        </w:rPr>
        <w:t>למשרד</w:t>
      </w:r>
      <w:r w:rsidRPr="00C43F1B">
        <w:rPr>
          <w:rtl/>
        </w:rPr>
        <w:t xml:space="preserve"> </w:t>
      </w:r>
      <w:r w:rsidRPr="00C43F1B">
        <w:rPr>
          <w:rFonts w:hint="eastAsia"/>
          <w:rtl/>
        </w:rPr>
        <w:t>הבריאות</w:t>
      </w:r>
      <w:r w:rsidRPr="00C43F1B">
        <w:rPr>
          <w:rtl/>
        </w:rPr>
        <w:t xml:space="preserve"> </w:t>
      </w:r>
      <w:r w:rsidRPr="00C43F1B">
        <w:rPr>
          <w:rFonts w:hint="eastAsia"/>
          <w:rtl/>
        </w:rPr>
        <w:t>אין</w:t>
      </w:r>
      <w:r w:rsidRPr="00C43F1B">
        <w:rPr>
          <w:rtl/>
        </w:rPr>
        <w:t xml:space="preserve"> </w:t>
      </w:r>
      <w:r w:rsidRPr="00C43F1B">
        <w:rPr>
          <w:rFonts w:hint="eastAsia"/>
          <w:rtl/>
        </w:rPr>
        <w:t>נתונים</w:t>
      </w:r>
      <w:r w:rsidRPr="00C43F1B">
        <w:rPr>
          <w:rtl/>
        </w:rPr>
        <w:t xml:space="preserve"> </w:t>
      </w:r>
      <w:r w:rsidRPr="00C43F1B">
        <w:rPr>
          <w:rFonts w:hint="cs"/>
          <w:rtl/>
        </w:rPr>
        <w:t xml:space="preserve">מלאים על </w:t>
      </w:r>
      <w:r w:rsidRPr="00C43F1B">
        <w:rPr>
          <w:rFonts w:hint="eastAsia"/>
          <w:rtl/>
        </w:rPr>
        <w:t>היקף</w:t>
      </w:r>
      <w:r w:rsidRPr="00C43F1B">
        <w:rPr>
          <w:rtl/>
        </w:rPr>
        <w:t xml:space="preserve"> </w:t>
      </w:r>
      <w:r w:rsidRPr="00C43F1B">
        <w:rPr>
          <w:rFonts w:hint="eastAsia"/>
          <w:rtl/>
        </w:rPr>
        <w:t>ההטרדות</w:t>
      </w:r>
      <w:r w:rsidRPr="00C43F1B">
        <w:rPr>
          <w:rtl/>
        </w:rPr>
        <w:t>.</w:t>
      </w:r>
      <w:r w:rsidRPr="00C43F1B">
        <w:rPr>
          <w:rFonts w:hint="cs"/>
          <w:rtl/>
        </w:rPr>
        <w:t xml:space="preserve"> </w:t>
      </w:r>
      <w:r>
        <w:rPr>
          <w:rFonts w:hint="cs"/>
          <w:rtl/>
        </w:rPr>
        <w:t xml:space="preserve">מוצע כי </w:t>
      </w:r>
      <w:r w:rsidRPr="00C43F1B">
        <w:rPr>
          <w:rFonts w:hint="cs"/>
          <w:rtl/>
        </w:rPr>
        <w:t xml:space="preserve">משרד הבריאות </w:t>
      </w:r>
      <w:r>
        <w:rPr>
          <w:rFonts w:hint="cs"/>
          <w:rtl/>
        </w:rPr>
        <w:t xml:space="preserve">יבצע מחקר מקיף במטרה להעריך את </w:t>
      </w:r>
      <w:r w:rsidRPr="00C43F1B">
        <w:rPr>
          <w:rFonts w:hint="cs"/>
          <w:rtl/>
        </w:rPr>
        <w:t xml:space="preserve">היקף תופעת הפגיעות המיניות במערכת הבריאות לגווניה. בדיקה כזו תסייע </w:t>
      </w:r>
      <w:r>
        <w:rPr>
          <w:rFonts w:hint="cs"/>
          <w:rtl/>
        </w:rPr>
        <w:t xml:space="preserve">בקבלת החלטות על </w:t>
      </w:r>
      <w:r w:rsidRPr="00C43F1B">
        <w:rPr>
          <w:rFonts w:hint="cs"/>
          <w:rtl/>
        </w:rPr>
        <w:t>הדרכים ל</w:t>
      </w:r>
      <w:r>
        <w:rPr>
          <w:rFonts w:hint="cs"/>
          <w:rtl/>
        </w:rPr>
        <w:t>טיפול בנושא</w:t>
      </w:r>
      <w:r w:rsidRPr="00C43F1B">
        <w:rPr>
          <w:rFonts w:hint="cs"/>
          <w:rtl/>
        </w:rPr>
        <w:t>.</w:t>
      </w:r>
    </w:p>
    <w:p w14:paraId="4222391E" w14:textId="20AEFE65" w:rsidR="00417266" w:rsidRPr="002F06E7" w:rsidRDefault="00417266" w:rsidP="00F10ECA">
      <w:pPr>
        <w:pStyle w:val="a"/>
        <w:numPr>
          <w:ilvl w:val="1"/>
          <w:numId w:val="16"/>
        </w:numPr>
      </w:pPr>
      <w:bookmarkStart w:id="6" w:name="_Toc9150776"/>
      <w:r w:rsidRPr="00D51372">
        <w:rPr>
          <w:rFonts w:eastAsiaTheme="minorEastAsia" w:hint="cs"/>
          <w:b/>
          <w:bCs/>
          <w:color w:val="004E6C"/>
          <w:rtl/>
        </w:rPr>
        <w:t xml:space="preserve">שוק </w:t>
      </w:r>
      <w:r w:rsidRPr="00D51372">
        <w:rPr>
          <w:rFonts w:eastAsiaTheme="minorEastAsia" w:hint="eastAsia"/>
          <w:b/>
          <w:bCs/>
          <w:color w:val="004E6C"/>
          <w:rtl/>
        </w:rPr>
        <w:t>העבודה</w:t>
      </w:r>
      <w:r w:rsidRPr="00D51372">
        <w:rPr>
          <w:rFonts w:eastAsiaTheme="minorEastAsia"/>
          <w:b/>
          <w:bCs/>
          <w:color w:val="004E6C"/>
          <w:rtl/>
        </w:rPr>
        <w:t>:</w:t>
      </w:r>
      <w:r w:rsidRPr="00D51372">
        <w:rPr>
          <w:rFonts w:hint="cs"/>
          <w:color w:val="004E6C"/>
          <w:rtl/>
        </w:rPr>
        <w:t xml:space="preserve"> </w:t>
      </w:r>
      <w:r w:rsidRPr="002F06E7">
        <w:rPr>
          <w:rFonts w:hint="cs"/>
          <w:rtl/>
        </w:rPr>
        <w:t>בישראל</w:t>
      </w:r>
      <w:r w:rsidRPr="002F06E7">
        <w:rPr>
          <w:rtl/>
        </w:rPr>
        <w:t xml:space="preserve"> </w:t>
      </w:r>
      <w:r w:rsidRPr="002F06E7">
        <w:rPr>
          <w:rFonts w:hint="cs"/>
          <w:rtl/>
        </w:rPr>
        <w:t>כ</w:t>
      </w:r>
      <w:r w:rsidRPr="002F06E7">
        <w:rPr>
          <w:rtl/>
        </w:rPr>
        <w:t>-</w:t>
      </w:r>
      <w:r w:rsidRPr="002F06E7">
        <w:rPr>
          <w:rFonts w:hint="cs"/>
          <w:rtl/>
        </w:rPr>
        <w:t>3.8</w:t>
      </w:r>
      <w:r w:rsidRPr="002F06E7">
        <w:rPr>
          <w:rtl/>
        </w:rPr>
        <w:t xml:space="preserve"> </w:t>
      </w:r>
      <w:r w:rsidRPr="002F06E7">
        <w:rPr>
          <w:rFonts w:hint="cs"/>
          <w:rtl/>
        </w:rPr>
        <w:t>מיליון</w:t>
      </w:r>
      <w:r w:rsidRPr="002F06E7">
        <w:rPr>
          <w:rtl/>
        </w:rPr>
        <w:t xml:space="preserve"> </w:t>
      </w:r>
      <w:r w:rsidRPr="002F06E7">
        <w:rPr>
          <w:rFonts w:hint="cs"/>
          <w:rtl/>
        </w:rPr>
        <w:t>עובדים</w:t>
      </w:r>
      <w:r w:rsidRPr="00916F2F">
        <w:rPr>
          <w:vertAlign w:val="superscript"/>
          <w:rtl/>
        </w:rPr>
        <w:footnoteReference w:id="15"/>
      </w:r>
      <w:r w:rsidRPr="00916F2F">
        <w:rPr>
          <w:vertAlign w:val="superscript"/>
          <w:rtl/>
        </w:rPr>
        <w:t xml:space="preserve"> </w:t>
      </w:r>
      <w:r w:rsidRPr="002F06E7">
        <w:rPr>
          <w:rtl/>
        </w:rPr>
        <w:t>(כ-</w:t>
      </w:r>
      <w:r w:rsidRPr="002F06E7">
        <w:rPr>
          <w:rFonts w:hint="cs"/>
          <w:rtl/>
        </w:rPr>
        <w:t>2</w:t>
      </w:r>
      <w:r w:rsidRPr="002F06E7">
        <w:rPr>
          <w:rtl/>
        </w:rPr>
        <w:t xml:space="preserve"> מיליון גברים וכ-1.</w:t>
      </w:r>
      <w:r w:rsidRPr="002F06E7">
        <w:rPr>
          <w:rFonts w:hint="cs"/>
          <w:rtl/>
        </w:rPr>
        <w:t>8</w:t>
      </w:r>
      <w:r w:rsidRPr="002F06E7">
        <w:rPr>
          <w:rtl/>
        </w:rPr>
        <w:t xml:space="preserve"> מיליון נשים), </w:t>
      </w:r>
      <w:r w:rsidRPr="002F06E7">
        <w:rPr>
          <w:rFonts w:hint="cs"/>
          <w:rtl/>
        </w:rPr>
        <w:t>בהם</w:t>
      </w:r>
      <w:r w:rsidRPr="002F06E7">
        <w:rPr>
          <w:rtl/>
        </w:rPr>
        <w:t xml:space="preserve"> כ-230,000 עובדי המדינה (כ-6%). בירור משמעתי של הטרדות מיניות </w:t>
      </w:r>
      <w:r w:rsidRPr="002F06E7">
        <w:rPr>
          <w:rFonts w:hint="cs"/>
          <w:rtl/>
        </w:rPr>
        <w:t>בידי</w:t>
      </w:r>
      <w:r w:rsidRPr="002F06E7">
        <w:rPr>
          <w:rtl/>
        </w:rPr>
        <w:t xml:space="preserve"> עובדי המדינה נעשה בנ</w:t>
      </w:r>
      <w:r w:rsidRPr="002F06E7">
        <w:rPr>
          <w:rFonts w:hint="cs"/>
          <w:rtl/>
        </w:rPr>
        <w:t>ש</w:t>
      </w:r>
      <w:r w:rsidRPr="002F06E7">
        <w:rPr>
          <w:rtl/>
        </w:rPr>
        <w:t xml:space="preserve">"ם, </w:t>
      </w:r>
      <w:r w:rsidRPr="002F06E7">
        <w:rPr>
          <w:rFonts w:hint="cs"/>
          <w:rtl/>
        </w:rPr>
        <w:t>ואולם</w:t>
      </w:r>
      <w:r w:rsidRPr="002F06E7">
        <w:rPr>
          <w:rtl/>
        </w:rPr>
        <w:t xml:space="preserve"> לגבי </w:t>
      </w:r>
      <w:r w:rsidRPr="002F06E7">
        <w:rPr>
          <w:rFonts w:hint="cs"/>
          <w:rtl/>
        </w:rPr>
        <w:t>העובדים</w:t>
      </w:r>
      <w:r w:rsidRPr="002F06E7">
        <w:rPr>
          <w:rtl/>
        </w:rPr>
        <w:t xml:space="preserve"> במגזר הפרטי, שהם 94% </w:t>
      </w:r>
      <w:r w:rsidRPr="002F06E7">
        <w:rPr>
          <w:rFonts w:hint="cs"/>
          <w:rtl/>
        </w:rPr>
        <w:t>מ</w:t>
      </w:r>
      <w:r w:rsidRPr="002F06E7">
        <w:rPr>
          <w:rtl/>
        </w:rPr>
        <w:t xml:space="preserve">העובדים, </w:t>
      </w:r>
      <w:r w:rsidRPr="002F06E7">
        <w:rPr>
          <w:rFonts w:hint="cs"/>
          <w:rtl/>
        </w:rPr>
        <w:t>לרוב</w:t>
      </w:r>
      <w:r w:rsidRPr="002F06E7">
        <w:rPr>
          <w:rtl/>
        </w:rPr>
        <w:t xml:space="preserve"> </w:t>
      </w:r>
      <w:r w:rsidRPr="002F06E7">
        <w:rPr>
          <w:rFonts w:hint="cs"/>
          <w:rtl/>
        </w:rPr>
        <w:t>לא</w:t>
      </w:r>
      <w:r w:rsidRPr="002F06E7">
        <w:rPr>
          <w:rtl/>
        </w:rPr>
        <w:t xml:space="preserve"> ניתן </w:t>
      </w:r>
      <w:r w:rsidRPr="002F06E7">
        <w:rPr>
          <w:rFonts w:hint="cs"/>
          <w:rtl/>
        </w:rPr>
        <w:t>לדעת</w:t>
      </w:r>
      <w:r w:rsidRPr="002F06E7">
        <w:rPr>
          <w:rtl/>
        </w:rPr>
        <w:t xml:space="preserve"> אם תלונות</w:t>
      </w:r>
      <w:r w:rsidRPr="002F06E7">
        <w:rPr>
          <w:rFonts w:hint="cs"/>
          <w:rtl/>
        </w:rPr>
        <w:t>יהם</w:t>
      </w:r>
      <w:r w:rsidRPr="002F06E7">
        <w:rPr>
          <w:rtl/>
        </w:rPr>
        <w:t xml:space="preserve"> מטופלות</w:t>
      </w:r>
      <w:r w:rsidRPr="002F06E7">
        <w:rPr>
          <w:rFonts w:hint="cs"/>
          <w:rtl/>
        </w:rPr>
        <w:t>,</w:t>
      </w:r>
      <w:r w:rsidRPr="002F06E7">
        <w:rPr>
          <w:rtl/>
        </w:rPr>
        <w:t xml:space="preserve"> ולא </w:t>
      </w:r>
      <w:r w:rsidRPr="002F06E7">
        <w:rPr>
          <w:rFonts w:hint="cs"/>
          <w:rtl/>
        </w:rPr>
        <w:t>תמיד</w:t>
      </w:r>
      <w:r w:rsidRPr="002F06E7">
        <w:rPr>
          <w:rtl/>
        </w:rPr>
        <w:t xml:space="preserve"> ניתן לפקח על איכות הטיפול </w:t>
      </w:r>
      <w:r w:rsidRPr="002F06E7">
        <w:rPr>
          <w:rFonts w:hint="cs"/>
          <w:rtl/>
        </w:rPr>
        <w:t>בהן</w:t>
      </w:r>
      <w:r w:rsidRPr="002F06E7">
        <w:rPr>
          <w:rtl/>
        </w:rPr>
        <w:t>.</w:t>
      </w:r>
      <w:r w:rsidRPr="002F06E7">
        <w:rPr>
          <w:rFonts w:hint="cs"/>
          <w:rtl/>
        </w:rPr>
        <w:t xml:space="preserve"> משרד העבודה הוא הגוף הממשלתי האחראי לאכיפת דיני העבודה ולאסדרת מגזר העבודה הפרטי. המשרד ערך סקרים נקודתיים הנוגעים לפעילותו. להלן הפרטים.</w:t>
      </w:r>
      <w:bookmarkEnd w:id="6"/>
      <w:r w:rsidRPr="002F06E7">
        <w:rPr>
          <w:rFonts w:hint="cs"/>
          <w:rtl/>
        </w:rPr>
        <w:t xml:space="preserve"> </w:t>
      </w:r>
    </w:p>
    <w:p w14:paraId="38ED5AB1" w14:textId="77777777" w:rsidR="00417266" w:rsidRPr="00F9672F" w:rsidRDefault="00417266" w:rsidP="004474BB">
      <w:pPr>
        <w:pStyle w:val="a1"/>
        <w:rPr>
          <w:rtl/>
        </w:rPr>
      </w:pPr>
      <w:r w:rsidRPr="00D51372">
        <w:rPr>
          <w:rFonts w:hint="eastAsia"/>
          <w:b/>
          <w:bCs/>
          <w:color w:val="004E6C"/>
          <w:rtl/>
        </w:rPr>
        <w:t>משרד</w:t>
      </w:r>
      <w:r w:rsidRPr="00D51372">
        <w:rPr>
          <w:b/>
          <w:bCs/>
          <w:color w:val="004E6C"/>
          <w:rtl/>
        </w:rPr>
        <w:t xml:space="preserve"> </w:t>
      </w:r>
      <w:r w:rsidRPr="00D51372">
        <w:rPr>
          <w:rFonts w:hint="eastAsia"/>
          <w:b/>
          <w:bCs/>
          <w:color w:val="004E6C"/>
          <w:rtl/>
        </w:rPr>
        <w:t>העבודה</w:t>
      </w:r>
      <w:r w:rsidRPr="00D51372">
        <w:rPr>
          <w:rFonts w:hint="cs"/>
          <w:b/>
          <w:bCs/>
          <w:color w:val="004E6C"/>
          <w:rtl/>
        </w:rPr>
        <w:t>,</w:t>
      </w:r>
      <w:r w:rsidRPr="00D51372">
        <w:rPr>
          <w:b/>
          <w:bCs/>
          <w:color w:val="004E6C"/>
          <w:rtl/>
        </w:rPr>
        <w:t xml:space="preserve"> </w:t>
      </w:r>
      <w:r w:rsidRPr="00D51372">
        <w:rPr>
          <w:rFonts w:hint="eastAsia"/>
          <w:b/>
          <w:bCs/>
          <w:color w:val="004E6C"/>
          <w:rtl/>
        </w:rPr>
        <w:t>הרווחה</w:t>
      </w:r>
      <w:r w:rsidRPr="00D51372">
        <w:rPr>
          <w:b/>
          <w:bCs/>
          <w:color w:val="004E6C"/>
          <w:rtl/>
        </w:rPr>
        <w:t xml:space="preserve"> </w:t>
      </w:r>
      <w:r w:rsidRPr="00D51372">
        <w:rPr>
          <w:rFonts w:hint="eastAsia"/>
          <w:b/>
          <w:bCs/>
          <w:color w:val="004E6C"/>
          <w:rtl/>
        </w:rPr>
        <w:t>והשירותים</w:t>
      </w:r>
      <w:r w:rsidRPr="00D51372">
        <w:rPr>
          <w:b/>
          <w:bCs/>
          <w:color w:val="004E6C"/>
          <w:rtl/>
        </w:rPr>
        <w:t xml:space="preserve"> </w:t>
      </w:r>
      <w:r w:rsidRPr="00D51372">
        <w:rPr>
          <w:rFonts w:hint="eastAsia"/>
          <w:b/>
          <w:bCs/>
          <w:color w:val="004E6C"/>
          <w:rtl/>
        </w:rPr>
        <w:t>החברתיים</w:t>
      </w:r>
      <w:r w:rsidRPr="00D51372">
        <w:rPr>
          <w:b/>
          <w:bCs/>
          <w:color w:val="004E6C"/>
          <w:rtl/>
        </w:rPr>
        <w:t>:</w:t>
      </w:r>
      <w:r w:rsidRPr="00D51372">
        <w:rPr>
          <w:rFonts w:hint="cs"/>
          <w:color w:val="004E6C"/>
          <w:rtl/>
        </w:rPr>
        <w:t xml:space="preserve"> </w:t>
      </w:r>
      <w:r w:rsidRPr="001B6648">
        <w:rPr>
          <w:rFonts w:hint="cs"/>
          <w:rtl/>
        </w:rPr>
        <w:t xml:space="preserve">בשנת 2012 פרסם משרד התמ"ת </w:t>
      </w:r>
      <w:r>
        <w:rPr>
          <w:rFonts w:hint="cs"/>
          <w:rtl/>
        </w:rPr>
        <w:t xml:space="preserve">דאז </w:t>
      </w:r>
      <w:r w:rsidRPr="001B6648">
        <w:rPr>
          <w:rFonts w:hint="cs"/>
          <w:rtl/>
        </w:rPr>
        <w:t>תוצאות סקר שערכה מחלקת המחקר שלו בשנים 201</w:t>
      </w:r>
      <w:r w:rsidRPr="00F9672F">
        <w:rPr>
          <w:rtl/>
        </w:rPr>
        <w:t xml:space="preserve">0 - 2011 </w:t>
      </w:r>
      <w:r w:rsidRPr="00F9672F">
        <w:rPr>
          <w:rFonts w:hint="eastAsia"/>
          <w:rtl/>
        </w:rPr>
        <w:t>לבחינת</w:t>
      </w:r>
      <w:r w:rsidRPr="00F9672F">
        <w:rPr>
          <w:rtl/>
        </w:rPr>
        <w:t xml:space="preserve"> </w:t>
      </w:r>
      <w:r w:rsidRPr="00F9672F">
        <w:rPr>
          <w:rFonts w:hint="eastAsia"/>
          <w:rtl/>
        </w:rPr>
        <w:t>היקף</w:t>
      </w:r>
      <w:r w:rsidRPr="00F9672F">
        <w:rPr>
          <w:rtl/>
        </w:rPr>
        <w:t xml:space="preserve"> </w:t>
      </w:r>
      <w:r w:rsidRPr="00F9672F">
        <w:rPr>
          <w:rFonts w:hint="eastAsia"/>
          <w:rtl/>
        </w:rPr>
        <w:t>תופעת</w:t>
      </w:r>
      <w:r w:rsidRPr="00F9672F">
        <w:rPr>
          <w:rtl/>
        </w:rPr>
        <w:t xml:space="preserve"> </w:t>
      </w:r>
      <w:r w:rsidRPr="00F9672F">
        <w:rPr>
          <w:rFonts w:hint="eastAsia"/>
          <w:rtl/>
        </w:rPr>
        <w:t>ההטרדות</w:t>
      </w:r>
      <w:r w:rsidRPr="00F9672F">
        <w:rPr>
          <w:rtl/>
        </w:rPr>
        <w:t xml:space="preserve"> </w:t>
      </w:r>
      <w:r w:rsidRPr="00F9672F">
        <w:rPr>
          <w:rFonts w:hint="eastAsia"/>
          <w:rtl/>
        </w:rPr>
        <w:t>המיניות</w:t>
      </w:r>
      <w:r>
        <w:rPr>
          <w:rFonts w:hint="cs"/>
          <w:rtl/>
        </w:rPr>
        <w:t xml:space="preserve"> בקרב נשים</w:t>
      </w:r>
      <w:r w:rsidRPr="00F9672F">
        <w:rPr>
          <w:rtl/>
        </w:rPr>
        <w:t xml:space="preserve"> </w:t>
      </w:r>
      <w:r w:rsidRPr="00F9672F">
        <w:rPr>
          <w:rFonts w:hint="eastAsia"/>
          <w:rtl/>
        </w:rPr>
        <w:t>בשוק</w:t>
      </w:r>
      <w:r w:rsidRPr="00F9672F">
        <w:rPr>
          <w:rtl/>
        </w:rPr>
        <w:t xml:space="preserve"> </w:t>
      </w:r>
      <w:r w:rsidRPr="00F9672F">
        <w:rPr>
          <w:rFonts w:hint="eastAsia"/>
          <w:rtl/>
        </w:rPr>
        <w:t>העבודה</w:t>
      </w:r>
      <w:r w:rsidRPr="001B6648">
        <w:rPr>
          <w:vertAlign w:val="superscript"/>
          <w:rtl/>
        </w:rPr>
        <w:footnoteReference w:id="16"/>
      </w:r>
      <w:r w:rsidRPr="001B6648">
        <w:rPr>
          <w:rFonts w:hint="cs"/>
          <w:rtl/>
        </w:rPr>
        <w:t xml:space="preserve">. תחילה נעשה סקר טלפוני, </w:t>
      </w:r>
      <w:r>
        <w:rPr>
          <w:rFonts w:hint="cs"/>
          <w:rtl/>
        </w:rPr>
        <w:t xml:space="preserve">שפנה ל-42,600 נשים. על הסקר ענו 2,130 נשים (5%) ו-220 מהן ענו כי בשנה שבה נערך הסקר חוו בעבודתן התנהגות המהווה, על פי החוק, הטרדה מינית. </w:t>
      </w:r>
      <w:r w:rsidRPr="001B6648">
        <w:rPr>
          <w:rFonts w:hint="cs"/>
          <w:rtl/>
        </w:rPr>
        <w:t xml:space="preserve">עקב </w:t>
      </w:r>
      <w:r w:rsidRPr="00F9672F">
        <w:rPr>
          <w:rFonts w:hint="eastAsia"/>
          <w:rtl/>
        </w:rPr>
        <w:t>שיעורי</w:t>
      </w:r>
      <w:r w:rsidRPr="00F9672F">
        <w:rPr>
          <w:rtl/>
        </w:rPr>
        <w:t xml:space="preserve"> ההיענות הנמוכים מאוד</w:t>
      </w:r>
      <w:r>
        <w:rPr>
          <w:rFonts w:hint="cs"/>
          <w:rtl/>
        </w:rPr>
        <w:t>,</w:t>
      </w:r>
      <w:r w:rsidRPr="00F9672F">
        <w:rPr>
          <w:rtl/>
        </w:rPr>
        <w:t xml:space="preserve"> </w:t>
      </w:r>
      <w:r>
        <w:rPr>
          <w:rFonts w:hint="cs"/>
          <w:rtl/>
        </w:rPr>
        <w:t>פורסם</w:t>
      </w:r>
      <w:r w:rsidRPr="00F9672F">
        <w:rPr>
          <w:rtl/>
        </w:rPr>
        <w:t xml:space="preserve"> כעבור שנה </w:t>
      </w:r>
      <w:r>
        <w:rPr>
          <w:rFonts w:hint="cs"/>
          <w:rtl/>
        </w:rPr>
        <w:t>שאלון</w:t>
      </w:r>
      <w:r w:rsidRPr="00F9672F">
        <w:rPr>
          <w:rtl/>
        </w:rPr>
        <w:t xml:space="preserve"> </w:t>
      </w:r>
      <w:r w:rsidRPr="00F9672F">
        <w:rPr>
          <w:rFonts w:hint="eastAsia"/>
          <w:rtl/>
        </w:rPr>
        <w:t>המשך</w:t>
      </w:r>
      <w:r w:rsidRPr="00F9672F">
        <w:rPr>
          <w:rtl/>
        </w:rPr>
        <w:t xml:space="preserve"> </w:t>
      </w:r>
      <w:r>
        <w:rPr>
          <w:rFonts w:hint="cs"/>
          <w:rtl/>
        </w:rPr>
        <w:t>שהופץ באמצעות הדוא"ל בין 11,578 נשים</w:t>
      </w:r>
      <w:r w:rsidRPr="00F9672F">
        <w:rPr>
          <w:rtl/>
        </w:rPr>
        <w:t>.</w:t>
      </w:r>
      <w:r>
        <w:rPr>
          <w:rFonts w:hint="cs"/>
          <w:rtl/>
        </w:rPr>
        <w:t xml:space="preserve"> על שאלון זה השיבו 981 נשים ו-871 מהן (כ-88%) דיווחו על הטרדה מינית כהגדרתה בחוק.</w:t>
      </w:r>
    </w:p>
    <w:p w14:paraId="60D30A43" w14:textId="77777777" w:rsidR="00417266" w:rsidRPr="00B77CFD" w:rsidRDefault="00417266" w:rsidP="00B77CFD">
      <w:pPr>
        <w:pStyle w:val="af0"/>
        <w:rPr>
          <w:rStyle w:val="Char"/>
          <w:rtl/>
        </w:rPr>
      </w:pPr>
      <w:r w:rsidRPr="00C43F1B">
        <w:rPr>
          <w:rFonts w:hint="cs"/>
          <w:rtl/>
        </w:rPr>
        <w:t>92.4</w:t>
      </w:r>
      <w:r w:rsidRPr="00B77CFD">
        <w:rPr>
          <w:rStyle w:val="Char"/>
          <w:rFonts w:hint="cs"/>
          <w:rtl/>
        </w:rPr>
        <w:t xml:space="preserve">% מהנשים שהשיבו בסקר ובשאלון כי הוטרדו מינית במקום העבודה בחרו שלא להגיש תלונה נגד המטריד מטעמים שונים, ואלו הם: </w:t>
      </w:r>
    </w:p>
    <w:p w14:paraId="25062538" w14:textId="77777777" w:rsidR="00417266" w:rsidRPr="00EB4B77" w:rsidRDefault="00417266" w:rsidP="00EB4B77">
      <w:pPr>
        <w:pStyle w:val="a8"/>
        <w:rPr>
          <w:b/>
          <w:bCs/>
        </w:rPr>
      </w:pPr>
      <w:r w:rsidRPr="00F11BBE">
        <w:rPr>
          <w:rFonts w:hint="eastAsia"/>
          <w:rtl/>
        </w:rPr>
        <w:lastRenderedPageBreak/>
        <w:t>תרשים</w:t>
      </w:r>
      <w:r w:rsidRPr="00F11BBE">
        <w:rPr>
          <w:rtl/>
        </w:rPr>
        <w:t xml:space="preserve"> </w:t>
      </w:r>
      <w:r>
        <w:rPr>
          <w:rFonts w:hint="cs"/>
          <w:rtl/>
        </w:rPr>
        <w:t>7</w:t>
      </w:r>
      <w:r w:rsidRPr="00F11BBE">
        <w:rPr>
          <w:rtl/>
        </w:rPr>
        <w:t xml:space="preserve">: </w:t>
      </w:r>
      <w:r w:rsidRPr="00EB4B77">
        <w:rPr>
          <w:b/>
          <w:bCs/>
          <w:rtl/>
        </w:rPr>
        <w:t>הטעמים לאי-הגשת תלונה</w:t>
      </w:r>
    </w:p>
    <w:p w14:paraId="77CE8CA3" w14:textId="77777777" w:rsidR="00417266" w:rsidRPr="00177CF9" w:rsidRDefault="00417266" w:rsidP="00417266">
      <w:pPr>
        <w:spacing w:line="269" w:lineRule="auto"/>
        <w:ind w:left="709"/>
        <w:rPr>
          <w:rtl/>
        </w:rPr>
      </w:pPr>
      <w:r>
        <w:rPr>
          <w:noProof/>
          <w:rtl/>
        </w:rPr>
        <w:drawing>
          <wp:inline distT="0" distB="0" distL="0" distR="0" wp14:anchorId="4E10B13B" wp14:editId="6199E677">
            <wp:extent cx="4744720" cy="2362200"/>
            <wp:effectExtent l="0" t="0" r="17780" b="0"/>
            <wp:docPr id="45" name="תרשים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F64B5D" w14:textId="77777777" w:rsidR="00417266" w:rsidRPr="00B77CFD" w:rsidRDefault="00417266" w:rsidP="00B77CFD">
      <w:pPr>
        <w:pStyle w:val="aa"/>
        <w:rPr>
          <w:rtl/>
        </w:rPr>
      </w:pPr>
      <w:r w:rsidRPr="00B77CFD">
        <w:rPr>
          <w:rFonts w:hint="cs"/>
          <w:rtl/>
        </w:rPr>
        <w:t xml:space="preserve">על פי נתוני הסקרים, </w:t>
      </w:r>
      <w:r w:rsidRPr="00B77CFD">
        <w:rPr>
          <w:rFonts w:hint="eastAsia"/>
          <w:rtl/>
        </w:rPr>
        <w:t>בעיבוד</w:t>
      </w:r>
      <w:r w:rsidRPr="00B77CFD">
        <w:rPr>
          <w:rtl/>
        </w:rPr>
        <w:t xml:space="preserve"> </w:t>
      </w:r>
      <w:r w:rsidRPr="00B77CFD">
        <w:rPr>
          <w:rFonts w:hint="eastAsia"/>
          <w:rtl/>
        </w:rPr>
        <w:t>משרד</w:t>
      </w:r>
      <w:r w:rsidRPr="00B77CFD">
        <w:rPr>
          <w:rtl/>
        </w:rPr>
        <w:t xml:space="preserve"> </w:t>
      </w:r>
      <w:r w:rsidRPr="00B77CFD">
        <w:rPr>
          <w:rFonts w:hint="eastAsia"/>
          <w:rtl/>
        </w:rPr>
        <w:t>מבקר</w:t>
      </w:r>
      <w:r w:rsidRPr="00B77CFD">
        <w:rPr>
          <w:rtl/>
        </w:rPr>
        <w:t xml:space="preserve"> </w:t>
      </w:r>
      <w:r w:rsidRPr="00B77CFD">
        <w:rPr>
          <w:rFonts w:hint="eastAsia"/>
          <w:rtl/>
        </w:rPr>
        <w:t>המדינה</w:t>
      </w:r>
      <w:r w:rsidRPr="00B77CFD">
        <w:rPr>
          <w:rFonts w:hint="cs"/>
          <w:rtl/>
        </w:rPr>
        <w:t>.</w:t>
      </w:r>
    </w:p>
    <w:p w14:paraId="04C4FC90" w14:textId="77777777" w:rsidR="00A54FE4" w:rsidRDefault="00A54FE4" w:rsidP="00A54FE4">
      <w:pPr>
        <w:pStyle w:val="af0"/>
        <w:rPr>
          <w:rtl/>
        </w:rPr>
      </w:pPr>
    </w:p>
    <w:p w14:paraId="4D66D1EA" w14:textId="17C53D15" w:rsidR="00417266" w:rsidRDefault="00417266" w:rsidP="00A54FE4">
      <w:pPr>
        <w:pStyle w:val="af0"/>
        <w:rPr>
          <w:rtl/>
        </w:rPr>
      </w:pPr>
      <w:r>
        <w:rPr>
          <w:rFonts w:hint="cs"/>
          <w:rtl/>
        </w:rPr>
        <w:t>במחקר נמצא עוד כי 48% מהמשיבות לא ידעו מי האחראית למניעת הטרדה מינית במקום עבודתן, וכן ש-35% מהמשיבות שדיווחו על התנהגות המהווה הטרדה מינית לא חשבו שההתנהגות המדווחת היא הטרדה מינית לפי הגדרתה בחוק.</w:t>
      </w:r>
    </w:p>
    <w:p w14:paraId="34727BDA" w14:textId="77777777" w:rsidR="00417266" w:rsidRDefault="00417266" w:rsidP="00A54FE4">
      <w:pPr>
        <w:pStyle w:val="af0"/>
        <w:rPr>
          <w:rtl/>
        </w:rPr>
      </w:pPr>
      <w:r>
        <w:rPr>
          <w:rFonts w:hint="cs"/>
          <w:rtl/>
        </w:rPr>
        <w:t xml:space="preserve">בסקר נבדק גם אופן הטיפול בתלונות על הטרדה מינית. אלו התוצאות: </w:t>
      </w:r>
    </w:p>
    <w:p w14:paraId="31A5AA5C" w14:textId="77777777" w:rsidR="00417266" w:rsidRPr="00A54FE4" w:rsidRDefault="00417266" w:rsidP="00A54FE4">
      <w:pPr>
        <w:pStyle w:val="a8"/>
        <w:rPr>
          <w:b/>
          <w:bCs/>
        </w:rPr>
      </w:pPr>
      <w:r w:rsidRPr="00F11BBE">
        <w:rPr>
          <w:rFonts w:hint="eastAsia"/>
          <w:rtl/>
        </w:rPr>
        <w:t>תרשים</w:t>
      </w:r>
      <w:r w:rsidRPr="00F11BBE">
        <w:rPr>
          <w:rtl/>
        </w:rPr>
        <w:t xml:space="preserve"> </w:t>
      </w:r>
      <w:r>
        <w:rPr>
          <w:rFonts w:hint="cs"/>
          <w:rtl/>
        </w:rPr>
        <w:t>8</w:t>
      </w:r>
      <w:r w:rsidRPr="00F11BBE">
        <w:rPr>
          <w:rtl/>
        </w:rPr>
        <w:t xml:space="preserve">: </w:t>
      </w:r>
      <w:r w:rsidRPr="00A54FE4">
        <w:rPr>
          <w:b/>
          <w:bCs/>
          <w:rtl/>
        </w:rPr>
        <w:t>אופן הטיפול בתלונות על הטרדה מינית בעבודה</w:t>
      </w:r>
    </w:p>
    <w:p w14:paraId="062BDCCB" w14:textId="77777777" w:rsidR="00417266" w:rsidRDefault="00417266" w:rsidP="00417266">
      <w:pPr>
        <w:spacing w:line="269" w:lineRule="auto"/>
        <w:ind w:left="709"/>
        <w:rPr>
          <w:rtl/>
        </w:rPr>
      </w:pPr>
      <w:r>
        <w:rPr>
          <w:noProof/>
          <w:rtl/>
        </w:rPr>
        <w:drawing>
          <wp:inline distT="0" distB="0" distL="0" distR="0" wp14:anchorId="55D5E2CF" wp14:editId="52681C4E">
            <wp:extent cx="4695825" cy="2400300"/>
            <wp:effectExtent l="0" t="0" r="9525" b="0"/>
            <wp:docPr id="46" name="תרשים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BC20ED1" w14:textId="77777777" w:rsidR="00417266" w:rsidRPr="00080AA9" w:rsidRDefault="00417266" w:rsidP="006A1039">
      <w:pPr>
        <w:pStyle w:val="aa"/>
        <w:rPr>
          <w:rtl/>
        </w:rPr>
      </w:pPr>
      <w:r>
        <w:rPr>
          <w:rFonts w:hint="cs"/>
          <w:rtl/>
        </w:rPr>
        <w:t xml:space="preserve">על פי נתוני הסקרים, </w:t>
      </w:r>
      <w:r w:rsidRPr="00080AA9">
        <w:rPr>
          <w:rFonts w:hint="eastAsia"/>
          <w:rtl/>
        </w:rPr>
        <w:t>בעיבוד</w:t>
      </w:r>
      <w:r w:rsidRPr="00080AA9">
        <w:rPr>
          <w:rtl/>
        </w:rPr>
        <w:t xml:space="preserve"> </w:t>
      </w:r>
      <w:r w:rsidRPr="00080AA9">
        <w:rPr>
          <w:rFonts w:hint="eastAsia"/>
          <w:rtl/>
        </w:rPr>
        <w:t>משרד</w:t>
      </w:r>
      <w:r w:rsidRPr="00080AA9">
        <w:rPr>
          <w:rtl/>
        </w:rPr>
        <w:t xml:space="preserve"> </w:t>
      </w:r>
      <w:r w:rsidRPr="00080AA9">
        <w:rPr>
          <w:rFonts w:hint="eastAsia"/>
          <w:rtl/>
        </w:rPr>
        <w:t>מבקר</w:t>
      </w:r>
      <w:r w:rsidRPr="00080AA9">
        <w:rPr>
          <w:rtl/>
        </w:rPr>
        <w:t xml:space="preserve"> </w:t>
      </w:r>
      <w:r w:rsidRPr="00080AA9">
        <w:rPr>
          <w:rFonts w:hint="eastAsia"/>
          <w:rtl/>
        </w:rPr>
        <w:t>המדינה</w:t>
      </w:r>
      <w:r w:rsidRPr="00080AA9">
        <w:rPr>
          <w:rtl/>
        </w:rPr>
        <w:t>.</w:t>
      </w:r>
    </w:p>
    <w:p w14:paraId="3EBF552C" w14:textId="1778AF8A" w:rsidR="00417266" w:rsidRPr="00C43F1B" w:rsidRDefault="00417266" w:rsidP="006A1039">
      <w:pPr>
        <w:pStyle w:val="100"/>
        <w:rPr>
          <w:rtl/>
        </w:rPr>
      </w:pPr>
    </w:p>
    <w:p w14:paraId="4D334C61" w14:textId="54596565" w:rsidR="00417266" w:rsidRDefault="00417266" w:rsidP="006A1039">
      <w:pPr>
        <w:pStyle w:val="af0"/>
        <w:rPr>
          <w:rtl/>
        </w:rPr>
      </w:pPr>
      <w:r w:rsidRPr="00C43F1B">
        <w:rPr>
          <w:rFonts w:hint="cs"/>
          <w:rtl/>
        </w:rPr>
        <w:t xml:space="preserve">מרבית הנשים שדיווחו שחוו הטרדה מינית הן נשים יהודיות (98%), חילוניות (90.4%) ואקדמאיות (79.4%). </w:t>
      </w:r>
      <w:r>
        <w:rPr>
          <w:rFonts w:hint="cs"/>
          <w:rtl/>
        </w:rPr>
        <w:t xml:space="preserve">קיים פער מובהק בין הדיווח על הטרדה מינית </w:t>
      </w:r>
      <w:r>
        <w:rPr>
          <w:rFonts w:hint="cs"/>
          <w:rtl/>
        </w:rPr>
        <w:lastRenderedPageBreak/>
        <w:t xml:space="preserve">בעבודה של נשים יהודיות </w:t>
      </w:r>
      <w:r w:rsidRPr="00C43F1B">
        <w:rPr>
          <w:rFonts w:hint="cs"/>
          <w:rtl/>
        </w:rPr>
        <w:t>לעומת</w:t>
      </w:r>
      <w:r>
        <w:rPr>
          <w:rFonts w:hint="cs"/>
          <w:rtl/>
        </w:rPr>
        <w:t xml:space="preserve"> נשים לא יהודיות. להלן הנתונים כפי שהוצגו בסקר משרד התמ"ת משנת 2012, נתונים מסקר משרד התמ"ת משנת 2007, שבדק את היכרות העובדות עם הוראות החוק למניעת הטרדה מינית</w:t>
      </w:r>
      <w:r w:rsidRPr="00C43F1B" w:rsidDel="00F9672F">
        <w:rPr>
          <w:vertAlign w:val="superscript"/>
          <w:rtl/>
        </w:rPr>
        <w:footnoteReference w:id="17"/>
      </w:r>
      <w:r>
        <w:rPr>
          <w:rFonts w:hint="cs"/>
          <w:rtl/>
        </w:rPr>
        <w:t xml:space="preserve">, ונתוני המשטרה על תלונות בגין הטרדה מינית שהוגשו בשנת 2017: </w:t>
      </w:r>
    </w:p>
    <w:p w14:paraId="0493C476" w14:textId="77777777" w:rsidR="002C1D86" w:rsidRDefault="002C1D86" w:rsidP="002C1D86">
      <w:pPr>
        <w:pStyle w:val="100"/>
        <w:rPr>
          <w:rtl/>
        </w:rPr>
      </w:pPr>
    </w:p>
    <w:p w14:paraId="360BC8F2" w14:textId="02FAD236" w:rsidR="00417266" w:rsidRPr="006A1039" w:rsidRDefault="00417266" w:rsidP="006A1039">
      <w:pPr>
        <w:pStyle w:val="a8"/>
        <w:rPr>
          <w:b/>
          <w:bCs/>
        </w:rPr>
      </w:pPr>
      <w:r w:rsidRPr="00080AA9">
        <w:rPr>
          <w:rFonts w:hint="eastAsia"/>
          <w:rtl/>
        </w:rPr>
        <w:t>תרשים</w:t>
      </w:r>
      <w:r w:rsidRPr="00080AA9">
        <w:rPr>
          <w:rtl/>
        </w:rPr>
        <w:t xml:space="preserve"> </w:t>
      </w:r>
      <w:r>
        <w:rPr>
          <w:rFonts w:hint="cs"/>
          <w:rtl/>
        </w:rPr>
        <w:t>9</w:t>
      </w:r>
      <w:r w:rsidRPr="00080AA9">
        <w:rPr>
          <w:rtl/>
        </w:rPr>
        <w:t xml:space="preserve">: </w:t>
      </w:r>
      <w:r w:rsidRPr="006A1039">
        <w:rPr>
          <w:b/>
          <w:bCs/>
          <w:rtl/>
        </w:rPr>
        <w:t>השוואה בין נשים מהמגזר היהודי לנשים מהמגזר הלא-יהודי</w:t>
      </w:r>
      <w:r w:rsidRPr="006A1039">
        <w:rPr>
          <w:rFonts w:hint="cs"/>
          <w:b/>
          <w:bCs/>
          <w:rtl/>
        </w:rPr>
        <w:t xml:space="preserve"> (באחוזים)</w:t>
      </w:r>
    </w:p>
    <w:p w14:paraId="7D28C048" w14:textId="77777777" w:rsidR="00417266" w:rsidRDefault="00417266" w:rsidP="00726680">
      <w:pPr>
        <w:pStyle w:val="a8"/>
        <w:rPr>
          <w:rtl/>
        </w:rPr>
      </w:pPr>
      <w:r>
        <w:rPr>
          <w:noProof/>
          <w:rtl/>
        </w:rPr>
        <w:drawing>
          <wp:inline distT="0" distB="0" distL="0" distR="0" wp14:anchorId="6A08AD79" wp14:editId="66C3D904">
            <wp:extent cx="4677410" cy="3045460"/>
            <wp:effectExtent l="0" t="0" r="8890" b="2540"/>
            <wp:docPr id="47" name="תרשים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F65783A" w14:textId="77777777" w:rsidR="00417266" w:rsidRPr="00050DDE" w:rsidRDefault="00417266" w:rsidP="00050DDE">
      <w:pPr>
        <w:pStyle w:val="aa"/>
        <w:rPr>
          <w:rtl/>
        </w:rPr>
      </w:pPr>
      <w:r w:rsidRPr="00050DDE">
        <w:rPr>
          <w:rFonts w:hint="eastAsia"/>
          <w:rtl/>
        </w:rPr>
        <w:t>על</w:t>
      </w:r>
      <w:r w:rsidRPr="00050DDE">
        <w:rPr>
          <w:rtl/>
        </w:rPr>
        <w:t xml:space="preserve"> פי </w:t>
      </w:r>
      <w:r w:rsidRPr="00050DDE">
        <w:rPr>
          <w:rFonts w:hint="eastAsia"/>
          <w:rtl/>
        </w:rPr>
        <w:t>נתוני</w:t>
      </w:r>
      <w:r w:rsidRPr="00050DDE">
        <w:rPr>
          <w:rtl/>
        </w:rPr>
        <w:t xml:space="preserve"> סקרי משרד </w:t>
      </w:r>
      <w:r w:rsidRPr="00050DDE">
        <w:rPr>
          <w:rFonts w:hint="eastAsia"/>
          <w:rtl/>
        </w:rPr>
        <w:t>התמ</w:t>
      </w:r>
      <w:r w:rsidRPr="00050DDE">
        <w:rPr>
          <w:rtl/>
        </w:rPr>
        <w:t xml:space="preserve">"ת מהשנים 2007 ו-2012 ונתוני המשטרה משנת 2017, </w:t>
      </w:r>
      <w:r w:rsidRPr="00050DDE">
        <w:rPr>
          <w:rFonts w:hint="eastAsia"/>
          <w:rtl/>
        </w:rPr>
        <w:t>בעיבוד</w:t>
      </w:r>
      <w:r w:rsidRPr="00050DDE">
        <w:rPr>
          <w:rtl/>
        </w:rPr>
        <w:t xml:space="preserve"> </w:t>
      </w:r>
      <w:r w:rsidRPr="00050DDE">
        <w:rPr>
          <w:rFonts w:hint="eastAsia"/>
          <w:rtl/>
        </w:rPr>
        <w:t>משרד</w:t>
      </w:r>
      <w:r w:rsidRPr="00050DDE">
        <w:rPr>
          <w:rtl/>
        </w:rPr>
        <w:t xml:space="preserve"> </w:t>
      </w:r>
      <w:r w:rsidRPr="00050DDE">
        <w:rPr>
          <w:rFonts w:hint="eastAsia"/>
          <w:rtl/>
        </w:rPr>
        <w:t>מבקר</w:t>
      </w:r>
      <w:r w:rsidRPr="00050DDE">
        <w:rPr>
          <w:rtl/>
        </w:rPr>
        <w:t xml:space="preserve"> </w:t>
      </w:r>
      <w:r w:rsidRPr="00050DDE">
        <w:rPr>
          <w:rFonts w:hint="eastAsia"/>
          <w:rtl/>
        </w:rPr>
        <w:t>המדינה</w:t>
      </w:r>
      <w:r w:rsidRPr="00050DDE">
        <w:rPr>
          <w:rtl/>
        </w:rPr>
        <w:t>.</w:t>
      </w:r>
    </w:p>
    <w:p w14:paraId="12C21C78" w14:textId="1EB9AD75" w:rsidR="00417266" w:rsidRPr="00C43F1B" w:rsidRDefault="00417266" w:rsidP="00050DDE">
      <w:pPr>
        <w:pStyle w:val="100"/>
        <w:rPr>
          <w:rtl/>
        </w:rPr>
      </w:pPr>
    </w:p>
    <w:p w14:paraId="3BCAE170" w14:textId="77777777" w:rsidR="00417266" w:rsidRDefault="00417266" w:rsidP="00F847A0">
      <w:pPr>
        <w:pStyle w:val="af0"/>
        <w:rPr>
          <w:rtl/>
        </w:rPr>
      </w:pPr>
      <w:r>
        <w:rPr>
          <w:rFonts w:hint="cs"/>
          <w:rtl/>
        </w:rPr>
        <w:t xml:space="preserve">מן התרשים עולה כי הנשים מהמגזר הלא-יהודי, אשר בשנת 2007 הכירו פחות את החוק למניעת הטרדה מינית, דיווחו בכמות מזערית על הטרדות מיניות בעבודה בשנת 2012 ובשנת 2017 הגישו תלונות במשטרה בשיעור קטן ביותר לעומת נשים מהמגזר היהודי. </w:t>
      </w:r>
    </w:p>
    <w:p w14:paraId="75A600B6" w14:textId="0F34E703" w:rsidR="00417266" w:rsidRPr="00F847A0" w:rsidRDefault="00417266" w:rsidP="00F847A0">
      <w:pPr>
        <w:pStyle w:val="a1"/>
        <w:rPr>
          <w:rStyle w:val="Heading7Char"/>
          <w:rFonts w:eastAsiaTheme="minorHAnsi"/>
          <w:bCs w:val="0"/>
          <w:spacing w:val="0"/>
        </w:rPr>
      </w:pPr>
      <w:r w:rsidRPr="00125881">
        <w:rPr>
          <w:rStyle w:val="Heading7Char"/>
          <w:rFonts w:eastAsiaTheme="minorHAnsi" w:hint="cs"/>
          <w:b/>
          <w:color w:val="004E6C"/>
          <w:spacing w:val="0"/>
          <w:rtl/>
        </w:rPr>
        <w:t>הרשות לקידום מעמד האישה:</w:t>
      </w:r>
      <w:r w:rsidRPr="00125881">
        <w:rPr>
          <w:rStyle w:val="Heading7Char"/>
          <w:rFonts w:eastAsiaTheme="minorHAnsi" w:hint="cs"/>
          <w:bCs w:val="0"/>
          <w:color w:val="004E6C"/>
          <w:spacing w:val="0"/>
          <w:rtl/>
        </w:rPr>
        <w:t xml:space="preserve"> </w:t>
      </w:r>
      <w:r w:rsidRPr="00F847A0">
        <w:rPr>
          <w:rFonts w:hint="cs"/>
          <w:rtl/>
        </w:rPr>
        <w:t>באוגוסט 2018 ערכה הרשות לקידום מעמד האישה סקר במרשתת בעניין הטרדות מיניות בעבודה ובצבא. הסקר פנה לשלושה קהלים - יהודי כללי, חרדי וערבי</w:t>
      </w:r>
      <w:r w:rsidRPr="00F847A0">
        <w:rPr>
          <w:rStyle w:val="Heading7Char"/>
          <w:rFonts w:eastAsiaTheme="minorHAnsi" w:hint="cs"/>
          <w:bCs w:val="0"/>
          <w:spacing w:val="0"/>
          <w:rtl/>
        </w:rPr>
        <w:t xml:space="preserve">. הסקר בחן תפיסות באוכלוסייה הישראלית בנוגע להטרדות מיניות ואת שכיחותן. על הסקר השיבו </w:t>
      </w:r>
      <w:r w:rsidRPr="00F847A0">
        <w:rPr>
          <w:rFonts w:hint="cs"/>
          <w:rtl/>
        </w:rPr>
        <w:t xml:space="preserve">1,443 אנשים. </w:t>
      </w:r>
      <w:r w:rsidRPr="00F847A0">
        <w:rPr>
          <w:rStyle w:val="Heading7Char"/>
          <w:rFonts w:eastAsiaTheme="minorHAnsi" w:hint="cs"/>
          <w:bCs w:val="0"/>
          <w:spacing w:val="0"/>
          <w:rtl/>
        </w:rPr>
        <w:t xml:space="preserve">כחמישית מהגברים ויותר ממחצית מהנשים שהשיבו העידו על עצמם כי עברו </w:t>
      </w:r>
      <w:r w:rsidRPr="00F847A0">
        <w:rPr>
          <w:rStyle w:val="Heading7Char"/>
          <w:rFonts w:eastAsiaTheme="minorHAnsi" w:hint="cs"/>
          <w:bCs w:val="0"/>
          <w:spacing w:val="0"/>
          <w:rtl/>
        </w:rPr>
        <w:lastRenderedPageBreak/>
        <w:t>הטרדה מינית במהלך חייהם. מהתשובות לסקר עולה ש- 44% מהגברים ו-66% מהנשים הוטרדו בעבודה ובצבא</w:t>
      </w:r>
      <w:r w:rsidRPr="00FB6436">
        <w:rPr>
          <w:rStyle w:val="FootnoteReference"/>
          <w:rtl/>
        </w:rPr>
        <w:footnoteReference w:id="18"/>
      </w:r>
      <w:r w:rsidRPr="00F847A0">
        <w:rPr>
          <w:rStyle w:val="Heading7Char"/>
          <w:rFonts w:eastAsiaTheme="minorHAnsi" w:hint="cs"/>
          <w:bCs w:val="0"/>
          <w:spacing w:val="0"/>
          <w:rtl/>
        </w:rPr>
        <w:t xml:space="preserve">. </w:t>
      </w:r>
    </w:p>
    <w:p w14:paraId="5DC2A893" w14:textId="77777777" w:rsidR="00417266" w:rsidRPr="003A6DC4" w:rsidRDefault="00417266" w:rsidP="00BE61FC">
      <w:pPr>
        <w:pStyle w:val="af0"/>
        <w:rPr>
          <w:rStyle w:val="Heading7Char"/>
          <w:rFonts w:eastAsiaTheme="minorHAnsi"/>
          <w:bCs w:val="0"/>
          <w:spacing w:val="0"/>
        </w:rPr>
      </w:pPr>
      <w:r w:rsidRPr="001B6648">
        <w:rPr>
          <w:rStyle w:val="Heading7Char"/>
          <w:rFonts w:eastAsiaTheme="minorHAnsi" w:hint="cs"/>
          <w:bCs w:val="0"/>
          <w:spacing w:val="0"/>
          <w:rtl/>
        </w:rPr>
        <w:t xml:space="preserve">הסקר העלה כי </w:t>
      </w:r>
      <w:r w:rsidRPr="001B6648">
        <w:rPr>
          <w:rStyle w:val="Heading7Char"/>
          <w:rFonts w:eastAsiaTheme="minorHAnsi"/>
          <w:bCs w:val="0"/>
          <w:spacing w:val="0"/>
          <w:rtl/>
        </w:rPr>
        <w:t xml:space="preserve">על אף העלייה במודעות הציבור לנושא בשנים האחרונות, רבים </w:t>
      </w:r>
      <w:r>
        <w:rPr>
          <w:rStyle w:val="Heading7Char"/>
          <w:rFonts w:eastAsiaTheme="minorHAnsi" w:hint="cs"/>
          <w:bCs w:val="0"/>
          <w:spacing w:val="0"/>
          <w:rtl/>
        </w:rPr>
        <w:t>אינם</w:t>
      </w:r>
      <w:r w:rsidRPr="001B6648">
        <w:rPr>
          <w:rStyle w:val="Heading7Char"/>
          <w:rFonts w:eastAsiaTheme="minorHAnsi"/>
          <w:bCs w:val="0"/>
          <w:spacing w:val="0"/>
          <w:rtl/>
        </w:rPr>
        <w:t xml:space="preserve"> יודעים </w:t>
      </w:r>
      <w:r>
        <w:rPr>
          <w:rStyle w:val="Heading7Char"/>
          <w:rFonts w:eastAsiaTheme="minorHAnsi" w:hint="cs"/>
          <w:bCs w:val="0"/>
          <w:spacing w:val="0"/>
          <w:rtl/>
        </w:rPr>
        <w:t>בדיוק</w:t>
      </w:r>
      <w:r w:rsidRPr="001B6648">
        <w:rPr>
          <w:rStyle w:val="Heading7Char"/>
          <w:rFonts w:eastAsiaTheme="minorHAnsi"/>
          <w:bCs w:val="0"/>
          <w:spacing w:val="0"/>
          <w:rtl/>
        </w:rPr>
        <w:t xml:space="preserve"> מהי הטרדה</w:t>
      </w:r>
      <w:r w:rsidRPr="001B6648">
        <w:rPr>
          <w:rStyle w:val="Heading7Char"/>
          <w:rFonts w:eastAsiaTheme="minorHAnsi" w:hint="cs"/>
          <w:bCs w:val="0"/>
          <w:spacing w:val="0"/>
          <w:rtl/>
        </w:rPr>
        <w:t xml:space="preserve"> </w:t>
      </w:r>
      <w:r w:rsidRPr="001B6648">
        <w:rPr>
          <w:rStyle w:val="Heading7Char"/>
          <w:rFonts w:eastAsiaTheme="minorHAnsi"/>
          <w:bCs w:val="0"/>
          <w:spacing w:val="0"/>
          <w:rtl/>
        </w:rPr>
        <w:t xml:space="preserve">מינית, </w:t>
      </w:r>
      <w:r>
        <w:rPr>
          <w:rStyle w:val="Heading7Char"/>
          <w:rFonts w:eastAsiaTheme="minorHAnsi" w:hint="cs"/>
          <w:bCs w:val="0"/>
          <w:spacing w:val="0"/>
          <w:rtl/>
        </w:rPr>
        <w:t>אינם</w:t>
      </w:r>
      <w:r w:rsidRPr="001B6648">
        <w:rPr>
          <w:rStyle w:val="Heading7Char"/>
          <w:rFonts w:eastAsiaTheme="minorHAnsi"/>
          <w:bCs w:val="0"/>
          <w:spacing w:val="0"/>
          <w:rtl/>
        </w:rPr>
        <w:t xml:space="preserve"> מצליחים לזהות התנהגויות כהטרדה </w:t>
      </w:r>
      <w:r w:rsidRPr="009E1E7D">
        <w:rPr>
          <w:rStyle w:val="Heading7Char"/>
          <w:rFonts w:eastAsiaTheme="minorHAnsi"/>
          <w:bCs w:val="0"/>
          <w:spacing w:val="0"/>
          <w:rtl/>
        </w:rPr>
        <w:t xml:space="preserve">או </w:t>
      </w:r>
      <w:r>
        <w:rPr>
          <w:rStyle w:val="Heading7Char"/>
          <w:rFonts w:eastAsiaTheme="minorHAnsi" w:hint="cs"/>
          <w:bCs w:val="0"/>
          <w:spacing w:val="0"/>
          <w:rtl/>
        </w:rPr>
        <w:t>שאינם</w:t>
      </w:r>
      <w:r w:rsidRPr="009E1E7D">
        <w:rPr>
          <w:rStyle w:val="Heading7Char"/>
          <w:rFonts w:eastAsiaTheme="minorHAnsi"/>
          <w:bCs w:val="0"/>
          <w:spacing w:val="0"/>
          <w:rtl/>
        </w:rPr>
        <w:t xml:space="preserve"> מספיק בטוחים או פתוחים </w:t>
      </w:r>
      <w:r>
        <w:rPr>
          <w:rStyle w:val="Heading7Char"/>
          <w:rFonts w:eastAsiaTheme="minorHAnsi" w:hint="cs"/>
          <w:bCs w:val="0"/>
          <w:spacing w:val="0"/>
          <w:rtl/>
        </w:rPr>
        <w:t xml:space="preserve">כדי </w:t>
      </w:r>
      <w:r w:rsidRPr="009E1E7D">
        <w:rPr>
          <w:rStyle w:val="Heading7Char"/>
          <w:rFonts w:eastAsiaTheme="minorHAnsi"/>
          <w:bCs w:val="0"/>
          <w:spacing w:val="0"/>
          <w:rtl/>
        </w:rPr>
        <w:t>להעיד על כך.</w:t>
      </w:r>
    </w:p>
    <w:p w14:paraId="0FC9E772" w14:textId="7F7BFFF3" w:rsidR="00417266" w:rsidRPr="00C43F1B" w:rsidRDefault="00417266" w:rsidP="00417266">
      <w:pPr>
        <w:spacing w:line="269" w:lineRule="auto"/>
        <w:rPr>
          <w:rtl/>
        </w:rPr>
      </w:pPr>
    </w:p>
    <w:p w14:paraId="4FC0C44C" w14:textId="77777777" w:rsidR="00417266" w:rsidRPr="00C43F1B" w:rsidRDefault="00417266" w:rsidP="00BE61FC">
      <w:pPr>
        <w:pStyle w:val="12"/>
        <w:rPr>
          <w:rtl/>
        </w:rPr>
      </w:pPr>
      <w:r w:rsidRPr="00C43F1B">
        <w:rPr>
          <w:rFonts w:hint="cs"/>
          <w:rtl/>
        </w:rPr>
        <w:t>סקרי</w:t>
      </w:r>
      <w:r>
        <w:rPr>
          <w:rFonts w:hint="cs"/>
          <w:rtl/>
        </w:rPr>
        <w:t xml:space="preserve"> משרד התמ"ת והרשות לקידום מעמד האישה</w:t>
      </w:r>
      <w:r w:rsidRPr="00C43F1B">
        <w:rPr>
          <w:rFonts w:hint="cs"/>
          <w:rtl/>
        </w:rPr>
        <w:t xml:space="preserve"> מלמדים כי </w:t>
      </w:r>
      <w:r>
        <w:rPr>
          <w:rFonts w:hint="cs"/>
          <w:rtl/>
        </w:rPr>
        <w:t xml:space="preserve">גם </w:t>
      </w:r>
      <w:r w:rsidRPr="00C43F1B">
        <w:rPr>
          <w:rFonts w:hint="cs"/>
          <w:rtl/>
        </w:rPr>
        <w:t xml:space="preserve">בחלוף </w:t>
      </w:r>
      <w:r>
        <w:rPr>
          <w:rFonts w:hint="cs"/>
          <w:rtl/>
        </w:rPr>
        <w:t xml:space="preserve">20 </w:t>
      </w:r>
      <w:r w:rsidRPr="00C43F1B">
        <w:rPr>
          <w:rFonts w:hint="cs"/>
          <w:rtl/>
        </w:rPr>
        <w:t xml:space="preserve">שנים מחקיקת </w:t>
      </w:r>
      <w:r w:rsidRPr="00C43F1B">
        <w:rPr>
          <w:rFonts w:hint="eastAsia"/>
          <w:rtl/>
        </w:rPr>
        <w:t>החוק</w:t>
      </w:r>
      <w:r w:rsidRPr="00C43F1B">
        <w:rPr>
          <w:rtl/>
        </w:rPr>
        <w:t xml:space="preserve"> </w:t>
      </w:r>
      <w:r w:rsidRPr="00C43F1B">
        <w:rPr>
          <w:rFonts w:hint="eastAsia"/>
          <w:rtl/>
        </w:rPr>
        <w:t>למניעת</w:t>
      </w:r>
      <w:r w:rsidRPr="00C43F1B">
        <w:rPr>
          <w:rtl/>
        </w:rPr>
        <w:t xml:space="preserve"> </w:t>
      </w:r>
      <w:r w:rsidRPr="00C43F1B">
        <w:rPr>
          <w:rFonts w:hint="eastAsia"/>
          <w:rtl/>
        </w:rPr>
        <w:t>הטרדה</w:t>
      </w:r>
      <w:r w:rsidRPr="00C43F1B">
        <w:rPr>
          <w:rtl/>
        </w:rPr>
        <w:t xml:space="preserve"> </w:t>
      </w:r>
      <w:r w:rsidRPr="00C43F1B">
        <w:rPr>
          <w:rFonts w:hint="eastAsia"/>
          <w:rtl/>
        </w:rPr>
        <w:t>מינית</w:t>
      </w:r>
      <w:r w:rsidRPr="00C43F1B">
        <w:rPr>
          <w:rFonts w:hint="cs"/>
          <w:rtl/>
        </w:rPr>
        <w:t xml:space="preserve">, </w:t>
      </w:r>
      <w:r>
        <w:rPr>
          <w:rFonts w:hint="cs"/>
          <w:rtl/>
        </w:rPr>
        <w:t>ציבור רחב אינו מודע להתנהגויות המהוות הטרדה מינית על פי החוק</w:t>
      </w:r>
      <w:r w:rsidRPr="00C43F1B">
        <w:rPr>
          <w:rFonts w:hint="cs"/>
          <w:rtl/>
        </w:rPr>
        <w:t>.</w:t>
      </w:r>
      <w:r>
        <w:rPr>
          <w:rFonts w:hint="cs"/>
          <w:rtl/>
        </w:rPr>
        <w:t xml:space="preserve"> הסקרים מצביעים</w:t>
      </w:r>
      <w:r w:rsidRPr="00C43F1B">
        <w:rPr>
          <w:rFonts w:hint="cs"/>
          <w:rtl/>
        </w:rPr>
        <w:t xml:space="preserve"> על הצורך החיוני בהדרכות, בחינוך ובהסברה בנוגע לחוק למניעת הטרדה מינית, ועל חיוניות</w:t>
      </w:r>
      <w:r>
        <w:rPr>
          <w:rFonts w:hint="cs"/>
          <w:rtl/>
        </w:rPr>
        <w:t>ם</w:t>
      </w:r>
      <w:r w:rsidRPr="00C43F1B">
        <w:rPr>
          <w:rFonts w:hint="cs"/>
          <w:rtl/>
        </w:rPr>
        <w:t xml:space="preserve"> המיוחדת בקרב האוכלוסייה הלא-יהודית.</w:t>
      </w:r>
      <w:r w:rsidRPr="00C43F1B">
        <w:rPr>
          <w:rFonts w:hint="eastAsia"/>
          <w:rtl/>
        </w:rPr>
        <w:t xml:space="preserve"> </w:t>
      </w:r>
      <w:r w:rsidRPr="00C43F1B">
        <w:rPr>
          <w:rFonts w:hint="cs"/>
          <w:rtl/>
        </w:rPr>
        <w:t xml:space="preserve">לפיכך ראוי </w:t>
      </w:r>
      <w:r w:rsidRPr="00962D43">
        <w:rPr>
          <w:rFonts w:hint="cs"/>
          <w:rtl/>
        </w:rPr>
        <w:t>ש</w:t>
      </w:r>
      <w:r w:rsidRPr="00962D43">
        <w:rPr>
          <w:rtl/>
        </w:rPr>
        <w:t xml:space="preserve">משרד </w:t>
      </w:r>
      <w:r w:rsidRPr="00962D43">
        <w:rPr>
          <w:rFonts w:hint="cs"/>
          <w:rtl/>
        </w:rPr>
        <w:t>העבודה</w:t>
      </w:r>
      <w:r w:rsidRPr="00962D43">
        <w:rPr>
          <w:rtl/>
        </w:rPr>
        <w:t xml:space="preserve"> </w:t>
      </w:r>
      <w:r>
        <w:rPr>
          <w:rFonts w:hint="cs"/>
          <w:rtl/>
        </w:rPr>
        <w:t xml:space="preserve">בשיתוף הרשות לקידום מעמד האישה </w:t>
      </w:r>
      <w:r w:rsidRPr="00962D43">
        <w:rPr>
          <w:rFonts w:hint="cs"/>
          <w:rtl/>
        </w:rPr>
        <w:t>יערי</w:t>
      </w:r>
      <w:r>
        <w:rPr>
          <w:rFonts w:hint="cs"/>
          <w:rtl/>
        </w:rPr>
        <w:t>כו</w:t>
      </w:r>
      <w:r w:rsidRPr="00C43F1B">
        <w:rPr>
          <w:rFonts w:hint="cs"/>
          <w:rtl/>
        </w:rPr>
        <w:t xml:space="preserve"> אם </w:t>
      </w:r>
      <w:r w:rsidRPr="00450259">
        <w:rPr>
          <w:rFonts w:hint="cs"/>
          <w:rtl/>
        </w:rPr>
        <w:t xml:space="preserve">נדרשות פעולות ממוקדות להעלאת המודעות לאפשרות </w:t>
      </w:r>
      <w:r>
        <w:rPr>
          <w:rFonts w:hint="cs"/>
          <w:rtl/>
        </w:rPr>
        <w:t>להגיש</w:t>
      </w:r>
      <w:r w:rsidRPr="00450259">
        <w:rPr>
          <w:rFonts w:hint="cs"/>
          <w:rtl/>
        </w:rPr>
        <w:t xml:space="preserve"> תלונות ולהסרת חסמי</w:t>
      </w:r>
      <w:r>
        <w:rPr>
          <w:rFonts w:hint="cs"/>
          <w:rtl/>
        </w:rPr>
        <w:t xml:space="preserve">ם </w:t>
      </w:r>
      <w:r w:rsidRPr="00450259">
        <w:rPr>
          <w:rFonts w:ascii="Arial" w:hAnsi="Arial"/>
          <w:rtl/>
        </w:rPr>
        <w:t xml:space="preserve">תוך מתן הדעת לשוני בין </w:t>
      </w:r>
      <w:r w:rsidRPr="006B6657">
        <w:rPr>
          <w:rFonts w:ascii="Arial" w:hAnsi="Arial" w:hint="cs"/>
          <w:rtl/>
        </w:rPr>
        <w:t>ה</w:t>
      </w:r>
      <w:r w:rsidRPr="006B6657">
        <w:rPr>
          <w:rFonts w:ascii="Arial" w:hAnsi="Arial"/>
          <w:rtl/>
        </w:rPr>
        <w:t xml:space="preserve">אוכלוסיות </w:t>
      </w:r>
      <w:r w:rsidRPr="00450259">
        <w:rPr>
          <w:rFonts w:ascii="Arial" w:hAnsi="Arial"/>
          <w:rtl/>
        </w:rPr>
        <w:t>השונות</w:t>
      </w:r>
      <w:r>
        <w:rPr>
          <w:rFonts w:hint="cs"/>
          <w:rtl/>
        </w:rPr>
        <w:t>.</w:t>
      </w:r>
    </w:p>
    <w:p w14:paraId="3A49B4F2" w14:textId="77777777" w:rsidR="00417266" w:rsidRPr="00C43F1B" w:rsidRDefault="00417266" w:rsidP="00534021">
      <w:pPr>
        <w:pStyle w:val="316"/>
        <w:rPr>
          <w:rtl/>
        </w:rPr>
      </w:pPr>
      <w:bookmarkStart w:id="7" w:name="_Toc9150777"/>
      <w:r w:rsidRPr="00C43F1B">
        <w:rPr>
          <w:rFonts w:hint="cs"/>
          <w:rtl/>
        </w:rPr>
        <w:t>פניות למרכזי סיוע ופרסומים ברשתות החברתיות</w:t>
      </w:r>
      <w:bookmarkEnd w:id="7"/>
    </w:p>
    <w:p w14:paraId="3F2025A6" w14:textId="5206642C" w:rsidR="00417266" w:rsidRDefault="00417266" w:rsidP="00F10ECA">
      <w:pPr>
        <w:pStyle w:val="a0"/>
        <w:numPr>
          <w:ilvl w:val="0"/>
          <w:numId w:val="18"/>
        </w:numPr>
      </w:pPr>
      <w:r w:rsidRPr="00C43F1B">
        <w:rPr>
          <w:rFonts w:hint="cs"/>
          <w:rtl/>
        </w:rPr>
        <w:t>איגוד מרכזי הסיוע מרכז את נתוני הפניות אל תשעת מרכזי הסיוע האזוריים הפזורים ברחבי הארץ. לפי נתוני ה</w:t>
      </w:r>
      <w:r>
        <w:rPr>
          <w:rFonts w:hint="cs"/>
          <w:rtl/>
        </w:rPr>
        <w:t xml:space="preserve">איגוד, התנהגויות המהוות הטרדה מינית וכן מעשים מגונים (שגם מהווים הטרדה מינית וגם אסורים לפי חוק העונשין) </w:t>
      </w:r>
      <w:r w:rsidRPr="00C43F1B">
        <w:rPr>
          <w:rFonts w:hint="cs"/>
          <w:rtl/>
        </w:rPr>
        <w:t>אינ</w:t>
      </w:r>
      <w:r>
        <w:rPr>
          <w:rFonts w:hint="cs"/>
          <w:rtl/>
        </w:rPr>
        <w:t>ם</w:t>
      </w:r>
      <w:r w:rsidRPr="00C43F1B">
        <w:rPr>
          <w:rFonts w:hint="cs"/>
          <w:rtl/>
        </w:rPr>
        <w:t xml:space="preserve"> תופעה שולית כלל וכלל. </w:t>
      </w:r>
      <w:r>
        <w:rPr>
          <w:rFonts w:hint="cs"/>
          <w:rtl/>
        </w:rPr>
        <w:t>בשנת 2017 התקבלו במרכזי הסיוע 11,778 פניות חדשות (לא נספרו פניות המשך) בבקשת סיוע בגין פגיעות מיניות שונות, מהן כ-2,980 פניות בגין התנהגויות המהוות הטרדה מינית (לא כולל מעשים מגונים). ראו את נתוני הפניות למרכזי הסיוע בעניין הטרדות מיניות בשנים 2014 - 2017 לעומת מספר התלונות על הטרדות מיניות שהוגשו למשטרה באותן השנים:</w:t>
      </w:r>
    </w:p>
    <w:p w14:paraId="4F512B98" w14:textId="77777777" w:rsidR="00417266" w:rsidRDefault="00417266" w:rsidP="00417266">
      <w:pPr>
        <w:bidi w:val="0"/>
        <w:spacing w:after="200" w:line="276" w:lineRule="auto"/>
        <w:rPr>
          <w:szCs w:val="20"/>
          <w:rtl/>
        </w:rPr>
      </w:pPr>
      <w:r>
        <w:rPr>
          <w:rtl/>
        </w:rPr>
        <w:br w:type="page"/>
      </w:r>
    </w:p>
    <w:p w14:paraId="08AB3946" w14:textId="77777777" w:rsidR="00417266" w:rsidRPr="00AE0764" w:rsidRDefault="00417266" w:rsidP="00AE0764">
      <w:pPr>
        <w:pStyle w:val="a8"/>
        <w:rPr>
          <w:b/>
          <w:bCs/>
        </w:rPr>
      </w:pPr>
      <w:r w:rsidRPr="005F30EC">
        <w:rPr>
          <w:rFonts w:hint="cs"/>
          <w:rtl/>
        </w:rPr>
        <w:lastRenderedPageBreak/>
        <w:t xml:space="preserve">תרשים </w:t>
      </w:r>
      <w:r>
        <w:rPr>
          <w:rFonts w:hint="cs"/>
          <w:rtl/>
        </w:rPr>
        <w:t>10</w:t>
      </w:r>
      <w:r w:rsidRPr="005F30EC">
        <w:rPr>
          <w:rFonts w:hint="cs"/>
          <w:rtl/>
        </w:rPr>
        <w:t xml:space="preserve">: </w:t>
      </w:r>
      <w:r w:rsidRPr="00AE0764">
        <w:rPr>
          <w:b/>
          <w:bCs/>
          <w:rtl/>
        </w:rPr>
        <w:t>פניות בנושא הטרדות מיניות למרכזי הסיוע לנפגעות תקיפה מינית</w:t>
      </w:r>
      <w:r w:rsidRPr="00AE0764">
        <w:rPr>
          <w:rFonts w:hint="cs"/>
          <w:b/>
          <w:bCs/>
          <w:rtl/>
        </w:rPr>
        <w:t xml:space="preserve"> </w:t>
      </w:r>
      <w:r w:rsidRPr="00AE0764">
        <w:rPr>
          <w:rFonts w:hint="eastAsia"/>
          <w:b/>
          <w:bCs/>
          <w:rtl/>
        </w:rPr>
        <w:t>ותלונות</w:t>
      </w:r>
      <w:r w:rsidRPr="00AE0764">
        <w:rPr>
          <w:b/>
          <w:bCs/>
          <w:rtl/>
        </w:rPr>
        <w:t xml:space="preserve"> </w:t>
      </w:r>
      <w:r w:rsidRPr="00AE0764">
        <w:rPr>
          <w:rFonts w:hint="eastAsia"/>
          <w:b/>
          <w:bCs/>
          <w:rtl/>
        </w:rPr>
        <w:t>למשטר</w:t>
      </w:r>
      <w:r w:rsidRPr="00AE0764">
        <w:rPr>
          <w:rFonts w:hint="cs"/>
          <w:b/>
          <w:bCs/>
          <w:rtl/>
        </w:rPr>
        <w:t>ה</w:t>
      </w:r>
      <w:r w:rsidRPr="00AE0764">
        <w:rPr>
          <w:b/>
          <w:bCs/>
          <w:rtl/>
        </w:rPr>
        <w:t>, 201</w:t>
      </w:r>
      <w:r w:rsidRPr="00AE0764">
        <w:rPr>
          <w:rFonts w:hint="cs"/>
          <w:b/>
          <w:bCs/>
          <w:rtl/>
        </w:rPr>
        <w:t xml:space="preserve">4 </w:t>
      </w:r>
      <w:r w:rsidRPr="00AE0764">
        <w:rPr>
          <w:b/>
          <w:bCs/>
          <w:rtl/>
        </w:rPr>
        <w:t>-</w:t>
      </w:r>
      <w:r w:rsidRPr="00AE0764">
        <w:rPr>
          <w:rFonts w:hint="cs"/>
          <w:b/>
          <w:bCs/>
          <w:rtl/>
        </w:rPr>
        <w:t xml:space="preserve"> </w:t>
      </w:r>
      <w:r w:rsidRPr="00AE0764">
        <w:rPr>
          <w:b/>
          <w:bCs/>
          <w:rtl/>
        </w:rPr>
        <w:t>201</w:t>
      </w:r>
      <w:r w:rsidRPr="00AE0764">
        <w:rPr>
          <w:rFonts w:hint="cs"/>
          <w:b/>
          <w:bCs/>
          <w:rtl/>
        </w:rPr>
        <w:t>7</w:t>
      </w:r>
    </w:p>
    <w:p w14:paraId="20DC56FE" w14:textId="77777777" w:rsidR="00417266" w:rsidRDefault="00417266" w:rsidP="00726680">
      <w:pPr>
        <w:pStyle w:val="a8"/>
      </w:pPr>
      <w:r>
        <w:rPr>
          <w:rFonts w:hint="cs"/>
          <w:noProof/>
          <w:rtl/>
        </w:rPr>
        <w:drawing>
          <wp:inline distT="0" distB="0" distL="0" distR="0" wp14:anchorId="4C4E0FBA" wp14:editId="41874C7F">
            <wp:extent cx="5039360" cy="2957885"/>
            <wp:effectExtent l="0" t="0" r="8890" b="13970"/>
            <wp:docPr id="48" name="תרשים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hint="cs"/>
          <w:rtl/>
        </w:rPr>
        <w:t xml:space="preserve"> </w:t>
      </w:r>
    </w:p>
    <w:p w14:paraId="40020D97" w14:textId="77777777" w:rsidR="00417266" w:rsidRDefault="00417266" w:rsidP="00AE0764">
      <w:pPr>
        <w:pStyle w:val="aa"/>
        <w:rPr>
          <w:rtl/>
        </w:rPr>
      </w:pPr>
      <w:r>
        <w:rPr>
          <w:rFonts w:hint="cs"/>
          <w:rtl/>
        </w:rPr>
        <w:t xml:space="preserve">על פי נתוני איגוד מרכזי הסיוע והמשטרה, </w:t>
      </w:r>
      <w:r w:rsidRPr="005F30EC">
        <w:rPr>
          <w:rFonts w:hint="cs"/>
          <w:rtl/>
        </w:rPr>
        <w:t>בעיבוד משרד מבקר המדינה.</w:t>
      </w:r>
    </w:p>
    <w:p w14:paraId="29D01FFD" w14:textId="76C51FCB" w:rsidR="00417266" w:rsidRPr="00AE0764" w:rsidRDefault="00417266" w:rsidP="00AE0764">
      <w:pPr>
        <w:pStyle w:val="100"/>
        <w:rPr>
          <w:rtl/>
        </w:rPr>
      </w:pPr>
    </w:p>
    <w:p w14:paraId="3068075A" w14:textId="77777777" w:rsidR="00417266" w:rsidRPr="00614E27" w:rsidRDefault="00417266" w:rsidP="00AE0764">
      <w:pPr>
        <w:pStyle w:val="ac"/>
        <w:rPr>
          <w:rtl/>
        </w:rPr>
      </w:pPr>
      <w:r w:rsidRPr="00614E27">
        <w:rPr>
          <w:rFonts w:hint="cs"/>
          <w:rtl/>
        </w:rPr>
        <w:t>מהתרשים עולה כי בשנים 2014 - 2017 גדל מספר התלונות על הטרדה מינית שהוגשו למשטרה, אך מספרן עדיין קטן בהרבה ממספר הפניות בעניין זה למרכזי הסיוע.</w:t>
      </w:r>
    </w:p>
    <w:p w14:paraId="5FF0E8BF" w14:textId="77777777" w:rsidR="00417266" w:rsidRDefault="00417266" w:rsidP="008203CF">
      <w:pPr>
        <w:pStyle w:val="af2"/>
        <w:rPr>
          <w:rtl/>
        </w:rPr>
      </w:pPr>
      <w:r w:rsidRPr="008203CF">
        <w:rPr>
          <w:rFonts w:hint="cs"/>
          <w:rtl/>
        </w:rPr>
        <w:t>ראו</w:t>
      </w:r>
      <w:r>
        <w:rPr>
          <w:rFonts w:hint="cs"/>
          <w:rtl/>
        </w:rPr>
        <w:t xml:space="preserve"> להלן את שיעור הפניות לפי סוגי הפגיעות המיניות בגילאים השונים: </w:t>
      </w:r>
    </w:p>
    <w:p w14:paraId="6CFFCC66" w14:textId="3ACD2392" w:rsidR="00417266" w:rsidRPr="00024E0C" w:rsidRDefault="00417266" w:rsidP="00024E0C">
      <w:pPr>
        <w:pStyle w:val="a8"/>
        <w:rPr>
          <w:b/>
          <w:bCs/>
          <w:rtl/>
        </w:rPr>
      </w:pPr>
      <w:r w:rsidRPr="00BC575E">
        <w:rPr>
          <w:rFonts w:hint="eastAsia"/>
          <w:rtl/>
        </w:rPr>
        <w:lastRenderedPageBreak/>
        <w:t>תרשים</w:t>
      </w:r>
      <w:r w:rsidRPr="00BC575E">
        <w:rPr>
          <w:rtl/>
        </w:rPr>
        <w:t xml:space="preserve"> </w:t>
      </w:r>
      <w:r>
        <w:rPr>
          <w:rFonts w:hint="cs"/>
          <w:rtl/>
        </w:rPr>
        <w:t>11</w:t>
      </w:r>
      <w:r w:rsidRPr="00BC575E">
        <w:rPr>
          <w:rtl/>
        </w:rPr>
        <w:t xml:space="preserve">: </w:t>
      </w:r>
      <w:r w:rsidRPr="00024E0C">
        <w:rPr>
          <w:rFonts w:hint="eastAsia"/>
          <w:b/>
          <w:bCs/>
          <w:rtl/>
        </w:rPr>
        <w:t>שיעור</w:t>
      </w:r>
      <w:r w:rsidRPr="00024E0C">
        <w:rPr>
          <w:b/>
          <w:bCs/>
          <w:rtl/>
        </w:rPr>
        <w:t xml:space="preserve"> </w:t>
      </w:r>
      <w:r w:rsidRPr="00024E0C">
        <w:rPr>
          <w:rFonts w:hint="eastAsia"/>
          <w:b/>
          <w:bCs/>
          <w:rtl/>
        </w:rPr>
        <w:t>הפניות</w:t>
      </w:r>
      <w:r w:rsidRPr="00024E0C">
        <w:rPr>
          <w:b/>
          <w:bCs/>
          <w:rtl/>
        </w:rPr>
        <w:t xml:space="preserve"> </w:t>
      </w:r>
      <w:r w:rsidRPr="00024E0C">
        <w:rPr>
          <w:rFonts w:hint="eastAsia"/>
          <w:b/>
          <w:bCs/>
          <w:rtl/>
        </w:rPr>
        <w:t>למרכזי</w:t>
      </w:r>
      <w:r w:rsidRPr="00024E0C">
        <w:rPr>
          <w:b/>
          <w:bCs/>
          <w:rtl/>
        </w:rPr>
        <w:t xml:space="preserve"> </w:t>
      </w:r>
      <w:r w:rsidRPr="00024E0C">
        <w:rPr>
          <w:rFonts w:hint="eastAsia"/>
          <w:b/>
          <w:bCs/>
          <w:rtl/>
        </w:rPr>
        <w:t>הסיוע</w:t>
      </w:r>
      <w:r w:rsidRPr="00024E0C">
        <w:rPr>
          <w:rFonts w:hint="cs"/>
          <w:b/>
          <w:bCs/>
          <w:rtl/>
        </w:rPr>
        <w:t xml:space="preserve"> 2017</w:t>
      </w:r>
      <w:r w:rsidRPr="00024E0C">
        <w:rPr>
          <w:b/>
          <w:bCs/>
          <w:rtl/>
        </w:rPr>
        <w:t xml:space="preserve">, </w:t>
      </w:r>
      <w:r w:rsidRPr="00024E0C">
        <w:rPr>
          <w:rFonts w:hint="cs"/>
          <w:b/>
          <w:bCs/>
          <w:rtl/>
        </w:rPr>
        <w:t xml:space="preserve">לפי </w:t>
      </w:r>
      <w:r w:rsidRPr="00024E0C">
        <w:rPr>
          <w:rFonts w:hint="eastAsia"/>
          <w:b/>
          <w:bCs/>
          <w:rtl/>
        </w:rPr>
        <w:t>קבוצות</w:t>
      </w:r>
      <w:r w:rsidRPr="00024E0C">
        <w:rPr>
          <w:b/>
          <w:bCs/>
          <w:rtl/>
        </w:rPr>
        <w:t xml:space="preserve"> </w:t>
      </w:r>
      <w:r w:rsidRPr="00024E0C">
        <w:rPr>
          <w:rFonts w:hint="eastAsia"/>
          <w:b/>
          <w:bCs/>
          <w:rtl/>
        </w:rPr>
        <w:t>גיל</w:t>
      </w:r>
      <w:r w:rsidRPr="00024E0C">
        <w:rPr>
          <w:b/>
          <w:bCs/>
          <w:rtl/>
        </w:rPr>
        <w:t xml:space="preserve"> (</w:t>
      </w:r>
      <w:r w:rsidRPr="00024E0C">
        <w:rPr>
          <w:rFonts w:hint="cs"/>
          <w:b/>
          <w:bCs/>
          <w:rtl/>
        </w:rPr>
        <w:t>באחוזים</w:t>
      </w:r>
      <w:r w:rsidRPr="00024E0C">
        <w:rPr>
          <w:b/>
          <w:bCs/>
          <w:rtl/>
        </w:rPr>
        <w:t>)</w:t>
      </w:r>
    </w:p>
    <w:p w14:paraId="2C514C02" w14:textId="77777777" w:rsidR="00417266" w:rsidRDefault="00417266" w:rsidP="00726680">
      <w:pPr>
        <w:pStyle w:val="a8"/>
        <w:rPr>
          <w:rtl/>
        </w:rPr>
      </w:pPr>
      <w:r>
        <w:rPr>
          <w:noProof/>
          <w:rtl/>
        </w:rPr>
        <w:drawing>
          <wp:inline distT="0" distB="0" distL="0" distR="0" wp14:anchorId="3FC6094D" wp14:editId="76BFDAE7">
            <wp:extent cx="5220335" cy="3045460"/>
            <wp:effectExtent l="0" t="0" r="18415" b="2540"/>
            <wp:docPr id="192" name="תרשים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5DDB262" w14:textId="77777777" w:rsidR="00417266" w:rsidRDefault="00417266" w:rsidP="00460B1C">
      <w:pPr>
        <w:pStyle w:val="aa"/>
        <w:rPr>
          <w:rtl/>
        </w:rPr>
      </w:pPr>
      <w:r>
        <w:rPr>
          <w:rFonts w:hint="cs"/>
          <w:rtl/>
        </w:rPr>
        <w:t xml:space="preserve">על פי נתוני </w:t>
      </w:r>
      <w:r w:rsidRPr="00BC575E">
        <w:rPr>
          <w:rFonts w:hint="eastAsia"/>
          <w:rtl/>
        </w:rPr>
        <w:t>איגוד</w:t>
      </w:r>
      <w:r w:rsidRPr="00BC575E">
        <w:rPr>
          <w:rtl/>
        </w:rPr>
        <w:t xml:space="preserve"> </w:t>
      </w:r>
      <w:r w:rsidRPr="00BC575E">
        <w:rPr>
          <w:rFonts w:hint="eastAsia"/>
          <w:rtl/>
        </w:rPr>
        <w:t>מרכזי</w:t>
      </w:r>
      <w:r w:rsidRPr="00BC575E">
        <w:rPr>
          <w:rtl/>
        </w:rPr>
        <w:t xml:space="preserve"> </w:t>
      </w:r>
      <w:r w:rsidRPr="00BC575E">
        <w:rPr>
          <w:rFonts w:hint="eastAsia"/>
          <w:rtl/>
        </w:rPr>
        <w:t>הסיוע</w:t>
      </w:r>
      <w:r w:rsidRPr="00BC575E">
        <w:rPr>
          <w:rtl/>
        </w:rPr>
        <w:t xml:space="preserve">, </w:t>
      </w:r>
      <w:r w:rsidRPr="00BC575E">
        <w:rPr>
          <w:rFonts w:hint="eastAsia"/>
          <w:rtl/>
        </w:rPr>
        <w:t>בעיבוד</w:t>
      </w:r>
      <w:r w:rsidRPr="00BC575E">
        <w:rPr>
          <w:rtl/>
        </w:rPr>
        <w:t xml:space="preserve"> </w:t>
      </w:r>
      <w:r w:rsidRPr="00BC575E">
        <w:rPr>
          <w:rFonts w:hint="eastAsia"/>
          <w:rtl/>
        </w:rPr>
        <w:t>משרד</w:t>
      </w:r>
      <w:r w:rsidRPr="00BC575E">
        <w:rPr>
          <w:rtl/>
        </w:rPr>
        <w:t xml:space="preserve"> </w:t>
      </w:r>
      <w:r w:rsidRPr="00BC575E">
        <w:rPr>
          <w:rFonts w:hint="eastAsia"/>
          <w:rtl/>
        </w:rPr>
        <w:t>מבקר</w:t>
      </w:r>
      <w:r w:rsidRPr="00BC575E">
        <w:rPr>
          <w:rtl/>
        </w:rPr>
        <w:t xml:space="preserve"> </w:t>
      </w:r>
      <w:r w:rsidRPr="00BC575E">
        <w:rPr>
          <w:rFonts w:hint="eastAsia"/>
          <w:rtl/>
        </w:rPr>
        <w:t>המדינה</w:t>
      </w:r>
      <w:r w:rsidRPr="00BC575E">
        <w:rPr>
          <w:rtl/>
        </w:rPr>
        <w:t xml:space="preserve">. </w:t>
      </w:r>
    </w:p>
    <w:p w14:paraId="65112248" w14:textId="39564C91" w:rsidR="00417266" w:rsidRPr="00F37F67" w:rsidRDefault="00417266" w:rsidP="005E009F">
      <w:pPr>
        <w:pStyle w:val="100"/>
        <w:rPr>
          <w:rtl/>
        </w:rPr>
      </w:pPr>
    </w:p>
    <w:p w14:paraId="5D5D0556" w14:textId="77777777" w:rsidR="00417266" w:rsidRPr="00C43F1B" w:rsidRDefault="00417266" w:rsidP="005E009F">
      <w:pPr>
        <w:pStyle w:val="af2"/>
      </w:pPr>
      <w:r>
        <w:rPr>
          <w:rFonts w:hint="cs"/>
          <w:rtl/>
        </w:rPr>
        <w:t xml:space="preserve">מן הנתונים עולה כי השיעור הגדול ביותר של פניות בעניין הטרדה מינית הוא אצל בגירות ובגירים. </w:t>
      </w:r>
    </w:p>
    <w:p w14:paraId="7E92C65F" w14:textId="77777777" w:rsidR="00417266" w:rsidRPr="005E009F" w:rsidRDefault="00417266" w:rsidP="005E009F">
      <w:pPr>
        <w:pStyle w:val="ac"/>
        <w:rPr>
          <w:rtl/>
        </w:rPr>
      </w:pPr>
      <w:r w:rsidRPr="005E009F">
        <w:rPr>
          <w:rFonts w:hint="cs"/>
          <w:rtl/>
        </w:rPr>
        <w:t>הנתונים של איגוד מרכזי הסיוע וכן נתוני סקר הביטחון האישי, שאסף דיווחים על עבירות הטרדה מינית שאירעו בשנה האחרונה, יכולים ללמד על קיומה של תופעה חברתית רחבת היקף.</w:t>
      </w:r>
    </w:p>
    <w:p w14:paraId="7463B731" w14:textId="0CB6256C" w:rsidR="00417266" w:rsidRPr="005E009F" w:rsidRDefault="00417266" w:rsidP="00F10ECA">
      <w:pPr>
        <w:pStyle w:val="a0"/>
        <w:numPr>
          <w:ilvl w:val="0"/>
          <w:numId w:val="18"/>
        </w:numPr>
        <w:rPr>
          <w:rtl/>
        </w:rPr>
      </w:pPr>
      <w:r w:rsidRPr="005E009F">
        <w:rPr>
          <w:rtl/>
        </w:rPr>
        <w:t>בסוף שנת 2017 החל</w:t>
      </w:r>
      <w:r w:rsidRPr="005E009F">
        <w:rPr>
          <w:rFonts w:hint="cs"/>
          <w:rtl/>
        </w:rPr>
        <w:t>ה</w:t>
      </w:r>
      <w:r w:rsidRPr="005E009F">
        <w:rPr>
          <w:rtl/>
        </w:rPr>
        <w:t xml:space="preserve"> </w:t>
      </w:r>
      <w:r w:rsidRPr="005E009F">
        <w:rPr>
          <w:rFonts w:hint="cs"/>
          <w:rtl/>
        </w:rPr>
        <w:t>מחאת רשת</w:t>
      </w:r>
      <w:r w:rsidRPr="005E009F">
        <w:rPr>
          <w:rtl/>
        </w:rPr>
        <w:t xml:space="preserve"> בין-לאומי</w:t>
      </w:r>
      <w:r w:rsidRPr="005E009F">
        <w:rPr>
          <w:rFonts w:hint="cs"/>
          <w:rtl/>
        </w:rPr>
        <w:t>ת</w:t>
      </w:r>
      <w:r w:rsidRPr="005E009F">
        <w:rPr>
          <w:rtl/>
        </w:rPr>
        <w:t xml:space="preserve"> ברשתות החברתיות - </w:t>
      </w:r>
      <w:r w:rsidRPr="005E009F">
        <w:t>#</w:t>
      </w:r>
      <w:proofErr w:type="spellStart"/>
      <w:r w:rsidRPr="005E009F">
        <w:t>metoo</w:t>
      </w:r>
      <w:proofErr w:type="spellEnd"/>
      <w:r w:rsidRPr="005E009F">
        <w:rPr>
          <w:rtl/>
        </w:rPr>
        <w:t xml:space="preserve"> (#</w:t>
      </w:r>
      <w:r w:rsidRPr="005E009F">
        <w:rPr>
          <w:rFonts w:hint="eastAsia"/>
          <w:rtl/>
        </w:rPr>
        <w:t>גםאני</w:t>
      </w:r>
      <w:r w:rsidRPr="005E009F">
        <w:rPr>
          <w:rtl/>
        </w:rPr>
        <w:t xml:space="preserve">) - </w:t>
      </w:r>
      <w:r w:rsidRPr="005E009F">
        <w:rPr>
          <w:rFonts w:hint="cs"/>
          <w:rtl/>
        </w:rPr>
        <w:t>ו</w:t>
      </w:r>
      <w:r w:rsidRPr="005E009F">
        <w:rPr>
          <w:rFonts w:hint="eastAsia"/>
          <w:rtl/>
        </w:rPr>
        <w:t>ב</w:t>
      </w:r>
      <w:r w:rsidRPr="005E009F">
        <w:rPr>
          <w:rFonts w:hint="cs"/>
          <w:rtl/>
        </w:rPr>
        <w:t xml:space="preserve">ה </w:t>
      </w:r>
      <w:r w:rsidRPr="005E009F">
        <w:rPr>
          <w:rFonts w:hint="eastAsia"/>
          <w:rtl/>
        </w:rPr>
        <w:t>שיתפו</w:t>
      </w:r>
      <w:r w:rsidRPr="005E009F">
        <w:rPr>
          <w:rtl/>
        </w:rPr>
        <w:t xml:space="preserve"> </w:t>
      </w:r>
      <w:r w:rsidRPr="005E009F">
        <w:rPr>
          <w:rFonts w:hint="eastAsia"/>
          <w:rtl/>
        </w:rPr>
        <w:t>אנשים</w:t>
      </w:r>
      <w:r w:rsidRPr="005E009F">
        <w:rPr>
          <w:rtl/>
        </w:rPr>
        <w:t xml:space="preserve"> </w:t>
      </w:r>
      <w:r w:rsidRPr="005E009F">
        <w:rPr>
          <w:rFonts w:hint="eastAsia"/>
          <w:rtl/>
        </w:rPr>
        <w:t>בכל</w:t>
      </w:r>
      <w:r w:rsidRPr="005E009F">
        <w:rPr>
          <w:rtl/>
        </w:rPr>
        <w:t xml:space="preserve"> </w:t>
      </w:r>
      <w:r w:rsidRPr="005E009F">
        <w:rPr>
          <w:rFonts w:hint="eastAsia"/>
          <w:rtl/>
        </w:rPr>
        <w:t>העולם</w:t>
      </w:r>
      <w:r w:rsidRPr="005E009F">
        <w:rPr>
          <w:rtl/>
        </w:rPr>
        <w:t xml:space="preserve"> </w:t>
      </w:r>
      <w:r w:rsidRPr="005E009F">
        <w:rPr>
          <w:rFonts w:hint="eastAsia"/>
          <w:rtl/>
        </w:rPr>
        <w:t>מידע</w:t>
      </w:r>
      <w:r w:rsidRPr="005E009F">
        <w:rPr>
          <w:rtl/>
        </w:rPr>
        <w:t xml:space="preserve"> </w:t>
      </w:r>
      <w:r w:rsidRPr="005E009F">
        <w:rPr>
          <w:rFonts w:hint="eastAsia"/>
          <w:rtl/>
        </w:rPr>
        <w:t>על</w:t>
      </w:r>
      <w:r w:rsidRPr="005E009F">
        <w:rPr>
          <w:rtl/>
        </w:rPr>
        <w:t xml:space="preserve"> </w:t>
      </w:r>
      <w:r w:rsidRPr="005E009F">
        <w:rPr>
          <w:rFonts w:hint="eastAsia"/>
          <w:rtl/>
        </w:rPr>
        <w:t>הטרד</w:t>
      </w:r>
      <w:r w:rsidRPr="005E009F">
        <w:rPr>
          <w:rFonts w:hint="cs"/>
          <w:rtl/>
        </w:rPr>
        <w:t>ות</w:t>
      </w:r>
      <w:r w:rsidRPr="005E009F">
        <w:rPr>
          <w:rtl/>
        </w:rPr>
        <w:t xml:space="preserve"> </w:t>
      </w:r>
      <w:r w:rsidRPr="005E009F">
        <w:rPr>
          <w:rFonts w:hint="eastAsia"/>
          <w:rtl/>
        </w:rPr>
        <w:t>מיני</w:t>
      </w:r>
      <w:r w:rsidRPr="005E009F">
        <w:rPr>
          <w:rFonts w:hint="cs"/>
          <w:rtl/>
        </w:rPr>
        <w:t>ו</w:t>
      </w:r>
      <w:r w:rsidRPr="005E009F">
        <w:rPr>
          <w:rFonts w:hint="eastAsia"/>
          <w:rtl/>
        </w:rPr>
        <w:t>ת</w:t>
      </w:r>
      <w:r w:rsidRPr="005E009F">
        <w:rPr>
          <w:rtl/>
        </w:rPr>
        <w:t xml:space="preserve"> </w:t>
      </w:r>
      <w:r w:rsidRPr="005E009F">
        <w:rPr>
          <w:rFonts w:hint="eastAsia"/>
          <w:rtl/>
        </w:rPr>
        <w:t>שעברו</w:t>
      </w:r>
      <w:r w:rsidRPr="005E009F">
        <w:rPr>
          <w:rtl/>
        </w:rPr>
        <w:t xml:space="preserve"> </w:t>
      </w:r>
      <w:r w:rsidRPr="005E009F">
        <w:rPr>
          <w:rFonts w:hint="eastAsia"/>
          <w:rtl/>
        </w:rPr>
        <w:t>במהלך</w:t>
      </w:r>
      <w:r w:rsidRPr="005E009F">
        <w:rPr>
          <w:rtl/>
        </w:rPr>
        <w:t xml:space="preserve"> </w:t>
      </w:r>
      <w:r w:rsidRPr="005E009F">
        <w:rPr>
          <w:rFonts w:hint="eastAsia"/>
          <w:rtl/>
        </w:rPr>
        <w:t>חייהם</w:t>
      </w:r>
      <w:r w:rsidRPr="005E009F">
        <w:rPr>
          <w:rtl/>
        </w:rPr>
        <w:t xml:space="preserve">. </w:t>
      </w:r>
      <w:r w:rsidRPr="005E009F">
        <w:rPr>
          <w:rFonts w:hint="eastAsia"/>
          <w:rtl/>
        </w:rPr>
        <w:t>גם</w:t>
      </w:r>
      <w:r w:rsidRPr="005E009F">
        <w:rPr>
          <w:rtl/>
        </w:rPr>
        <w:t xml:space="preserve"> </w:t>
      </w:r>
      <w:r w:rsidRPr="005E009F">
        <w:rPr>
          <w:rFonts w:hint="eastAsia"/>
          <w:rtl/>
        </w:rPr>
        <w:t>בישראל</w:t>
      </w:r>
      <w:r w:rsidRPr="005E009F">
        <w:rPr>
          <w:rtl/>
        </w:rPr>
        <w:t xml:space="preserve"> </w:t>
      </w:r>
      <w:r w:rsidRPr="005E009F">
        <w:rPr>
          <w:rFonts w:hint="cs"/>
          <w:rtl/>
        </w:rPr>
        <w:t xml:space="preserve">הוצפו </w:t>
      </w:r>
      <w:r w:rsidRPr="005E009F">
        <w:rPr>
          <w:rFonts w:hint="eastAsia"/>
          <w:rtl/>
        </w:rPr>
        <w:t>הרשתות</w:t>
      </w:r>
      <w:r w:rsidRPr="005E009F">
        <w:rPr>
          <w:rtl/>
        </w:rPr>
        <w:t xml:space="preserve"> </w:t>
      </w:r>
      <w:r w:rsidRPr="005E009F">
        <w:rPr>
          <w:rFonts w:hint="eastAsia"/>
          <w:rtl/>
        </w:rPr>
        <w:t>החברתיות</w:t>
      </w:r>
      <w:r w:rsidRPr="005E009F">
        <w:rPr>
          <w:rtl/>
        </w:rPr>
        <w:t xml:space="preserve"> </w:t>
      </w:r>
      <w:r w:rsidRPr="005E009F">
        <w:rPr>
          <w:rFonts w:hint="cs"/>
          <w:rtl/>
        </w:rPr>
        <w:t>במידע כזה</w:t>
      </w:r>
      <w:r w:rsidRPr="005E009F">
        <w:rPr>
          <w:rtl/>
        </w:rPr>
        <w:t xml:space="preserve">. </w:t>
      </w:r>
      <w:r w:rsidRPr="005E009F">
        <w:rPr>
          <w:rFonts w:hint="eastAsia"/>
          <w:rtl/>
        </w:rPr>
        <w:t>בסוף</w:t>
      </w:r>
      <w:r w:rsidRPr="005E009F">
        <w:rPr>
          <w:rtl/>
        </w:rPr>
        <w:t xml:space="preserve"> </w:t>
      </w:r>
      <w:r w:rsidRPr="005E009F">
        <w:rPr>
          <w:rFonts w:hint="eastAsia"/>
          <w:rtl/>
        </w:rPr>
        <w:t>שנת</w:t>
      </w:r>
      <w:r w:rsidRPr="005E009F">
        <w:rPr>
          <w:rtl/>
        </w:rPr>
        <w:t xml:space="preserve"> 2018 </w:t>
      </w:r>
      <w:r w:rsidRPr="005E009F">
        <w:rPr>
          <w:rFonts w:hint="eastAsia"/>
          <w:rtl/>
        </w:rPr>
        <w:t>התפרס</w:t>
      </w:r>
      <w:r w:rsidRPr="005E009F">
        <w:rPr>
          <w:rFonts w:hint="cs"/>
          <w:rtl/>
        </w:rPr>
        <w:t xml:space="preserve">מה מחאת רשת </w:t>
      </w:r>
      <w:r w:rsidRPr="005E009F">
        <w:rPr>
          <w:rFonts w:hint="eastAsia"/>
          <w:rtl/>
        </w:rPr>
        <w:t>נוס</w:t>
      </w:r>
      <w:r w:rsidRPr="005E009F">
        <w:rPr>
          <w:rFonts w:hint="cs"/>
          <w:rtl/>
        </w:rPr>
        <w:t>פת</w:t>
      </w:r>
      <w:r w:rsidRPr="005E009F">
        <w:rPr>
          <w:rtl/>
        </w:rPr>
        <w:t xml:space="preserve"> - #</w:t>
      </w:r>
      <w:r w:rsidRPr="005E009F">
        <w:rPr>
          <w:rFonts w:hint="eastAsia"/>
          <w:rtl/>
        </w:rPr>
        <w:t>לאהתלוננתי</w:t>
      </w:r>
      <w:r w:rsidRPr="005E009F">
        <w:rPr>
          <w:rtl/>
        </w:rPr>
        <w:t xml:space="preserve"> - </w:t>
      </w:r>
      <w:r w:rsidRPr="005E009F">
        <w:rPr>
          <w:rFonts w:hint="cs"/>
          <w:rtl/>
        </w:rPr>
        <w:t>ו</w:t>
      </w:r>
      <w:r w:rsidRPr="005E009F">
        <w:rPr>
          <w:rtl/>
        </w:rPr>
        <w:t>ב</w:t>
      </w:r>
      <w:r w:rsidRPr="005E009F">
        <w:rPr>
          <w:rFonts w:hint="cs"/>
          <w:rtl/>
        </w:rPr>
        <w:t>ה</w:t>
      </w:r>
      <w:r w:rsidRPr="005E009F">
        <w:rPr>
          <w:rtl/>
        </w:rPr>
        <w:t xml:space="preserve"> </w:t>
      </w:r>
      <w:r w:rsidRPr="005E009F">
        <w:rPr>
          <w:rFonts w:hint="cs"/>
          <w:rtl/>
        </w:rPr>
        <w:t>הסבירו</w:t>
      </w:r>
      <w:r w:rsidRPr="005E009F">
        <w:rPr>
          <w:rtl/>
        </w:rPr>
        <w:t xml:space="preserve"> אנשים</w:t>
      </w:r>
      <w:r w:rsidRPr="005E009F">
        <w:rPr>
          <w:rFonts w:hint="cs"/>
          <w:rtl/>
        </w:rPr>
        <w:t xml:space="preserve"> (נשים וגברים)</w:t>
      </w:r>
      <w:r w:rsidRPr="005E009F">
        <w:rPr>
          <w:rtl/>
        </w:rPr>
        <w:t xml:space="preserve"> מדוע בחרו שלא להתלונן במשטרה על הטרד</w:t>
      </w:r>
      <w:r w:rsidRPr="005E009F">
        <w:rPr>
          <w:rFonts w:hint="cs"/>
          <w:rtl/>
        </w:rPr>
        <w:t>ות מיניות</w:t>
      </w:r>
      <w:r w:rsidRPr="005E009F">
        <w:rPr>
          <w:rtl/>
        </w:rPr>
        <w:t xml:space="preserve">. </w:t>
      </w:r>
      <w:r w:rsidRPr="005E009F">
        <w:rPr>
          <w:rFonts w:hint="cs"/>
          <w:rtl/>
        </w:rPr>
        <w:t xml:space="preserve">בשתי המחאות </w:t>
      </w:r>
      <w:r w:rsidRPr="005E009F">
        <w:rPr>
          <w:rtl/>
        </w:rPr>
        <w:t xml:space="preserve">נחשפו </w:t>
      </w:r>
      <w:r w:rsidRPr="005E009F">
        <w:rPr>
          <w:rFonts w:hint="cs"/>
          <w:rtl/>
        </w:rPr>
        <w:t xml:space="preserve">במרשתת </w:t>
      </w:r>
      <w:r w:rsidRPr="005E009F">
        <w:rPr>
          <w:rtl/>
        </w:rPr>
        <w:t>אלפי סיפורי</w:t>
      </w:r>
      <w:r w:rsidRPr="005E009F">
        <w:rPr>
          <w:rFonts w:hint="cs"/>
          <w:rtl/>
        </w:rPr>
        <w:t>ם</w:t>
      </w:r>
      <w:r w:rsidRPr="005E009F">
        <w:rPr>
          <w:rtl/>
        </w:rPr>
        <w:t xml:space="preserve"> שהציגו את ההטרדות המיניות כתופעה חברתית ולא כאוסף מקרים אקראיים.</w:t>
      </w:r>
    </w:p>
    <w:p w14:paraId="7C406936" w14:textId="77777777" w:rsidR="00417266" w:rsidRPr="005E009F" w:rsidRDefault="00417266" w:rsidP="005E009F">
      <w:pPr>
        <w:pStyle w:val="ac"/>
        <w:rPr>
          <w:rtl/>
        </w:rPr>
      </w:pPr>
      <w:r w:rsidRPr="005E009F">
        <w:rPr>
          <w:rFonts w:hint="cs"/>
          <w:rtl/>
        </w:rPr>
        <w:t xml:space="preserve">פרסומים אלו הצביעו גם הם על כך כי התופעה של הטרדות מיניות רחבה בהרבה מהנתונים שעלו במחקרים האמורים לעיל. </w:t>
      </w:r>
    </w:p>
    <w:p w14:paraId="07DB24A8" w14:textId="77777777" w:rsidR="00417266" w:rsidRPr="00C43F1B" w:rsidRDefault="00417266" w:rsidP="00417266">
      <w:pPr>
        <w:spacing w:line="269" w:lineRule="auto"/>
        <w:jc w:val="center"/>
        <w:rPr>
          <w:rFonts w:ascii="Segoe UI Symbol" w:hAnsi="Segoe UI Symbol" w:cs="Segoe UI Symbol"/>
          <w:sz w:val="36"/>
          <w:rtl/>
        </w:rPr>
      </w:pPr>
      <w:r w:rsidRPr="00C43F1B">
        <w:rPr>
          <w:rFonts w:ascii="Segoe UI Symbol" w:hAnsi="Segoe UI Symbol" w:cs="Segoe UI Symbol" w:hint="cs"/>
          <w:sz w:val="36"/>
          <w:rtl/>
        </w:rPr>
        <w:t>✰</w:t>
      </w:r>
    </w:p>
    <w:p w14:paraId="3643922F" w14:textId="77777777" w:rsidR="005E009F" w:rsidRDefault="005E009F">
      <w:pPr>
        <w:bidi w:val="0"/>
        <w:spacing w:after="200" w:line="276" w:lineRule="auto"/>
        <w:rPr>
          <w:b/>
          <w:bCs/>
          <w:rtl/>
        </w:rPr>
      </w:pPr>
      <w:r>
        <w:rPr>
          <w:b/>
          <w:bCs/>
          <w:rtl/>
        </w:rPr>
        <w:br w:type="page"/>
      </w:r>
    </w:p>
    <w:p w14:paraId="66E89ADB" w14:textId="152136E4" w:rsidR="00417266" w:rsidRPr="005E009F" w:rsidRDefault="00417266" w:rsidP="005E009F">
      <w:pPr>
        <w:pStyle w:val="af3"/>
        <w:rPr>
          <w:rtl/>
        </w:rPr>
      </w:pPr>
      <w:r w:rsidRPr="005E009F">
        <w:rPr>
          <w:rFonts w:hint="cs"/>
          <w:rtl/>
        </w:rPr>
        <w:lastRenderedPageBreak/>
        <w:t>פרק זה מלמד על הקושי לגבש תמונה עובדתית עדכנית ומבוססת על היקף</w:t>
      </w:r>
      <w:r w:rsidRPr="005E009F" w:rsidDel="0043708B">
        <w:rPr>
          <w:rFonts w:hint="cs"/>
          <w:rtl/>
        </w:rPr>
        <w:t xml:space="preserve"> </w:t>
      </w:r>
      <w:r w:rsidRPr="005E009F">
        <w:rPr>
          <w:rFonts w:hint="eastAsia"/>
          <w:rtl/>
        </w:rPr>
        <w:t>תופע</w:t>
      </w:r>
      <w:r w:rsidRPr="005E009F">
        <w:rPr>
          <w:rFonts w:hint="cs"/>
          <w:rtl/>
        </w:rPr>
        <w:t>ת ההטרדות המיניות</w:t>
      </w:r>
      <w:r w:rsidRPr="005E009F">
        <w:rPr>
          <w:rtl/>
        </w:rPr>
        <w:t xml:space="preserve">. </w:t>
      </w:r>
      <w:r w:rsidRPr="005E009F">
        <w:rPr>
          <w:rFonts w:hint="cs"/>
          <w:rtl/>
        </w:rPr>
        <w:t>מיעוט ה</w:t>
      </w:r>
      <w:r w:rsidRPr="005E009F">
        <w:rPr>
          <w:rFonts w:hint="eastAsia"/>
          <w:rtl/>
        </w:rPr>
        <w:t>מחקרים</w:t>
      </w:r>
      <w:r w:rsidRPr="005E009F">
        <w:rPr>
          <w:rtl/>
        </w:rPr>
        <w:t xml:space="preserve"> </w:t>
      </w:r>
      <w:r w:rsidRPr="005E009F">
        <w:rPr>
          <w:rFonts w:hint="eastAsia"/>
          <w:rtl/>
        </w:rPr>
        <w:t>שנעשו</w:t>
      </w:r>
      <w:r w:rsidRPr="005E009F">
        <w:rPr>
          <w:rtl/>
        </w:rPr>
        <w:t xml:space="preserve"> במשך השנים </w:t>
      </w:r>
      <w:r w:rsidRPr="005E009F">
        <w:rPr>
          <w:rFonts w:hint="cs"/>
          <w:rtl/>
        </w:rPr>
        <w:t xml:space="preserve">והנתונים שנאספו במשרדי הממשלה השונים הם ברובם מגזריים וחלקיים ואינם נותנים </w:t>
      </w:r>
      <w:r w:rsidRPr="005E009F">
        <w:rPr>
          <w:rtl/>
        </w:rPr>
        <w:t xml:space="preserve">מענה </w:t>
      </w:r>
      <w:r w:rsidRPr="005E009F">
        <w:rPr>
          <w:rFonts w:hint="cs"/>
          <w:rtl/>
        </w:rPr>
        <w:t xml:space="preserve">מספק </w:t>
      </w:r>
      <w:r w:rsidRPr="005E009F">
        <w:rPr>
          <w:rFonts w:hint="eastAsia"/>
          <w:rtl/>
        </w:rPr>
        <w:t>ל</w:t>
      </w:r>
      <w:r w:rsidRPr="005E009F">
        <w:rPr>
          <w:rFonts w:hint="cs"/>
          <w:rtl/>
        </w:rPr>
        <w:t xml:space="preserve">שאלה מה </w:t>
      </w:r>
      <w:r w:rsidRPr="005E009F">
        <w:rPr>
          <w:rFonts w:hint="eastAsia"/>
          <w:rtl/>
        </w:rPr>
        <w:t>היקף</w:t>
      </w:r>
      <w:r w:rsidRPr="005E009F">
        <w:rPr>
          <w:rtl/>
        </w:rPr>
        <w:t xml:space="preserve"> </w:t>
      </w:r>
      <w:r w:rsidRPr="005E009F">
        <w:rPr>
          <w:rFonts w:hint="eastAsia"/>
          <w:rtl/>
        </w:rPr>
        <w:t>התופעה</w:t>
      </w:r>
      <w:r w:rsidRPr="005E009F">
        <w:rPr>
          <w:rFonts w:hint="cs"/>
          <w:rtl/>
        </w:rPr>
        <w:t xml:space="preserve"> במישור המגזרי ובמישור המדינתי הכולל</w:t>
      </w:r>
      <w:r w:rsidRPr="005E009F">
        <w:rPr>
          <w:rtl/>
        </w:rPr>
        <w:t xml:space="preserve">. </w:t>
      </w:r>
    </w:p>
    <w:p w14:paraId="2FE95266" w14:textId="77777777" w:rsidR="00417266" w:rsidRPr="00C43F1B" w:rsidRDefault="00417266" w:rsidP="00730041">
      <w:pPr>
        <w:pStyle w:val="af3"/>
        <w:rPr>
          <w:rtl/>
        </w:rPr>
      </w:pPr>
      <w:r w:rsidRPr="00C43F1B">
        <w:rPr>
          <w:rFonts w:hint="cs"/>
          <w:rtl/>
        </w:rPr>
        <w:t>שטף הדיווחים ברשתות החברתיות ומצרף הנתונים החלקיים שהוצגו לעיל מלמדים על קיומה של ת</w:t>
      </w:r>
      <w:r w:rsidRPr="00C43F1B">
        <w:rPr>
          <w:rtl/>
        </w:rPr>
        <w:t>ופעה חברתית</w:t>
      </w:r>
      <w:r w:rsidRPr="00C43F1B">
        <w:rPr>
          <w:rFonts w:hint="cs"/>
          <w:rtl/>
        </w:rPr>
        <w:t xml:space="preserve">, </w:t>
      </w:r>
      <w:r>
        <w:rPr>
          <w:rFonts w:hint="cs"/>
          <w:rtl/>
        </w:rPr>
        <w:t>והפערים בין הנתונים</w:t>
      </w:r>
      <w:r w:rsidRPr="00C43F1B">
        <w:rPr>
          <w:rFonts w:hint="cs"/>
          <w:rtl/>
        </w:rPr>
        <w:t xml:space="preserve"> מלמד</w:t>
      </w:r>
      <w:r>
        <w:rPr>
          <w:rFonts w:hint="cs"/>
          <w:rtl/>
        </w:rPr>
        <w:t>ים</w:t>
      </w:r>
      <w:r w:rsidRPr="00C43F1B">
        <w:rPr>
          <w:rFonts w:hint="cs"/>
          <w:rtl/>
        </w:rPr>
        <w:t xml:space="preserve"> על תופעה של תת-דיווח לגורמי הטיפול הרשמיים בעבירות של הטרדה מינית. כדי להבין את היקף התופעה ומאפייניה יש אפוא לבצע מחקרים רב-שנתיים מקיפים ועדכניים</w:t>
      </w:r>
      <w:r>
        <w:rPr>
          <w:rFonts w:hint="cs"/>
          <w:rtl/>
        </w:rPr>
        <w:t xml:space="preserve"> - בדומה לסקר הביטחון האישי שנערך שנה אחר שנה -</w:t>
      </w:r>
      <w:r w:rsidRPr="00C43F1B">
        <w:rPr>
          <w:rFonts w:hint="cs"/>
          <w:rtl/>
        </w:rPr>
        <w:t xml:space="preserve"> שיבחנו את המגמות לאורך השנים, וממצאיהם ישמשו תשומה לקביעת מדיניות ממשלתית בנושא. </w:t>
      </w:r>
    </w:p>
    <w:p w14:paraId="2CD8F9C4" w14:textId="77777777" w:rsidR="00417266" w:rsidRPr="00C43F1B" w:rsidRDefault="00417266" w:rsidP="00F15F5B">
      <w:pPr>
        <w:pStyle w:val="218"/>
        <w:rPr>
          <w:rtl/>
        </w:rPr>
      </w:pPr>
      <w:bookmarkStart w:id="8" w:name="_Toc9150778"/>
      <w:r>
        <w:rPr>
          <w:rFonts w:hint="cs"/>
          <w:rtl/>
        </w:rPr>
        <w:t xml:space="preserve">מסלולי החוק </w:t>
      </w:r>
      <w:r w:rsidRPr="00C43F1B">
        <w:rPr>
          <w:rFonts w:hint="cs"/>
          <w:rtl/>
        </w:rPr>
        <w:t>להתמודדות עם תופעת ההטרדות המיניות</w:t>
      </w:r>
      <w:bookmarkEnd w:id="8"/>
    </w:p>
    <w:p w14:paraId="673499E5" w14:textId="77777777" w:rsidR="00417266" w:rsidRPr="00C43F1B" w:rsidRDefault="00417266" w:rsidP="00F10ECA">
      <w:pPr>
        <w:pStyle w:val="a0"/>
        <w:numPr>
          <w:ilvl w:val="0"/>
          <w:numId w:val="19"/>
        </w:numPr>
        <w:rPr>
          <w:rtl/>
        </w:rPr>
      </w:pPr>
      <w:r w:rsidRPr="00C43F1B">
        <w:rPr>
          <w:rFonts w:hint="cs"/>
          <w:rtl/>
        </w:rPr>
        <w:t xml:space="preserve">החוק למניעת הטרדה מינית נועד למנוע מאדם לכפות את עצמו, בהקשר מיני, על מי שאינו מעוניין בכך, </w:t>
      </w:r>
      <w:r>
        <w:rPr>
          <w:rFonts w:hint="cs"/>
          <w:rtl/>
        </w:rPr>
        <w:t>ובייחוד</w:t>
      </w:r>
      <w:r w:rsidRPr="00C43F1B">
        <w:rPr>
          <w:rFonts w:hint="cs"/>
          <w:rtl/>
        </w:rPr>
        <w:t xml:space="preserve"> כשהדבר נעשה תוך ניצול עמדת כוח. החוק מתמודד כאמור עם התנהגויות המהוות הטרדה מינית בשלושה מסלולים משפטיים</w:t>
      </w:r>
      <w:r>
        <w:rPr>
          <w:rFonts w:hint="cs"/>
          <w:rtl/>
        </w:rPr>
        <w:t xml:space="preserve"> מקבילים</w:t>
      </w:r>
      <w:r w:rsidRPr="00C43F1B">
        <w:rPr>
          <w:rFonts w:hint="cs"/>
          <w:rtl/>
        </w:rPr>
        <w:t xml:space="preserve">: הראשון - </w:t>
      </w:r>
      <w:r w:rsidRPr="008E417F">
        <w:rPr>
          <w:rFonts w:hint="eastAsia"/>
          <w:b/>
          <w:bCs/>
          <w:rtl/>
        </w:rPr>
        <w:t>המסלול</w:t>
      </w:r>
      <w:r w:rsidRPr="008E417F">
        <w:rPr>
          <w:b/>
          <w:bCs/>
          <w:rtl/>
        </w:rPr>
        <w:t xml:space="preserve"> </w:t>
      </w:r>
      <w:r w:rsidRPr="008E417F">
        <w:rPr>
          <w:rFonts w:hint="eastAsia"/>
          <w:b/>
          <w:bCs/>
          <w:rtl/>
        </w:rPr>
        <w:t>הפלילי</w:t>
      </w:r>
      <w:r w:rsidRPr="00C43F1B">
        <w:rPr>
          <w:rFonts w:hint="cs"/>
          <w:rtl/>
        </w:rPr>
        <w:t xml:space="preserve">, הקובע שההתנהגות היא עבירה פלילית שניתן להגיש בגינה כתב אישום. השני - </w:t>
      </w:r>
      <w:r w:rsidRPr="008E417F">
        <w:rPr>
          <w:rFonts w:hint="eastAsia"/>
          <w:b/>
          <w:bCs/>
          <w:rtl/>
        </w:rPr>
        <w:t>המסלול</w:t>
      </w:r>
      <w:r w:rsidRPr="008E417F">
        <w:rPr>
          <w:b/>
          <w:bCs/>
          <w:rtl/>
        </w:rPr>
        <w:t xml:space="preserve"> </w:t>
      </w:r>
      <w:r w:rsidRPr="008E417F">
        <w:rPr>
          <w:rFonts w:hint="eastAsia"/>
          <w:b/>
          <w:bCs/>
          <w:rtl/>
        </w:rPr>
        <w:t>האזרחי</w:t>
      </w:r>
      <w:r w:rsidRPr="00C43F1B">
        <w:rPr>
          <w:rFonts w:hint="cs"/>
          <w:rtl/>
        </w:rPr>
        <w:t xml:space="preserve">, הקובע שההתנהגות היא עוולה נזיקית ומאפשר לנפגעת להגיש נגד הפוגע תביעה אזרחית לפיצוי כספי. נפגעת יכולה לתבוע גם מעסיק תביעה נזיקית אם ההטרדה התרחשה במסגרת יחסי עבודה שהוא אחראי להם על פי חוק, אף אם היא </w:t>
      </w:r>
      <w:r w:rsidRPr="00C43F1B">
        <w:rPr>
          <w:rFonts w:hint="eastAsia"/>
          <w:rtl/>
        </w:rPr>
        <w:t>איננה</w:t>
      </w:r>
      <w:r w:rsidRPr="00C43F1B">
        <w:rPr>
          <w:rFonts w:hint="cs"/>
          <w:rtl/>
        </w:rPr>
        <w:t xml:space="preserve"> עובדת שלו. המסלול השלישי - </w:t>
      </w:r>
      <w:r w:rsidRPr="008E417F">
        <w:rPr>
          <w:rFonts w:hint="eastAsia"/>
          <w:b/>
          <w:bCs/>
          <w:rtl/>
        </w:rPr>
        <w:t>דיני</w:t>
      </w:r>
      <w:r w:rsidRPr="008E417F">
        <w:rPr>
          <w:b/>
          <w:bCs/>
          <w:rtl/>
        </w:rPr>
        <w:t xml:space="preserve"> </w:t>
      </w:r>
      <w:r w:rsidRPr="008E417F">
        <w:rPr>
          <w:rFonts w:hint="eastAsia"/>
          <w:b/>
          <w:bCs/>
          <w:rtl/>
        </w:rPr>
        <w:t>העבודה</w:t>
      </w:r>
      <w:r w:rsidRPr="008E417F">
        <w:rPr>
          <w:b/>
          <w:bCs/>
          <w:rtl/>
        </w:rPr>
        <w:t xml:space="preserve"> </w:t>
      </w:r>
      <w:r w:rsidRPr="008E417F">
        <w:rPr>
          <w:rFonts w:hint="eastAsia"/>
          <w:b/>
          <w:bCs/>
          <w:rtl/>
        </w:rPr>
        <w:t>והדין</w:t>
      </w:r>
      <w:r w:rsidRPr="008E417F">
        <w:rPr>
          <w:b/>
          <w:bCs/>
          <w:rtl/>
        </w:rPr>
        <w:t xml:space="preserve"> </w:t>
      </w:r>
      <w:r w:rsidRPr="008E417F">
        <w:rPr>
          <w:rFonts w:hint="eastAsia"/>
          <w:b/>
          <w:bCs/>
          <w:rtl/>
        </w:rPr>
        <w:t>המשמעתי</w:t>
      </w:r>
      <w:r w:rsidRPr="00C43F1B">
        <w:rPr>
          <w:rFonts w:hint="cs"/>
          <w:rtl/>
        </w:rPr>
        <w:t xml:space="preserve">. החוק קובע שהטרדה מינית היא עבירת משמעת בכל מקום עבודה ומחייב את המעסיק להקים מנגנון למניעת הטרדות מיניות במקום העבודה ולטיפול בהן. הוא מעניק לבית הדין לעבודה סמכות ייחודית לטפל בהטרדה מינית שהתרחשה במקום עבודה, כששני הצדדים לתביעה שייכים אליו. בית הדין רשאי לפסוק פיצויים ממוניים, אך גם לתת </w:t>
      </w:r>
      <w:r>
        <w:rPr>
          <w:rFonts w:hint="cs"/>
          <w:rtl/>
        </w:rPr>
        <w:t xml:space="preserve">צו מניעה או צו עשה אם ראה </w:t>
      </w:r>
      <w:r w:rsidRPr="00CE1F07">
        <w:rPr>
          <w:rFonts w:hint="cs"/>
          <w:rtl/>
        </w:rPr>
        <w:t>שהענקת פיצויים בלבד לא תהא צודקת</w:t>
      </w:r>
      <w:r w:rsidRPr="00C43F1B">
        <w:rPr>
          <w:rFonts w:hint="cs"/>
          <w:rtl/>
        </w:rPr>
        <w:t xml:space="preserve">. </w:t>
      </w:r>
    </w:p>
    <w:p w14:paraId="04011479" w14:textId="77777777" w:rsidR="00417266" w:rsidRPr="00BF37C5" w:rsidRDefault="00417266" w:rsidP="00BF37C5">
      <w:pPr>
        <w:pStyle w:val="af2"/>
        <w:rPr>
          <w:rtl/>
        </w:rPr>
      </w:pPr>
      <w:r w:rsidRPr="00BF37C5">
        <w:rPr>
          <w:rFonts w:hint="cs"/>
          <w:rtl/>
        </w:rPr>
        <w:t xml:space="preserve">החוק קובע שלוש קבוצות של התנהגויות אסורות: הקבוצה הראשונה כוללת התנהגויות שנתפסות כשליליות במהותן, כמו סחיטה מינית, מעשה מגונה וביזוי והשפלה הקשורים במין. בשנת 2014 תוקן החוק ונוספה התנהגות אסורה השייכת לקטגוריה זו - פרסום תצלום, סרט או הקלטה של אדם המתמקד במיניותו בנסיבות שבהן הפרסום עלול להשפיל או לבזות אותו ולא ניתנה הסכמתו לפרסום. הקבוצה השנייה כוללת התנהגויות שבנסיבות של הסכמה הדדית הן לגיטימיות: הצעות חוזרות ונשנות בעלות אופי מיני והתייחסויות חוזרות ונשנות המופנות לאדם ומתמקדות במיניותו. התנהגויות אלה הופכות להטרדה מינית רק לאחר שהמוטרד הראה למטריד כי אינו מעוניין בהן והמטריד המשיך לבצען שוב ושוב. הקבוצה השלישית מכילה הטרדות מיניות המכילות את היסוד הנוסף של ניצול יחסי כוח </w:t>
      </w:r>
      <w:r w:rsidRPr="00BF37C5">
        <w:rPr>
          <w:rFonts w:hint="cs"/>
          <w:rtl/>
        </w:rPr>
        <w:lastRenderedPageBreak/>
        <w:t>מערכתיים בלתי שוויוניים בין מטריד למוטרדת</w:t>
      </w:r>
      <w:r w:rsidRPr="00BF37C5">
        <w:rPr>
          <w:rStyle w:val="FootnoteReference"/>
          <w:vertAlign w:val="baseline"/>
          <w:rtl/>
        </w:rPr>
        <w:footnoteReference w:id="19"/>
      </w:r>
      <w:r w:rsidRPr="00BF37C5">
        <w:rPr>
          <w:rFonts w:hint="cs"/>
          <w:rtl/>
        </w:rPr>
        <w:t>. לגבי שני סוגי ההתנהגות שבנסיבות של הסכמה הדדית הם לגיטימיים, אם המטריד מבצען כלפי כפיפה שלו תוך ניצול לרעה של כוחו המערכתי - הן יכולות להוות הטרדה מינית אסורה גם אם הכפיפה לא הראתה שאינה מעוניינת בהן. עוד אוסר החוק על "ה</w:t>
      </w:r>
      <w:r w:rsidRPr="00BF37C5">
        <w:rPr>
          <w:rtl/>
        </w:rPr>
        <w:t>תנכלות</w:t>
      </w:r>
      <w:r w:rsidRPr="00BF37C5">
        <w:rPr>
          <w:rFonts w:hint="cs"/>
          <w:rtl/>
        </w:rPr>
        <w:t>" - המוגדרת</w:t>
      </w:r>
      <w:r w:rsidRPr="00BF37C5">
        <w:rPr>
          <w:rtl/>
        </w:rPr>
        <w:t xml:space="preserve"> </w:t>
      </w:r>
      <w:r w:rsidRPr="00BF37C5">
        <w:rPr>
          <w:rFonts w:hint="cs"/>
          <w:rtl/>
        </w:rPr>
        <w:t>כ</w:t>
      </w:r>
      <w:r w:rsidRPr="00BF37C5">
        <w:rPr>
          <w:rtl/>
        </w:rPr>
        <w:t xml:space="preserve">פגיעה מכל סוג שהוא שמקורה בהטרדה מינית, או בתלונה או בתביעה שהוגשו </w:t>
      </w:r>
      <w:r w:rsidRPr="00BF37C5">
        <w:rPr>
          <w:rFonts w:hint="cs"/>
          <w:rtl/>
        </w:rPr>
        <w:t>בנוגע</w:t>
      </w:r>
      <w:r w:rsidRPr="00BF37C5">
        <w:rPr>
          <w:rtl/>
        </w:rPr>
        <w:t xml:space="preserve"> </w:t>
      </w:r>
      <w:r w:rsidRPr="00BF37C5">
        <w:rPr>
          <w:rFonts w:hint="cs"/>
          <w:rtl/>
        </w:rPr>
        <w:t>ל</w:t>
      </w:r>
      <w:r w:rsidRPr="00BF37C5">
        <w:rPr>
          <w:rtl/>
        </w:rPr>
        <w:t>הטרדה מינית</w:t>
      </w:r>
      <w:r w:rsidRPr="00BF37C5">
        <w:rPr>
          <w:rFonts w:hint="cs"/>
          <w:rtl/>
        </w:rPr>
        <w:t xml:space="preserve">. </w:t>
      </w:r>
    </w:p>
    <w:p w14:paraId="65B3C72F" w14:textId="77777777" w:rsidR="00417266" w:rsidRDefault="00417266" w:rsidP="000E2359">
      <w:pPr>
        <w:pStyle w:val="a0"/>
        <w:rPr>
          <w:rtl/>
        </w:rPr>
      </w:pPr>
      <w:r w:rsidRPr="000E2359">
        <w:rPr>
          <w:rFonts w:hint="cs"/>
          <w:rtl/>
        </w:rPr>
        <w:t>בשנת</w:t>
      </w:r>
      <w:r w:rsidRPr="00C43F1B">
        <w:rPr>
          <w:rFonts w:hint="cs"/>
          <w:rtl/>
        </w:rPr>
        <w:t xml:space="preserve"> 2014 תוקנה תקנה 9 לתקנות</w:t>
      </w:r>
      <w:r>
        <w:rPr>
          <w:rFonts w:hint="cs"/>
          <w:rtl/>
        </w:rPr>
        <w:t xml:space="preserve"> למניעת הטרדה מינית.</w:t>
      </w:r>
      <w:r w:rsidRPr="00C43F1B">
        <w:rPr>
          <w:rFonts w:hint="cs"/>
          <w:rtl/>
        </w:rPr>
        <w:t xml:space="preserve"> תקנה זו החילה חובות ייחודיות למניעת הטרדה מינית על מוסדות להשכלה גבוהה ועל כוחות הביטחון</w:t>
      </w:r>
      <w:r w:rsidRPr="00C43F1B">
        <w:rPr>
          <w:rStyle w:val="FootnoteReference"/>
          <w:rtl/>
        </w:rPr>
        <w:footnoteReference w:id="20"/>
      </w:r>
      <w:r w:rsidRPr="00C43F1B">
        <w:rPr>
          <w:rFonts w:hint="cs"/>
          <w:rtl/>
        </w:rPr>
        <w:t xml:space="preserve">. מלבד החובות המוטלות עליהם על פי החוק, נדרשים מוסדות אלו להבטיח פעולות הדרכה והסברה שעניינן מניעת הטרדה מינית והתנכלות אחת לשנה לפחות; עליהם למנות במוסדות הגדולים שני אחראים למניעת הטרדה מינית; האחראי מחויב לעבור הכשרה </w:t>
      </w:r>
      <w:r w:rsidRPr="00C43F1B">
        <w:rPr>
          <w:rtl/>
        </w:rPr>
        <w:t>בהיקף שלא יפחת מ-18 שעות, שתעסוק בין השאר במהות התפקיד, הכרת החוק למניעת הטרדה מינית, דרכי מניעה ואופן הטיפול בתלונות;</w:t>
      </w:r>
      <w:r w:rsidRPr="00C43F1B">
        <w:rPr>
          <w:rFonts w:hint="cs"/>
          <w:rtl/>
        </w:rPr>
        <w:t xml:space="preserve"> על המוסדות לה</w:t>
      </w:r>
      <w:r w:rsidRPr="00C43F1B">
        <w:rPr>
          <w:rtl/>
        </w:rPr>
        <w:t>גיש אחת לשנה לרשות לקידום מעמד האישה ולוועד</w:t>
      </w:r>
      <w:r w:rsidRPr="00C43F1B">
        <w:rPr>
          <w:rFonts w:hint="cs"/>
          <w:rtl/>
        </w:rPr>
        <w:t>ת הכנסת</w:t>
      </w:r>
      <w:r w:rsidRPr="00C43F1B">
        <w:rPr>
          <w:rtl/>
        </w:rPr>
        <w:t xml:space="preserve"> לקי</w:t>
      </w:r>
      <w:r w:rsidRPr="00C43F1B">
        <w:rPr>
          <w:rFonts w:hint="cs"/>
          <w:rtl/>
        </w:rPr>
        <w:t>ד</w:t>
      </w:r>
      <w:r w:rsidRPr="00C43F1B">
        <w:rPr>
          <w:rtl/>
        </w:rPr>
        <w:t xml:space="preserve">ום מעמד האישה דין וחשבון ובו </w:t>
      </w:r>
      <w:r>
        <w:rPr>
          <w:rFonts w:hint="cs"/>
          <w:rtl/>
        </w:rPr>
        <w:t xml:space="preserve">פרטים על </w:t>
      </w:r>
      <w:r w:rsidRPr="00C43F1B">
        <w:rPr>
          <w:rtl/>
        </w:rPr>
        <w:t>הפעולות ש</w:t>
      </w:r>
      <w:r w:rsidRPr="00C43F1B">
        <w:rPr>
          <w:rFonts w:hint="cs"/>
          <w:rtl/>
        </w:rPr>
        <w:t>נ</w:t>
      </w:r>
      <w:r w:rsidRPr="00C43F1B">
        <w:rPr>
          <w:rtl/>
        </w:rPr>
        <w:t>קט</w:t>
      </w:r>
      <w:r w:rsidRPr="00C43F1B">
        <w:rPr>
          <w:rFonts w:hint="cs"/>
          <w:rtl/>
        </w:rPr>
        <w:t>ו</w:t>
      </w:r>
      <w:r w:rsidRPr="00C43F1B">
        <w:rPr>
          <w:rtl/>
        </w:rPr>
        <w:t xml:space="preserve"> למניעת הטרדה מינית וכן </w:t>
      </w:r>
      <w:r>
        <w:rPr>
          <w:rFonts w:hint="cs"/>
          <w:rtl/>
        </w:rPr>
        <w:t xml:space="preserve">על </w:t>
      </w:r>
      <w:r w:rsidRPr="00C43F1B">
        <w:rPr>
          <w:rtl/>
        </w:rPr>
        <w:t xml:space="preserve">מספר התלונות שהוגשו </w:t>
      </w:r>
      <w:r w:rsidRPr="00C43F1B">
        <w:rPr>
          <w:rFonts w:hint="cs"/>
          <w:rtl/>
        </w:rPr>
        <w:t xml:space="preserve">לאחראי במוסד </w:t>
      </w:r>
      <w:r w:rsidRPr="00C43F1B">
        <w:rPr>
          <w:rtl/>
        </w:rPr>
        <w:t>ואופן הטיפול בהן</w:t>
      </w:r>
      <w:r w:rsidRPr="00C43F1B">
        <w:rPr>
          <w:rFonts w:hint="cs"/>
          <w:rtl/>
        </w:rPr>
        <w:t xml:space="preserve">. </w:t>
      </w:r>
    </w:p>
    <w:p w14:paraId="751CD59B" w14:textId="2A008041" w:rsidR="00417266" w:rsidRDefault="00417266" w:rsidP="000E2359">
      <w:pPr>
        <w:pStyle w:val="af2"/>
        <w:rPr>
          <w:rtl/>
        </w:rPr>
      </w:pPr>
      <w:r w:rsidRPr="00C43F1B">
        <w:rPr>
          <w:rFonts w:hint="cs"/>
          <w:rtl/>
        </w:rPr>
        <w:t>הוראות תקנה 9 מכניסות תוכן מעשי ואחיד לחובות המעסיק ומאפשרות הן הכשרה מעמיקה של האחראים למניעת הטרדה מינית והן פיקוח על ה</w:t>
      </w:r>
      <w:r>
        <w:rPr>
          <w:rFonts w:hint="cs"/>
          <w:rtl/>
        </w:rPr>
        <w:t>מוסדות ה</w:t>
      </w:r>
      <w:r w:rsidRPr="00C43F1B">
        <w:rPr>
          <w:rFonts w:hint="cs"/>
          <w:rtl/>
        </w:rPr>
        <w:t>אקדמי</w:t>
      </w:r>
      <w:r>
        <w:rPr>
          <w:rFonts w:hint="cs"/>
          <w:rtl/>
        </w:rPr>
        <w:t>ים</w:t>
      </w:r>
      <w:r w:rsidRPr="00C43F1B">
        <w:rPr>
          <w:rFonts w:hint="cs"/>
          <w:rtl/>
        </w:rPr>
        <w:t xml:space="preserve"> ו</w:t>
      </w:r>
      <w:r>
        <w:rPr>
          <w:rFonts w:hint="cs"/>
          <w:rtl/>
        </w:rPr>
        <w:t xml:space="preserve">על </w:t>
      </w:r>
      <w:r w:rsidRPr="00C43F1B">
        <w:rPr>
          <w:rFonts w:hint="cs"/>
          <w:rtl/>
        </w:rPr>
        <w:t xml:space="preserve">מערכת הביטחון. </w:t>
      </w:r>
      <w:r w:rsidRPr="00C43F1B">
        <w:rPr>
          <w:rFonts w:hint="eastAsia"/>
          <w:rtl/>
        </w:rPr>
        <w:t>הדיווח</w:t>
      </w:r>
      <w:r w:rsidRPr="00C43F1B">
        <w:rPr>
          <w:rtl/>
        </w:rPr>
        <w:t xml:space="preserve"> </w:t>
      </w:r>
      <w:r w:rsidRPr="00C43F1B">
        <w:rPr>
          <w:rFonts w:hint="eastAsia"/>
          <w:rtl/>
        </w:rPr>
        <w:t>השנתי</w:t>
      </w:r>
      <w:r w:rsidRPr="00C43F1B">
        <w:rPr>
          <w:rtl/>
        </w:rPr>
        <w:t xml:space="preserve"> </w:t>
      </w:r>
      <w:r w:rsidRPr="00C43F1B">
        <w:rPr>
          <w:rFonts w:hint="eastAsia"/>
          <w:rtl/>
        </w:rPr>
        <w:t>לוועד</w:t>
      </w:r>
      <w:r w:rsidRPr="00C43F1B">
        <w:rPr>
          <w:rFonts w:hint="cs"/>
          <w:rtl/>
        </w:rPr>
        <w:t>ת הכנסת ולרשות לקידום מעמד האישה</w:t>
      </w:r>
      <w:r w:rsidRPr="00C43F1B">
        <w:rPr>
          <w:rtl/>
        </w:rPr>
        <w:t xml:space="preserve"> </w:t>
      </w:r>
      <w:r w:rsidRPr="00C43F1B">
        <w:rPr>
          <w:rFonts w:hint="eastAsia"/>
          <w:rtl/>
        </w:rPr>
        <w:t>מטרתו</w:t>
      </w:r>
      <w:r w:rsidRPr="00C43F1B">
        <w:rPr>
          <w:rtl/>
        </w:rPr>
        <w:t xml:space="preserve"> </w:t>
      </w:r>
      <w:r w:rsidRPr="00C43F1B">
        <w:rPr>
          <w:rFonts w:hint="eastAsia"/>
          <w:rtl/>
        </w:rPr>
        <w:t>לעודד</w:t>
      </w:r>
      <w:r w:rsidRPr="00C43F1B">
        <w:rPr>
          <w:rtl/>
        </w:rPr>
        <w:t xml:space="preserve"> </w:t>
      </w:r>
      <w:r w:rsidRPr="00C43F1B">
        <w:rPr>
          <w:rFonts w:hint="eastAsia"/>
          <w:rtl/>
        </w:rPr>
        <w:t>את</w:t>
      </w:r>
      <w:r w:rsidRPr="00C43F1B">
        <w:rPr>
          <w:rtl/>
        </w:rPr>
        <w:t xml:space="preserve"> </w:t>
      </w:r>
      <w:r w:rsidRPr="00C43F1B">
        <w:rPr>
          <w:rFonts w:hint="eastAsia"/>
          <w:rtl/>
        </w:rPr>
        <w:t>הטיפול</w:t>
      </w:r>
      <w:r w:rsidRPr="00C43F1B">
        <w:rPr>
          <w:rtl/>
        </w:rPr>
        <w:t xml:space="preserve"> </w:t>
      </w:r>
      <w:r w:rsidRPr="00C43F1B">
        <w:rPr>
          <w:rFonts w:hint="eastAsia"/>
          <w:rtl/>
        </w:rPr>
        <w:t>בהטרדות</w:t>
      </w:r>
      <w:r w:rsidRPr="00C43F1B">
        <w:rPr>
          <w:rtl/>
        </w:rPr>
        <w:t xml:space="preserve"> </w:t>
      </w:r>
      <w:r w:rsidRPr="00C43F1B">
        <w:rPr>
          <w:rFonts w:hint="eastAsia"/>
          <w:rtl/>
        </w:rPr>
        <w:t>המיניות</w:t>
      </w:r>
      <w:r w:rsidRPr="00C43F1B">
        <w:rPr>
          <w:rFonts w:hint="cs"/>
          <w:rtl/>
        </w:rPr>
        <w:t xml:space="preserve"> ואת האכיפה בתחום</w:t>
      </w:r>
      <w:r w:rsidRPr="00C43F1B">
        <w:rPr>
          <w:rtl/>
        </w:rPr>
        <w:t>.</w:t>
      </w:r>
      <w:r>
        <w:rPr>
          <w:rFonts w:hint="cs"/>
          <w:rtl/>
        </w:rPr>
        <w:t xml:space="preserve"> היועצת המשפטית של הוועדה לקידום מעמד האישה בכנסת מנתחת את דיווחי המוסדות, ועל בסיס הנתונים מקיימת הוועדה ישיבות שנתיות עם נציגי מוסדות ההשכלה הגבוהה והמועצה להשכלה גבוהה (להלן - המל"ג).</w:t>
      </w:r>
    </w:p>
    <w:p w14:paraId="7C09AD87" w14:textId="20FB845B" w:rsidR="00417266" w:rsidRDefault="00417266" w:rsidP="000E2359">
      <w:pPr>
        <w:pStyle w:val="ac"/>
        <w:rPr>
          <w:rtl/>
        </w:rPr>
      </w:pPr>
      <w:r>
        <w:rPr>
          <w:rFonts w:hint="cs"/>
          <w:rtl/>
        </w:rPr>
        <w:t>לאורך השנים הלך וגדל מספר הדיווחים על תלונות במוסדות ההשכלה הגבוהה. יוצא מכך ש</w:t>
      </w:r>
      <w:r w:rsidRPr="00C43F1B">
        <w:rPr>
          <w:rFonts w:hint="cs"/>
          <w:rtl/>
        </w:rPr>
        <w:t xml:space="preserve">תקנה 9 הגבירה את המחויבות של מוסדות </w:t>
      </w:r>
      <w:r>
        <w:rPr>
          <w:rFonts w:hint="cs"/>
          <w:rtl/>
        </w:rPr>
        <w:t>אלה</w:t>
      </w:r>
      <w:r w:rsidRPr="00C43F1B">
        <w:rPr>
          <w:rFonts w:hint="cs"/>
          <w:rtl/>
        </w:rPr>
        <w:t xml:space="preserve"> לטיפול בנושא ההטרדות המיניות, וראוי שמשרד המשפטים י</w:t>
      </w:r>
      <w:r>
        <w:rPr>
          <w:rFonts w:hint="cs"/>
          <w:rtl/>
        </w:rPr>
        <w:t>בחן</w:t>
      </w:r>
      <w:r w:rsidRPr="00C43F1B">
        <w:rPr>
          <w:rFonts w:hint="cs"/>
          <w:rtl/>
        </w:rPr>
        <w:t xml:space="preserve"> </w:t>
      </w:r>
      <w:r>
        <w:rPr>
          <w:rFonts w:hint="cs"/>
          <w:rtl/>
        </w:rPr>
        <w:t>את ה</w:t>
      </w:r>
      <w:r w:rsidRPr="00C43F1B">
        <w:rPr>
          <w:rFonts w:hint="cs"/>
          <w:rtl/>
        </w:rPr>
        <w:t>חלת התקנה על גופים נוספים</w:t>
      </w:r>
      <w:r>
        <w:rPr>
          <w:rFonts w:hint="cs"/>
          <w:rtl/>
        </w:rPr>
        <w:t>, כגון מערכת הבריאות ומערכת החינוך</w:t>
      </w:r>
      <w:r w:rsidRPr="00C43F1B">
        <w:rPr>
          <w:rFonts w:hint="cs"/>
          <w:rtl/>
        </w:rPr>
        <w:t xml:space="preserve">. </w:t>
      </w:r>
    </w:p>
    <w:p w14:paraId="00874346" w14:textId="77777777" w:rsidR="00417266" w:rsidRPr="00301187" w:rsidRDefault="00417266" w:rsidP="000E2359">
      <w:pPr>
        <w:pStyle w:val="af2"/>
        <w:rPr>
          <w:rtl/>
        </w:rPr>
      </w:pPr>
      <w:r>
        <w:rPr>
          <w:rFonts w:hint="cs"/>
          <w:rtl/>
        </w:rPr>
        <w:t>משרד המשפטים ציין בתשובתו מאוגוסט 2019 כי בכוונתו לבחון את הצורך בהחלת הוראות התקנות על הרשויות המקומיות. במסגרת בחינה זו תיבחן האפשרות להחיל את תקנה 9 בהתאמות הנדרשות גם על מעסיקים נוספים שמספר עובדיהם גדול ממספר שייקבע.</w:t>
      </w:r>
    </w:p>
    <w:p w14:paraId="299167FF" w14:textId="77777777" w:rsidR="00417266" w:rsidRPr="002F0B8A" w:rsidRDefault="00417266" w:rsidP="00345868">
      <w:pPr>
        <w:pStyle w:val="ac"/>
        <w:rPr>
          <w:rtl/>
        </w:rPr>
      </w:pPr>
      <w:r w:rsidRPr="002F0B8A">
        <w:rPr>
          <w:rFonts w:hint="eastAsia"/>
          <w:rtl/>
        </w:rPr>
        <w:lastRenderedPageBreak/>
        <w:t>בחלוף</w:t>
      </w:r>
      <w:r w:rsidRPr="002F0B8A">
        <w:rPr>
          <w:rtl/>
        </w:rPr>
        <w:t xml:space="preserve"> 20 </w:t>
      </w:r>
      <w:r w:rsidRPr="002F0B8A">
        <w:rPr>
          <w:rFonts w:hint="eastAsia"/>
          <w:rtl/>
        </w:rPr>
        <w:t>שנים</w:t>
      </w:r>
      <w:r w:rsidRPr="002F0B8A">
        <w:rPr>
          <w:rtl/>
        </w:rPr>
        <w:t xml:space="preserve"> </w:t>
      </w:r>
      <w:r w:rsidRPr="002F0B8A">
        <w:rPr>
          <w:rFonts w:hint="eastAsia"/>
          <w:rtl/>
        </w:rPr>
        <w:t>מחקיקת</w:t>
      </w:r>
      <w:r w:rsidRPr="002F0B8A">
        <w:rPr>
          <w:rtl/>
        </w:rPr>
        <w:t xml:space="preserve"> </w:t>
      </w:r>
      <w:r w:rsidRPr="002F0B8A">
        <w:rPr>
          <w:rFonts w:hint="eastAsia"/>
          <w:rtl/>
        </w:rPr>
        <w:t>החוק</w:t>
      </w:r>
      <w:r w:rsidRPr="002F0B8A">
        <w:rPr>
          <w:rtl/>
        </w:rPr>
        <w:t xml:space="preserve"> </w:t>
      </w:r>
      <w:r>
        <w:rPr>
          <w:rFonts w:hint="cs"/>
          <w:rtl/>
        </w:rPr>
        <w:t xml:space="preserve">למניעת הטרדה מינית </w:t>
      </w:r>
      <w:r w:rsidRPr="002F0B8A">
        <w:rPr>
          <w:rFonts w:hint="eastAsia"/>
          <w:rtl/>
        </w:rPr>
        <w:t>הוא</w:t>
      </w:r>
      <w:r w:rsidRPr="002F0B8A">
        <w:rPr>
          <w:rtl/>
        </w:rPr>
        <w:t xml:space="preserve"> </w:t>
      </w:r>
      <w:r w:rsidRPr="002F0B8A">
        <w:rPr>
          <w:rFonts w:hint="eastAsia"/>
          <w:rtl/>
        </w:rPr>
        <w:t>חולל</w:t>
      </w:r>
      <w:r w:rsidRPr="002F0B8A">
        <w:rPr>
          <w:rtl/>
        </w:rPr>
        <w:t xml:space="preserve"> </w:t>
      </w:r>
      <w:r w:rsidRPr="002F0B8A">
        <w:rPr>
          <w:rFonts w:hint="eastAsia"/>
          <w:rtl/>
        </w:rPr>
        <w:t>שינוי</w:t>
      </w:r>
      <w:r w:rsidRPr="002F0B8A">
        <w:rPr>
          <w:rtl/>
        </w:rPr>
        <w:t xml:space="preserve"> </w:t>
      </w:r>
      <w:r w:rsidRPr="002F0B8A">
        <w:rPr>
          <w:rFonts w:hint="eastAsia"/>
          <w:rtl/>
        </w:rPr>
        <w:t>תודעתי</w:t>
      </w:r>
      <w:r w:rsidRPr="002F0B8A">
        <w:rPr>
          <w:rtl/>
        </w:rPr>
        <w:t xml:space="preserve"> </w:t>
      </w:r>
      <w:r w:rsidRPr="002F0B8A">
        <w:rPr>
          <w:rFonts w:hint="eastAsia"/>
          <w:rtl/>
        </w:rPr>
        <w:t>בקרב</w:t>
      </w:r>
      <w:r w:rsidRPr="002F0B8A">
        <w:rPr>
          <w:rtl/>
        </w:rPr>
        <w:t xml:space="preserve"> </w:t>
      </w:r>
      <w:r w:rsidRPr="002F0B8A">
        <w:rPr>
          <w:rFonts w:hint="eastAsia"/>
          <w:rtl/>
        </w:rPr>
        <w:t>הציבור</w:t>
      </w:r>
      <w:r w:rsidRPr="002F0B8A">
        <w:rPr>
          <w:rtl/>
        </w:rPr>
        <w:t xml:space="preserve"> </w:t>
      </w:r>
      <w:r w:rsidRPr="002F0B8A">
        <w:rPr>
          <w:rFonts w:hint="eastAsia"/>
          <w:rtl/>
        </w:rPr>
        <w:t>שבא</w:t>
      </w:r>
      <w:r w:rsidRPr="002F0B8A">
        <w:rPr>
          <w:rtl/>
        </w:rPr>
        <w:t xml:space="preserve"> </w:t>
      </w:r>
      <w:r w:rsidRPr="002F0B8A">
        <w:rPr>
          <w:rFonts w:hint="eastAsia"/>
          <w:rtl/>
        </w:rPr>
        <w:t>לידי</w:t>
      </w:r>
      <w:r w:rsidRPr="002F0B8A">
        <w:rPr>
          <w:rtl/>
        </w:rPr>
        <w:t xml:space="preserve"> </w:t>
      </w:r>
      <w:r w:rsidRPr="002F0B8A">
        <w:rPr>
          <w:rFonts w:hint="eastAsia"/>
          <w:rtl/>
        </w:rPr>
        <w:t>ביטוי</w:t>
      </w:r>
      <w:r w:rsidRPr="002F0B8A">
        <w:rPr>
          <w:rtl/>
        </w:rPr>
        <w:t xml:space="preserve"> </w:t>
      </w:r>
      <w:r w:rsidRPr="002F0B8A">
        <w:rPr>
          <w:rFonts w:hint="eastAsia"/>
          <w:rtl/>
        </w:rPr>
        <w:t>באמצעי</w:t>
      </w:r>
      <w:r w:rsidRPr="002F0B8A">
        <w:rPr>
          <w:rtl/>
        </w:rPr>
        <w:t xml:space="preserve"> </w:t>
      </w:r>
      <w:r w:rsidRPr="002F0B8A">
        <w:rPr>
          <w:rFonts w:hint="eastAsia"/>
          <w:rtl/>
        </w:rPr>
        <w:t>התקשורת</w:t>
      </w:r>
      <w:r w:rsidRPr="002F0B8A">
        <w:rPr>
          <w:rtl/>
        </w:rPr>
        <w:t xml:space="preserve"> </w:t>
      </w:r>
      <w:r w:rsidRPr="002F0B8A">
        <w:rPr>
          <w:rFonts w:hint="eastAsia"/>
          <w:rtl/>
        </w:rPr>
        <w:t>ובמערכת</w:t>
      </w:r>
      <w:r w:rsidRPr="002F0B8A">
        <w:rPr>
          <w:rtl/>
        </w:rPr>
        <w:t xml:space="preserve"> </w:t>
      </w:r>
      <w:r w:rsidRPr="002F0B8A">
        <w:rPr>
          <w:rFonts w:hint="eastAsia"/>
          <w:rtl/>
        </w:rPr>
        <w:t>המשפט</w:t>
      </w:r>
      <w:r w:rsidRPr="002F0B8A">
        <w:rPr>
          <w:rtl/>
        </w:rPr>
        <w:t xml:space="preserve">. </w:t>
      </w:r>
      <w:r w:rsidRPr="002F0B8A">
        <w:rPr>
          <w:rFonts w:hint="eastAsia"/>
          <w:rtl/>
        </w:rPr>
        <w:t>עם</w:t>
      </w:r>
      <w:r w:rsidRPr="002F0B8A">
        <w:rPr>
          <w:rtl/>
        </w:rPr>
        <w:t xml:space="preserve"> </w:t>
      </w:r>
      <w:r w:rsidRPr="002F0B8A">
        <w:rPr>
          <w:rFonts w:hint="eastAsia"/>
          <w:rtl/>
        </w:rPr>
        <w:t>זאת</w:t>
      </w:r>
      <w:r w:rsidRPr="002F0B8A">
        <w:rPr>
          <w:rtl/>
        </w:rPr>
        <w:t xml:space="preserve">, </w:t>
      </w:r>
      <w:r w:rsidRPr="002F0B8A">
        <w:rPr>
          <w:rFonts w:hint="eastAsia"/>
          <w:rtl/>
        </w:rPr>
        <w:t>בכל</w:t>
      </w:r>
      <w:r w:rsidRPr="002F0B8A">
        <w:rPr>
          <w:rtl/>
        </w:rPr>
        <w:t xml:space="preserve"> </w:t>
      </w:r>
      <w:r w:rsidRPr="002F0B8A">
        <w:rPr>
          <w:rFonts w:hint="eastAsia"/>
          <w:rtl/>
        </w:rPr>
        <w:t>אחד</w:t>
      </w:r>
      <w:r w:rsidRPr="002F0B8A">
        <w:rPr>
          <w:rtl/>
        </w:rPr>
        <w:t xml:space="preserve"> </w:t>
      </w:r>
      <w:r w:rsidRPr="002F0B8A">
        <w:rPr>
          <w:rFonts w:hint="eastAsia"/>
          <w:rtl/>
        </w:rPr>
        <w:t>ממסלולי</w:t>
      </w:r>
      <w:r w:rsidRPr="002F0B8A">
        <w:rPr>
          <w:rtl/>
        </w:rPr>
        <w:t xml:space="preserve"> </w:t>
      </w:r>
      <w:r w:rsidRPr="002F0B8A">
        <w:rPr>
          <w:rFonts w:hint="eastAsia"/>
          <w:rtl/>
        </w:rPr>
        <w:t>הפעולה</w:t>
      </w:r>
      <w:r w:rsidRPr="002F0B8A">
        <w:rPr>
          <w:rtl/>
        </w:rPr>
        <w:t xml:space="preserve"> </w:t>
      </w:r>
      <w:r w:rsidRPr="002F0B8A">
        <w:rPr>
          <w:rFonts w:hint="eastAsia"/>
          <w:rtl/>
        </w:rPr>
        <w:t>הקבועים</w:t>
      </w:r>
      <w:r w:rsidRPr="002F0B8A">
        <w:rPr>
          <w:rtl/>
        </w:rPr>
        <w:t xml:space="preserve"> </w:t>
      </w:r>
      <w:r w:rsidRPr="002F0B8A">
        <w:rPr>
          <w:rFonts w:hint="eastAsia"/>
          <w:rtl/>
        </w:rPr>
        <w:t>בחוק</w:t>
      </w:r>
      <w:r w:rsidRPr="002F0B8A">
        <w:rPr>
          <w:rtl/>
        </w:rPr>
        <w:t xml:space="preserve"> </w:t>
      </w:r>
      <w:r w:rsidRPr="002F0B8A">
        <w:rPr>
          <w:rFonts w:hint="eastAsia"/>
          <w:rtl/>
        </w:rPr>
        <w:t>קיימים</w:t>
      </w:r>
      <w:r w:rsidRPr="002F0B8A">
        <w:rPr>
          <w:rtl/>
        </w:rPr>
        <w:t xml:space="preserve"> </w:t>
      </w:r>
      <w:r w:rsidRPr="002F0B8A">
        <w:rPr>
          <w:rFonts w:hint="eastAsia"/>
          <w:rtl/>
        </w:rPr>
        <w:t>חסמים</w:t>
      </w:r>
      <w:r w:rsidRPr="002F0B8A">
        <w:rPr>
          <w:rtl/>
        </w:rPr>
        <w:t xml:space="preserve"> </w:t>
      </w:r>
      <w:r w:rsidRPr="002F0B8A">
        <w:rPr>
          <w:rFonts w:hint="eastAsia"/>
          <w:rtl/>
        </w:rPr>
        <w:t>המונעים</w:t>
      </w:r>
      <w:r w:rsidRPr="002F0B8A">
        <w:rPr>
          <w:rtl/>
        </w:rPr>
        <w:t xml:space="preserve"> </w:t>
      </w:r>
      <w:r w:rsidRPr="002F0B8A">
        <w:rPr>
          <w:rFonts w:hint="eastAsia"/>
          <w:rtl/>
        </w:rPr>
        <w:t>מראש</w:t>
      </w:r>
      <w:r w:rsidRPr="002F0B8A">
        <w:rPr>
          <w:rtl/>
        </w:rPr>
        <w:t xml:space="preserve"> </w:t>
      </w:r>
      <w:r w:rsidRPr="002F0B8A">
        <w:rPr>
          <w:rFonts w:hint="eastAsia"/>
          <w:rtl/>
        </w:rPr>
        <w:t>מהנפגעות</w:t>
      </w:r>
      <w:r w:rsidRPr="002F0B8A">
        <w:rPr>
          <w:rtl/>
        </w:rPr>
        <w:t xml:space="preserve"> </w:t>
      </w:r>
      <w:r>
        <w:rPr>
          <w:rFonts w:hint="cs"/>
          <w:rtl/>
        </w:rPr>
        <w:t xml:space="preserve">לפנות </w:t>
      </w:r>
      <w:r w:rsidRPr="002F0B8A">
        <w:rPr>
          <w:rFonts w:hint="eastAsia"/>
          <w:rtl/>
        </w:rPr>
        <w:t>אליהם</w:t>
      </w:r>
      <w:r w:rsidRPr="002F0B8A">
        <w:rPr>
          <w:rtl/>
        </w:rPr>
        <w:t xml:space="preserve">. </w:t>
      </w:r>
      <w:r w:rsidRPr="002F0B8A">
        <w:rPr>
          <w:rFonts w:hint="eastAsia"/>
          <w:rtl/>
        </w:rPr>
        <w:t>להלן</w:t>
      </w:r>
      <w:r w:rsidRPr="002F0B8A">
        <w:rPr>
          <w:rtl/>
        </w:rPr>
        <w:t xml:space="preserve"> </w:t>
      </w:r>
      <w:r w:rsidRPr="002F0B8A">
        <w:rPr>
          <w:rFonts w:hint="eastAsia"/>
          <w:rtl/>
        </w:rPr>
        <w:t>הפרטים</w:t>
      </w:r>
      <w:r w:rsidRPr="002F0B8A">
        <w:rPr>
          <w:rtl/>
        </w:rPr>
        <w:t>.</w:t>
      </w:r>
    </w:p>
    <w:p w14:paraId="27B54298" w14:textId="74AA2B8C" w:rsidR="00417266" w:rsidRPr="00C43F1B" w:rsidRDefault="00417266" w:rsidP="00345868">
      <w:pPr>
        <w:pStyle w:val="316"/>
        <w:rPr>
          <w:rtl/>
        </w:rPr>
      </w:pPr>
      <w:bookmarkStart w:id="9" w:name="_Toc9150779"/>
      <w:r w:rsidRPr="00C43F1B">
        <w:rPr>
          <w:rFonts w:hint="cs"/>
          <w:rtl/>
        </w:rPr>
        <w:t>המסלול הפלילי</w:t>
      </w:r>
      <w:bookmarkEnd w:id="9"/>
    </w:p>
    <w:p w14:paraId="6FC886C0" w14:textId="77777777" w:rsidR="00417266" w:rsidRPr="00DC389B" w:rsidRDefault="00417266" w:rsidP="00DC389B">
      <w:pPr>
        <w:pStyle w:val="414"/>
        <w:rPr>
          <w:rtl/>
        </w:rPr>
      </w:pPr>
      <w:bookmarkStart w:id="10" w:name="_Toc9150780"/>
      <w:r w:rsidRPr="00DC389B">
        <w:rPr>
          <w:rtl/>
        </w:rPr>
        <w:t>מספר התלונות המוגשות למשטרה והחסמים להגשת התלונות</w:t>
      </w:r>
      <w:bookmarkEnd w:id="10"/>
    </w:p>
    <w:p w14:paraId="7377465B" w14:textId="77777777" w:rsidR="00417266" w:rsidRPr="00C43F1B" w:rsidRDefault="00417266" w:rsidP="00DC389B">
      <w:pPr>
        <w:pStyle w:val="100"/>
        <w:rPr>
          <w:rtl/>
        </w:rPr>
      </w:pPr>
      <w:r w:rsidRPr="00C43F1B">
        <w:rPr>
          <w:rFonts w:hint="cs"/>
          <w:rtl/>
        </w:rPr>
        <w:t xml:space="preserve">עבירת הטרדה מינית </w:t>
      </w:r>
      <w:r>
        <w:rPr>
          <w:rFonts w:hint="cs"/>
          <w:rtl/>
        </w:rPr>
        <w:t>נמצאות בדרגות החומרה הנמוכות של מדרג עבירות המין</w:t>
      </w:r>
      <w:r w:rsidRPr="00C43F1B">
        <w:rPr>
          <w:rFonts w:hint="cs"/>
          <w:rtl/>
        </w:rPr>
        <w:t>. שלוש מן ההתנהגויות האסורות הן עבירות מסוג "פשע"</w:t>
      </w:r>
      <w:r w:rsidRPr="00C43F1B">
        <w:rPr>
          <w:rStyle w:val="FootnoteReference"/>
          <w:rtl/>
        </w:rPr>
        <w:footnoteReference w:id="21"/>
      </w:r>
      <w:r w:rsidRPr="00C43F1B">
        <w:rPr>
          <w:rFonts w:hint="cs"/>
          <w:rtl/>
        </w:rPr>
        <w:t xml:space="preserve"> ושלוש הן עבירות מסוג "עוון"</w:t>
      </w:r>
      <w:r w:rsidRPr="00C43F1B">
        <w:rPr>
          <w:rStyle w:val="FootnoteReference"/>
          <w:rtl/>
        </w:rPr>
        <w:footnoteReference w:id="22"/>
      </w:r>
      <w:r w:rsidRPr="00C43F1B">
        <w:rPr>
          <w:rFonts w:hint="cs"/>
          <w:rtl/>
        </w:rPr>
        <w:t>. לפי התוספת הראשונה לחוק סדר הדין הפלילי [נוסח משולב]</w:t>
      </w:r>
      <w:r>
        <w:rPr>
          <w:rFonts w:hint="cs"/>
          <w:rtl/>
        </w:rPr>
        <w:t>,</w:t>
      </w:r>
      <w:r w:rsidRPr="00C43F1B">
        <w:rPr>
          <w:rFonts w:hint="cs"/>
          <w:rtl/>
        </w:rPr>
        <w:t xml:space="preserve"> התשמ"ב-1982, הסמכות לטיפול בכלל העבירות לפי החוק למניעת הטרדה מינית היא בידי פרקליטות</w:t>
      </w:r>
      <w:r>
        <w:rPr>
          <w:rFonts w:hint="cs"/>
          <w:rtl/>
        </w:rPr>
        <w:t xml:space="preserve"> המדינה</w:t>
      </w:r>
      <w:r w:rsidRPr="00C43F1B">
        <w:rPr>
          <w:rFonts w:hint="cs"/>
          <w:rtl/>
        </w:rPr>
        <w:t xml:space="preserve">. </w:t>
      </w:r>
    </w:p>
    <w:p w14:paraId="54E33BC8" w14:textId="77777777" w:rsidR="00417266" w:rsidRPr="00C43F1B" w:rsidRDefault="00417266" w:rsidP="00DC389B">
      <w:pPr>
        <w:pStyle w:val="100"/>
        <w:rPr>
          <w:rtl/>
        </w:rPr>
      </w:pPr>
      <w:r w:rsidRPr="00C43F1B">
        <w:rPr>
          <w:rFonts w:hint="cs"/>
          <w:rtl/>
        </w:rPr>
        <w:t xml:space="preserve">נפגעות יכולות להגיש </w:t>
      </w:r>
      <w:r>
        <w:rPr>
          <w:rFonts w:hint="cs"/>
          <w:rtl/>
        </w:rPr>
        <w:t xml:space="preserve">למשטרה </w:t>
      </w:r>
      <w:r w:rsidRPr="00C43F1B">
        <w:rPr>
          <w:rFonts w:hint="cs"/>
          <w:rtl/>
        </w:rPr>
        <w:t>תלונה על הטרדה מינית או התנכלות ולהתחיל בכך הליך פלילי נגד המטריד</w:t>
      </w:r>
      <w:r>
        <w:rPr>
          <w:rFonts w:hint="cs"/>
          <w:rtl/>
        </w:rPr>
        <w:t xml:space="preserve">. </w:t>
      </w:r>
      <w:r w:rsidRPr="00C43F1B">
        <w:rPr>
          <w:rFonts w:hint="cs"/>
          <w:rtl/>
        </w:rPr>
        <w:t xml:space="preserve">מנתוני המשטרה עולה כי שיעור </w:t>
      </w:r>
      <w:r>
        <w:rPr>
          <w:rFonts w:hint="cs"/>
          <w:rtl/>
        </w:rPr>
        <w:t>ה</w:t>
      </w:r>
      <w:r w:rsidRPr="00C43F1B">
        <w:rPr>
          <w:rFonts w:hint="cs"/>
          <w:rtl/>
        </w:rPr>
        <w:t xml:space="preserve">נפגעות </w:t>
      </w:r>
      <w:r>
        <w:rPr>
          <w:rFonts w:hint="cs"/>
          <w:rtl/>
        </w:rPr>
        <w:t xml:space="preserve">הפונות </w:t>
      </w:r>
      <w:r w:rsidRPr="00C43F1B">
        <w:rPr>
          <w:rFonts w:hint="cs"/>
          <w:rtl/>
        </w:rPr>
        <w:t>להליך הפלילי אינו גבוה. מדור מחקר וסטטיסטיקה במשטרה מסווג את ההתנהגויות שלהלן המצוינות בחוק כעבירות הטרדה מינית</w:t>
      </w:r>
      <w:r w:rsidRPr="00C43F1B">
        <w:rPr>
          <w:rStyle w:val="FootnoteReference"/>
          <w:rtl/>
        </w:rPr>
        <w:footnoteReference w:id="23"/>
      </w:r>
      <w:r w:rsidRPr="00C43F1B">
        <w:rPr>
          <w:rFonts w:hint="cs"/>
          <w:rtl/>
        </w:rPr>
        <w:t xml:space="preserve">: הטרדה מילולית, התנכלות, הטרדה מילולית והתנכלות והטרדה מינית באמצעות פרסום המתמקד במיניות שלא בהסכמה (כלומר, יתר העבירות, כמו סחיטה באיומים ומעשים מגונים, אינן מסווגות </w:t>
      </w:r>
      <w:r>
        <w:rPr>
          <w:rFonts w:hint="cs"/>
          <w:rtl/>
        </w:rPr>
        <w:t xml:space="preserve">במדור מחקר וסטטיסטיקה במשטרה </w:t>
      </w:r>
      <w:r w:rsidRPr="00C43F1B">
        <w:rPr>
          <w:rFonts w:hint="cs"/>
          <w:rtl/>
        </w:rPr>
        <w:t xml:space="preserve">כהטרדה מינית). בשנת 2017 נפתחו במשטרה כ-1,350 תיקים </w:t>
      </w:r>
      <w:r>
        <w:rPr>
          <w:rFonts w:hint="cs"/>
          <w:rtl/>
        </w:rPr>
        <w:t>שעסקו ב</w:t>
      </w:r>
      <w:r w:rsidRPr="00C43F1B">
        <w:rPr>
          <w:rFonts w:hint="cs"/>
          <w:rtl/>
        </w:rPr>
        <w:t>עבירה לפי החוק למניעת הטרדה מינית</w:t>
      </w:r>
      <w:r w:rsidRPr="00C43F1B">
        <w:rPr>
          <w:rStyle w:val="FootnoteReference"/>
          <w:rtl/>
        </w:rPr>
        <w:footnoteReference w:id="24"/>
      </w:r>
      <w:r w:rsidRPr="00C43F1B">
        <w:rPr>
          <w:rFonts w:hint="cs"/>
          <w:rtl/>
        </w:rPr>
        <w:t xml:space="preserve"> (עלייה של 13.3% במספר </w:t>
      </w:r>
      <w:r>
        <w:rPr>
          <w:rFonts w:hint="cs"/>
          <w:rtl/>
        </w:rPr>
        <w:t xml:space="preserve">תיקי </w:t>
      </w:r>
      <w:r w:rsidRPr="00C43F1B">
        <w:rPr>
          <w:rFonts w:hint="cs"/>
          <w:rtl/>
        </w:rPr>
        <w:t xml:space="preserve">הטרדה מינית לעומת 2016). בכ-58% מהתיקים </w:t>
      </w:r>
      <w:r>
        <w:rPr>
          <w:rFonts w:hint="cs"/>
          <w:rtl/>
        </w:rPr>
        <w:t>העוסקים ב</w:t>
      </w:r>
      <w:r w:rsidRPr="00C43F1B">
        <w:rPr>
          <w:rFonts w:hint="cs"/>
          <w:rtl/>
        </w:rPr>
        <w:t>עבירת הטרדה מינית, עבירה זו היא העבירה החמורה</w:t>
      </w:r>
      <w:r>
        <w:rPr>
          <w:rFonts w:hint="cs"/>
          <w:rtl/>
        </w:rPr>
        <w:t xml:space="preserve"> ביותר</w:t>
      </w:r>
      <w:r w:rsidRPr="00C43F1B">
        <w:rPr>
          <w:rFonts w:hint="cs"/>
          <w:rtl/>
        </w:rPr>
        <w:t xml:space="preserve"> או היחידה. כ-57% מהתיקים עסקו בעבירת הטרדה מינית מילולית, כ-29% בעבירת הטרדה מינית מילולית והתנכלות, כ-13% בעבירת פרסום המתמקד במיניות וכ-1% - בעבירה של התנכלות.</w:t>
      </w:r>
    </w:p>
    <w:p w14:paraId="6B1D0EEE" w14:textId="77777777" w:rsidR="006A7897" w:rsidRPr="006A7897" w:rsidRDefault="00417266" w:rsidP="006A7897">
      <w:pPr>
        <w:pStyle w:val="100"/>
        <w:rPr>
          <w:rtl/>
        </w:rPr>
      </w:pPr>
      <w:r w:rsidRPr="006A7897">
        <w:rPr>
          <w:rFonts w:hint="cs"/>
          <w:rtl/>
        </w:rPr>
        <w:lastRenderedPageBreak/>
        <w:t>בתרשים שלהלן נתוני המשטרה על התיקים שנפתחו בעשור האחרון ובהם עבירת ההטרדה המינית היא העבירה החמורה או היחידה:</w:t>
      </w:r>
    </w:p>
    <w:p w14:paraId="43E52E26" w14:textId="1632F3A8" w:rsidR="00417266" w:rsidRDefault="00417266" w:rsidP="006A7897">
      <w:pPr>
        <w:pStyle w:val="a8"/>
        <w:bidi w:val="0"/>
        <w:rPr>
          <w:rtl/>
        </w:rPr>
      </w:pPr>
      <w:r w:rsidRPr="00C43F1B">
        <w:rPr>
          <w:rFonts w:hint="eastAsia"/>
          <w:rtl/>
        </w:rPr>
        <w:t>תרשים</w:t>
      </w:r>
      <w:r w:rsidRPr="00C43F1B">
        <w:rPr>
          <w:rtl/>
        </w:rPr>
        <w:t xml:space="preserve"> </w:t>
      </w:r>
      <w:r>
        <w:rPr>
          <w:rFonts w:hint="cs"/>
          <w:rtl/>
        </w:rPr>
        <w:t>12</w:t>
      </w:r>
      <w:r w:rsidRPr="00C43F1B">
        <w:rPr>
          <w:rtl/>
        </w:rPr>
        <w:t xml:space="preserve">: </w:t>
      </w:r>
      <w:r w:rsidRPr="006A7897">
        <w:rPr>
          <w:b/>
          <w:bCs/>
          <w:rtl/>
        </w:rPr>
        <w:t xml:space="preserve">מספר </w:t>
      </w:r>
      <w:r w:rsidRPr="006A7897">
        <w:rPr>
          <w:rFonts w:hint="eastAsia"/>
          <w:b/>
          <w:bCs/>
          <w:rtl/>
        </w:rPr>
        <w:t>התיקים</w:t>
      </w:r>
      <w:r w:rsidRPr="006A7897">
        <w:rPr>
          <w:b/>
          <w:bCs/>
          <w:rtl/>
        </w:rPr>
        <w:t xml:space="preserve"> </w:t>
      </w:r>
      <w:r w:rsidRPr="006A7897">
        <w:rPr>
          <w:rFonts w:hint="eastAsia"/>
          <w:b/>
          <w:bCs/>
          <w:rtl/>
        </w:rPr>
        <w:t>שבהם</w:t>
      </w:r>
      <w:r w:rsidRPr="006A7897">
        <w:rPr>
          <w:b/>
          <w:bCs/>
          <w:rtl/>
        </w:rPr>
        <w:t xml:space="preserve"> </w:t>
      </w:r>
      <w:r w:rsidRPr="006A7897">
        <w:rPr>
          <w:rFonts w:hint="eastAsia"/>
          <w:b/>
          <w:bCs/>
          <w:rtl/>
        </w:rPr>
        <w:t>הטרדה</w:t>
      </w:r>
      <w:r w:rsidRPr="006A7897">
        <w:rPr>
          <w:b/>
          <w:bCs/>
          <w:rtl/>
        </w:rPr>
        <w:t xml:space="preserve"> מינית </w:t>
      </w:r>
      <w:r w:rsidRPr="006A7897">
        <w:rPr>
          <w:rFonts w:hint="eastAsia"/>
          <w:b/>
          <w:bCs/>
          <w:rtl/>
        </w:rPr>
        <w:t>היא</w:t>
      </w:r>
      <w:r w:rsidRPr="006A7897">
        <w:rPr>
          <w:b/>
          <w:bCs/>
          <w:rtl/>
        </w:rPr>
        <w:t xml:space="preserve"> </w:t>
      </w:r>
      <w:r w:rsidRPr="006A7897">
        <w:rPr>
          <w:rFonts w:hint="eastAsia"/>
          <w:b/>
          <w:bCs/>
          <w:rtl/>
        </w:rPr>
        <w:t>העבירה</w:t>
      </w:r>
      <w:r w:rsidRPr="006A7897">
        <w:rPr>
          <w:b/>
          <w:bCs/>
          <w:rtl/>
        </w:rPr>
        <w:t xml:space="preserve"> </w:t>
      </w:r>
      <w:r w:rsidRPr="006A7897">
        <w:rPr>
          <w:rFonts w:hint="eastAsia"/>
          <w:b/>
          <w:bCs/>
          <w:rtl/>
        </w:rPr>
        <w:t>החמורה</w:t>
      </w:r>
      <w:r w:rsidRPr="006A7897">
        <w:rPr>
          <w:b/>
          <w:bCs/>
          <w:rtl/>
        </w:rPr>
        <w:t xml:space="preserve"> או היחידה, 200</w:t>
      </w:r>
      <w:r w:rsidRPr="006A7897">
        <w:rPr>
          <w:rFonts w:hint="cs"/>
          <w:b/>
          <w:bCs/>
          <w:rtl/>
        </w:rPr>
        <w:t>7</w:t>
      </w:r>
      <w:r w:rsidRPr="006A7897">
        <w:rPr>
          <w:b/>
          <w:bCs/>
          <w:rtl/>
        </w:rPr>
        <w:t xml:space="preserve"> - 2017</w:t>
      </w:r>
    </w:p>
    <w:p w14:paraId="0473F3BD" w14:textId="77777777" w:rsidR="00417266" w:rsidRPr="00C43F1B" w:rsidRDefault="00417266" w:rsidP="00417266">
      <w:pPr>
        <w:spacing w:line="269" w:lineRule="auto"/>
        <w:rPr>
          <w:rtl/>
        </w:rPr>
      </w:pPr>
      <w:r>
        <w:rPr>
          <w:noProof/>
        </w:rPr>
        <w:drawing>
          <wp:inline distT="0" distB="0" distL="0" distR="0" wp14:anchorId="0D526277" wp14:editId="7A0BF2A2">
            <wp:extent cx="5220335" cy="3419475"/>
            <wp:effectExtent l="0" t="0" r="18415" b="9525"/>
            <wp:docPr id="49" name="תרשים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F5A55D3" w14:textId="77777777" w:rsidR="00417266" w:rsidRPr="00526012" w:rsidRDefault="00417266" w:rsidP="006A7897">
      <w:pPr>
        <w:pStyle w:val="aa"/>
        <w:rPr>
          <w:rtl/>
        </w:rPr>
      </w:pPr>
      <w:r w:rsidRPr="00526012">
        <w:rPr>
          <w:rFonts w:hint="eastAsia"/>
          <w:rtl/>
        </w:rPr>
        <w:t>על</w:t>
      </w:r>
      <w:r w:rsidRPr="00526012">
        <w:rPr>
          <w:rtl/>
        </w:rPr>
        <w:t xml:space="preserve"> פי נתוני </w:t>
      </w:r>
      <w:r w:rsidRPr="00526012">
        <w:rPr>
          <w:rFonts w:hint="eastAsia"/>
          <w:rtl/>
        </w:rPr>
        <w:t>המשטרה</w:t>
      </w:r>
      <w:r w:rsidRPr="00526012">
        <w:rPr>
          <w:rtl/>
        </w:rPr>
        <w:t xml:space="preserve">, </w:t>
      </w:r>
      <w:r w:rsidRPr="00526012">
        <w:rPr>
          <w:rFonts w:hint="eastAsia"/>
          <w:rtl/>
        </w:rPr>
        <w:t>בעיבוד</w:t>
      </w:r>
      <w:r w:rsidRPr="00526012">
        <w:rPr>
          <w:rtl/>
        </w:rPr>
        <w:t xml:space="preserve"> </w:t>
      </w:r>
      <w:r w:rsidRPr="00526012">
        <w:rPr>
          <w:rFonts w:hint="eastAsia"/>
          <w:rtl/>
        </w:rPr>
        <w:t>משרד</w:t>
      </w:r>
      <w:r w:rsidRPr="00526012">
        <w:rPr>
          <w:rtl/>
        </w:rPr>
        <w:t xml:space="preserve"> </w:t>
      </w:r>
      <w:r w:rsidRPr="00526012">
        <w:rPr>
          <w:rFonts w:hint="eastAsia"/>
          <w:rtl/>
        </w:rPr>
        <w:t>מבקר</w:t>
      </w:r>
      <w:r w:rsidRPr="00526012">
        <w:rPr>
          <w:rtl/>
        </w:rPr>
        <w:t xml:space="preserve"> </w:t>
      </w:r>
      <w:r w:rsidRPr="00526012">
        <w:rPr>
          <w:rFonts w:hint="eastAsia"/>
          <w:rtl/>
        </w:rPr>
        <w:t>המדינה</w:t>
      </w:r>
      <w:r w:rsidRPr="00526012">
        <w:rPr>
          <w:rtl/>
        </w:rPr>
        <w:t>.</w:t>
      </w:r>
    </w:p>
    <w:p w14:paraId="3F7DCF7C" w14:textId="77777777" w:rsidR="006A7897" w:rsidRDefault="006A7897" w:rsidP="006A7897">
      <w:pPr>
        <w:pStyle w:val="100"/>
        <w:rPr>
          <w:rtl/>
        </w:rPr>
      </w:pPr>
    </w:p>
    <w:p w14:paraId="22B2EFD3" w14:textId="47BD2D40" w:rsidR="00417266" w:rsidRPr="006A7897" w:rsidRDefault="00417266" w:rsidP="006A7897">
      <w:pPr>
        <w:pStyle w:val="100"/>
        <w:rPr>
          <w:rtl/>
        </w:rPr>
      </w:pPr>
      <w:r w:rsidRPr="006A7897">
        <w:rPr>
          <w:rFonts w:hint="eastAsia"/>
          <w:rtl/>
        </w:rPr>
        <w:t>מן</w:t>
      </w:r>
      <w:r w:rsidRPr="006A7897">
        <w:rPr>
          <w:rtl/>
        </w:rPr>
        <w:t xml:space="preserve"> התרשים עולה ש</w:t>
      </w:r>
      <w:r w:rsidRPr="006A7897">
        <w:rPr>
          <w:rFonts w:hint="cs"/>
          <w:rtl/>
        </w:rPr>
        <w:t>-</w:t>
      </w:r>
      <w:r w:rsidRPr="006A7897">
        <w:rPr>
          <w:rtl/>
        </w:rPr>
        <w:t xml:space="preserve">15 שנים </w:t>
      </w:r>
      <w:r w:rsidRPr="006A7897">
        <w:rPr>
          <w:rFonts w:hint="eastAsia"/>
          <w:rtl/>
        </w:rPr>
        <w:t>לאחר</w:t>
      </w:r>
      <w:r w:rsidRPr="006A7897">
        <w:rPr>
          <w:rtl/>
        </w:rPr>
        <w:t xml:space="preserve"> </w:t>
      </w:r>
      <w:r w:rsidRPr="006A7897">
        <w:rPr>
          <w:rFonts w:hint="eastAsia"/>
          <w:rtl/>
        </w:rPr>
        <w:t>חקיקת</w:t>
      </w:r>
      <w:r w:rsidRPr="006A7897">
        <w:rPr>
          <w:rtl/>
        </w:rPr>
        <w:t xml:space="preserve"> </w:t>
      </w:r>
      <w:r w:rsidRPr="006A7897">
        <w:rPr>
          <w:rFonts w:hint="eastAsia"/>
          <w:rtl/>
        </w:rPr>
        <w:t>החוק</w:t>
      </w:r>
      <w:r w:rsidRPr="006A7897">
        <w:rPr>
          <w:rtl/>
        </w:rPr>
        <w:t xml:space="preserve"> </w:t>
      </w:r>
      <w:r w:rsidRPr="006A7897">
        <w:rPr>
          <w:rFonts w:hint="eastAsia"/>
          <w:rtl/>
        </w:rPr>
        <w:t>החלה</w:t>
      </w:r>
      <w:r w:rsidRPr="006A7897">
        <w:rPr>
          <w:rtl/>
        </w:rPr>
        <w:t xml:space="preserve"> </w:t>
      </w:r>
      <w:r w:rsidRPr="006A7897">
        <w:rPr>
          <w:rFonts w:hint="eastAsia"/>
          <w:rtl/>
        </w:rPr>
        <w:t>מגמה</w:t>
      </w:r>
      <w:r w:rsidRPr="006A7897">
        <w:rPr>
          <w:rtl/>
        </w:rPr>
        <w:t xml:space="preserve"> </w:t>
      </w:r>
      <w:r w:rsidRPr="006A7897">
        <w:rPr>
          <w:rFonts w:hint="eastAsia"/>
          <w:rtl/>
        </w:rPr>
        <w:t>של</w:t>
      </w:r>
      <w:r w:rsidRPr="006A7897">
        <w:rPr>
          <w:rtl/>
        </w:rPr>
        <w:t xml:space="preserve"> </w:t>
      </w:r>
      <w:r w:rsidRPr="006A7897">
        <w:rPr>
          <w:rFonts w:hint="eastAsia"/>
          <w:rtl/>
        </w:rPr>
        <w:t>עלייה</w:t>
      </w:r>
      <w:r w:rsidRPr="006A7897">
        <w:rPr>
          <w:rtl/>
        </w:rPr>
        <w:t xml:space="preserve"> </w:t>
      </w:r>
      <w:r w:rsidRPr="006A7897">
        <w:rPr>
          <w:rFonts w:hint="eastAsia"/>
          <w:rtl/>
        </w:rPr>
        <w:t>במספר</w:t>
      </w:r>
      <w:r w:rsidRPr="006A7897">
        <w:rPr>
          <w:rtl/>
        </w:rPr>
        <w:t xml:space="preserve"> </w:t>
      </w:r>
      <w:r w:rsidRPr="006A7897">
        <w:rPr>
          <w:rFonts w:hint="eastAsia"/>
          <w:rtl/>
        </w:rPr>
        <w:t>התלונות</w:t>
      </w:r>
      <w:r w:rsidRPr="006A7897">
        <w:rPr>
          <w:rtl/>
        </w:rPr>
        <w:t xml:space="preserve"> </w:t>
      </w:r>
      <w:r w:rsidRPr="006A7897">
        <w:rPr>
          <w:rFonts w:hint="eastAsia"/>
          <w:rtl/>
        </w:rPr>
        <w:t>למשטרה</w:t>
      </w:r>
      <w:r w:rsidRPr="006A7897">
        <w:rPr>
          <w:rtl/>
        </w:rPr>
        <w:t>.</w:t>
      </w:r>
      <w:r w:rsidRPr="006A7897">
        <w:rPr>
          <w:rFonts w:hint="cs"/>
          <w:rtl/>
        </w:rPr>
        <w:t xml:space="preserve"> יצוין כי </w:t>
      </w:r>
      <w:r w:rsidRPr="006A7897">
        <w:rPr>
          <w:rFonts w:hint="eastAsia"/>
          <w:rtl/>
        </w:rPr>
        <w:t>ממצאי</w:t>
      </w:r>
      <w:r w:rsidRPr="006A7897">
        <w:rPr>
          <w:rtl/>
        </w:rPr>
        <w:t xml:space="preserve"> </w:t>
      </w:r>
      <w:r w:rsidRPr="006A7897">
        <w:rPr>
          <w:rFonts w:hint="eastAsia"/>
          <w:rtl/>
        </w:rPr>
        <w:t>סקר</w:t>
      </w:r>
      <w:r w:rsidRPr="006A7897">
        <w:rPr>
          <w:rtl/>
        </w:rPr>
        <w:t xml:space="preserve"> </w:t>
      </w:r>
      <w:r w:rsidRPr="006A7897">
        <w:rPr>
          <w:rFonts w:hint="eastAsia"/>
          <w:rtl/>
        </w:rPr>
        <w:t>הביטחון</w:t>
      </w:r>
      <w:r w:rsidRPr="006A7897">
        <w:rPr>
          <w:rtl/>
        </w:rPr>
        <w:t xml:space="preserve"> </w:t>
      </w:r>
      <w:r w:rsidRPr="006A7897">
        <w:rPr>
          <w:rFonts w:hint="cs"/>
          <w:rtl/>
        </w:rPr>
        <w:t>ה</w:t>
      </w:r>
      <w:r w:rsidRPr="006A7897">
        <w:rPr>
          <w:rFonts w:hint="eastAsia"/>
          <w:rtl/>
        </w:rPr>
        <w:t>אישי</w:t>
      </w:r>
      <w:r w:rsidRPr="006A7897">
        <w:rPr>
          <w:rtl/>
        </w:rPr>
        <w:t xml:space="preserve"> </w:t>
      </w:r>
      <w:r w:rsidRPr="006A7897">
        <w:rPr>
          <w:rFonts w:hint="eastAsia"/>
          <w:rtl/>
        </w:rPr>
        <w:t>לשנת</w:t>
      </w:r>
      <w:r w:rsidRPr="006A7897">
        <w:rPr>
          <w:rtl/>
        </w:rPr>
        <w:t xml:space="preserve"> 2017 </w:t>
      </w:r>
      <w:r w:rsidRPr="006A7897">
        <w:rPr>
          <w:rFonts w:hint="eastAsia"/>
          <w:rtl/>
        </w:rPr>
        <w:t>מלמדים</w:t>
      </w:r>
      <w:r w:rsidRPr="006A7897">
        <w:rPr>
          <w:rtl/>
        </w:rPr>
        <w:t xml:space="preserve"> </w:t>
      </w:r>
      <w:r w:rsidRPr="006A7897">
        <w:rPr>
          <w:rFonts w:hint="cs"/>
          <w:rtl/>
        </w:rPr>
        <w:t>ש</w:t>
      </w:r>
      <w:r w:rsidRPr="006A7897">
        <w:rPr>
          <w:rFonts w:hint="eastAsia"/>
          <w:rtl/>
        </w:rPr>
        <w:t>כ</w:t>
      </w:r>
      <w:r w:rsidRPr="006A7897">
        <w:rPr>
          <w:rtl/>
        </w:rPr>
        <w:t xml:space="preserve">-97% </w:t>
      </w:r>
      <w:r w:rsidRPr="006A7897">
        <w:rPr>
          <w:rFonts w:hint="eastAsia"/>
          <w:rtl/>
        </w:rPr>
        <w:t>מהנפגעים</w:t>
      </w:r>
      <w:r w:rsidRPr="006A7897">
        <w:rPr>
          <w:rFonts w:hint="cs"/>
          <w:rtl/>
        </w:rPr>
        <w:t xml:space="preserve"> לא דיווחו למשטרה על הפגיעה.</w:t>
      </w:r>
    </w:p>
    <w:p w14:paraId="75322327" w14:textId="77777777" w:rsidR="006A7897" w:rsidRDefault="00417266" w:rsidP="006A7897">
      <w:pPr>
        <w:pStyle w:val="100"/>
        <w:rPr>
          <w:rtl/>
        </w:rPr>
      </w:pPr>
      <w:r w:rsidRPr="00C43F1B">
        <w:rPr>
          <w:rFonts w:hint="cs"/>
          <w:rtl/>
        </w:rPr>
        <w:t>בסוף שנת 2012 החלה מגמה של עלייה במספר התיקים שנפתחו במשטרה על עבירות של הטרדה מינית</w:t>
      </w:r>
      <w:r>
        <w:rPr>
          <w:rFonts w:hint="cs"/>
          <w:rtl/>
        </w:rPr>
        <w:t xml:space="preserve">. </w:t>
      </w:r>
      <w:r w:rsidRPr="00C43F1B">
        <w:rPr>
          <w:rFonts w:hint="cs"/>
          <w:rtl/>
        </w:rPr>
        <w:t xml:space="preserve">העלייה הגדולה ביותר הייתה בתיקים על הטרדה מילולית והתנכלות - מ-23 תיקים בשנת 2012 ל-399 בשנת 2015; מספר תיקי ההטרדה המילולית גדל מ-16 תיקים בשנת 2012 ל-363 בשנת 2017; בשנת 2014 </w:t>
      </w:r>
      <w:r>
        <w:rPr>
          <w:rFonts w:hint="cs"/>
          <w:rtl/>
        </w:rPr>
        <w:t xml:space="preserve">שבה הוספה לחוק ההתנהגות האסורה של פרסום המתמקד במיניות ללא הסכמה, </w:t>
      </w:r>
      <w:r w:rsidRPr="00C43F1B">
        <w:rPr>
          <w:rFonts w:hint="cs"/>
          <w:rtl/>
        </w:rPr>
        <w:t xml:space="preserve">נפתחו 46 תיקים </w:t>
      </w:r>
      <w:r>
        <w:rPr>
          <w:rFonts w:hint="cs"/>
          <w:rtl/>
        </w:rPr>
        <w:t>שעניינם בעבירה זו,</w:t>
      </w:r>
      <w:r w:rsidRPr="00C43F1B">
        <w:rPr>
          <w:rFonts w:hint="cs"/>
          <w:rtl/>
        </w:rPr>
        <w:t xml:space="preserve"> ובשנת 2017 נפתחו 116 תיקים</w:t>
      </w:r>
      <w:r>
        <w:rPr>
          <w:rFonts w:hint="cs"/>
          <w:rtl/>
        </w:rPr>
        <w:t xml:space="preserve"> שעניינם בעבירה זו</w:t>
      </w:r>
      <w:r w:rsidRPr="00C43F1B">
        <w:rPr>
          <w:rFonts w:hint="cs"/>
          <w:rtl/>
        </w:rPr>
        <w:t xml:space="preserve">; </w:t>
      </w:r>
      <w:r>
        <w:rPr>
          <w:rFonts w:hint="cs"/>
          <w:rtl/>
        </w:rPr>
        <w:t>עד שנת 2017 נפתחו בכל שנה פחות מ-5 תיקי</w:t>
      </w:r>
      <w:r w:rsidRPr="00C43F1B">
        <w:rPr>
          <w:rFonts w:hint="cs"/>
          <w:rtl/>
        </w:rPr>
        <w:t xml:space="preserve"> התנכלות על רקע הטרדה מינית </w:t>
      </w:r>
      <w:r>
        <w:rPr>
          <w:rFonts w:hint="cs"/>
          <w:rtl/>
        </w:rPr>
        <w:t>ו</w:t>
      </w:r>
      <w:r w:rsidRPr="00C43F1B">
        <w:rPr>
          <w:rFonts w:hint="cs"/>
          <w:rtl/>
        </w:rPr>
        <w:t xml:space="preserve">בשנת 2017 </w:t>
      </w:r>
      <w:r>
        <w:rPr>
          <w:rFonts w:hint="cs"/>
          <w:rtl/>
        </w:rPr>
        <w:t>נפתחו</w:t>
      </w:r>
      <w:r w:rsidRPr="00C43F1B">
        <w:rPr>
          <w:rFonts w:hint="cs"/>
          <w:rtl/>
        </w:rPr>
        <w:t xml:space="preserve"> 20 </w:t>
      </w:r>
      <w:r>
        <w:rPr>
          <w:rFonts w:hint="cs"/>
          <w:rtl/>
        </w:rPr>
        <w:t xml:space="preserve">תיקים </w:t>
      </w:r>
      <w:r w:rsidRPr="00C43F1B">
        <w:rPr>
          <w:rFonts w:hint="cs"/>
          <w:rtl/>
        </w:rPr>
        <w:t>בלבד</w:t>
      </w:r>
      <w:r>
        <w:rPr>
          <w:rFonts w:hint="cs"/>
          <w:rtl/>
        </w:rPr>
        <w:t xml:space="preserve"> שעניינם התנכלות</w:t>
      </w:r>
      <w:r w:rsidRPr="00C43F1B">
        <w:rPr>
          <w:rFonts w:hint="cs"/>
          <w:rtl/>
        </w:rPr>
        <w:t xml:space="preserve">. </w:t>
      </w:r>
    </w:p>
    <w:p w14:paraId="37751186" w14:textId="4C26525A" w:rsidR="00417266" w:rsidRPr="008B5545" w:rsidRDefault="00417266" w:rsidP="006A7897">
      <w:pPr>
        <w:pStyle w:val="100"/>
        <w:rPr>
          <w:rtl/>
        </w:rPr>
      </w:pPr>
      <w:r w:rsidRPr="00C43F1B">
        <w:rPr>
          <w:rFonts w:hint="cs"/>
          <w:rtl/>
        </w:rPr>
        <w:lastRenderedPageBreak/>
        <w:t xml:space="preserve">על פי נתונים שהתקבלו מפרקליטות המדינה, מתחילת שנת 2016 עד סוף יולי 2018 נפתחו 1,690 תיקים </w:t>
      </w:r>
      <w:r w:rsidRPr="00C43F1B">
        <w:rPr>
          <w:rFonts w:hint="eastAsia"/>
          <w:rtl/>
        </w:rPr>
        <w:t>שכללו</w:t>
      </w:r>
      <w:r w:rsidRPr="00C43F1B">
        <w:t xml:space="preserve"> </w:t>
      </w:r>
      <w:r w:rsidRPr="00C43F1B">
        <w:rPr>
          <w:rFonts w:hint="eastAsia"/>
          <w:rtl/>
        </w:rPr>
        <w:t>עבירות</w:t>
      </w:r>
      <w:r w:rsidRPr="00C43F1B">
        <w:t xml:space="preserve"> </w:t>
      </w:r>
      <w:r w:rsidRPr="00C43F1B">
        <w:rPr>
          <w:rFonts w:hint="eastAsia"/>
          <w:rtl/>
        </w:rPr>
        <w:t>לפי</w:t>
      </w:r>
      <w:r w:rsidRPr="00C43F1B">
        <w:t xml:space="preserve"> </w:t>
      </w:r>
      <w:r w:rsidRPr="00C43F1B">
        <w:rPr>
          <w:rFonts w:hint="eastAsia"/>
          <w:rtl/>
        </w:rPr>
        <w:t>החוק</w:t>
      </w:r>
      <w:r w:rsidRPr="00C43F1B">
        <w:t xml:space="preserve"> </w:t>
      </w:r>
      <w:r w:rsidRPr="00C43F1B">
        <w:rPr>
          <w:rFonts w:hint="eastAsia"/>
          <w:rtl/>
        </w:rPr>
        <w:t>למניעת</w:t>
      </w:r>
      <w:r w:rsidRPr="00C43F1B">
        <w:rPr>
          <w:rFonts w:hint="cs"/>
          <w:rtl/>
        </w:rPr>
        <w:t xml:space="preserve"> </w:t>
      </w:r>
      <w:r w:rsidRPr="00C43F1B">
        <w:rPr>
          <w:rFonts w:hint="eastAsia"/>
          <w:rtl/>
        </w:rPr>
        <w:t>הטרדה</w:t>
      </w:r>
      <w:r w:rsidRPr="00C43F1B">
        <w:t xml:space="preserve"> </w:t>
      </w:r>
      <w:r w:rsidRPr="00C43F1B">
        <w:rPr>
          <w:rFonts w:hint="eastAsia"/>
          <w:rtl/>
        </w:rPr>
        <w:t>מינית</w:t>
      </w:r>
      <w:r w:rsidRPr="00C43F1B">
        <w:rPr>
          <w:rFonts w:hint="cs"/>
          <w:rtl/>
        </w:rPr>
        <w:t>. בתקופה זו הוגשו 306 כתבי אישום</w:t>
      </w:r>
      <w:r>
        <w:rPr>
          <w:rStyle w:val="FootnoteReference"/>
          <w:rtl/>
        </w:rPr>
        <w:footnoteReference w:id="25"/>
      </w:r>
      <w:r>
        <w:rPr>
          <w:rFonts w:hint="cs"/>
          <w:rtl/>
        </w:rPr>
        <w:t xml:space="preserve">. </w:t>
      </w:r>
      <w:r w:rsidRPr="00AE398E">
        <w:rPr>
          <w:rtl/>
        </w:rPr>
        <w:t xml:space="preserve">בשנת 2019 הוגשו 129 כתבי אישום שכללו עבירה לפי החוק למניעת הטרדה מינית, ב-29 </w:t>
      </w:r>
      <w:r>
        <w:rPr>
          <w:rFonts w:hint="cs"/>
          <w:rtl/>
        </w:rPr>
        <w:t>מהם</w:t>
      </w:r>
      <w:r w:rsidRPr="00AE398E">
        <w:rPr>
          <w:rtl/>
        </w:rPr>
        <w:t xml:space="preserve"> עבירת ההטרדה המינית הייתה </w:t>
      </w:r>
      <w:r>
        <w:rPr>
          <w:rFonts w:hint="cs"/>
          <w:rtl/>
        </w:rPr>
        <w:t>ה</w:t>
      </w:r>
      <w:r w:rsidRPr="00AE398E">
        <w:rPr>
          <w:rtl/>
        </w:rPr>
        <w:t xml:space="preserve">עבירה </w:t>
      </w:r>
      <w:r>
        <w:rPr>
          <w:rFonts w:hint="cs"/>
          <w:rtl/>
        </w:rPr>
        <w:t>ה</w:t>
      </w:r>
      <w:r w:rsidRPr="00AE398E">
        <w:rPr>
          <w:rtl/>
        </w:rPr>
        <w:t xml:space="preserve">יחידה או </w:t>
      </w:r>
      <w:r>
        <w:rPr>
          <w:rFonts w:hint="cs"/>
          <w:rtl/>
        </w:rPr>
        <w:t>ה</w:t>
      </w:r>
      <w:r w:rsidRPr="00AE398E">
        <w:rPr>
          <w:rtl/>
        </w:rPr>
        <w:t>מרכזית</w:t>
      </w:r>
      <w:r>
        <w:rPr>
          <w:rFonts w:hint="cs"/>
          <w:rtl/>
        </w:rPr>
        <w:t>.</w:t>
      </w:r>
    </w:p>
    <w:p w14:paraId="7DBDB332" w14:textId="77777777" w:rsidR="00417266" w:rsidRPr="00C43F1B" w:rsidRDefault="00417266" w:rsidP="006A7897">
      <w:pPr>
        <w:pStyle w:val="af3"/>
        <w:rPr>
          <w:rtl/>
        </w:rPr>
      </w:pPr>
      <w:r w:rsidRPr="00C43F1B">
        <w:rPr>
          <w:rFonts w:hint="cs"/>
          <w:rtl/>
        </w:rPr>
        <w:t xml:space="preserve">למרות העלייה במספר התלונות שהוגשו למשטרה בשנים האחרונות, מספרן של התלונות הוא כאמור לעיל קטן </w:t>
      </w:r>
      <w:r>
        <w:rPr>
          <w:rFonts w:hint="cs"/>
          <w:rtl/>
        </w:rPr>
        <w:t>במידה ניכרת</w:t>
      </w:r>
      <w:r w:rsidRPr="00C43F1B">
        <w:rPr>
          <w:rFonts w:hint="cs"/>
          <w:rtl/>
        </w:rPr>
        <w:t xml:space="preserve"> ממספר הפניות </w:t>
      </w:r>
      <w:r>
        <w:rPr>
          <w:rFonts w:hint="cs"/>
          <w:rtl/>
        </w:rPr>
        <w:t>ל</w:t>
      </w:r>
      <w:r w:rsidRPr="00C43F1B">
        <w:rPr>
          <w:rFonts w:hint="cs"/>
          <w:rtl/>
        </w:rPr>
        <w:t>מרכזי הסיוע בעניין הטרדה מינית</w:t>
      </w:r>
      <w:r>
        <w:rPr>
          <w:rFonts w:hint="cs"/>
          <w:rtl/>
        </w:rPr>
        <w:t xml:space="preserve"> ומההערכה בדבר ההיקף הכולל של האירועים כעולה מנתוני סקר הביטחון האישי</w:t>
      </w:r>
      <w:r w:rsidRPr="00C43F1B">
        <w:rPr>
          <w:rFonts w:hint="cs"/>
          <w:rtl/>
        </w:rPr>
        <w:t>. מיעוט התלונות נובע, בין היתר, מחסמים הכרוכים בהגשתן</w:t>
      </w:r>
      <w:r w:rsidRPr="00C43F1B">
        <w:rPr>
          <w:rtl/>
        </w:rPr>
        <w:t xml:space="preserve">, </w:t>
      </w:r>
      <w:r w:rsidRPr="00C43F1B">
        <w:rPr>
          <w:rFonts w:hint="eastAsia"/>
          <w:rtl/>
        </w:rPr>
        <w:t>שבאו</w:t>
      </w:r>
      <w:r w:rsidRPr="00C43F1B">
        <w:rPr>
          <w:rtl/>
        </w:rPr>
        <w:t xml:space="preserve"> </w:t>
      </w:r>
      <w:r w:rsidRPr="00C43F1B">
        <w:rPr>
          <w:rFonts w:hint="eastAsia"/>
          <w:rtl/>
        </w:rPr>
        <w:t>לידי</w:t>
      </w:r>
      <w:r w:rsidRPr="00C43F1B">
        <w:rPr>
          <w:rtl/>
        </w:rPr>
        <w:t xml:space="preserve"> </w:t>
      </w:r>
      <w:r w:rsidRPr="00C43F1B">
        <w:rPr>
          <w:rFonts w:hint="eastAsia"/>
          <w:rtl/>
        </w:rPr>
        <w:t>ביטוי</w:t>
      </w:r>
      <w:r w:rsidRPr="00C43F1B">
        <w:rPr>
          <w:rtl/>
        </w:rPr>
        <w:t xml:space="preserve"> </w:t>
      </w:r>
      <w:r w:rsidRPr="00C43F1B">
        <w:rPr>
          <w:rFonts w:hint="eastAsia"/>
          <w:rtl/>
        </w:rPr>
        <w:t>גם</w:t>
      </w:r>
      <w:r w:rsidRPr="00C43F1B">
        <w:rPr>
          <w:rtl/>
        </w:rPr>
        <w:t xml:space="preserve"> </w:t>
      </w:r>
      <w:r w:rsidRPr="00C43F1B">
        <w:rPr>
          <w:rFonts w:hint="eastAsia"/>
          <w:rtl/>
        </w:rPr>
        <w:t>ב</w:t>
      </w:r>
      <w:r w:rsidRPr="00C43F1B">
        <w:rPr>
          <w:rtl/>
        </w:rPr>
        <w:t xml:space="preserve">מסעי </w:t>
      </w:r>
      <w:r w:rsidRPr="00C43F1B">
        <w:rPr>
          <w:rFonts w:hint="eastAsia"/>
          <w:rtl/>
        </w:rPr>
        <w:t>ה</w:t>
      </w:r>
      <w:r w:rsidRPr="00C43F1B">
        <w:rPr>
          <w:rtl/>
        </w:rPr>
        <w:t xml:space="preserve">פרסום </w:t>
      </w:r>
      <w:r w:rsidRPr="00C43F1B">
        <w:rPr>
          <w:rFonts w:hint="eastAsia"/>
          <w:rtl/>
        </w:rPr>
        <w:t>ה</w:t>
      </w:r>
      <w:r w:rsidRPr="00C43F1B">
        <w:rPr>
          <w:rtl/>
        </w:rPr>
        <w:t>בין-לאומיים ברשתות החברתיות</w:t>
      </w:r>
      <w:r w:rsidRPr="00C43F1B">
        <w:rPr>
          <w:rFonts w:hint="cs"/>
          <w:rtl/>
        </w:rPr>
        <w:t>. להלן פרטים על חסמים מרכזיים.</w:t>
      </w:r>
    </w:p>
    <w:p w14:paraId="719087E9" w14:textId="77777777" w:rsidR="00417266" w:rsidRDefault="00417266" w:rsidP="00417266">
      <w:pPr>
        <w:spacing w:line="269" w:lineRule="auto"/>
        <w:rPr>
          <w:rtl/>
        </w:rPr>
      </w:pPr>
    </w:p>
    <w:p w14:paraId="7AA95713" w14:textId="77777777" w:rsidR="00417266" w:rsidRDefault="00417266" w:rsidP="00F10ECA">
      <w:pPr>
        <w:pStyle w:val="a0"/>
        <w:numPr>
          <w:ilvl w:val="0"/>
          <w:numId w:val="20"/>
        </w:numPr>
      </w:pPr>
      <w:r w:rsidRPr="00C43F1B">
        <w:rPr>
          <w:rFonts w:hint="cs"/>
          <w:rtl/>
        </w:rPr>
        <w:t xml:space="preserve">נוהל אגף חקירות ומודיעין (אח"מ) </w:t>
      </w:r>
      <w:r>
        <w:rPr>
          <w:rFonts w:hint="cs"/>
          <w:rtl/>
        </w:rPr>
        <w:t>בנוגע ל</w:t>
      </w:r>
      <w:r w:rsidRPr="00C43F1B">
        <w:rPr>
          <w:rFonts w:hint="cs"/>
          <w:rtl/>
        </w:rPr>
        <w:t xml:space="preserve">טיפול המשטרתי במתלוננת על עבירות מין מתווה את דרכי הטיפול בנפגעת עבירות מין. הנוהל קובע כי </w:t>
      </w:r>
      <w:r>
        <w:rPr>
          <w:rFonts w:hint="cs"/>
          <w:rtl/>
        </w:rPr>
        <w:t>המתלוננת</w:t>
      </w:r>
      <w:r w:rsidRPr="00C43F1B">
        <w:rPr>
          <w:rFonts w:hint="cs"/>
          <w:rtl/>
        </w:rPr>
        <w:t xml:space="preserve"> תיחקר בתחנת המשטרה על ידי חוקרת עבירות מין, למעט במקרים חריגים. </w:t>
      </w:r>
      <w:r>
        <w:rPr>
          <w:rFonts w:hint="cs"/>
          <w:rtl/>
        </w:rPr>
        <w:t xml:space="preserve">אך מדברי איגוד מרכזי הסיוע וממאמרים עולה שיש קשיים בהגשת התלונות. כך למשל, צוין כי מתלוננות חוששות </w:t>
      </w:r>
      <w:r w:rsidRPr="00C43F1B">
        <w:rPr>
          <w:rFonts w:hint="cs"/>
          <w:rtl/>
        </w:rPr>
        <w:t>מהתנהלות</w:t>
      </w:r>
      <w:r>
        <w:rPr>
          <w:rFonts w:hint="cs"/>
          <w:rtl/>
        </w:rPr>
        <w:t>ם</w:t>
      </w:r>
      <w:r w:rsidRPr="00C43F1B">
        <w:rPr>
          <w:rFonts w:hint="cs"/>
          <w:rtl/>
        </w:rPr>
        <w:t xml:space="preserve"> של חוקרי משטרה, שלא לכולם יש הכשרה להתמודדות עם </w:t>
      </w:r>
      <w:r>
        <w:rPr>
          <w:rFonts w:hint="cs"/>
          <w:rtl/>
        </w:rPr>
        <w:t>נפגעות</w:t>
      </w:r>
      <w:r w:rsidRPr="00C43F1B">
        <w:rPr>
          <w:rFonts w:hint="cs"/>
          <w:rtl/>
        </w:rPr>
        <w:t xml:space="preserve"> עבירות מין, ויש שהם נותנים למתלוננת הרגשה שהיא עצמה חשודה</w:t>
      </w:r>
      <w:r w:rsidRPr="00C43F1B">
        <w:rPr>
          <w:rStyle w:val="FootnoteReference"/>
          <w:rtl/>
        </w:rPr>
        <w:footnoteReference w:id="26"/>
      </w:r>
      <w:r w:rsidRPr="00C43F1B">
        <w:rPr>
          <w:rFonts w:hint="cs"/>
          <w:rtl/>
        </w:rPr>
        <w:t xml:space="preserve">. </w:t>
      </w:r>
      <w:r>
        <w:rPr>
          <w:rFonts w:hint="cs"/>
          <w:rtl/>
        </w:rPr>
        <w:t xml:space="preserve">עוד ציינו </w:t>
      </w:r>
      <w:r w:rsidRPr="00C43F1B">
        <w:rPr>
          <w:rFonts w:hint="cs"/>
          <w:rtl/>
        </w:rPr>
        <w:t>שיחס החוקרים אל נחקרות לא היה הולם, ושלא ניתן לנפגעת הסבר על זכויותיה, כמו הזכות למלו</w:t>
      </w:r>
      <w:r>
        <w:rPr>
          <w:rFonts w:hint="cs"/>
          <w:rtl/>
        </w:rPr>
        <w:t>וה בחקירה ו</w:t>
      </w:r>
      <w:r w:rsidRPr="00C43F1B">
        <w:rPr>
          <w:rFonts w:hint="cs"/>
          <w:rtl/>
        </w:rPr>
        <w:t>הזכות לסרב לעימות עם המטריד</w:t>
      </w:r>
      <w:r w:rsidRPr="00C43F1B">
        <w:rPr>
          <w:rStyle w:val="FootnoteReference"/>
          <w:rtl/>
        </w:rPr>
        <w:footnoteReference w:id="27"/>
      </w:r>
      <w:r>
        <w:rPr>
          <w:rFonts w:hint="cs"/>
          <w:rtl/>
        </w:rPr>
        <w:t>.</w:t>
      </w:r>
    </w:p>
    <w:p w14:paraId="08EB0E1B" w14:textId="77777777" w:rsidR="00417266" w:rsidRPr="00F94009" w:rsidRDefault="00417266" w:rsidP="00F94009">
      <w:pPr>
        <w:pStyle w:val="af2"/>
        <w:rPr>
          <w:rtl/>
        </w:rPr>
      </w:pPr>
      <w:r w:rsidRPr="00F94009">
        <w:rPr>
          <w:rFonts w:hint="cs"/>
          <w:rtl/>
        </w:rPr>
        <w:t>המשטרה מסרה בתשובתה מיולי 2019 כי תחום עבירות המין וההטרדה המינית מקבל קשב רב, ומבוצעת פעילות רבה לטיובו ולייעולו של הטיפול בתיקים בעבירות אלה. הדברים מקבלים ביטוי בעלייה במספר התלונות על עבירות מין ועל עבירות ההטרדה המינית לאורך השנים.</w:t>
      </w:r>
    </w:p>
    <w:p w14:paraId="692BBA86" w14:textId="77777777" w:rsidR="00417266" w:rsidRDefault="00417266" w:rsidP="002D2963">
      <w:pPr>
        <w:pStyle w:val="ac"/>
        <w:rPr>
          <w:rtl/>
        </w:rPr>
      </w:pPr>
      <w:r w:rsidRPr="00B56A9B">
        <w:rPr>
          <w:rFonts w:hint="cs"/>
          <w:rtl/>
        </w:rPr>
        <w:t xml:space="preserve">משרד מבקר המדינה ממליץ </w:t>
      </w:r>
      <w:r>
        <w:rPr>
          <w:rFonts w:hint="cs"/>
          <w:rtl/>
        </w:rPr>
        <w:t>למשטרת ישראל לבחון את</w:t>
      </w:r>
      <w:r w:rsidRPr="00B56A9B">
        <w:rPr>
          <w:rFonts w:hint="cs"/>
          <w:rtl/>
        </w:rPr>
        <w:t xml:space="preserve"> הליך הגשת התלונה במשטרה, </w:t>
      </w:r>
      <w:r>
        <w:rPr>
          <w:rFonts w:hint="cs"/>
          <w:rtl/>
        </w:rPr>
        <w:t>ל</w:t>
      </w:r>
      <w:r w:rsidRPr="00B56A9B">
        <w:rPr>
          <w:rFonts w:hint="cs"/>
          <w:rtl/>
        </w:rPr>
        <w:t>זהו</w:t>
      </w:r>
      <w:r>
        <w:rPr>
          <w:rFonts w:hint="cs"/>
          <w:rtl/>
        </w:rPr>
        <w:t>ת</w:t>
      </w:r>
      <w:r w:rsidRPr="00B56A9B">
        <w:rPr>
          <w:rFonts w:hint="cs"/>
          <w:rtl/>
        </w:rPr>
        <w:t xml:space="preserve"> </w:t>
      </w:r>
      <w:r>
        <w:rPr>
          <w:rFonts w:hint="cs"/>
          <w:rtl/>
        </w:rPr>
        <w:t>את ה</w:t>
      </w:r>
      <w:r w:rsidRPr="00B56A9B">
        <w:rPr>
          <w:rFonts w:hint="cs"/>
          <w:rtl/>
        </w:rPr>
        <w:t>חסמים</w:t>
      </w:r>
      <w:r>
        <w:rPr>
          <w:rFonts w:hint="cs"/>
          <w:rtl/>
        </w:rPr>
        <w:t xml:space="preserve"> להגשת תלונה</w:t>
      </w:r>
      <w:r w:rsidRPr="00B56A9B">
        <w:rPr>
          <w:rFonts w:hint="cs"/>
          <w:rtl/>
        </w:rPr>
        <w:t xml:space="preserve"> ו</w:t>
      </w:r>
      <w:r>
        <w:rPr>
          <w:rFonts w:hint="cs"/>
          <w:rtl/>
        </w:rPr>
        <w:t>ל</w:t>
      </w:r>
      <w:r w:rsidRPr="00B56A9B">
        <w:rPr>
          <w:rFonts w:hint="cs"/>
          <w:rtl/>
        </w:rPr>
        <w:t>קב</w:t>
      </w:r>
      <w:r>
        <w:rPr>
          <w:rFonts w:hint="cs"/>
          <w:rtl/>
        </w:rPr>
        <w:t>ו</w:t>
      </w:r>
      <w:r w:rsidRPr="00B56A9B">
        <w:rPr>
          <w:rFonts w:hint="cs"/>
          <w:rtl/>
        </w:rPr>
        <w:t>ע פעולות להסרתם</w:t>
      </w:r>
      <w:r>
        <w:rPr>
          <w:rFonts w:hint="cs"/>
          <w:rtl/>
        </w:rPr>
        <w:t>.</w:t>
      </w:r>
    </w:p>
    <w:p w14:paraId="4D9F9EDD" w14:textId="475F5908" w:rsidR="00417266" w:rsidRPr="00FF3C9D" w:rsidRDefault="00417266" w:rsidP="00417266">
      <w:pPr>
        <w:spacing w:line="269" w:lineRule="auto"/>
        <w:rPr>
          <w:rtl/>
        </w:rPr>
      </w:pPr>
    </w:p>
    <w:p w14:paraId="7F9E6B9C" w14:textId="77777777" w:rsidR="00417266" w:rsidRPr="001F3FD4" w:rsidRDefault="00417266" w:rsidP="008A4780">
      <w:pPr>
        <w:pStyle w:val="af2"/>
      </w:pPr>
      <w:r w:rsidRPr="001F3FD4">
        <w:rPr>
          <w:rFonts w:hint="eastAsia"/>
          <w:rtl/>
        </w:rPr>
        <w:t>יצוין</w:t>
      </w:r>
      <w:r w:rsidRPr="001F3FD4">
        <w:rPr>
          <w:rtl/>
        </w:rPr>
        <w:t xml:space="preserve"> </w:t>
      </w:r>
      <w:r w:rsidRPr="001F3FD4">
        <w:rPr>
          <w:rFonts w:hint="eastAsia"/>
          <w:rtl/>
        </w:rPr>
        <w:t>כי</w:t>
      </w:r>
      <w:r w:rsidRPr="001F3FD4">
        <w:rPr>
          <w:rtl/>
        </w:rPr>
        <w:t xml:space="preserve"> </w:t>
      </w:r>
      <w:r w:rsidRPr="001F3FD4">
        <w:rPr>
          <w:rFonts w:hint="eastAsia"/>
          <w:rtl/>
        </w:rPr>
        <w:t>בדצמבר</w:t>
      </w:r>
      <w:r w:rsidRPr="001F3FD4">
        <w:rPr>
          <w:rtl/>
        </w:rPr>
        <w:t xml:space="preserve"> 2019 </w:t>
      </w:r>
      <w:r w:rsidRPr="001F3FD4">
        <w:rPr>
          <w:rFonts w:hint="eastAsia"/>
          <w:rtl/>
        </w:rPr>
        <w:t>התפרסמו</w:t>
      </w:r>
      <w:r w:rsidRPr="001F3FD4">
        <w:rPr>
          <w:rtl/>
        </w:rPr>
        <w:t xml:space="preserve"> </w:t>
      </w:r>
      <w:r w:rsidRPr="001F3FD4">
        <w:rPr>
          <w:rFonts w:hint="eastAsia"/>
          <w:rtl/>
        </w:rPr>
        <w:t>המלצות</w:t>
      </w:r>
      <w:r w:rsidRPr="001F3FD4">
        <w:rPr>
          <w:rtl/>
        </w:rPr>
        <w:t xml:space="preserve"> </w:t>
      </w:r>
      <w:r w:rsidRPr="001F3FD4">
        <w:rPr>
          <w:rFonts w:hint="eastAsia"/>
          <w:rtl/>
        </w:rPr>
        <w:t>הוועדה</w:t>
      </w:r>
      <w:r w:rsidRPr="001F3FD4">
        <w:rPr>
          <w:rtl/>
        </w:rPr>
        <w:t xml:space="preserve"> </w:t>
      </w:r>
      <w:r w:rsidRPr="001F3FD4">
        <w:rPr>
          <w:rFonts w:hint="eastAsia"/>
          <w:rtl/>
        </w:rPr>
        <w:t>הבין</w:t>
      </w:r>
      <w:r w:rsidRPr="001F3FD4">
        <w:rPr>
          <w:rtl/>
        </w:rPr>
        <w:t xml:space="preserve">-משרדית </w:t>
      </w:r>
      <w:r w:rsidRPr="001F3FD4">
        <w:rPr>
          <w:rFonts w:hint="eastAsia"/>
          <w:rtl/>
        </w:rPr>
        <w:t>לבחינת</w:t>
      </w:r>
      <w:r w:rsidRPr="001F3FD4">
        <w:rPr>
          <w:rtl/>
        </w:rPr>
        <w:t xml:space="preserve"> </w:t>
      </w:r>
      <w:r w:rsidRPr="001F3FD4">
        <w:rPr>
          <w:rFonts w:hint="eastAsia"/>
          <w:rtl/>
        </w:rPr>
        <w:t>הטיפול</w:t>
      </w:r>
      <w:r w:rsidRPr="001F3FD4">
        <w:rPr>
          <w:rtl/>
        </w:rPr>
        <w:t xml:space="preserve"> </w:t>
      </w:r>
      <w:r w:rsidRPr="001F3FD4">
        <w:rPr>
          <w:rFonts w:hint="eastAsia"/>
          <w:rtl/>
        </w:rPr>
        <w:t>בנפגעי</w:t>
      </w:r>
      <w:r w:rsidRPr="001F3FD4">
        <w:rPr>
          <w:rtl/>
        </w:rPr>
        <w:t xml:space="preserve"> </w:t>
      </w:r>
      <w:r w:rsidRPr="001F3FD4">
        <w:rPr>
          <w:rFonts w:hint="eastAsia"/>
          <w:rtl/>
        </w:rPr>
        <w:t>עבירות</w:t>
      </w:r>
      <w:r w:rsidRPr="001F3FD4">
        <w:rPr>
          <w:rtl/>
        </w:rPr>
        <w:t xml:space="preserve"> </w:t>
      </w:r>
      <w:r w:rsidRPr="001F3FD4">
        <w:rPr>
          <w:rFonts w:hint="eastAsia"/>
          <w:rtl/>
        </w:rPr>
        <w:t>מין</w:t>
      </w:r>
      <w:r w:rsidRPr="001F3FD4">
        <w:rPr>
          <w:rtl/>
        </w:rPr>
        <w:t xml:space="preserve"> </w:t>
      </w:r>
      <w:r w:rsidRPr="001F3FD4">
        <w:rPr>
          <w:rFonts w:hint="eastAsia"/>
          <w:rtl/>
        </w:rPr>
        <w:t>בהליך</w:t>
      </w:r>
      <w:r w:rsidRPr="001F3FD4">
        <w:rPr>
          <w:rtl/>
        </w:rPr>
        <w:t xml:space="preserve"> </w:t>
      </w:r>
      <w:r w:rsidRPr="001F3FD4">
        <w:rPr>
          <w:rFonts w:hint="eastAsia"/>
          <w:rtl/>
        </w:rPr>
        <w:t>הפלילי</w:t>
      </w:r>
      <w:r w:rsidRPr="001F3FD4">
        <w:rPr>
          <w:rtl/>
        </w:rPr>
        <w:t xml:space="preserve"> (להלן - </w:t>
      </w:r>
      <w:r w:rsidRPr="001F3FD4">
        <w:rPr>
          <w:rFonts w:hint="eastAsia"/>
          <w:rtl/>
        </w:rPr>
        <w:t>ועדת</w:t>
      </w:r>
      <w:r w:rsidRPr="001F3FD4">
        <w:rPr>
          <w:rtl/>
        </w:rPr>
        <w:t xml:space="preserve"> </w:t>
      </w:r>
      <w:r w:rsidRPr="001F3FD4">
        <w:rPr>
          <w:rFonts w:hint="eastAsia"/>
          <w:rtl/>
        </w:rPr>
        <w:t>ברלינר</w:t>
      </w:r>
      <w:r w:rsidRPr="001F3FD4">
        <w:rPr>
          <w:rtl/>
        </w:rPr>
        <w:t xml:space="preserve">). </w:t>
      </w:r>
      <w:r w:rsidRPr="001F3FD4">
        <w:rPr>
          <w:rFonts w:hint="eastAsia"/>
          <w:rtl/>
        </w:rPr>
        <w:t>הוועדה</w:t>
      </w:r>
      <w:r w:rsidRPr="001F3FD4">
        <w:rPr>
          <w:rtl/>
        </w:rPr>
        <w:t xml:space="preserve"> </w:t>
      </w:r>
      <w:r w:rsidRPr="001F3FD4">
        <w:rPr>
          <w:rFonts w:hint="eastAsia"/>
          <w:rtl/>
        </w:rPr>
        <w:t>ציינה</w:t>
      </w:r>
      <w:r w:rsidRPr="001F3FD4">
        <w:rPr>
          <w:rtl/>
        </w:rPr>
        <w:t xml:space="preserve"> </w:t>
      </w:r>
      <w:r w:rsidRPr="001F3FD4">
        <w:rPr>
          <w:rFonts w:hint="eastAsia"/>
          <w:rtl/>
        </w:rPr>
        <w:t>את</w:t>
      </w:r>
      <w:r w:rsidRPr="001F3FD4">
        <w:rPr>
          <w:rtl/>
        </w:rPr>
        <w:t xml:space="preserve"> </w:t>
      </w:r>
      <w:r w:rsidRPr="001F3FD4">
        <w:rPr>
          <w:rFonts w:hint="eastAsia"/>
          <w:rtl/>
        </w:rPr>
        <w:t>המאמצים</w:t>
      </w:r>
      <w:r w:rsidRPr="001F3FD4">
        <w:rPr>
          <w:rtl/>
        </w:rPr>
        <w:t xml:space="preserve"> </w:t>
      </w:r>
      <w:r w:rsidRPr="001F3FD4">
        <w:rPr>
          <w:rFonts w:hint="eastAsia"/>
          <w:rtl/>
        </w:rPr>
        <w:t>שהושקעו</w:t>
      </w:r>
      <w:r w:rsidRPr="001F3FD4">
        <w:rPr>
          <w:rtl/>
        </w:rPr>
        <w:t xml:space="preserve"> </w:t>
      </w:r>
      <w:r w:rsidRPr="001F3FD4">
        <w:rPr>
          <w:rFonts w:hint="eastAsia"/>
          <w:rtl/>
        </w:rPr>
        <w:lastRenderedPageBreak/>
        <w:t>בגופי</w:t>
      </w:r>
      <w:r w:rsidRPr="001F3FD4">
        <w:rPr>
          <w:rtl/>
        </w:rPr>
        <w:t xml:space="preserve"> </w:t>
      </w:r>
      <w:r w:rsidRPr="001F3FD4">
        <w:rPr>
          <w:rFonts w:hint="eastAsia"/>
          <w:rtl/>
        </w:rPr>
        <w:t>האכיפה</w:t>
      </w:r>
      <w:r w:rsidRPr="001F3FD4">
        <w:rPr>
          <w:rtl/>
        </w:rPr>
        <w:t xml:space="preserve"> </w:t>
      </w:r>
      <w:r w:rsidRPr="001F3FD4">
        <w:rPr>
          <w:rFonts w:hint="eastAsia"/>
          <w:rtl/>
        </w:rPr>
        <w:t>שנועדו</w:t>
      </w:r>
      <w:r w:rsidRPr="001F3FD4">
        <w:rPr>
          <w:rtl/>
        </w:rPr>
        <w:t xml:space="preserve"> </w:t>
      </w:r>
      <w:r w:rsidRPr="001F3FD4">
        <w:rPr>
          <w:rFonts w:hint="eastAsia"/>
          <w:rtl/>
        </w:rPr>
        <w:t>להתאים</w:t>
      </w:r>
      <w:r w:rsidRPr="001F3FD4">
        <w:rPr>
          <w:rtl/>
        </w:rPr>
        <w:t xml:space="preserve"> </w:t>
      </w:r>
      <w:r w:rsidRPr="001F3FD4">
        <w:rPr>
          <w:rFonts w:hint="eastAsia"/>
          <w:rtl/>
        </w:rPr>
        <w:t>את</w:t>
      </w:r>
      <w:r w:rsidRPr="001F3FD4">
        <w:rPr>
          <w:rtl/>
        </w:rPr>
        <w:t xml:space="preserve"> </w:t>
      </w:r>
      <w:r w:rsidRPr="001F3FD4">
        <w:rPr>
          <w:rFonts w:hint="eastAsia"/>
          <w:rtl/>
        </w:rPr>
        <w:t>הטיפול</w:t>
      </w:r>
      <w:r w:rsidRPr="001F3FD4">
        <w:rPr>
          <w:rtl/>
        </w:rPr>
        <w:t xml:space="preserve"> </w:t>
      </w:r>
      <w:r w:rsidRPr="001F3FD4">
        <w:rPr>
          <w:rFonts w:hint="eastAsia"/>
          <w:rtl/>
        </w:rPr>
        <w:t>בנפגעי</w:t>
      </w:r>
      <w:r w:rsidRPr="001F3FD4">
        <w:rPr>
          <w:rtl/>
        </w:rPr>
        <w:t xml:space="preserve"> </w:t>
      </w:r>
      <w:r w:rsidRPr="001F3FD4">
        <w:rPr>
          <w:rFonts w:hint="eastAsia"/>
          <w:rtl/>
        </w:rPr>
        <w:t>עבירות</w:t>
      </w:r>
      <w:r w:rsidRPr="001F3FD4">
        <w:rPr>
          <w:rtl/>
        </w:rPr>
        <w:t xml:space="preserve"> </w:t>
      </w:r>
      <w:r w:rsidRPr="001F3FD4">
        <w:rPr>
          <w:rFonts w:hint="eastAsia"/>
          <w:rtl/>
        </w:rPr>
        <w:t>מין</w:t>
      </w:r>
      <w:r w:rsidRPr="001F3FD4">
        <w:rPr>
          <w:rtl/>
        </w:rPr>
        <w:t xml:space="preserve"> </w:t>
      </w:r>
      <w:r w:rsidRPr="001F3FD4">
        <w:rPr>
          <w:rFonts w:hint="eastAsia"/>
          <w:rtl/>
        </w:rPr>
        <w:t>לצרכים</w:t>
      </w:r>
      <w:r w:rsidRPr="001F3FD4">
        <w:rPr>
          <w:rtl/>
        </w:rPr>
        <w:t xml:space="preserve"> </w:t>
      </w:r>
      <w:r w:rsidRPr="001F3FD4">
        <w:rPr>
          <w:rFonts w:hint="eastAsia"/>
          <w:rtl/>
        </w:rPr>
        <w:t>המיוחדים</w:t>
      </w:r>
      <w:r w:rsidRPr="001F3FD4">
        <w:rPr>
          <w:rtl/>
        </w:rPr>
        <w:t xml:space="preserve"> </w:t>
      </w:r>
      <w:r w:rsidRPr="001F3FD4">
        <w:rPr>
          <w:rFonts w:hint="eastAsia"/>
          <w:rtl/>
        </w:rPr>
        <w:t>המאפיינים</w:t>
      </w:r>
      <w:r w:rsidRPr="001F3FD4">
        <w:rPr>
          <w:rtl/>
        </w:rPr>
        <w:t xml:space="preserve"> </w:t>
      </w:r>
      <w:r w:rsidRPr="001F3FD4">
        <w:rPr>
          <w:rFonts w:hint="eastAsia"/>
          <w:rtl/>
        </w:rPr>
        <w:t>אוכלוסייה</w:t>
      </w:r>
      <w:r w:rsidRPr="001F3FD4">
        <w:rPr>
          <w:rtl/>
        </w:rPr>
        <w:t xml:space="preserve"> </w:t>
      </w:r>
      <w:r w:rsidRPr="001F3FD4">
        <w:rPr>
          <w:rFonts w:hint="eastAsia"/>
          <w:rtl/>
        </w:rPr>
        <w:t>זו</w:t>
      </w:r>
      <w:r w:rsidRPr="001F3FD4">
        <w:rPr>
          <w:rtl/>
        </w:rPr>
        <w:t xml:space="preserve">. </w:t>
      </w:r>
      <w:r w:rsidRPr="001F3FD4">
        <w:rPr>
          <w:rFonts w:hint="eastAsia"/>
          <w:rtl/>
        </w:rPr>
        <w:t>עם</w:t>
      </w:r>
      <w:r w:rsidRPr="001F3FD4">
        <w:rPr>
          <w:rtl/>
        </w:rPr>
        <w:t xml:space="preserve"> </w:t>
      </w:r>
      <w:r w:rsidRPr="001F3FD4">
        <w:rPr>
          <w:rFonts w:hint="eastAsia"/>
          <w:rtl/>
        </w:rPr>
        <w:t>זאת</w:t>
      </w:r>
      <w:r w:rsidRPr="001F3FD4">
        <w:rPr>
          <w:rtl/>
        </w:rPr>
        <w:t xml:space="preserve">, </w:t>
      </w:r>
      <w:r w:rsidRPr="001F3FD4">
        <w:rPr>
          <w:rFonts w:hint="eastAsia"/>
          <w:rtl/>
        </w:rPr>
        <w:t>ציינה</w:t>
      </w:r>
      <w:r w:rsidRPr="001F3FD4">
        <w:rPr>
          <w:rtl/>
        </w:rPr>
        <w:t xml:space="preserve"> </w:t>
      </w:r>
      <w:r w:rsidRPr="001F3FD4">
        <w:rPr>
          <w:rFonts w:hint="eastAsia"/>
          <w:rtl/>
        </w:rPr>
        <w:t>הוועדה</w:t>
      </w:r>
      <w:r w:rsidRPr="001F3FD4">
        <w:rPr>
          <w:rtl/>
        </w:rPr>
        <w:t xml:space="preserve"> </w:t>
      </w:r>
      <w:r w:rsidRPr="001F3FD4">
        <w:rPr>
          <w:rFonts w:hint="eastAsia"/>
          <w:rtl/>
        </w:rPr>
        <w:t>כי</w:t>
      </w:r>
      <w:r w:rsidRPr="001F3FD4">
        <w:rPr>
          <w:rtl/>
        </w:rPr>
        <w:t xml:space="preserve"> </w:t>
      </w:r>
      <w:r w:rsidRPr="001F3FD4">
        <w:rPr>
          <w:rFonts w:hint="eastAsia"/>
          <w:rtl/>
        </w:rPr>
        <w:t>מהנתונים</w:t>
      </w:r>
      <w:r w:rsidRPr="001F3FD4">
        <w:rPr>
          <w:rtl/>
        </w:rPr>
        <w:t xml:space="preserve"> </w:t>
      </w:r>
      <w:r w:rsidRPr="001F3FD4">
        <w:rPr>
          <w:rFonts w:hint="eastAsia"/>
          <w:rtl/>
        </w:rPr>
        <w:t>שהובאו</w:t>
      </w:r>
      <w:r w:rsidRPr="001F3FD4">
        <w:rPr>
          <w:rtl/>
        </w:rPr>
        <w:t xml:space="preserve"> </w:t>
      </w:r>
      <w:r w:rsidRPr="001F3FD4">
        <w:rPr>
          <w:rFonts w:hint="eastAsia"/>
          <w:rtl/>
        </w:rPr>
        <w:t>בפניה</w:t>
      </w:r>
      <w:r w:rsidRPr="001F3FD4">
        <w:rPr>
          <w:rtl/>
        </w:rPr>
        <w:t xml:space="preserve"> </w:t>
      </w:r>
      <w:r w:rsidRPr="001F3FD4">
        <w:rPr>
          <w:rFonts w:hint="eastAsia"/>
          <w:rtl/>
        </w:rPr>
        <w:t>עוד</w:t>
      </w:r>
      <w:r w:rsidRPr="001F3FD4">
        <w:rPr>
          <w:rtl/>
        </w:rPr>
        <w:t xml:space="preserve"> </w:t>
      </w:r>
      <w:r w:rsidRPr="001F3FD4">
        <w:rPr>
          <w:rFonts w:hint="eastAsia"/>
          <w:rtl/>
        </w:rPr>
        <w:t>נכונה</w:t>
      </w:r>
      <w:r w:rsidRPr="001F3FD4">
        <w:rPr>
          <w:rtl/>
        </w:rPr>
        <w:t xml:space="preserve"> </w:t>
      </w:r>
      <w:r w:rsidRPr="001F3FD4">
        <w:rPr>
          <w:rFonts w:hint="eastAsia"/>
          <w:rtl/>
        </w:rPr>
        <w:t>כברת</w:t>
      </w:r>
      <w:r w:rsidRPr="001F3FD4">
        <w:rPr>
          <w:rtl/>
        </w:rPr>
        <w:t xml:space="preserve"> </w:t>
      </w:r>
      <w:r w:rsidRPr="001F3FD4">
        <w:rPr>
          <w:rFonts w:hint="eastAsia"/>
          <w:rtl/>
        </w:rPr>
        <w:t>דרך</w:t>
      </w:r>
      <w:r w:rsidRPr="001F3FD4">
        <w:rPr>
          <w:rtl/>
        </w:rPr>
        <w:t xml:space="preserve"> </w:t>
      </w:r>
      <w:r w:rsidRPr="001F3FD4">
        <w:rPr>
          <w:rFonts w:hint="eastAsia"/>
          <w:rtl/>
        </w:rPr>
        <w:t>בהתאמת</w:t>
      </w:r>
      <w:r w:rsidRPr="001F3FD4">
        <w:rPr>
          <w:rtl/>
        </w:rPr>
        <w:t xml:space="preserve"> </w:t>
      </w:r>
      <w:r w:rsidRPr="001F3FD4">
        <w:rPr>
          <w:rFonts w:hint="eastAsia"/>
          <w:rtl/>
        </w:rPr>
        <w:t>המשאבים</w:t>
      </w:r>
      <w:r w:rsidRPr="001F3FD4">
        <w:rPr>
          <w:rtl/>
        </w:rPr>
        <w:t xml:space="preserve"> </w:t>
      </w:r>
      <w:r w:rsidRPr="001F3FD4">
        <w:rPr>
          <w:rFonts w:hint="eastAsia"/>
          <w:rtl/>
        </w:rPr>
        <w:t>והפעלת</w:t>
      </w:r>
      <w:r w:rsidRPr="001F3FD4">
        <w:rPr>
          <w:rtl/>
        </w:rPr>
        <w:t xml:space="preserve"> </w:t>
      </w:r>
      <w:r w:rsidRPr="001F3FD4">
        <w:rPr>
          <w:rFonts w:hint="eastAsia"/>
          <w:rtl/>
        </w:rPr>
        <w:t>הכלים</w:t>
      </w:r>
      <w:r w:rsidRPr="001F3FD4">
        <w:rPr>
          <w:rtl/>
        </w:rPr>
        <w:t xml:space="preserve"> </w:t>
      </w:r>
      <w:r w:rsidRPr="001F3FD4">
        <w:rPr>
          <w:rFonts w:hint="eastAsia"/>
          <w:rtl/>
        </w:rPr>
        <w:t>שברשות</w:t>
      </w:r>
      <w:r>
        <w:rPr>
          <w:rFonts w:hint="cs"/>
          <w:rtl/>
        </w:rPr>
        <w:t xml:space="preserve"> גופי האכיפה </w:t>
      </w:r>
      <w:r w:rsidRPr="001F3FD4">
        <w:rPr>
          <w:rFonts w:hint="eastAsia"/>
          <w:rtl/>
        </w:rPr>
        <w:t>עד</w:t>
      </w:r>
      <w:r w:rsidRPr="001F3FD4">
        <w:rPr>
          <w:rtl/>
        </w:rPr>
        <w:t xml:space="preserve"> </w:t>
      </w:r>
      <w:r w:rsidRPr="001F3FD4">
        <w:rPr>
          <w:rFonts w:hint="eastAsia"/>
          <w:rtl/>
        </w:rPr>
        <w:t>להשגת</w:t>
      </w:r>
      <w:r w:rsidRPr="001F3FD4">
        <w:rPr>
          <w:rtl/>
        </w:rPr>
        <w:t xml:space="preserve"> </w:t>
      </w:r>
      <w:r w:rsidRPr="001F3FD4">
        <w:rPr>
          <w:rFonts w:hint="eastAsia"/>
          <w:rtl/>
        </w:rPr>
        <w:t>התוצאה</w:t>
      </w:r>
      <w:r w:rsidRPr="001F3FD4">
        <w:rPr>
          <w:rtl/>
        </w:rPr>
        <w:t xml:space="preserve"> </w:t>
      </w:r>
      <w:r w:rsidRPr="001F3FD4">
        <w:rPr>
          <w:rFonts w:hint="eastAsia"/>
          <w:rtl/>
        </w:rPr>
        <w:t>הרצויה</w:t>
      </w:r>
      <w:r w:rsidRPr="001F3FD4">
        <w:rPr>
          <w:rtl/>
        </w:rPr>
        <w:t>.</w:t>
      </w:r>
      <w:r w:rsidRPr="001F3FD4">
        <w:rPr>
          <w:rtl/>
        </w:rPr>
        <w:tab/>
      </w:r>
    </w:p>
    <w:p w14:paraId="580C8878" w14:textId="77777777" w:rsidR="00417266" w:rsidRPr="00C43F1B" w:rsidRDefault="00417266" w:rsidP="00B3580D">
      <w:pPr>
        <w:pStyle w:val="a0"/>
        <w:rPr>
          <w:rtl/>
        </w:rPr>
      </w:pPr>
      <w:r w:rsidRPr="00C43F1B">
        <w:rPr>
          <w:rFonts w:hint="cs"/>
          <w:rtl/>
        </w:rPr>
        <w:t xml:space="preserve">הקשיים נובעים לעיתים </w:t>
      </w:r>
      <w:r>
        <w:rPr>
          <w:rFonts w:hint="cs"/>
          <w:rtl/>
        </w:rPr>
        <w:t>מחשש של נפגעות שיסבלו מחשיפה פומבית והתנכלות מהסביבה בכלל ומסביבת העבודה בפרט עקב הגשת תלונה</w:t>
      </w:r>
      <w:r w:rsidRPr="00C43F1B">
        <w:rPr>
          <w:rStyle w:val="FootnoteReference"/>
          <w:rtl/>
        </w:rPr>
        <w:footnoteReference w:id="28"/>
      </w:r>
      <w:r>
        <w:rPr>
          <w:rFonts w:hint="cs"/>
          <w:rtl/>
        </w:rPr>
        <w:t>.</w:t>
      </w:r>
    </w:p>
    <w:p w14:paraId="622528E4" w14:textId="77777777" w:rsidR="00417266" w:rsidRPr="00C43F1B" w:rsidRDefault="00417266" w:rsidP="00B3580D">
      <w:pPr>
        <w:pStyle w:val="a0"/>
        <w:rPr>
          <w:rtl/>
        </w:rPr>
      </w:pPr>
      <w:r w:rsidRPr="00C43F1B">
        <w:rPr>
          <w:rFonts w:hint="cs"/>
          <w:rtl/>
        </w:rPr>
        <w:t xml:space="preserve">פעמים רבות עובר זמן רב ממועד הפגיעה ועד שהנפגעת מבינה כי בוצעה </w:t>
      </w:r>
      <w:r>
        <w:rPr>
          <w:rFonts w:hint="cs"/>
          <w:rtl/>
        </w:rPr>
        <w:t>כלפיה</w:t>
      </w:r>
      <w:r w:rsidRPr="00C43F1B">
        <w:rPr>
          <w:rFonts w:hint="cs"/>
          <w:rtl/>
        </w:rPr>
        <w:t xml:space="preserve"> עבירה והיא מרגישה שהיא יכולה לפעול כנגד </w:t>
      </w:r>
      <w:r>
        <w:rPr>
          <w:rFonts w:hint="cs"/>
          <w:rtl/>
        </w:rPr>
        <w:t>מבצע</w:t>
      </w:r>
      <w:r w:rsidRPr="00C43F1B">
        <w:rPr>
          <w:rFonts w:hint="cs"/>
          <w:rtl/>
        </w:rPr>
        <w:t xml:space="preserve"> העבירה. </w:t>
      </w:r>
      <w:r>
        <w:rPr>
          <w:rFonts w:hint="cs"/>
          <w:rtl/>
        </w:rPr>
        <w:t xml:space="preserve">לכן </w:t>
      </w:r>
      <w:r w:rsidRPr="00C43F1B">
        <w:rPr>
          <w:rFonts w:hint="cs"/>
          <w:rtl/>
        </w:rPr>
        <w:t xml:space="preserve">גם </w:t>
      </w:r>
      <w:r>
        <w:rPr>
          <w:rFonts w:hint="cs"/>
          <w:rtl/>
        </w:rPr>
        <w:t>אם ה</w:t>
      </w:r>
      <w:r w:rsidRPr="00C43F1B">
        <w:rPr>
          <w:rFonts w:hint="cs"/>
          <w:rtl/>
        </w:rPr>
        <w:t xml:space="preserve">חליטה להגיש תלונה </w:t>
      </w:r>
      <w:r>
        <w:rPr>
          <w:rFonts w:hint="cs"/>
          <w:rtl/>
        </w:rPr>
        <w:t>ל</w:t>
      </w:r>
      <w:r w:rsidRPr="00C43F1B">
        <w:rPr>
          <w:rFonts w:hint="cs"/>
          <w:rtl/>
        </w:rPr>
        <w:t>משטרה, היא עושה זאת רק לאחר שעבר זמן ולעיתים זמן רב מעת ביצוע העבירה</w:t>
      </w:r>
      <w:r w:rsidRPr="00C43F1B">
        <w:rPr>
          <w:rStyle w:val="FootnoteReference"/>
          <w:rtl/>
        </w:rPr>
        <w:footnoteReference w:id="29"/>
      </w:r>
      <w:r w:rsidRPr="00C43F1B">
        <w:rPr>
          <w:rFonts w:hint="cs"/>
          <w:rtl/>
        </w:rPr>
        <w:t>.</w:t>
      </w:r>
    </w:p>
    <w:p w14:paraId="508F13DB" w14:textId="77777777" w:rsidR="00417266" w:rsidRPr="00C43F1B" w:rsidRDefault="00417266" w:rsidP="009D1B21">
      <w:pPr>
        <w:pStyle w:val="a0"/>
      </w:pPr>
      <w:r w:rsidRPr="00C43F1B">
        <w:rPr>
          <w:rFonts w:hint="cs"/>
          <w:rtl/>
        </w:rPr>
        <w:t xml:space="preserve">כדי להרשיע </w:t>
      </w:r>
      <w:r>
        <w:rPr>
          <w:rFonts w:hint="cs"/>
          <w:rtl/>
        </w:rPr>
        <w:t>נאשם</w:t>
      </w:r>
      <w:r w:rsidRPr="00C43F1B">
        <w:rPr>
          <w:rFonts w:hint="cs"/>
          <w:rtl/>
        </w:rPr>
        <w:t xml:space="preserve"> בהטרדה מינית או התנכלות בהליך פלילי יש להציג ראיות המוכיחות את </w:t>
      </w:r>
      <w:r w:rsidRPr="009D1B21">
        <w:rPr>
          <w:rFonts w:hint="cs"/>
          <w:rtl/>
        </w:rPr>
        <w:t>ההטרדה</w:t>
      </w:r>
      <w:r w:rsidRPr="00C43F1B">
        <w:rPr>
          <w:rFonts w:hint="cs"/>
          <w:rtl/>
        </w:rPr>
        <w:t xml:space="preserve"> מעל לכל ספק סביר. אך במקרים רבים מדובר בגרסה מול גרסה ללא ראיות חיצוניות תומכות.</w:t>
      </w:r>
      <w:r>
        <w:rPr>
          <w:rFonts w:hint="cs"/>
          <w:rtl/>
        </w:rPr>
        <w:t xml:space="preserve"> לעיתים </w:t>
      </w:r>
      <w:r w:rsidRPr="00C43F1B">
        <w:rPr>
          <w:rFonts w:hint="cs"/>
          <w:rtl/>
        </w:rPr>
        <w:t>מתלוננות מבטלות את תלונתן מחשש מחקירה נגדית מטעם ההגנה</w:t>
      </w:r>
      <w:r>
        <w:rPr>
          <w:rFonts w:hint="cs"/>
          <w:rtl/>
        </w:rPr>
        <w:t>.</w:t>
      </w:r>
    </w:p>
    <w:p w14:paraId="4FA8EDC7" w14:textId="77777777" w:rsidR="00417266" w:rsidRDefault="00417266" w:rsidP="00A73F8D">
      <w:pPr>
        <w:pStyle w:val="a0"/>
      </w:pPr>
      <w:r w:rsidRPr="00A73F8D">
        <w:rPr>
          <w:rFonts w:hint="cs"/>
          <w:rtl/>
        </w:rPr>
        <w:t>בהליך</w:t>
      </w:r>
      <w:r w:rsidRPr="00C43F1B">
        <w:rPr>
          <w:rFonts w:hint="cs"/>
          <w:rtl/>
        </w:rPr>
        <w:t xml:space="preserve"> הפלילי המדינה היא שמנהלת את ההליך כנגד הנאשם, והמתלוננת משתתפת כעדה בלבד; היא אינה מובילה את ההליך, וקולה בהליך נשמע באופן מוגבל בהתאם לחוק זכויות נפגעי עבירה, התשס"א-2001. </w:t>
      </w:r>
    </w:p>
    <w:p w14:paraId="67A0D966" w14:textId="77777777" w:rsidR="00417266" w:rsidRDefault="00417266" w:rsidP="00A73F8D">
      <w:pPr>
        <w:pStyle w:val="ac"/>
        <w:rPr>
          <w:rtl/>
        </w:rPr>
      </w:pPr>
      <w:r w:rsidRPr="00C43F1B">
        <w:rPr>
          <w:rFonts w:hint="cs"/>
          <w:rtl/>
        </w:rPr>
        <w:t>מיעוט התלונות</w:t>
      </w:r>
      <w:r>
        <w:rPr>
          <w:rFonts w:hint="cs"/>
          <w:rtl/>
        </w:rPr>
        <w:t xml:space="preserve"> המוגשות</w:t>
      </w:r>
      <w:r w:rsidRPr="00C43F1B">
        <w:rPr>
          <w:rFonts w:hint="cs"/>
          <w:rtl/>
        </w:rPr>
        <w:t xml:space="preserve"> </w:t>
      </w:r>
      <w:r>
        <w:rPr>
          <w:rFonts w:hint="cs"/>
          <w:rtl/>
        </w:rPr>
        <w:t xml:space="preserve">למשטרה </w:t>
      </w:r>
      <w:r w:rsidRPr="00C43F1B">
        <w:rPr>
          <w:rFonts w:hint="cs"/>
          <w:rtl/>
        </w:rPr>
        <w:t>מחייב</w:t>
      </w:r>
      <w:r>
        <w:rPr>
          <w:rFonts w:hint="cs"/>
          <w:rtl/>
        </w:rPr>
        <w:t xml:space="preserve"> גם פעולה של משרד המשפטים לחיזוק </w:t>
      </w:r>
      <w:r w:rsidRPr="00C43F1B">
        <w:rPr>
          <w:rFonts w:hint="cs"/>
          <w:rtl/>
        </w:rPr>
        <w:t>נתיבי פעולה חלופיים להליך זה, כמפורט להלן</w:t>
      </w:r>
      <w:r>
        <w:rPr>
          <w:rFonts w:hint="cs"/>
          <w:rtl/>
        </w:rPr>
        <w:t>.</w:t>
      </w:r>
      <w:r w:rsidRPr="00C43F1B">
        <w:rPr>
          <w:rFonts w:hint="cs"/>
          <w:rtl/>
        </w:rPr>
        <w:t xml:space="preserve"> </w:t>
      </w:r>
    </w:p>
    <w:p w14:paraId="264919FC" w14:textId="77777777" w:rsidR="00417266" w:rsidRPr="00C43F1B" w:rsidDel="00325296" w:rsidRDefault="00417266" w:rsidP="00A73F8D">
      <w:pPr>
        <w:pStyle w:val="316"/>
        <w:rPr>
          <w:rtl/>
        </w:rPr>
      </w:pPr>
      <w:bookmarkStart w:id="11" w:name="_Toc9150781"/>
      <w:r w:rsidRPr="00C43F1B" w:rsidDel="00325296">
        <w:rPr>
          <w:rFonts w:hint="cs"/>
          <w:rtl/>
        </w:rPr>
        <w:t>הליכים חלופיים למסלול הפלילי</w:t>
      </w:r>
      <w:bookmarkEnd w:id="11"/>
    </w:p>
    <w:p w14:paraId="2C4D6128" w14:textId="77777777" w:rsidR="00417266" w:rsidRPr="00A73F8D" w:rsidRDefault="00417266" w:rsidP="00A73F8D">
      <w:pPr>
        <w:pStyle w:val="100"/>
      </w:pPr>
      <w:r w:rsidRPr="00A73F8D">
        <w:rPr>
          <w:rFonts w:hint="cs"/>
          <w:rtl/>
        </w:rPr>
        <w:t>הצורך ביצירת הליכים חלופיים להליך הפלילי בבית המשפט</w:t>
      </w:r>
      <w:r w:rsidRPr="00A73F8D">
        <w:rPr>
          <w:rFonts w:hint="eastAsia"/>
          <w:rtl/>
        </w:rPr>
        <w:t xml:space="preserve"> </w:t>
      </w:r>
      <w:r w:rsidRPr="00A73F8D">
        <w:rPr>
          <w:rFonts w:hint="cs"/>
          <w:rtl/>
        </w:rPr>
        <w:t xml:space="preserve">עולה, בין היתר, לנוכח מיעוט ההליכים במשטרה ובפרקליטות, ולנוכח </w:t>
      </w:r>
      <w:r w:rsidRPr="00A73F8D">
        <w:rPr>
          <w:rFonts w:hint="eastAsia"/>
          <w:rtl/>
        </w:rPr>
        <w:t>חוויותיהן</w:t>
      </w:r>
      <w:r w:rsidRPr="00A73F8D">
        <w:rPr>
          <w:rtl/>
        </w:rPr>
        <w:t xml:space="preserve"> </w:t>
      </w:r>
      <w:r w:rsidRPr="00A73F8D">
        <w:rPr>
          <w:rFonts w:hint="eastAsia"/>
          <w:rtl/>
        </w:rPr>
        <w:t>של</w:t>
      </w:r>
      <w:r w:rsidRPr="00A73F8D">
        <w:rPr>
          <w:rtl/>
        </w:rPr>
        <w:t xml:space="preserve"> </w:t>
      </w:r>
      <w:r w:rsidRPr="00A73F8D">
        <w:rPr>
          <w:rFonts w:hint="eastAsia"/>
          <w:rtl/>
        </w:rPr>
        <w:t>נפגעות</w:t>
      </w:r>
      <w:r w:rsidRPr="00A73F8D">
        <w:rPr>
          <w:rtl/>
        </w:rPr>
        <w:t xml:space="preserve"> </w:t>
      </w:r>
      <w:r w:rsidRPr="00A73F8D">
        <w:rPr>
          <w:rFonts w:hint="eastAsia"/>
          <w:rtl/>
        </w:rPr>
        <w:t>תקיפה</w:t>
      </w:r>
      <w:r w:rsidRPr="00A73F8D">
        <w:rPr>
          <w:rtl/>
        </w:rPr>
        <w:t xml:space="preserve"> </w:t>
      </w:r>
      <w:r w:rsidRPr="00A73F8D">
        <w:rPr>
          <w:rFonts w:hint="eastAsia"/>
          <w:rtl/>
        </w:rPr>
        <w:t>מינית</w:t>
      </w:r>
      <w:r w:rsidRPr="00A73F8D">
        <w:rPr>
          <w:rFonts w:hint="cs"/>
          <w:rtl/>
        </w:rPr>
        <w:t>,</w:t>
      </w:r>
      <w:r w:rsidRPr="00A73F8D">
        <w:rPr>
          <w:rtl/>
        </w:rPr>
        <w:t xml:space="preserve"> </w:t>
      </w:r>
      <w:r w:rsidRPr="00A73F8D">
        <w:rPr>
          <w:rFonts w:hint="cs"/>
          <w:rtl/>
        </w:rPr>
        <w:t>ה</w:t>
      </w:r>
      <w:r w:rsidRPr="00A73F8D">
        <w:rPr>
          <w:rFonts w:hint="eastAsia"/>
          <w:rtl/>
        </w:rPr>
        <w:t>מתארות</w:t>
      </w:r>
      <w:r w:rsidRPr="00A73F8D">
        <w:rPr>
          <w:rtl/>
        </w:rPr>
        <w:t xml:space="preserve"> </w:t>
      </w:r>
      <w:r w:rsidRPr="00A73F8D">
        <w:rPr>
          <w:rFonts w:hint="eastAsia"/>
          <w:rtl/>
        </w:rPr>
        <w:t>במקרים</w:t>
      </w:r>
      <w:r w:rsidRPr="00A73F8D">
        <w:rPr>
          <w:rtl/>
        </w:rPr>
        <w:t xml:space="preserve"> </w:t>
      </w:r>
      <w:r w:rsidRPr="00A73F8D">
        <w:rPr>
          <w:rFonts w:hint="eastAsia"/>
          <w:rtl/>
        </w:rPr>
        <w:t>רבים</w:t>
      </w:r>
      <w:r w:rsidRPr="00A73F8D">
        <w:rPr>
          <w:rtl/>
        </w:rPr>
        <w:t xml:space="preserve"> </w:t>
      </w:r>
      <w:r w:rsidRPr="00A73F8D">
        <w:rPr>
          <w:rFonts w:hint="cs"/>
          <w:rtl/>
        </w:rPr>
        <w:t xml:space="preserve">את ההליך הפלילי </w:t>
      </w:r>
      <w:r w:rsidRPr="00A73F8D">
        <w:rPr>
          <w:rFonts w:hint="eastAsia"/>
          <w:rtl/>
        </w:rPr>
        <w:t>כחוויה</w:t>
      </w:r>
      <w:r w:rsidRPr="00A73F8D">
        <w:rPr>
          <w:rtl/>
        </w:rPr>
        <w:t xml:space="preserve"> </w:t>
      </w:r>
      <w:r w:rsidRPr="00A73F8D">
        <w:rPr>
          <w:rFonts w:hint="eastAsia"/>
          <w:rtl/>
        </w:rPr>
        <w:t>של</w:t>
      </w:r>
      <w:r w:rsidRPr="00A73F8D">
        <w:rPr>
          <w:rtl/>
        </w:rPr>
        <w:t xml:space="preserve"> </w:t>
      </w:r>
      <w:r w:rsidRPr="00A73F8D">
        <w:rPr>
          <w:rFonts w:hint="eastAsia"/>
          <w:rtl/>
        </w:rPr>
        <w:t>היעדר</w:t>
      </w:r>
      <w:r w:rsidRPr="00A73F8D">
        <w:rPr>
          <w:rtl/>
        </w:rPr>
        <w:t xml:space="preserve"> </w:t>
      </w:r>
      <w:r w:rsidRPr="00A73F8D">
        <w:rPr>
          <w:rFonts w:hint="eastAsia"/>
          <w:rtl/>
        </w:rPr>
        <w:t>שליטה</w:t>
      </w:r>
      <w:r w:rsidRPr="00A73F8D">
        <w:rPr>
          <w:rtl/>
        </w:rPr>
        <w:t xml:space="preserve">, </w:t>
      </w:r>
      <w:r w:rsidRPr="00A73F8D">
        <w:rPr>
          <w:rFonts w:hint="eastAsia"/>
          <w:rtl/>
        </w:rPr>
        <w:t>ניתוק</w:t>
      </w:r>
      <w:r w:rsidRPr="00A73F8D">
        <w:rPr>
          <w:rtl/>
        </w:rPr>
        <w:t xml:space="preserve"> </w:t>
      </w:r>
      <w:r w:rsidRPr="00A73F8D">
        <w:rPr>
          <w:rFonts w:hint="eastAsia"/>
          <w:rtl/>
        </w:rPr>
        <w:t>וזלזול</w:t>
      </w:r>
      <w:r w:rsidRPr="00A73F8D">
        <w:rPr>
          <w:rFonts w:hint="cs"/>
          <w:rtl/>
        </w:rPr>
        <w:t xml:space="preserve">. לפיכך התפתחו בשנים האחרונות הליכים חלופיים להליך הפלילי. </w:t>
      </w:r>
    </w:p>
    <w:p w14:paraId="04AF7735" w14:textId="77777777" w:rsidR="00417266" w:rsidRPr="00C43F1B" w:rsidRDefault="00417266" w:rsidP="00565BD3">
      <w:pPr>
        <w:pStyle w:val="100"/>
        <w:rPr>
          <w:rtl/>
        </w:rPr>
      </w:pPr>
      <w:bookmarkStart w:id="12" w:name="_Toc9150782"/>
      <w:r w:rsidRPr="00557A6C">
        <w:rPr>
          <w:rFonts w:hint="eastAsia"/>
          <w:color w:val="387026"/>
          <w:sz w:val="23"/>
          <w:szCs w:val="23"/>
          <w:rtl/>
        </w:rPr>
        <w:t>הסדר</w:t>
      </w:r>
      <w:r w:rsidRPr="00557A6C">
        <w:rPr>
          <w:rFonts w:hint="cs"/>
          <w:color w:val="387026"/>
          <w:sz w:val="23"/>
          <w:szCs w:val="23"/>
          <w:rtl/>
        </w:rPr>
        <w:t xml:space="preserve"> </w:t>
      </w:r>
      <w:r w:rsidRPr="00557A6C">
        <w:rPr>
          <w:rFonts w:hint="eastAsia"/>
          <w:color w:val="387026"/>
          <w:sz w:val="23"/>
          <w:szCs w:val="23"/>
          <w:rtl/>
        </w:rPr>
        <w:t>מותנה</w:t>
      </w:r>
      <w:r w:rsidRPr="00557A6C">
        <w:rPr>
          <w:rFonts w:hint="cs"/>
          <w:color w:val="387026"/>
          <w:sz w:val="23"/>
          <w:szCs w:val="23"/>
          <w:rtl/>
        </w:rPr>
        <w:t>:</w:t>
      </w:r>
      <w:r w:rsidRPr="00557A6C">
        <w:rPr>
          <w:rFonts w:hint="cs"/>
          <w:color w:val="000000"/>
          <w:rtl/>
          <w14:textFill>
            <w14:solidFill>
              <w14:srgbClr w14:val="000000">
                <w14:lumMod w14:val="75000"/>
              </w14:srgbClr>
            </w14:solidFill>
          </w14:textFill>
        </w:rPr>
        <w:t xml:space="preserve"> </w:t>
      </w:r>
      <w:bookmarkEnd w:id="12"/>
      <w:r w:rsidRPr="00565BD3">
        <w:rPr>
          <w:rFonts w:hint="cs"/>
          <w:rtl/>
        </w:rPr>
        <w:t xml:space="preserve">חוק סדר הדין הפלילי [נוסח משולב], התשמ"ב-1982, מאפשר לרשויות התביעה החל ממאי 2013 להימנע בנסיבות מסוימות מהגשת כתב אישום נגד חשוד בהטרדה מינית ולסגור את התיק בעניינו אם יודה בעובדות המהוות את העבירה המפורטות בהסדר ויקיים את התנאים שנקבעו בהסדר. הפרת תנאי ההסדר תביא להעמדתו לדין של החשוד. היתרון של </w:t>
      </w:r>
      <w:r w:rsidRPr="00565BD3">
        <w:rPr>
          <w:rFonts w:hint="cs"/>
          <w:rtl/>
        </w:rPr>
        <w:lastRenderedPageBreak/>
        <w:t>הסדר מותנה עבור המתלוננת הוא קבלת פיצוי כספי מסוים, הימנעות מהליך משפטי פלילי וסיום הפרשה בתוך פרק זמן קצר יחסית</w:t>
      </w:r>
      <w:r w:rsidRPr="00C43F1B">
        <w:rPr>
          <w:rStyle w:val="FootnoteReference"/>
          <w:rtl/>
        </w:rPr>
        <w:footnoteReference w:id="30"/>
      </w:r>
      <w:r w:rsidRPr="00C43F1B">
        <w:rPr>
          <w:rFonts w:hint="cs"/>
          <w:rtl/>
        </w:rPr>
        <w:t xml:space="preserve">. </w:t>
      </w:r>
    </w:p>
    <w:p w14:paraId="019A71E3" w14:textId="77777777" w:rsidR="00417266" w:rsidRPr="00C43F1B" w:rsidRDefault="00417266" w:rsidP="00F25A72">
      <w:pPr>
        <w:pStyle w:val="100"/>
        <w:rPr>
          <w:rtl/>
        </w:rPr>
      </w:pPr>
      <w:r>
        <w:rPr>
          <w:rFonts w:hint="cs"/>
          <w:rtl/>
        </w:rPr>
        <w:t>כאמור,</w:t>
      </w:r>
      <w:r w:rsidRPr="00C43F1B">
        <w:rPr>
          <w:rFonts w:hint="cs"/>
          <w:rtl/>
        </w:rPr>
        <w:t xml:space="preserve"> מתחילת שנת 2016 עד סוף יולי 2018 נפתחו 1,690 תיקים </w:t>
      </w:r>
      <w:r w:rsidRPr="00C43F1B">
        <w:rPr>
          <w:rFonts w:hint="eastAsia"/>
          <w:rtl/>
        </w:rPr>
        <w:t>שכללו</w:t>
      </w:r>
      <w:r w:rsidRPr="00C43F1B">
        <w:t xml:space="preserve"> </w:t>
      </w:r>
      <w:r w:rsidRPr="00C43F1B">
        <w:rPr>
          <w:rFonts w:hint="eastAsia"/>
          <w:rtl/>
        </w:rPr>
        <w:t>עבירות</w:t>
      </w:r>
      <w:r w:rsidRPr="00C43F1B">
        <w:t xml:space="preserve"> </w:t>
      </w:r>
      <w:r w:rsidRPr="00C43F1B">
        <w:rPr>
          <w:rFonts w:hint="eastAsia"/>
          <w:rtl/>
        </w:rPr>
        <w:t>לפי</w:t>
      </w:r>
      <w:r w:rsidRPr="00C43F1B">
        <w:t xml:space="preserve"> </w:t>
      </w:r>
      <w:r w:rsidRPr="00C43F1B">
        <w:rPr>
          <w:rFonts w:hint="eastAsia"/>
          <w:rtl/>
        </w:rPr>
        <w:t>החוק</w:t>
      </w:r>
      <w:r w:rsidRPr="00C43F1B">
        <w:t xml:space="preserve"> </w:t>
      </w:r>
      <w:r w:rsidRPr="00C43F1B">
        <w:rPr>
          <w:rFonts w:hint="eastAsia"/>
          <w:rtl/>
        </w:rPr>
        <w:t>למניעת</w:t>
      </w:r>
      <w:r w:rsidRPr="00C43F1B">
        <w:rPr>
          <w:rFonts w:hint="cs"/>
          <w:rtl/>
        </w:rPr>
        <w:t xml:space="preserve"> </w:t>
      </w:r>
      <w:r w:rsidRPr="00C43F1B">
        <w:rPr>
          <w:rFonts w:hint="eastAsia"/>
          <w:rtl/>
        </w:rPr>
        <w:t>הטרדה</w:t>
      </w:r>
      <w:r w:rsidRPr="00C43F1B">
        <w:t xml:space="preserve"> </w:t>
      </w:r>
      <w:r w:rsidRPr="00C43F1B">
        <w:rPr>
          <w:rFonts w:hint="eastAsia"/>
          <w:rtl/>
        </w:rPr>
        <w:t>מינית</w:t>
      </w:r>
      <w:r w:rsidRPr="00C43F1B">
        <w:rPr>
          <w:rFonts w:hint="cs"/>
          <w:rtl/>
        </w:rPr>
        <w:t>. בתקופה זו הוגשו 306 כתבי אישום</w:t>
      </w:r>
      <w:r w:rsidRPr="00C43F1B">
        <w:rPr>
          <w:vertAlign w:val="superscript"/>
          <w:rtl/>
        </w:rPr>
        <w:footnoteReference w:id="31"/>
      </w:r>
      <w:r w:rsidRPr="00C43F1B">
        <w:rPr>
          <w:rFonts w:hint="cs"/>
          <w:rtl/>
        </w:rPr>
        <w:t xml:space="preserve">, ונחתמו 58 הסדרים מותנים בגין עבירות לפי חוק זה </w:t>
      </w:r>
      <w:r>
        <w:rPr>
          <w:rFonts w:hint="cs"/>
          <w:rtl/>
        </w:rPr>
        <w:t>לרבות</w:t>
      </w:r>
      <w:r w:rsidRPr="00C43F1B">
        <w:rPr>
          <w:rFonts w:hint="cs"/>
          <w:rtl/>
        </w:rPr>
        <w:t xml:space="preserve"> מעשים מגונים לפי חוק העונשין, התשל"ז-1977.</w:t>
      </w:r>
    </w:p>
    <w:p w14:paraId="02E04DC2" w14:textId="64FA225C" w:rsidR="00417266" w:rsidRDefault="00417266" w:rsidP="00F25A72">
      <w:pPr>
        <w:pStyle w:val="100"/>
        <w:rPr>
          <w:rtl/>
        </w:rPr>
      </w:pPr>
      <w:r w:rsidRPr="00C43F1B">
        <w:rPr>
          <w:rFonts w:hint="cs"/>
          <w:rtl/>
        </w:rPr>
        <w:t xml:space="preserve">כל ההסדרים כללו פיצוי כספי ומכתב התנצלות למתלוננות. הפיצוי הממוצע </w:t>
      </w:r>
      <w:r>
        <w:rPr>
          <w:rFonts w:hint="cs"/>
          <w:rtl/>
        </w:rPr>
        <w:t>על</w:t>
      </w:r>
      <w:r w:rsidRPr="00C43F1B">
        <w:rPr>
          <w:rFonts w:hint="cs"/>
          <w:rtl/>
        </w:rPr>
        <w:t xml:space="preserve"> עבירות של הטרדה מינית מילולית היה כ-3,400 ש"ח, </w:t>
      </w:r>
      <w:r>
        <w:rPr>
          <w:rFonts w:hint="cs"/>
          <w:rtl/>
        </w:rPr>
        <w:t>ועל</w:t>
      </w:r>
      <w:r w:rsidRPr="00C43F1B">
        <w:rPr>
          <w:rFonts w:hint="cs"/>
          <w:rtl/>
        </w:rPr>
        <w:t xml:space="preserve"> עבירות של מעשים מגונים והטרדה מינית מילולית</w:t>
      </w:r>
      <w:r>
        <w:rPr>
          <w:rFonts w:hint="cs"/>
          <w:rtl/>
        </w:rPr>
        <w:t xml:space="preserve"> </w:t>
      </w:r>
      <w:r w:rsidRPr="00C43F1B">
        <w:rPr>
          <w:rFonts w:hint="cs"/>
          <w:rtl/>
        </w:rPr>
        <w:t>כ-15,000 ש"ח.</w:t>
      </w:r>
    </w:p>
    <w:p w14:paraId="7D309A1D" w14:textId="77777777" w:rsidR="00417266" w:rsidRPr="0025706E" w:rsidRDefault="00417266" w:rsidP="00F25A72">
      <w:pPr>
        <w:pStyle w:val="100"/>
        <w:rPr>
          <w:rtl/>
        </w:rPr>
      </w:pPr>
      <w:r>
        <w:rPr>
          <w:rFonts w:hint="cs"/>
          <w:rtl/>
        </w:rPr>
        <w:t xml:space="preserve">פרקליטות </w:t>
      </w:r>
      <w:r w:rsidRPr="00306C05">
        <w:rPr>
          <w:rFonts w:hint="cs"/>
          <w:rtl/>
        </w:rPr>
        <w:t xml:space="preserve">המדינה </w:t>
      </w:r>
      <w:r>
        <w:rPr>
          <w:rFonts w:hint="cs"/>
          <w:rtl/>
        </w:rPr>
        <w:t xml:space="preserve">כתבה </w:t>
      </w:r>
      <w:r w:rsidRPr="00306C05">
        <w:rPr>
          <w:rFonts w:hint="cs"/>
          <w:rtl/>
        </w:rPr>
        <w:t xml:space="preserve">בתשובתה מאוגוסט 2019 כי להערכתה בתקופה </w:t>
      </w:r>
      <w:r>
        <w:rPr>
          <w:rFonts w:hint="cs"/>
          <w:rtl/>
        </w:rPr>
        <w:t>שנבדקה</w:t>
      </w:r>
      <w:r w:rsidRPr="00306C05">
        <w:rPr>
          <w:rFonts w:hint="cs"/>
          <w:rtl/>
        </w:rPr>
        <w:t xml:space="preserve"> </w:t>
      </w:r>
      <w:r>
        <w:rPr>
          <w:rFonts w:hint="cs"/>
          <w:rtl/>
        </w:rPr>
        <w:t xml:space="preserve">שיעור דומה של </w:t>
      </w:r>
      <w:r w:rsidRPr="00306C05">
        <w:rPr>
          <w:rFonts w:hint="cs"/>
          <w:rtl/>
        </w:rPr>
        <w:t xml:space="preserve">הסדרים מותנים </w:t>
      </w:r>
      <w:r>
        <w:rPr>
          <w:rFonts w:hint="cs"/>
          <w:rtl/>
        </w:rPr>
        <w:t xml:space="preserve">נערך </w:t>
      </w:r>
      <w:r w:rsidRPr="00306C05">
        <w:rPr>
          <w:rFonts w:hint="cs"/>
          <w:rtl/>
        </w:rPr>
        <w:t>בנוגע לעבירות אחרות, כי לעברייני מין יש מאפיינים ייחודיים שלא תמיד מאפשרים עריכת הסדר מותנה</w:t>
      </w:r>
      <w:r>
        <w:rPr>
          <w:rFonts w:hint="cs"/>
          <w:rtl/>
        </w:rPr>
        <w:t>,</w:t>
      </w:r>
      <w:r w:rsidRPr="00306C05">
        <w:rPr>
          <w:rFonts w:hint="cs"/>
          <w:rtl/>
        </w:rPr>
        <w:t xml:space="preserve"> וכי רק תיקים גבוליים</w:t>
      </w:r>
      <w:r>
        <w:rPr>
          <w:rFonts w:hint="cs"/>
          <w:rtl/>
        </w:rPr>
        <w:t xml:space="preserve"> בחומרתם מתאימים להסדר מותנה. עם זאת ציינה כי קבעה לשנת 2020 יעד של גידול של 10% במספר התיקים המטופלים בהליכים חלופיים למסלול הפלילי הרגיל, בשל הרצון לפעול באפיק שיקומי. יעד זה עשוי להוביל לשינוי גם בנוגע לעבירות הטרדה מינית.</w:t>
      </w:r>
    </w:p>
    <w:p w14:paraId="166C85E4" w14:textId="77777777" w:rsidR="00417266" w:rsidRPr="00EA7E34" w:rsidRDefault="00417266" w:rsidP="000C164B">
      <w:pPr>
        <w:pStyle w:val="af3"/>
        <w:rPr>
          <w:rtl/>
        </w:rPr>
      </w:pPr>
      <w:r w:rsidRPr="00EA7E34">
        <w:rPr>
          <w:rtl/>
        </w:rPr>
        <w:t>היעד שקבעה פרקליטות המדינה בנושא השימוש בהסדר המותנה בטיפול בעבירות הטרדה מינית הוא ראוי בשל יתרונותיו לנפגעות</w:t>
      </w:r>
      <w:r>
        <w:rPr>
          <w:rFonts w:hint="cs"/>
          <w:rtl/>
        </w:rPr>
        <w:t>,</w:t>
      </w:r>
      <w:r w:rsidRPr="00EA7E34">
        <w:rPr>
          <w:rtl/>
        </w:rPr>
        <w:t xml:space="preserve"> לנוכח העובדה שתיקי הטרדה מינית הם גבוליים בחומרתם, ולנוכח הקשיים הכרוכים בניהול הליך משפטי בבית המשפט והשפעתם על נכונותן של מתלוננות למצות את ההליך.</w:t>
      </w:r>
    </w:p>
    <w:p w14:paraId="68BA03FE" w14:textId="77777777" w:rsidR="00417266" w:rsidRPr="000C164B" w:rsidRDefault="00417266" w:rsidP="000C164B">
      <w:pPr>
        <w:pStyle w:val="100"/>
        <w:rPr>
          <w:rtl/>
        </w:rPr>
      </w:pPr>
      <w:bookmarkStart w:id="13" w:name="_Toc9150783"/>
      <w:r w:rsidRPr="00557A6C">
        <w:rPr>
          <w:rFonts w:hint="eastAsia"/>
          <w:b/>
          <w:color w:val="387026"/>
          <w:sz w:val="23"/>
          <w:szCs w:val="23"/>
          <w:rtl/>
        </w:rPr>
        <w:t>צדק</w:t>
      </w:r>
      <w:r w:rsidRPr="00557A6C">
        <w:rPr>
          <w:b/>
          <w:color w:val="387026"/>
          <w:sz w:val="23"/>
          <w:szCs w:val="23"/>
          <w:rtl/>
        </w:rPr>
        <w:t xml:space="preserve"> </w:t>
      </w:r>
      <w:r w:rsidRPr="00557A6C">
        <w:rPr>
          <w:rFonts w:hint="eastAsia"/>
          <w:b/>
          <w:color w:val="387026"/>
          <w:sz w:val="23"/>
          <w:szCs w:val="23"/>
          <w:rtl/>
        </w:rPr>
        <w:t>מאחה</w:t>
      </w:r>
      <w:r w:rsidRPr="00557A6C">
        <w:rPr>
          <w:rFonts w:hint="cs"/>
          <w:b/>
          <w:color w:val="387026"/>
          <w:sz w:val="23"/>
          <w:szCs w:val="23"/>
          <w:rtl/>
        </w:rPr>
        <w:t>:</w:t>
      </w:r>
      <w:r w:rsidRPr="00125881">
        <w:rPr>
          <w:rStyle w:val="Heading5Char"/>
          <w:rFonts w:eastAsiaTheme="minorHAnsi" w:hint="cs"/>
          <w:bCs w:val="0"/>
          <w:color w:val="387026"/>
          <w:spacing w:val="0"/>
          <w:rtl/>
        </w:rPr>
        <w:t xml:space="preserve"> </w:t>
      </w:r>
      <w:bookmarkEnd w:id="13"/>
      <w:r w:rsidRPr="000C164B">
        <w:rPr>
          <w:rFonts w:hint="cs"/>
          <w:rtl/>
        </w:rPr>
        <w:t xml:space="preserve">"צדק מאחה" הוא גישה בתחום הדין הפלילי המתמקדת בצורכי הנפגעות והפוגעים. הליך של צדק מאחה הוא לרוב הליך וולונטרי המבוסס על הפגשת הצדדים, ומטרתו איננה הטלת אשמה אלא קבלת אחריות למעשה, מתן ביטוי לנזק שנגרם והסכמה הדדית על תוכנית פיצוי ושיקום, והוא עשוי להפחית חזרה על המעשים. ההליך יכול להתקיים בכל שלב של ההליך המשפטי ויכול להחליפו או להשלים אותו. יחידת נפגעי עבירה בפרקליטות המדינה היא המנחה פרקליטים ומייעצת להם לגבי הליך צדק מאחה. הליך זה איננו מוסדר בחוק, למעט בסעיף 12א לחוק הנוער (שפיטה ענישה ודרכי טיפול), התשל"א-1971, שמציין הליך זה בין ההליכים החלופיים להליך הפלילי הננקט כלפי בני נוער. </w:t>
      </w:r>
    </w:p>
    <w:p w14:paraId="43380BAD" w14:textId="77777777" w:rsidR="00417266" w:rsidRDefault="00417266" w:rsidP="00417266">
      <w:pPr>
        <w:spacing w:line="269" w:lineRule="auto"/>
        <w:rPr>
          <w:rtl/>
        </w:rPr>
      </w:pPr>
    </w:p>
    <w:p w14:paraId="5824D4F9" w14:textId="77777777" w:rsidR="00417266" w:rsidRDefault="00417266" w:rsidP="00417266">
      <w:pPr>
        <w:spacing w:line="269" w:lineRule="auto"/>
        <w:rPr>
          <w:rtl/>
        </w:rPr>
      </w:pPr>
    </w:p>
    <w:p w14:paraId="180B283B" w14:textId="77777777" w:rsidR="00417266" w:rsidRDefault="00417266" w:rsidP="00417266">
      <w:pPr>
        <w:spacing w:line="269" w:lineRule="auto"/>
        <w:rPr>
          <w:rtl/>
        </w:rPr>
      </w:pPr>
    </w:p>
    <w:p w14:paraId="7F1315C1" w14:textId="77777777" w:rsidR="00417266" w:rsidRDefault="00417266" w:rsidP="00417266">
      <w:pPr>
        <w:spacing w:line="269" w:lineRule="auto"/>
        <w:rPr>
          <w:rtl/>
        </w:rPr>
      </w:pPr>
    </w:p>
    <w:p w14:paraId="1A368168" w14:textId="77777777" w:rsidR="00417266" w:rsidRDefault="00417266" w:rsidP="00417266">
      <w:pPr>
        <w:spacing w:line="269" w:lineRule="auto"/>
        <w:rPr>
          <w:rtl/>
        </w:rPr>
      </w:pPr>
    </w:p>
    <w:p w14:paraId="37B189DB" w14:textId="77777777" w:rsidR="00417266" w:rsidRPr="00B568FC" w:rsidRDefault="00417266" w:rsidP="000C164B">
      <w:pPr>
        <w:pStyle w:val="af3"/>
        <w:rPr>
          <w:b/>
          <w:bCs/>
          <w:rtl/>
        </w:rPr>
      </w:pPr>
      <w:r w:rsidRPr="000C164B">
        <w:rPr>
          <w:rFonts w:hint="eastAsia"/>
          <w:rtl/>
        </w:rPr>
        <w:lastRenderedPageBreak/>
        <w:t>כיום</w:t>
      </w:r>
      <w:r w:rsidRPr="000C164B">
        <w:rPr>
          <w:rtl/>
        </w:rPr>
        <w:t xml:space="preserve"> </w:t>
      </w:r>
      <w:r w:rsidRPr="000C164B">
        <w:rPr>
          <w:rFonts w:hint="cs"/>
          <w:rtl/>
        </w:rPr>
        <w:t>הפרקליטות או בתי המשפט מציעים לצדדים לפנות</w:t>
      </w:r>
      <w:r w:rsidRPr="000C164B">
        <w:rPr>
          <w:rtl/>
        </w:rPr>
        <w:t xml:space="preserve"> ל</w:t>
      </w:r>
      <w:r w:rsidRPr="000C164B">
        <w:rPr>
          <w:rFonts w:hint="cs"/>
          <w:rtl/>
        </w:rPr>
        <w:t xml:space="preserve">הליך </w:t>
      </w:r>
      <w:r w:rsidRPr="000C164B">
        <w:rPr>
          <w:rtl/>
        </w:rPr>
        <w:t>צדק מאחה</w:t>
      </w:r>
      <w:r w:rsidRPr="000C164B">
        <w:rPr>
          <w:rFonts w:hint="cs"/>
          <w:rtl/>
        </w:rPr>
        <w:t xml:space="preserve"> רק לעיתים נדירות, ולרוב הדבר נעשה ביוזמת </w:t>
      </w:r>
      <w:r w:rsidRPr="000C164B">
        <w:rPr>
          <w:rtl/>
        </w:rPr>
        <w:t xml:space="preserve">סנגורים או במסגרת </w:t>
      </w:r>
      <w:r w:rsidRPr="000C164B">
        <w:rPr>
          <w:rFonts w:hint="eastAsia"/>
          <w:rtl/>
        </w:rPr>
        <w:t>תסקיר</w:t>
      </w:r>
      <w:r w:rsidRPr="00B568FC">
        <w:rPr>
          <w:b/>
          <w:bCs/>
          <w:rtl/>
        </w:rPr>
        <w:t xml:space="preserve"> </w:t>
      </w:r>
      <w:r w:rsidRPr="001132D9">
        <w:rPr>
          <w:rtl/>
        </w:rPr>
        <w:t>שירות מבחן</w:t>
      </w:r>
      <w:r w:rsidRPr="001132D9">
        <w:rPr>
          <w:rStyle w:val="FootnoteReference"/>
          <w:rtl/>
        </w:rPr>
        <w:footnoteReference w:id="32"/>
      </w:r>
      <w:r w:rsidRPr="001132D9">
        <w:rPr>
          <w:rtl/>
        </w:rPr>
        <w:t>.</w:t>
      </w:r>
      <w:r w:rsidRPr="00B568FC">
        <w:rPr>
          <w:b/>
          <w:bCs/>
          <w:rtl/>
        </w:rPr>
        <w:t xml:space="preserve"> </w:t>
      </w:r>
    </w:p>
    <w:p w14:paraId="46738128" w14:textId="77777777" w:rsidR="00417266" w:rsidRDefault="00417266" w:rsidP="000C164B">
      <w:pPr>
        <w:pStyle w:val="100"/>
        <w:rPr>
          <w:rtl/>
        </w:rPr>
      </w:pPr>
      <w:r w:rsidRPr="00B568FC">
        <w:rPr>
          <w:rFonts w:hint="cs"/>
          <w:rtl/>
        </w:rPr>
        <w:t>משרד המשפטים מסר בתשובתו מאוגוסט 2019 כי נוכח העובדה שההליך הפלילי הוא חלופי לשני הנתיבים האחרים - הליך דיני העבודה ו</w:t>
      </w:r>
      <w:r>
        <w:rPr>
          <w:rFonts w:hint="cs"/>
          <w:rtl/>
        </w:rPr>
        <w:t xml:space="preserve">הגשת </w:t>
      </w:r>
      <w:r w:rsidRPr="00B568FC">
        <w:rPr>
          <w:rFonts w:hint="cs"/>
          <w:rtl/>
        </w:rPr>
        <w:t>תביע</w:t>
      </w:r>
      <w:r>
        <w:rPr>
          <w:rFonts w:hint="cs"/>
          <w:rtl/>
        </w:rPr>
        <w:t>ה</w:t>
      </w:r>
      <w:r w:rsidRPr="00B568FC">
        <w:rPr>
          <w:rFonts w:hint="cs"/>
          <w:rtl/>
        </w:rPr>
        <w:t xml:space="preserve"> אזרחית</w:t>
      </w:r>
      <w:r>
        <w:rPr>
          <w:rFonts w:hint="cs"/>
          <w:rtl/>
        </w:rPr>
        <w:t xml:space="preserve"> - </w:t>
      </w:r>
      <w:r w:rsidRPr="00B568FC">
        <w:rPr>
          <w:rFonts w:hint="cs"/>
          <w:rtl/>
        </w:rPr>
        <w:t xml:space="preserve">עולה שאלה לגבי ההצדקה להטמיע הליכים חלופיים במסגרת המשפט הפלילי. עם זאת ציין כי נערכת בחינה מערכתית רחבה </w:t>
      </w:r>
      <w:r>
        <w:rPr>
          <w:rFonts w:hint="cs"/>
          <w:rtl/>
        </w:rPr>
        <w:t xml:space="preserve">בדבר </w:t>
      </w:r>
      <w:r w:rsidRPr="00B568FC">
        <w:rPr>
          <w:rFonts w:hint="cs"/>
          <w:rtl/>
        </w:rPr>
        <w:t xml:space="preserve">הטמעת הליכי צדק מאחה במקומות המתאימים לכך. </w:t>
      </w:r>
    </w:p>
    <w:p w14:paraId="132A4C9A" w14:textId="77777777" w:rsidR="00417266" w:rsidRDefault="00417266" w:rsidP="000C164B">
      <w:pPr>
        <w:pStyle w:val="100"/>
        <w:rPr>
          <w:rtl/>
        </w:rPr>
      </w:pPr>
      <w:r>
        <w:rPr>
          <w:rFonts w:hint="cs"/>
          <w:rtl/>
        </w:rPr>
        <w:t>הפרקליטות מסרה בתשובתה מיולי 2019 כי אין לתמוה שיוזמות לצדק מאחה מגיעות בעיקר מן ההגנה, שכן היא הנמצאת בקשר עם הנאשם, כי צדק מאחה אינו מתאים לכל הליך, וכי הוא מחייב קבלת אחריות על ידי הנאשם והסכמת שני הצדדים (הפוגע והנפגע) לקיום ההליך.</w:t>
      </w:r>
    </w:p>
    <w:p w14:paraId="400C4283" w14:textId="77777777" w:rsidR="00417266" w:rsidRPr="00EF2B6F" w:rsidRDefault="00417266" w:rsidP="000C164B">
      <w:pPr>
        <w:pStyle w:val="100"/>
        <w:rPr>
          <w:rtl/>
        </w:rPr>
      </w:pPr>
      <w:r>
        <w:rPr>
          <w:rFonts w:hint="cs"/>
          <w:rtl/>
        </w:rPr>
        <w:t>יצוין כי גם לצורך הסדר טיעון נדרשת הסכמת הנאשם, וכי מאחר שהפרקליטות היא הנמצאת בקשר עם נפגע העבירה, גם היא יכולה לקדם הליך של צדק מאחה.</w:t>
      </w:r>
    </w:p>
    <w:p w14:paraId="5B5ADC15" w14:textId="77777777" w:rsidR="00417266" w:rsidRPr="00C43F1B" w:rsidRDefault="00417266" w:rsidP="000C164B">
      <w:pPr>
        <w:pStyle w:val="af3"/>
        <w:rPr>
          <w:rtl/>
        </w:rPr>
      </w:pPr>
      <w:r w:rsidRPr="00B568FC">
        <w:rPr>
          <w:rFonts w:hint="eastAsia"/>
          <w:sz w:val="24"/>
          <w:rtl/>
        </w:rPr>
        <w:t>משרד</w:t>
      </w:r>
      <w:r w:rsidRPr="00B568FC">
        <w:rPr>
          <w:sz w:val="24"/>
          <w:rtl/>
        </w:rPr>
        <w:t xml:space="preserve"> </w:t>
      </w:r>
      <w:r w:rsidRPr="00B568FC">
        <w:rPr>
          <w:rFonts w:hint="eastAsia"/>
          <w:sz w:val="24"/>
          <w:rtl/>
        </w:rPr>
        <w:t>מבקר</w:t>
      </w:r>
      <w:r w:rsidRPr="00B568FC">
        <w:rPr>
          <w:sz w:val="24"/>
          <w:rtl/>
        </w:rPr>
        <w:t xml:space="preserve"> </w:t>
      </w:r>
      <w:r w:rsidRPr="00B568FC">
        <w:rPr>
          <w:rFonts w:hint="eastAsia"/>
          <w:sz w:val="24"/>
          <w:rtl/>
        </w:rPr>
        <w:t>המדינה</w:t>
      </w:r>
      <w:r w:rsidRPr="00B568FC">
        <w:rPr>
          <w:sz w:val="24"/>
          <w:rtl/>
        </w:rPr>
        <w:t xml:space="preserve"> </w:t>
      </w:r>
      <w:r w:rsidRPr="00B568FC">
        <w:rPr>
          <w:rFonts w:hint="eastAsia"/>
          <w:sz w:val="24"/>
          <w:rtl/>
        </w:rPr>
        <w:t>סבור</w:t>
      </w:r>
      <w:r w:rsidRPr="00B568FC">
        <w:rPr>
          <w:sz w:val="24"/>
          <w:rtl/>
        </w:rPr>
        <w:t xml:space="preserve"> </w:t>
      </w:r>
      <w:r w:rsidRPr="00B568FC">
        <w:rPr>
          <w:rFonts w:hint="eastAsia"/>
          <w:sz w:val="24"/>
          <w:rtl/>
        </w:rPr>
        <w:t>כי</w:t>
      </w:r>
      <w:r w:rsidRPr="00B568FC">
        <w:rPr>
          <w:sz w:val="24"/>
          <w:rtl/>
        </w:rPr>
        <w:t xml:space="preserve"> </w:t>
      </w:r>
      <w:r>
        <w:rPr>
          <w:rFonts w:hint="cs"/>
          <w:sz w:val="24"/>
          <w:rtl/>
        </w:rPr>
        <w:t>נוכח החסמים שפורטו לעיל, ובשים לב ליתרונות של ההליכים החלופיים האמורים</w:t>
      </w:r>
      <w:r w:rsidRPr="00C43F1B">
        <w:rPr>
          <w:rFonts w:hint="cs"/>
          <w:rtl/>
        </w:rPr>
        <w:t>, ראוי ש</w:t>
      </w:r>
      <w:r w:rsidRPr="00C43F1B">
        <w:rPr>
          <w:rtl/>
        </w:rPr>
        <w:t xml:space="preserve">משרד המשפטים </w:t>
      </w:r>
      <w:r w:rsidRPr="00C43F1B">
        <w:rPr>
          <w:rFonts w:hint="cs"/>
          <w:rtl/>
        </w:rPr>
        <w:t>יבחן</w:t>
      </w:r>
      <w:r w:rsidRPr="00C43F1B">
        <w:rPr>
          <w:rtl/>
        </w:rPr>
        <w:t xml:space="preserve"> </w:t>
      </w:r>
      <w:r w:rsidRPr="00C43F1B">
        <w:rPr>
          <w:rFonts w:hint="eastAsia"/>
          <w:rtl/>
        </w:rPr>
        <w:t>א</w:t>
      </w:r>
      <w:r w:rsidRPr="00C43F1B">
        <w:rPr>
          <w:rFonts w:hint="cs"/>
          <w:rtl/>
        </w:rPr>
        <w:t xml:space="preserve">ת הצורך בהטמעת השימוש בהליכים החלופיים </w:t>
      </w:r>
      <w:r w:rsidRPr="00EC137D">
        <w:rPr>
          <w:rFonts w:hint="eastAsia"/>
          <w:rtl/>
        </w:rPr>
        <w:t>כשלב</w:t>
      </w:r>
      <w:r w:rsidRPr="00EC137D">
        <w:rPr>
          <w:rtl/>
        </w:rPr>
        <w:t xml:space="preserve"> </w:t>
      </w:r>
      <w:r w:rsidRPr="00EC137D">
        <w:rPr>
          <w:rFonts w:hint="eastAsia"/>
          <w:rtl/>
        </w:rPr>
        <w:t>מובנה</w:t>
      </w:r>
      <w:r w:rsidRPr="00C43F1B">
        <w:rPr>
          <w:rFonts w:hint="cs"/>
          <w:rtl/>
        </w:rPr>
        <w:t xml:space="preserve"> </w:t>
      </w:r>
      <w:r w:rsidRPr="00C43F1B">
        <w:rPr>
          <w:rFonts w:hint="eastAsia"/>
          <w:rtl/>
        </w:rPr>
        <w:t>בהליכים</w:t>
      </w:r>
      <w:r w:rsidRPr="00C43F1B">
        <w:rPr>
          <w:rtl/>
        </w:rPr>
        <w:t xml:space="preserve"> </w:t>
      </w:r>
      <w:r w:rsidRPr="00C43F1B">
        <w:rPr>
          <w:rFonts w:hint="eastAsia"/>
          <w:rtl/>
        </w:rPr>
        <w:t>הפליליים</w:t>
      </w:r>
      <w:r w:rsidRPr="00C43F1B">
        <w:rPr>
          <w:rtl/>
        </w:rPr>
        <w:t xml:space="preserve"> </w:t>
      </w:r>
      <w:r w:rsidRPr="00C43F1B">
        <w:rPr>
          <w:rFonts w:hint="cs"/>
          <w:rtl/>
        </w:rPr>
        <w:t>הנוגעים ל</w:t>
      </w:r>
      <w:r w:rsidRPr="00C43F1B">
        <w:rPr>
          <w:rFonts w:hint="eastAsia"/>
          <w:rtl/>
        </w:rPr>
        <w:t>עבירות</w:t>
      </w:r>
      <w:r w:rsidRPr="00C43F1B">
        <w:rPr>
          <w:rtl/>
        </w:rPr>
        <w:t xml:space="preserve"> </w:t>
      </w:r>
      <w:r w:rsidRPr="00C43F1B">
        <w:rPr>
          <w:rFonts w:hint="eastAsia"/>
          <w:rtl/>
        </w:rPr>
        <w:t>של</w:t>
      </w:r>
      <w:r w:rsidRPr="00C43F1B">
        <w:rPr>
          <w:rtl/>
        </w:rPr>
        <w:t xml:space="preserve"> </w:t>
      </w:r>
      <w:r w:rsidRPr="00C43F1B">
        <w:rPr>
          <w:rFonts w:hint="eastAsia"/>
          <w:rtl/>
        </w:rPr>
        <w:t>הטרדה</w:t>
      </w:r>
      <w:r w:rsidRPr="00C43F1B">
        <w:rPr>
          <w:rtl/>
        </w:rPr>
        <w:t xml:space="preserve"> </w:t>
      </w:r>
      <w:r w:rsidRPr="00C43F1B">
        <w:rPr>
          <w:rFonts w:hint="eastAsia"/>
          <w:rtl/>
        </w:rPr>
        <w:t>מינית</w:t>
      </w:r>
      <w:r w:rsidRPr="00C43F1B">
        <w:rPr>
          <w:rFonts w:hint="cs"/>
          <w:rtl/>
        </w:rPr>
        <w:t>. בעניין זה ניתן ללמוד מפעולות שנעשו בקשר ל</w:t>
      </w:r>
      <w:r w:rsidRPr="00C43F1B">
        <w:rPr>
          <w:rtl/>
        </w:rPr>
        <w:t>הליך "מידע, היכרות ותיאום"</w:t>
      </w:r>
      <w:r w:rsidRPr="00C43F1B">
        <w:rPr>
          <w:rFonts w:hint="cs"/>
          <w:rtl/>
        </w:rPr>
        <w:t xml:space="preserve"> (מהו"ת)</w:t>
      </w:r>
      <w:r w:rsidRPr="00C43F1B">
        <w:rPr>
          <w:rtl/>
        </w:rPr>
        <w:t xml:space="preserve"> </w:t>
      </w:r>
      <w:r w:rsidRPr="00C43F1B">
        <w:rPr>
          <w:rFonts w:hint="cs"/>
          <w:rtl/>
        </w:rPr>
        <w:t xml:space="preserve">כדי להפחית </w:t>
      </w:r>
      <w:r w:rsidRPr="00C43F1B">
        <w:rPr>
          <w:rtl/>
        </w:rPr>
        <w:t xml:space="preserve">את העומס </w:t>
      </w:r>
      <w:r w:rsidRPr="00C43F1B">
        <w:rPr>
          <w:rFonts w:hint="cs"/>
          <w:rtl/>
        </w:rPr>
        <w:t xml:space="preserve">המוטל על </w:t>
      </w:r>
      <w:r w:rsidRPr="00C43F1B">
        <w:rPr>
          <w:rtl/>
        </w:rPr>
        <w:t>בתי המשפט</w:t>
      </w:r>
      <w:r w:rsidRPr="00C43F1B">
        <w:rPr>
          <w:rFonts w:hint="cs"/>
          <w:rtl/>
        </w:rPr>
        <w:t xml:space="preserve"> האזרחיים</w:t>
      </w:r>
      <w:r w:rsidRPr="00C43F1B">
        <w:rPr>
          <w:rtl/>
        </w:rPr>
        <w:t xml:space="preserve"> ולהגדיל את השימוש </w:t>
      </w:r>
      <w:r>
        <w:rPr>
          <w:rFonts w:hint="cs"/>
          <w:rtl/>
        </w:rPr>
        <w:t xml:space="preserve">בהליך של </w:t>
      </w:r>
      <w:r w:rsidRPr="00C43F1B">
        <w:rPr>
          <w:rFonts w:hint="cs"/>
          <w:rtl/>
        </w:rPr>
        <w:t>צדק מאחה</w:t>
      </w:r>
      <w:r w:rsidRPr="00C43F1B">
        <w:rPr>
          <w:rtl/>
        </w:rPr>
        <w:t xml:space="preserve"> לצורך יישוב מחלוקות. </w:t>
      </w:r>
    </w:p>
    <w:p w14:paraId="4376E1A9" w14:textId="77777777" w:rsidR="00417266" w:rsidRPr="00C43F1B" w:rsidRDefault="00417266" w:rsidP="000C164B">
      <w:pPr>
        <w:pStyle w:val="316"/>
        <w:rPr>
          <w:rtl/>
        </w:rPr>
      </w:pPr>
      <w:bookmarkStart w:id="14" w:name="_Toc9150784"/>
      <w:r w:rsidRPr="00C43F1B">
        <w:rPr>
          <w:rFonts w:hint="cs"/>
          <w:rtl/>
        </w:rPr>
        <w:t>המסלול האזרחי</w:t>
      </w:r>
      <w:bookmarkEnd w:id="14"/>
    </w:p>
    <w:p w14:paraId="3F1E4592" w14:textId="77777777" w:rsidR="00417266" w:rsidRPr="00C43F1B" w:rsidRDefault="00417266" w:rsidP="000C164B">
      <w:pPr>
        <w:pStyle w:val="100"/>
        <w:rPr>
          <w:rtl/>
        </w:rPr>
      </w:pPr>
      <w:r w:rsidRPr="00C43F1B">
        <w:rPr>
          <w:rFonts w:hint="cs"/>
          <w:rtl/>
        </w:rPr>
        <w:t xml:space="preserve">החוק קובע כי הטרדה מינית והתנכלות הן עוולות אזרחיות </w:t>
      </w:r>
      <w:r>
        <w:rPr>
          <w:rFonts w:hint="cs"/>
          <w:rtl/>
        </w:rPr>
        <w:t xml:space="preserve">לפי פקודת הנזיקין, וככאלה, </w:t>
      </w:r>
      <w:r w:rsidRPr="00C43F1B">
        <w:rPr>
          <w:rFonts w:hint="cs"/>
          <w:rtl/>
        </w:rPr>
        <w:t xml:space="preserve">ניתן להגיש בגינן תביעת פיצויים </w:t>
      </w:r>
      <w:r>
        <w:rPr>
          <w:rFonts w:hint="cs"/>
          <w:rtl/>
        </w:rPr>
        <w:t>על כלל הנזקים שנגרמו למוטרדת</w:t>
      </w:r>
      <w:r w:rsidRPr="00C43F1B">
        <w:rPr>
          <w:rFonts w:hint="cs"/>
          <w:rtl/>
        </w:rPr>
        <w:t>. אפשר להגיש תביעה אזרחית כאשר נסיבות ההטרדה אינן במסגרת יחסי עבודה או כאשר הן במסגרת יחסי עבודה אך התובעת איננה עובדת של המעסיק</w:t>
      </w:r>
      <w:r w:rsidRPr="00C43F1B">
        <w:rPr>
          <w:rStyle w:val="FootnoteReference"/>
          <w:rtl/>
        </w:rPr>
        <w:footnoteReference w:id="33"/>
      </w:r>
      <w:r w:rsidRPr="00C43F1B">
        <w:rPr>
          <w:rFonts w:hint="cs"/>
          <w:rtl/>
        </w:rPr>
        <w:t xml:space="preserve">. </w:t>
      </w:r>
    </w:p>
    <w:p w14:paraId="01B8816E" w14:textId="77777777" w:rsidR="00417266" w:rsidRDefault="00417266" w:rsidP="000C164B">
      <w:pPr>
        <w:pStyle w:val="100"/>
        <w:rPr>
          <w:rtl/>
        </w:rPr>
      </w:pPr>
      <w:r>
        <w:rPr>
          <w:rFonts w:hint="cs"/>
          <w:rtl/>
        </w:rPr>
        <w:t xml:space="preserve">ניתן לפסוק בשל הטרדה מינית והתנכלות גם פיצוי ללא הוכחת נזק. </w:t>
      </w:r>
      <w:r w:rsidRPr="00C43F1B">
        <w:rPr>
          <w:rFonts w:hint="cs"/>
          <w:rtl/>
        </w:rPr>
        <w:t xml:space="preserve">החוק קבע בתחילה כי הפיצוי המרבי בגין עוולת הטרדה מינית ללא הוכחת נזק יהיה 50,000 ש"ח, ולאחר תיקונו בשנת 2013 הועמד הפיצוי המרבי על 120,000 ש"ח. הפסיקה הכירה באפשרות לקבוע פיצוי נפרד על כל אחד מאירועי ההטרדה (בתביעה העוסקת בכמה התנהגויות המהוות הטרדה מינית). כיום </w:t>
      </w:r>
      <w:r w:rsidRPr="00C43F1B">
        <w:rPr>
          <w:rFonts w:hint="cs"/>
          <w:rtl/>
        </w:rPr>
        <w:lastRenderedPageBreak/>
        <w:t>נפסקים כאמור פיצויים ללא הוכחת נזק בסכומים גבוהים מאלה שהיו מקובלים בעבר. ואולם, על פי רוב, הסכומים המושתים נמוכים</w:t>
      </w:r>
      <w:r w:rsidRPr="00C43F1B">
        <w:rPr>
          <w:rStyle w:val="CommentReference"/>
          <w:rtl/>
        </w:rPr>
        <w:t xml:space="preserve"> </w:t>
      </w:r>
      <w:r w:rsidRPr="00C43F1B">
        <w:rPr>
          <w:rFonts w:hint="cs"/>
          <w:rtl/>
        </w:rPr>
        <w:t>מהסכום המרבי האפשרי על פי החוק לעבירה אחת, גם כשהתביעה עוסקת בכמה התנהגויות המהוות הטרדה מינית.</w:t>
      </w:r>
    </w:p>
    <w:p w14:paraId="1ADFE9F3" w14:textId="77777777" w:rsidR="00417266" w:rsidRPr="009E1D1E" w:rsidRDefault="00417266" w:rsidP="000C164B">
      <w:pPr>
        <w:pStyle w:val="100"/>
        <w:rPr>
          <w:rtl/>
        </w:rPr>
      </w:pPr>
      <w:r>
        <w:rPr>
          <w:rFonts w:hint="cs"/>
          <w:rtl/>
        </w:rPr>
        <w:t xml:space="preserve">ועדת ברלינר המליצה כי כלל השופטים האזרחיים יעברו השתלמות בנושא עבירות מין אשר יעסקו במאפייניהם ובצרכיהם של נפגעי עבירות מין. </w:t>
      </w:r>
    </w:p>
    <w:p w14:paraId="32B1F466" w14:textId="77777777" w:rsidR="00417266" w:rsidRPr="00C43F1B" w:rsidRDefault="00417266" w:rsidP="000C164B">
      <w:pPr>
        <w:pStyle w:val="100"/>
        <w:rPr>
          <w:rtl/>
        </w:rPr>
      </w:pPr>
      <w:r w:rsidRPr="00C43F1B">
        <w:rPr>
          <w:rFonts w:hint="cs"/>
          <w:rtl/>
        </w:rPr>
        <w:t>בהליך האזרחי יש חסמים ייחודיים ובהם ה</w:t>
      </w:r>
      <w:r w:rsidRPr="00C43F1B">
        <w:rPr>
          <w:rFonts w:hint="eastAsia"/>
          <w:rtl/>
        </w:rPr>
        <w:t>רתיעה</w:t>
      </w:r>
      <w:r w:rsidRPr="00C43F1B">
        <w:rPr>
          <w:rFonts w:hint="cs"/>
          <w:rtl/>
        </w:rPr>
        <w:t xml:space="preserve"> של </w:t>
      </w:r>
      <w:r w:rsidRPr="00C43F1B">
        <w:rPr>
          <w:rFonts w:hint="eastAsia"/>
          <w:rtl/>
        </w:rPr>
        <w:t>נפגעות</w:t>
      </w:r>
      <w:r w:rsidRPr="00C43F1B">
        <w:rPr>
          <w:rtl/>
        </w:rPr>
        <w:t xml:space="preserve"> </w:t>
      </w:r>
      <w:r w:rsidRPr="00C43F1B">
        <w:rPr>
          <w:rFonts w:hint="cs"/>
          <w:rtl/>
        </w:rPr>
        <w:t>מ</w:t>
      </w:r>
      <w:r w:rsidRPr="00C43F1B">
        <w:rPr>
          <w:rFonts w:hint="eastAsia"/>
          <w:rtl/>
        </w:rPr>
        <w:t>לבקש</w:t>
      </w:r>
      <w:r w:rsidRPr="00C43F1B">
        <w:rPr>
          <w:rtl/>
        </w:rPr>
        <w:t xml:space="preserve"> </w:t>
      </w:r>
      <w:r w:rsidRPr="00C43F1B">
        <w:rPr>
          <w:rFonts w:hint="eastAsia"/>
          <w:rtl/>
        </w:rPr>
        <w:t>פיצוי</w:t>
      </w:r>
      <w:r w:rsidRPr="00C43F1B">
        <w:rPr>
          <w:rtl/>
        </w:rPr>
        <w:t xml:space="preserve"> </w:t>
      </w:r>
      <w:r w:rsidRPr="00C43F1B">
        <w:rPr>
          <w:rFonts w:hint="eastAsia"/>
          <w:rtl/>
        </w:rPr>
        <w:t>כספי</w:t>
      </w:r>
      <w:r w:rsidRPr="00C43F1B">
        <w:rPr>
          <w:rtl/>
        </w:rPr>
        <w:t xml:space="preserve"> </w:t>
      </w:r>
      <w:r w:rsidRPr="00C43F1B">
        <w:rPr>
          <w:rFonts w:hint="eastAsia"/>
          <w:rtl/>
        </w:rPr>
        <w:t>בגין</w:t>
      </w:r>
      <w:r w:rsidRPr="00C43F1B">
        <w:rPr>
          <w:rtl/>
        </w:rPr>
        <w:t xml:space="preserve"> </w:t>
      </w:r>
      <w:r w:rsidRPr="00C43F1B">
        <w:rPr>
          <w:rFonts w:hint="eastAsia"/>
          <w:rtl/>
        </w:rPr>
        <w:t>נזק</w:t>
      </w:r>
      <w:r w:rsidRPr="00C43F1B">
        <w:rPr>
          <w:rtl/>
        </w:rPr>
        <w:t xml:space="preserve"> </w:t>
      </w:r>
      <w:r w:rsidRPr="00C43F1B">
        <w:rPr>
          <w:rFonts w:hint="eastAsia"/>
          <w:rtl/>
        </w:rPr>
        <w:t>שנגרם</w:t>
      </w:r>
      <w:r w:rsidRPr="00C43F1B">
        <w:rPr>
          <w:rtl/>
        </w:rPr>
        <w:t xml:space="preserve"> </w:t>
      </w:r>
      <w:r w:rsidRPr="00C43F1B">
        <w:rPr>
          <w:rFonts w:hint="eastAsia"/>
          <w:rtl/>
        </w:rPr>
        <w:t>לה</w:t>
      </w:r>
      <w:r w:rsidRPr="00C43F1B">
        <w:rPr>
          <w:rFonts w:hint="cs"/>
          <w:rtl/>
        </w:rPr>
        <w:t>ן</w:t>
      </w:r>
      <w:r w:rsidRPr="00C43F1B">
        <w:rPr>
          <w:rtl/>
        </w:rPr>
        <w:t xml:space="preserve"> </w:t>
      </w:r>
      <w:r w:rsidRPr="00C43F1B">
        <w:rPr>
          <w:rFonts w:hint="eastAsia"/>
          <w:rtl/>
        </w:rPr>
        <w:t>עקב</w:t>
      </w:r>
      <w:r w:rsidRPr="00C43F1B">
        <w:rPr>
          <w:rtl/>
        </w:rPr>
        <w:t xml:space="preserve"> </w:t>
      </w:r>
      <w:r w:rsidRPr="00C43F1B">
        <w:rPr>
          <w:rFonts w:hint="eastAsia"/>
          <w:rtl/>
        </w:rPr>
        <w:t>הטרדה</w:t>
      </w:r>
      <w:r w:rsidRPr="00C43F1B">
        <w:rPr>
          <w:rtl/>
        </w:rPr>
        <w:t xml:space="preserve"> </w:t>
      </w:r>
      <w:r w:rsidRPr="00C43F1B">
        <w:rPr>
          <w:rFonts w:hint="eastAsia"/>
          <w:rtl/>
        </w:rPr>
        <w:t>מינית</w:t>
      </w:r>
      <w:r w:rsidRPr="00C43F1B">
        <w:rPr>
          <w:rFonts w:hint="cs"/>
          <w:rtl/>
        </w:rPr>
        <w:t xml:space="preserve"> בשל ה</w:t>
      </w:r>
      <w:r w:rsidRPr="00C43F1B">
        <w:rPr>
          <w:rFonts w:hint="eastAsia"/>
          <w:rtl/>
        </w:rPr>
        <w:t>חשש</w:t>
      </w:r>
      <w:r w:rsidRPr="00C43F1B">
        <w:rPr>
          <w:rFonts w:hint="cs"/>
          <w:rtl/>
        </w:rPr>
        <w:t xml:space="preserve"> </w:t>
      </w:r>
      <w:r w:rsidRPr="00C43F1B">
        <w:rPr>
          <w:rFonts w:hint="eastAsia"/>
          <w:rtl/>
        </w:rPr>
        <w:t>מסטיגמה</w:t>
      </w:r>
      <w:r w:rsidRPr="00C43F1B">
        <w:rPr>
          <w:rtl/>
        </w:rPr>
        <w:t xml:space="preserve"> </w:t>
      </w:r>
      <w:r w:rsidRPr="00C43F1B">
        <w:rPr>
          <w:rFonts w:hint="eastAsia"/>
          <w:rtl/>
        </w:rPr>
        <w:t>של</w:t>
      </w:r>
      <w:r w:rsidRPr="00C43F1B">
        <w:rPr>
          <w:rtl/>
        </w:rPr>
        <w:t xml:space="preserve"> "סחטנות" </w:t>
      </w:r>
      <w:r w:rsidRPr="00C43F1B">
        <w:rPr>
          <w:rFonts w:hint="eastAsia"/>
          <w:rtl/>
        </w:rPr>
        <w:t>ו</w:t>
      </w:r>
      <w:r w:rsidRPr="00C43F1B">
        <w:rPr>
          <w:rtl/>
        </w:rPr>
        <w:t xml:space="preserve">"רדיפת </w:t>
      </w:r>
      <w:r w:rsidRPr="00C43F1B">
        <w:rPr>
          <w:rFonts w:hint="eastAsia"/>
          <w:rtl/>
        </w:rPr>
        <w:t>בצע</w:t>
      </w:r>
      <w:r w:rsidRPr="00C43F1B">
        <w:rPr>
          <w:rtl/>
        </w:rPr>
        <w:t xml:space="preserve">" </w:t>
      </w:r>
      <w:r w:rsidRPr="00C43F1B">
        <w:rPr>
          <w:rFonts w:hint="eastAsia"/>
          <w:rtl/>
        </w:rPr>
        <w:t>ומן</w:t>
      </w:r>
      <w:r w:rsidRPr="00C43F1B">
        <w:rPr>
          <w:rtl/>
        </w:rPr>
        <w:t xml:space="preserve"> </w:t>
      </w:r>
      <w:r w:rsidRPr="00C43F1B">
        <w:rPr>
          <w:rFonts w:hint="eastAsia"/>
          <w:rtl/>
        </w:rPr>
        <w:t>הגינוי</w:t>
      </w:r>
      <w:r w:rsidRPr="00C43F1B">
        <w:rPr>
          <w:rtl/>
        </w:rPr>
        <w:t xml:space="preserve"> </w:t>
      </w:r>
      <w:r w:rsidRPr="00C43F1B">
        <w:rPr>
          <w:rFonts w:hint="eastAsia"/>
          <w:rtl/>
        </w:rPr>
        <w:t>החברתי</w:t>
      </w:r>
      <w:r w:rsidRPr="00C43F1B">
        <w:rPr>
          <w:rtl/>
        </w:rPr>
        <w:t xml:space="preserve"> </w:t>
      </w:r>
      <w:r w:rsidRPr="00C43F1B">
        <w:rPr>
          <w:rFonts w:hint="eastAsia"/>
          <w:rtl/>
        </w:rPr>
        <w:t>הצפוי</w:t>
      </w:r>
      <w:r w:rsidRPr="00C43F1B">
        <w:rPr>
          <w:rtl/>
        </w:rPr>
        <w:t xml:space="preserve"> </w:t>
      </w:r>
      <w:r w:rsidRPr="00C43F1B">
        <w:rPr>
          <w:rFonts w:hint="eastAsia"/>
          <w:rtl/>
        </w:rPr>
        <w:t>למי</w:t>
      </w:r>
      <w:r w:rsidRPr="00C43F1B">
        <w:rPr>
          <w:rtl/>
        </w:rPr>
        <w:t xml:space="preserve"> </w:t>
      </w:r>
      <w:r w:rsidRPr="00C43F1B">
        <w:rPr>
          <w:rFonts w:hint="eastAsia"/>
          <w:rtl/>
        </w:rPr>
        <w:t>שמנס</w:t>
      </w:r>
      <w:r>
        <w:rPr>
          <w:rFonts w:hint="cs"/>
          <w:rtl/>
        </w:rPr>
        <w:t>ָ</w:t>
      </w:r>
      <w:r w:rsidRPr="00C43F1B">
        <w:rPr>
          <w:rFonts w:hint="eastAsia"/>
          <w:rtl/>
        </w:rPr>
        <w:t>ה</w:t>
      </w:r>
      <w:r w:rsidRPr="00C43F1B">
        <w:rPr>
          <w:rtl/>
        </w:rPr>
        <w:t xml:space="preserve"> </w:t>
      </w:r>
      <w:r w:rsidRPr="00C43F1B">
        <w:rPr>
          <w:rFonts w:hint="eastAsia"/>
          <w:rtl/>
        </w:rPr>
        <w:t>לכמת</w:t>
      </w:r>
      <w:r w:rsidRPr="00C43F1B">
        <w:rPr>
          <w:rtl/>
        </w:rPr>
        <w:t xml:space="preserve"> </w:t>
      </w:r>
      <w:r w:rsidRPr="00C43F1B">
        <w:rPr>
          <w:rFonts w:hint="eastAsia"/>
          <w:rtl/>
        </w:rPr>
        <w:t>למושגים</w:t>
      </w:r>
      <w:r w:rsidRPr="00C43F1B">
        <w:rPr>
          <w:rtl/>
        </w:rPr>
        <w:t xml:space="preserve"> </w:t>
      </w:r>
      <w:r w:rsidRPr="00C43F1B">
        <w:rPr>
          <w:rFonts w:hint="eastAsia"/>
          <w:rtl/>
        </w:rPr>
        <w:t>כספיים</w:t>
      </w:r>
      <w:r w:rsidRPr="00C43F1B">
        <w:rPr>
          <w:rtl/>
        </w:rPr>
        <w:t xml:space="preserve"> </w:t>
      </w:r>
      <w:r w:rsidRPr="00C43F1B">
        <w:rPr>
          <w:rFonts w:hint="eastAsia"/>
          <w:rtl/>
        </w:rPr>
        <w:t>הטרדה</w:t>
      </w:r>
      <w:r w:rsidRPr="00C43F1B">
        <w:rPr>
          <w:rtl/>
        </w:rPr>
        <w:t xml:space="preserve"> </w:t>
      </w:r>
      <w:r w:rsidRPr="00C43F1B">
        <w:rPr>
          <w:rFonts w:hint="eastAsia"/>
          <w:rtl/>
        </w:rPr>
        <w:t>מינית</w:t>
      </w:r>
      <w:r w:rsidRPr="00C43F1B">
        <w:rPr>
          <w:rtl/>
        </w:rPr>
        <w:t xml:space="preserve"> </w:t>
      </w:r>
      <w:r w:rsidRPr="00C43F1B">
        <w:rPr>
          <w:rFonts w:hint="eastAsia"/>
          <w:rtl/>
        </w:rPr>
        <w:t>שחוו</w:t>
      </w:r>
      <w:r w:rsidRPr="00C43F1B">
        <w:rPr>
          <w:rFonts w:hint="cs"/>
          <w:rtl/>
        </w:rPr>
        <w:t>ת</w:t>
      </w:r>
      <w:r w:rsidRPr="00C43F1B">
        <w:rPr>
          <w:rFonts w:hint="eastAsia"/>
          <w:rtl/>
        </w:rPr>
        <w:t>ה</w:t>
      </w:r>
      <w:r w:rsidRPr="00C43F1B">
        <w:rPr>
          <w:rStyle w:val="FootnoteReference"/>
          <w:rtl/>
        </w:rPr>
        <w:footnoteReference w:id="34"/>
      </w:r>
      <w:r w:rsidRPr="00C43F1B">
        <w:rPr>
          <w:rtl/>
        </w:rPr>
        <w:t>.</w:t>
      </w:r>
    </w:p>
    <w:p w14:paraId="57E0A3F2" w14:textId="77777777" w:rsidR="00417266" w:rsidRPr="00C43F1B" w:rsidRDefault="00417266" w:rsidP="000C164B">
      <w:pPr>
        <w:pStyle w:val="100"/>
        <w:rPr>
          <w:rtl/>
        </w:rPr>
      </w:pPr>
      <w:r w:rsidRPr="00C43F1B">
        <w:rPr>
          <w:rFonts w:hint="cs"/>
          <w:rtl/>
        </w:rPr>
        <w:t>להלן נתונים של הנהלת בתי המשפט על מספר התביעות האזרחיות שהוגשו בעילת הטרדה מינית בשנים 2015 - 201</w:t>
      </w:r>
      <w:r>
        <w:rPr>
          <w:rFonts w:hint="cs"/>
          <w:rtl/>
        </w:rPr>
        <w:t>9</w:t>
      </w:r>
      <w:r w:rsidRPr="00C43F1B">
        <w:rPr>
          <w:rFonts w:hint="cs"/>
          <w:rtl/>
        </w:rPr>
        <w:t>.</w:t>
      </w:r>
    </w:p>
    <w:p w14:paraId="3D7325DA" w14:textId="77777777" w:rsidR="00417266" w:rsidRPr="000C164B" w:rsidRDefault="00417266" w:rsidP="000C164B">
      <w:pPr>
        <w:pStyle w:val="a8"/>
        <w:rPr>
          <w:rtl/>
        </w:rPr>
      </w:pPr>
      <w:r w:rsidRPr="000C164B">
        <w:rPr>
          <w:rFonts w:hint="eastAsia"/>
          <w:rtl/>
        </w:rPr>
        <w:t>לוח</w:t>
      </w:r>
      <w:r w:rsidRPr="000C164B">
        <w:rPr>
          <w:rtl/>
        </w:rPr>
        <w:t xml:space="preserve"> </w:t>
      </w:r>
      <w:r w:rsidRPr="000C164B">
        <w:rPr>
          <w:rFonts w:hint="cs"/>
          <w:rtl/>
        </w:rPr>
        <w:t>5</w:t>
      </w:r>
      <w:r w:rsidRPr="000C164B">
        <w:rPr>
          <w:rtl/>
        </w:rPr>
        <w:t xml:space="preserve">: </w:t>
      </w:r>
      <w:r w:rsidRPr="000C164B">
        <w:rPr>
          <w:rFonts w:hint="eastAsia"/>
          <w:b/>
          <w:bCs/>
          <w:rtl/>
        </w:rPr>
        <w:t>מספר</w:t>
      </w:r>
      <w:r w:rsidRPr="000C164B">
        <w:rPr>
          <w:b/>
          <w:bCs/>
          <w:rtl/>
        </w:rPr>
        <w:t xml:space="preserve"> </w:t>
      </w:r>
      <w:r w:rsidRPr="000C164B">
        <w:rPr>
          <w:rFonts w:hint="eastAsia"/>
          <w:b/>
          <w:bCs/>
          <w:rtl/>
        </w:rPr>
        <w:t>התיקים</w:t>
      </w:r>
      <w:r w:rsidRPr="000C164B">
        <w:rPr>
          <w:b/>
          <w:bCs/>
          <w:rtl/>
        </w:rPr>
        <w:t xml:space="preserve"> </w:t>
      </w:r>
      <w:r w:rsidRPr="000C164B">
        <w:rPr>
          <w:rFonts w:hint="eastAsia"/>
          <w:b/>
          <w:bCs/>
          <w:rtl/>
        </w:rPr>
        <w:t>האזרחיים</w:t>
      </w:r>
      <w:r w:rsidRPr="000C164B">
        <w:rPr>
          <w:b/>
          <w:bCs/>
          <w:rtl/>
        </w:rPr>
        <w:t xml:space="preserve"> שנפתחו </w:t>
      </w:r>
      <w:r w:rsidRPr="000C164B">
        <w:rPr>
          <w:rFonts w:hint="eastAsia"/>
          <w:b/>
          <w:bCs/>
          <w:rtl/>
        </w:rPr>
        <w:t>בעניין</w:t>
      </w:r>
      <w:r w:rsidRPr="000C164B">
        <w:rPr>
          <w:b/>
          <w:bCs/>
          <w:rtl/>
        </w:rPr>
        <w:t xml:space="preserve"> </w:t>
      </w:r>
      <w:r w:rsidRPr="000C164B">
        <w:rPr>
          <w:rFonts w:hint="eastAsia"/>
          <w:b/>
          <w:bCs/>
          <w:rtl/>
        </w:rPr>
        <w:t>הטרדה</w:t>
      </w:r>
      <w:r w:rsidRPr="000C164B">
        <w:rPr>
          <w:b/>
          <w:bCs/>
          <w:rtl/>
        </w:rPr>
        <w:t xml:space="preserve"> </w:t>
      </w:r>
      <w:r w:rsidRPr="000C164B">
        <w:rPr>
          <w:rFonts w:hint="eastAsia"/>
          <w:b/>
          <w:bCs/>
          <w:rtl/>
        </w:rPr>
        <w:t>מינית</w:t>
      </w:r>
    </w:p>
    <w:tbl>
      <w:tblPr>
        <w:tblStyle w:val="TableGrid"/>
        <w:bidiVisual/>
        <w:tblW w:w="0" w:type="auto"/>
        <w:jc w:val="center"/>
        <w:tblLook w:val="04A0" w:firstRow="1" w:lastRow="0" w:firstColumn="1" w:lastColumn="0" w:noHBand="0" w:noVBand="1"/>
      </w:tblPr>
      <w:tblGrid>
        <w:gridCol w:w="842"/>
        <w:gridCol w:w="1997"/>
        <w:gridCol w:w="1984"/>
      </w:tblGrid>
      <w:tr w:rsidR="00417266" w:rsidRPr="00F45AFE" w14:paraId="34849B79" w14:textId="77777777" w:rsidTr="000C164B">
        <w:trPr>
          <w:jc w:val="center"/>
        </w:trPr>
        <w:tc>
          <w:tcPr>
            <w:tcW w:w="842" w:type="dxa"/>
            <w:shd w:val="clear" w:color="auto" w:fill="CEEAF5"/>
          </w:tcPr>
          <w:p w14:paraId="057FEDCC" w14:textId="77777777" w:rsidR="00417266" w:rsidRPr="00CC160D" w:rsidRDefault="00417266" w:rsidP="00CC160D">
            <w:pPr>
              <w:pStyle w:val="af"/>
              <w:rPr>
                <w:szCs w:val="20"/>
                <w:rtl/>
              </w:rPr>
            </w:pPr>
            <w:r w:rsidRPr="00CC160D">
              <w:rPr>
                <w:rFonts w:hint="cs"/>
                <w:szCs w:val="20"/>
                <w:rtl/>
              </w:rPr>
              <w:t>השנה</w:t>
            </w:r>
          </w:p>
        </w:tc>
        <w:tc>
          <w:tcPr>
            <w:tcW w:w="1997" w:type="dxa"/>
            <w:shd w:val="clear" w:color="auto" w:fill="CEEAF5"/>
          </w:tcPr>
          <w:p w14:paraId="17D2572C" w14:textId="77777777" w:rsidR="00417266" w:rsidRPr="00CC160D" w:rsidRDefault="00417266" w:rsidP="00CC160D">
            <w:pPr>
              <w:pStyle w:val="af"/>
              <w:rPr>
                <w:szCs w:val="20"/>
                <w:rtl/>
              </w:rPr>
            </w:pPr>
            <w:r w:rsidRPr="00CC160D">
              <w:rPr>
                <w:rFonts w:hint="cs"/>
                <w:szCs w:val="20"/>
                <w:rtl/>
              </w:rPr>
              <w:t xml:space="preserve">בתי משפט השלום </w:t>
            </w:r>
          </w:p>
        </w:tc>
        <w:tc>
          <w:tcPr>
            <w:tcW w:w="1984" w:type="dxa"/>
            <w:shd w:val="clear" w:color="auto" w:fill="CEEAF5"/>
          </w:tcPr>
          <w:p w14:paraId="7B66DEF7" w14:textId="77777777" w:rsidR="00417266" w:rsidRPr="00CC160D" w:rsidRDefault="00417266" w:rsidP="00CC160D">
            <w:pPr>
              <w:pStyle w:val="af"/>
              <w:rPr>
                <w:szCs w:val="20"/>
                <w:rtl/>
              </w:rPr>
            </w:pPr>
            <w:r w:rsidRPr="00CC160D">
              <w:rPr>
                <w:rFonts w:hint="cs"/>
                <w:szCs w:val="20"/>
                <w:rtl/>
              </w:rPr>
              <w:t xml:space="preserve">בתי הדין לעבודה </w:t>
            </w:r>
          </w:p>
        </w:tc>
      </w:tr>
      <w:tr w:rsidR="00417266" w:rsidRPr="00F45AFE" w14:paraId="05B87603" w14:textId="77777777" w:rsidTr="00417266">
        <w:trPr>
          <w:jc w:val="center"/>
        </w:trPr>
        <w:tc>
          <w:tcPr>
            <w:tcW w:w="842" w:type="dxa"/>
          </w:tcPr>
          <w:p w14:paraId="5E4D409B" w14:textId="77777777" w:rsidR="00417266" w:rsidRPr="00CC160D" w:rsidRDefault="00417266" w:rsidP="00CC160D">
            <w:pPr>
              <w:pStyle w:val="R"/>
              <w:rPr>
                <w:szCs w:val="20"/>
                <w:rtl/>
              </w:rPr>
            </w:pPr>
            <w:r w:rsidRPr="00CC160D">
              <w:rPr>
                <w:rFonts w:hint="cs"/>
                <w:szCs w:val="20"/>
                <w:rtl/>
              </w:rPr>
              <w:t>2015</w:t>
            </w:r>
          </w:p>
        </w:tc>
        <w:tc>
          <w:tcPr>
            <w:tcW w:w="1997" w:type="dxa"/>
          </w:tcPr>
          <w:p w14:paraId="54B4575E" w14:textId="77777777" w:rsidR="00417266" w:rsidRPr="00CC160D" w:rsidRDefault="00417266" w:rsidP="00CC160D">
            <w:pPr>
              <w:pStyle w:val="R"/>
              <w:rPr>
                <w:szCs w:val="20"/>
                <w:rtl/>
              </w:rPr>
            </w:pPr>
            <w:r w:rsidRPr="00CC160D">
              <w:rPr>
                <w:rFonts w:hint="cs"/>
                <w:szCs w:val="20"/>
                <w:rtl/>
              </w:rPr>
              <w:t>16</w:t>
            </w:r>
          </w:p>
        </w:tc>
        <w:tc>
          <w:tcPr>
            <w:tcW w:w="1984" w:type="dxa"/>
          </w:tcPr>
          <w:p w14:paraId="2588A1EB" w14:textId="77777777" w:rsidR="00417266" w:rsidRPr="00CC160D" w:rsidRDefault="00417266" w:rsidP="00CC160D">
            <w:pPr>
              <w:pStyle w:val="R"/>
              <w:rPr>
                <w:szCs w:val="20"/>
                <w:rtl/>
              </w:rPr>
            </w:pPr>
            <w:r w:rsidRPr="00CC160D">
              <w:rPr>
                <w:rFonts w:hint="cs"/>
                <w:szCs w:val="20"/>
                <w:rtl/>
              </w:rPr>
              <w:t>59</w:t>
            </w:r>
          </w:p>
        </w:tc>
      </w:tr>
      <w:tr w:rsidR="00417266" w:rsidRPr="00F45AFE" w14:paraId="2208669A" w14:textId="77777777" w:rsidTr="00417266">
        <w:trPr>
          <w:jc w:val="center"/>
        </w:trPr>
        <w:tc>
          <w:tcPr>
            <w:tcW w:w="842" w:type="dxa"/>
          </w:tcPr>
          <w:p w14:paraId="10940911" w14:textId="77777777" w:rsidR="00417266" w:rsidRPr="00CC160D" w:rsidRDefault="00417266" w:rsidP="00CC160D">
            <w:pPr>
              <w:pStyle w:val="R"/>
              <w:rPr>
                <w:szCs w:val="20"/>
                <w:rtl/>
              </w:rPr>
            </w:pPr>
            <w:r w:rsidRPr="00CC160D">
              <w:rPr>
                <w:rFonts w:hint="cs"/>
                <w:szCs w:val="20"/>
                <w:rtl/>
              </w:rPr>
              <w:t>2016</w:t>
            </w:r>
          </w:p>
        </w:tc>
        <w:tc>
          <w:tcPr>
            <w:tcW w:w="1997" w:type="dxa"/>
          </w:tcPr>
          <w:p w14:paraId="1A2C7897" w14:textId="77777777" w:rsidR="00417266" w:rsidRPr="00CC160D" w:rsidRDefault="00417266" w:rsidP="00CC160D">
            <w:pPr>
              <w:pStyle w:val="R"/>
              <w:rPr>
                <w:szCs w:val="20"/>
                <w:rtl/>
              </w:rPr>
            </w:pPr>
            <w:r w:rsidRPr="00CC160D">
              <w:rPr>
                <w:rFonts w:hint="cs"/>
                <w:szCs w:val="20"/>
                <w:rtl/>
              </w:rPr>
              <w:t>15</w:t>
            </w:r>
          </w:p>
        </w:tc>
        <w:tc>
          <w:tcPr>
            <w:tcW w:w="1984" w:type="dxa"/>
          </w:tcPr>
          <w:p w14:paraId="371B012A" w14:textId="77777777" w:rsidR="00417266" w:rsidRPr="00CC160D" w:rsidRDefault="00417266" w:rsidP="00CC160D">
            <w:pPr>
              <w:pStyle w:val="R"/>
              <w:rPr>
                <w:szCs w:val="20"/>
                <w:rtl/>
              </w:rPr>
            </w:pPr>
            <w:r w:rsidRPr="00CC160D">
              <w:rPr>
                <w:rFonts w:hint="cs"/>
                <w:szCs w:val="20"/>
                <w:rtl/>
              </w:rPr>
              <w:t>64</w:t>
            </w:r>
          </w:p>
        </w:tc>
      </w:tr>
      <w:tr w:rsidR="00417266" w:rsidRPr="00F45AFE" w14:paraId="7CA9D3AF" w14:textId="77777777" w:rsidTr="00417266">
        <w:trPr>
          <w:jc w:val="center"/>
        </w:trPr>
        <w:tc>
          <w:tcPr>
            <w:tcW w:w="842" w:type="dxa"/>
          </w:tcPr>
          <w:p w14:paraId="3754DA38" w14:textId="77777777" w:rsidR="00417266" w:rsidRPr="00CC160D" w:rsidRDefault="00417266" w:rsidP="00CC160D">
            <w:pPr>
              <w:pStyle w:val="R"/>
              <w:rPr>
                <w:szCs w:val="20"/>
                <w:rtl/>
              </w:rPr>
            </w:pPr>
            <w:r w:rsidRPr="00CC160D">
              <w:rPr>
                <w:rFonts w:hint="cs"/>
                <w:szCs w:val="20"/>
                <w:rtl/>
              </w:rPr>
              <w:t>2017</w:t>
            </w:r>
          </w:p>
        </w:tc>
        <w:tc>
          <w:tcPr>
            <w:tcW w:w="1997" w:type="dxa"/>
          </w:tcPr>
          <w:p w14:paraId="4D4459A1" w14:textId="77777777" w:rsidR="00417266" w:rsidRPr="00CC160D" w:rsidRDefault="00417266" w:rsidP="00CC160D">
            <w:pPr>
              <w:pStyle w:val="R"/>
              <w:rPr>
                <w:szCs w:val="20"/>
                <w:rtl/>
              </w:rPr>
            </w:pPr>
            <w:r w:rsidRPr="00CC160D">
              <w:rPr>
                <w:rFonts w:hint="cs"/>
                <w:szCs w:val="20"/>
                <w:rtl/>
              </w:rPr>
              <w:t>19</w:t>
            </w:r>
          </w:p>
        </w:tc>
        <w:tc>
          <w:tcPr>
            <w:tcW w:w="1984" w:type="dxa"/>
          </w:tcPr>
          <w:p w14:paraId="522F53AC" w14:textId="77777777" w:rsidR="00417266" w:rsidRPr="00CC160D" w:rsidRDefault="00417266" w:rsidP="00CC160D">
            <w:pPr>
              <w:pStyle w:val="R"/>
              <w:rPr>
                <w:szCs w:val="20"/>
                <w:rtl/>
              </w:rPr>
            </w:pPr>
            <w:r w:rsidRPr="00CC160D">
              <w:rPr>
                <w:rFonts w:hint="cs"/>
                <w:szCs w:val="20"/>
                <w:rtl/>
              </w:rPr>
              <w:t>77</w:t>
            </w:r>
          </w:p>
        </w:tc>
      </w:tr>
      <w:tr w:rsidR="00417266" w:rsidRPr="00F45AFE" w14:paraId="45F3A862" w14:textId="77777777" w:rsidTr="00417266">
        <w:trPr>
          <w:jc w:val="center"/>
        </w:trPr>
        <w:tc>
          <w:tcPr>
            <w:tcW w:w="842" w:type="dxa"/>
          </w:tcPr>
          <w:p w14:paraId="1A2AD77D" w14:textId="77777777" w:rsidR="00417266" w:rsidRPr="00CC160D" w:rsidRDefault="00417266" w:rsidP="00CC160D">
            <w:pPr>
              <w:pStyle w:val="R"/>
              <w:rPr>
                <w:szCs w:val="20"/>
                <w:rtl/>
              </w:rPr>
            </w:pPr>
            <w:r w:rsidRPr="00CC160D">
              <w:rPr>
                <w:rFonts w:hint="cs"/>
                <w:szCs w:val="20"/>
                <w:rtl/>
              </w:rPr>
              <w:t>2018</w:t>
            </w:r>
          </w:p>
        </w:tc>
        <w:tc>
          <w:tcPr>
            <w:tcW w:w="1997" w:type="dxa"/>
          </w:tcPr>
          <w:p w14:paraId="78999413" w14:textId="77777777" w:rsidR="00417266" w:rsidRPr="00CC160D" w:rsidRDefault="00417266" w:rsidP="00CC160D">
            <w:pPr>
              <w:pStyle w:val="R"/>
              <w:rPr>
                <w:szCs w:val="20"/>
                <w:rtl/>
              </w:rPr>
            </w:pPr>
            <w:r w:rsidRPr="00CC160D">
              <w:rPr>
                <w:rFonts w:hint="cs"/>
                <w:szCs w:val="20"/>
                <w:rtl/>
              </w:rPr>
              <w:t>32</w:t>
            </w:r>
          </w:p>
        </w:tc>
        <w:tc>
          <w:tcPr>
            <w:tcW w:w="1984" w:type="dxa"/>
          </w:tcPr>
          <w:p w14:paraId="36D2898D" w14:textId="77777777" w:rsidR="00417266" w:rsidRPr="00CC160D" w:rsidRDefault="00417266" w:rsidP="00CC160D">
            <w:pPr>
              <w:pStyle w:val="R"/>
              <w:rPr>
                <w:szCs w:val="20"/>
                <w:rtl/>
              </w:rPr>
            </w:pPr>
            <w:r w:rsidRPr="00CC160D">
              <w:rPr>
                <w:rFonts w:hint="cs"/>
                <w:szCs w:val="20"/>
                <w:rtl/>
              </w:rPr>
              <w:t>114</w:t>
            </w:r>
          </w:p>
        </w:tc>
      </w:tr>
      <w:tr w:rsidR="00417266" w:rsidRPr="00F45AFE" w14:paraId="2A10B329" w14:textId="77777777" w:rsidTr="00417266">
        <w:trPr>
          <w:jc w:val="center"/>
        </w:trPr>
        <w:tc>
          <w:tcPr>
            <w:tcW w:w="842" w:type="dxa"/>
          </w:tcPr>
          <w:p w14:paraId="2F8FA05A" w14:textId="77777777" w:rsidR="00417266" w:rsidRPr="00CC160D" w:rsidRDefault="00417266" w:rsidP="00CC160D">
            <w:pPr>
              <w:pStyle w:val="R"/>
              <w:rPr>
                <w:szCs w:val="20"/>
                <w:rtl/>
              </w:rPr>
            </w:pPr>
            <w:r w:rsidRPr="00CC160D">
              <w:rPr>
                <w:rFonts w:hint="cs"/>
                <w:szCs w:val="20"/>
                <w:rtl/>
              </w:rPr>
              <w:t>2019</w:t>
            </w:r>
          </w:p>
        </w:tc>
        <w:tc>
          <w:tcPr>
            <w:tcW w:w="1997" w:type="dxa"/>
          </w:tcPr>
          <w:p w14:paraId="340773FD" w14:textId="77777777" w:rsidR="00417266" w:rsidRPr="00CC160D" w:rsidRDefault="00417266" w:rsidP="00CC160D">
            <w:pPr>
              <w:pStyle w:val="R"/>
              <w:rPr>
                <w:szCs w:val="20"/>
                <w:rtl/>
              </w:rPr>
            </w:pPr>
            <w:r w:rsidRPr="00CC160D">
              <w:rPr>
                <w:szCs w:val="20"/>
                <w:rtl/>
              </w:rPr>
              <w:t>21</w:t>
            </w:r>
          </w:p>
        </w:tc>
        <w:tc>
          <w:tcPr>
            <w:tcW w:w="1984" w:type="dxa"/>
          </w:tcPr>
          <w:p w14:paraId="1CF97BD7" w14:textId="77777777" w:rsidR="00417266" w:rsidRPr="00CC160D" w:rsidRDefault="00417266" w:rsidP="00CC160D">
            <w:pPr>
              <w:pStyle w:val="R"/>
              <w:rPr>
                <w:szCs w:val="20"/>
                <w:rtl/>
              </w:rPr>
            </w:pPr>
            <w:r w:rsidRPr="00CC160D">
              <w:rPr>
                <w:rFonts w:hint="cs"/>
                <w:szCs w:val="20"/>
                <w:rtl/>
              </w:rPr>
              <w:t>95</w:t>
            </w:r>
          </w:p>
        </w:tc>
      </w:tr>
    </w:tbl>
    <w:p w14:paraId="5DB5ED61" w14:textId="77777777" w:rsidR="00417266" w:rsidRPr="00526012" w:rsidRDefault="00417266" w:rsidP="000C164B">
      <w:pPr>
        <w:pStyle w:val="aa"/>
        <w:rPr>
          <w:rtl/>
        </w:rPr>
      </w:pPr>
      <w:r w:rsidRPr="00526012">
        <w:rPr>
          <w:rFonts w:hint="eastAsia"/>
          <w:rtl/>
        </w:rPr>
        <w:t>המקור</w:t>
      </w:r>
      <w:r w:rsidRPr="00526012">
        <w:rPr>
          <w:rtl/>
        </w:rPr>
        <w:t xml:space="preserve">: </w:t>
      </w:r>
      <w:r w:rsidRPr="00526012">
        <w:rPr>
          <w:rFonts w:hint="eastAsia"/>
          <w:rtl/>
        </w:rPr>
        <w:t>נתוני</w:t>
      </w:r>
      <w:r w:rsidRPr="00526012">
        <w:rPr>
          <w:rtl/>
        </w:rPr>
        <w:t xml:space="preserve"> </w:t>
      </w:r>
      <w:r w:rsidRPr="00526012">
        <w:rPr>
          <w:rFonts w:hint="eastAsia"/>
          <w:rtl/>
        </w:rPr>
        <w:t>הנהלת</w:t>
      </w:r>
      <w:r w:rsidRPr="00526012">
        <w:rPr>
          <w:rtl/>
        </w:rPr>
        <w:t xml:space="preserve"> </w:t>
      </w:r>
      <w:r w:rsidRPr="00526012">
        <w:rPr>
          <w:rFonts w:hint="eastAsia"/>
          <w:rtl/>
        </w:rPr>
        <w:t>בתי</w:t>
      </w:r>
      <w:r w:rsidRPr="00526012">
        <w:rPr>
          <w:rtl/>
        </w:rPr>
        <w:t xml:space="preserve"> </w:t>
      </w:r>
      <w:r w:rsidRPr="00526012">
        <w:rPr>
          <w:rFonts w:hint="eastAsia"/>
          <w:rtl/>
        </w:rPr>
        <w:t>המשפט</w:t>
      </w:r>
      <w:r>
        <w:rPr>
          <w:rFonts w:hint="cs"/>
          <w:rtl/>
        </w:rPr>
        <w:t>.</w:t>
      </w:r>
    </w:p>
    <w:p w14:paraId="27609900" w14:textId="3A812B56" w:rsidR="00417266" w:rsidRDefault="00417266" w:rsidP="006D7BA7">
      <w:pPr>
        <w:pStyle w:val="100"/>
        <w:rPr>
          <w:rtl/>
        </w:rPr>
      </w:pPr>
    </w:p>
    <w:p w14:paraId="3FDA6B05" w14:textId="77777777" w:rsidR="00417266" w:rsidRPr="00C43F1B" w:rsidRDefault="00417266" w:rsidP="006D7BA7">
      <w:pPr>
        <w:pStyle w:val="af3"/>
        <w:rPr>
          <w:rtl/>
        </w:rPr>
      </w:pPr>
      <w:r w:rsidRPr="00C43F1B">
        <w:rPr>
          <w:rFonts w:hint="cs"/>
          <w:rtl/>
        </w:rPr>
        <w:t xml:space="preserve">מספרן </w:t>
      </w:r>
      <w:r>
        <w:rPr>
          <w:rFonts w:hint="cs"/>
          <w:rtl/>
        </w:rPr>
        <w:t>המצומצם של התביעות האזרחיות</w:t>
      </w:r>
      <w:r w:rsidRPr="00C43F1B">
        <w:rPr>
          <w:rFonts w:hint="cs"/>
          <w:rtl/>
        </w:rPr>
        <w:t xml:space="preserve"> שהוגשו לבתי המשפט בשנים 2015 - 201</w:t>
      </w:r>
      <w:r>
        <w:rPr>
          <w:rFonts w:hint="cs"/>
          <w:rtl/>
        </w:rPr>
        <w:t>9</w:t>
      </w:r>
      <w:r w:rsidRPr="00C43F1B">
        <w:rPr>
          <w:rFonts w:hint="cs"/>
          <w:rtl/>
        </w:rPr>
        <w:t xml:space="preserve"> נובע בין היתר מהחסמים </w:t>
      </w:r>
      <w:r>
        <w:rPr>
          <w:rFonts w:hint="cs"/>
          <w:rtl/>
        </w:rPr>
        <w:t>הייחודים ש</w:t>
      </w:r>
      <w:r w:rsidRPr="00C43F1B">
        <w:rPr>
          <w:rFonts w:hint="cs"/>
          <w:rtl/>
        </w:rPr>
        <w:t>בהליך האזרחי, המפורטים לעיל, ומחסמים הדומים לחסמים בהליך הפלילי</w:t>
      </w:r>
      <w:r>
        <w:rPr>
          <w:rFonts w:hint="cs"/>
          <w:rtl/>
        </w:rPr>
        <w:t>,</w:t>
      </w:r>
      <w:r w:rsidRPr="00C43F1B">
        <w:rPr>
          <w:rFonts w:hint="cs"/>
          <w:rtl/>
        </w:rPr>
        <w:t xml:space="preserve"> כדוגמת הליך משפטי המשחזר את הפגיעה</w:t>
      </w:r>
      <w:r>
        <w:rPr>
          <w:rFonts w:hint="cs"/>
          <w:rtl/>
        </w:rPr>
        <w:t>, החשש מעימות עם הפוגע ו</w:t>
      </w:r>
      <w:r w:rsidRPr="00C43F1B">
        <w:rPr>
          <w:rFonts w:hint="cs"/>
          <w:rtl/>
        </w:rPr>
        <w:t xml:space="preserve">חלוף הזמן עד לקבלת ההחלטה על הגשת תביעה. </w:t>
      </w:r>
    </w:p>
    <w:p w14:paraId="298C3643" w14:textId="77777777" w:rsidR="00417266" w:rsidRPr="00C43F1B" w:rsidRDefault="00417266" w:rsidP="006D7BA7">
      <w:pPr>
        <w:pStyle w:val="414"/>
        <w:rPr>
          <w:rtl/>
        </w:rPr>
      </w:pPr>
      <w:bookmarkStart w:id="15" w:name="_Toc9150785"/>
      <w:r w:rsidRPr="00C43F1B">
        <w:rPr>
          <w:rFonts w:hint="cs"/>
          <w:rtl/>
        </w:rPr>
        <w:t>הטרדות מיניות במרחב הציבורי</w:t>
      </w:r>
      <w:bookmarkEnd w:id="15"/>
    </w:p>
    <w:p w14:paraId="40966568" w14:textId="77777777" w:rsidR="00417266" w:rsidRPr="00C43F1B" w:rsidRDefault="00417266" w:rsidP="006D7BA7">
      <w:pPr>
        <w:pStyle w:val="100"/>
        <w:rPr>
          <w:rtl/>
        </w:rPr>
      </w:pPr>
      <w:r>
        <w:rPr>
          <w:rFonts w:hint="cs"/>
          <w:rtl/>
        </w:rPr>
        <w:t>האפשרויות העומדות לפני המתלוננת שנפגעה מהטרדה מינית במרחב הציבורי (ברחוב, במקומות בילוי, בתחבורה ציבורית וכיו"ב) הן הגשת תביעה ב</w:t>
      </w:r>
      <w:r w:rsidRPr="00C43F1B">
        <w:rPr>
          <w:rFonts w:hint="cs"/>
          <w:rtl/>
        </w:rPr>
        <w:t xml:space="preserve">מסלול האזרחי </w:t>
      </w:r>
      <w:r>
        <w:rPr>
          <w:rFonts w:hint="cs"/>
          <w:rtl/>
        </w:rPr>
        <w:t>או הגשת</w:t>
      </w:r>
      <w:r w:rsidRPr="00C43F1B">
        <w:rPr>
          <w:rFonts w:hint="cs"/>
          <w:rtl/>
        </w:rPr>
        <w:t xml:space="preserve"> תלונה למשטרה ו</w:t>
      </w:r>
      <w:r>
        <w:rPr>
          <w:rFonts w:hint="cs"/>
          <w:rtl/>
        </w:rPr>
        <w:t>פתיחה</w:t>
      </w:r>
      <w:r w:rsidRPr="00C43F1B">
        <w:rPr>
          <w:rFonts w:hint="cs"/>
          <w:rtl/>
        </w:rPr>
        <w:t xml:space="preserve"> בהליך פלילי. </w:t>
      </w:r>
      <w:r w:rsidRPr="00C43F1B">
        <w:rPr>
          <w:rtl/>
        </w:rPr>
        <w:t>הטרד</w:t>
      </w:r>
      <w:r w:rsidRPr="00C43F1B">
        <w:rPr>
          <w:rFonts w:hint="cs"/>
          <w:rtl/>
        </w:rPr>
        <w:t xml:space="preserve">ה במרחב הציבורי </w:t>
      </w:r>
      <w:r w:rsidRPr="00C43F1B">
        <w:rPr>
          <w:rtl/>
        </w:rPr>
        <w:t>משפיעה על חייהן של נשים בכל שעה משעות היום, מגבילה אות</w:t>
      </w:r>
      <w:r>
        <w:rPr>
          <w:rFonts w:hint="cs"/>
          <w:rtl/>
        </w:rPr>
        <w:t>ן</w:t>
      </w:r>
      <w:r w:rsidRPr="00C43F1B">
        <w:rPr>
          <w:rtl/>
        </w:rPr>
        <w:t xml:space="preserve"> ומצמצמת את נוכחותן</w:t>
      </w:r>
      <w:r w:rsidRPr="00C43F1B">
        <w:rPr>
          <w:rFonts w:hint="cs"/>
          <w:rtl/>
        </w:rPr>
        <w:t xml:space="preserve"> במרחב הציבורי</w:t>
      </w:r>
      <w:r w:rsidRPr="00C43F1B">
        <w:rPr>
          <w:rStyle w:val="FootnoteReference"/>
          <w:rtl/>
        </w:rPr>
        <w:footnoteReference w:id="35"/>
      </w:r>
      <w:r w:rsidRPr="00C43F1B">
        <w:rPr>
          <w:rtl/>
        </w:rPr>
        <w:t>.</w:t>
      </w:r>
    </w:p>
    <w:p w14:paraId="46C75A5E" w14:textId="77777777" w:rsidR="00417266" w:rsidRPr="00C43F1B" w:rsidRDefault="00417266" w:rsidP="006D7BA7">
      <w:pPr>
        <w:pStyle w:val="100"/>
        <w:rPr>
          <w:rtl/>
        </w:rPr>
      </w:pPr>
      <w:r w:rsidRPr="00C43F1B">
        <w:rPr>
          <w:rtl/>
        </w:rPr>
        <w:lastRenderedPageBreak/>
        <w:t>בשל אקראיות המעשים</w:t>
      </w:r>
      <w:r>
        <w:rPr>
          <w:rFonts w:hint="cs"/>
          <w:rtl/>
        </w:rPr>
        <w:t xml:space="preserve"> ו</w:t>
      </w:r>
      <w:r w:rsidRPr="00C43F1B">
        <w:rPr>
          <w:rtl/>
        </w:rPr>
        <w:t xml:space="preserve">האנונימיות של </w:t>
      </w:r>
      <w:r w:rsidRPr="00C43F1B">
        <w:rPr>
          <w:rFonts w:hint="eastAsia"/>
          <w:rtl/>
        </w:rPr>
        <w:t>חלק</w:t>
      </w:r>
      <w:r w:rsidRPr="00C43F1B">
        <w:rPr>
          <w:rtl/>
        </w:rPr>
        <w:t xml:space="preserve"> </w:t>
      </w:r>
      <w:r w:rsidRPr="00C43F1B">
        <w:rPr>
          <w:rFonts w:hint="eastAsia"/>
          <w:rtl/>
        </w:rPr>
        <w:t>גדול</w:t>
      </w:r>
      <w:r w:rsidRPr="00C43F1B">
        <w:rPr>
          <w:rtl/>
        </w:rPr>
        <w:t xml:space="preserve"> </w:t>
      </w:r>
      <w:r w:rsidRPr="00C43F1B">
        <w:rPr>
          <w:rFonts w:hint="eastAsia"/>
          <w:rtl/>
        </w:rPr>
        <w:t>מ</w:t>
      </w:r>
      <w:r w:rsidRPr="00C43F1B">
        <w:rPr>
          <w:rtl/>
        </w:rPr>
        <w:t>המטרידים</w:t>
      </w:r>
      <w:r>
        <w:rPr>
          <w:rFonts w:hint="cs"/>
          <w:rtl/>
        </w:rPr>
        <w:t>,</w:t>
      </w:r>
      <w:r w:rsidRPr="00C43F1B">
        <w:rPr>
          <w:rtl/>
        </w:rPr>
        <w:t xml:space="preserve"> נשים רבות אינן</w:t>
      </w:r>
      <w:r w:rsidRPr="00C43F1B">
        <w:rPr>
          <w:rFonts w:hint="cs"/>
          <w:rtl/>
        </w:rPr>
        <w:t xml:space="preserve"> </w:t>
      </w:r>
      <w:r w:rsidRPr="00C43F1B">
        <w:rPr>
          <w:rtl/>
        </w:rPr>
        <w:t>מתלוננות במשטרה</w:t>
      </w:r>
      <w:r>
        <w:rPr>
          <w:rFonts w:hint="cs"/>
          <w:rtl/>
        </w:rPr>
        <w:t xml:space="preserve">. </w:t>
      </w:r>
      <w:r w:rsidRPr="00C43F1B">
        <w:rPr>
          <w:rtl/>
        </w:rPr>
        <w:t xml:space="preserve">כך אירועים אלה אינם מקבלים </w:t>
      </w:r>
      <w:r w:rsidRPr="00C43F1B">
        <w:rPr>
          <w:rFonts w:hint="cs"/>
          <w:rtl/>
        </w:rPr>
        <w:t>חשיפה</w:t>
      </w:r>
      <w:r w:rsidRPr="00C43F1B">
        <w:rPr>
          <w:rtl/>
        </w:rPr>
        <w:t xml:space="preserve"> ואינם מטופלים.</w:t>
      </w:r>
      <w:r w:rsidRPr="00C43F1B">
        <w:rPr>
          <w:rFonts w:hint="cs"/>
          <w:rtl/>
        </w:rPr>
        <w:t xml:space="preserve"> </w:t>
      </w:r>
      <w:r w:rsidRPr="00C43F1B">
        <w:rPr>
          <w:rtl/>
        </w:rPr>
        <w:t>העובדה שהמטריד אינו מוכר לא</w:t>
      </w:r>
      <w:r w:rsidRPr="00C43F1B">
        <w:rPr>
          <w:rFonts w:hint="cs"/>
          <w:rtl/>
        </w:rPr>
        <w:t>י</w:t>
      </w:r>
      <w:r w:rsidRPr="00C43F1B">
        <w:rPr>
          <w:rtl/>
        </w:rPr>
        <w:t xml:space="preserve">שה הופכת את </w:t>
      </w:r>
      <w:r w:rsidRPr="00C43F1B">
        <w:rPr>
          <w:rFonts w:hint="cs"/>
          <w:rtl/>
        </w:rPr>
        <w:t>ה</w:t>
      </w:r>
      <w:r w:rsidRPr="00C43F1B">
        <w:rPr>
          <w:rtl/>
        </w:rPr>
        <w:t>הטרדות</w:t>
      </w:r>
      <w:r w:rsidRPr="00C43F1B">
        <w:rPr>
          <w:rFonts w:hint="cs"/>
          <w:rtl/>
        </w:rPr>
        <w:t xml:space="preserve"> במרחב הציבורי </w:t>
      </w:r>
      <w:r w:rsidRPr="00C43F1B">
        <w:rPr>
          <w:rtl/>
        </w:rPr>
        <w:t xml:space="preserve">לאירועים בלתי צפויים </w:t>
      </w:r>
      <w:r w:rsidRPr="00C43F1B">
        <w:rPr>
          <w:rFonts w:hint="cs"/>
          <w:rtl/>
        </w:rPr>
        <w:t>וקשים</w:t>
      </w:r>
      <w:r w:rsidRPr="00C43F1B">
        <w:rPr>
          <w:rtl/>
        </w:rPr>
        <w:t xml:space="preserve"> למניעה</w:t>
      </w:r>
      <w:r w:rsidRPr="00C43F1B">
        <w:rPr>
          <w:rFonts w:hint="cs"/>
          <w:rtl/>
        </w:rPr>
        <w:t xml:space="preserve">. </w:t>
      </w:r>
    </w:p>
    <w:p w14:paraId="599E1662" w14:textId="77777777" w:rsidR="00417266" w:rsidRPr="00C43F1B" w:rsidRDefault="00417266" w:rsidP="006D7BA7">
      <w:pPr>
        <w:pStyle w:val="100"/>
        <w:rPr>
          <w:rtl/>
        </w:rPr>
      </w:pPr>
      <w:r w:rsidRPr="00C43F1B">
        <w:rPr>
          <w:rFonts w:hint="cs"/>
          <w:rtl/>
        </w:rPr>
        <w:t>מממצאי סקר שנערך בשנת 2011</w:t>
      </w:r>
      <w:r w:rsidRPr="00C43F1B">
        <w:rPr>
          <w:rStyle w:val="FootnoteReference"/>
          <w:rtl/>
        </w:rPr>
        <w:footnoteReference w:id="36"/>
      </w:r>
      <w:r w:rsidRPr="00C43F1B">
        <w:rPr>
          <w:rFonts w:hint="cs"/>
          <w:rtl/>
        </w:rPr>
        <w:t xml:space="preserve"> בקרב 500 נשים בתל אביב עולה כי </w:t>
      </w:r>
      <w:r w:rsidRPr="00C43F1B">
        <w:rPr>
          <w:rtl/>
        </w:rPr>
        <w:t>אחת מ</w:t>
      </w:r>
      <w:r w:rsidRPr="00C43F1B">
        <w:rPr>
          <w:rFonts w:hint="cs"/>
          <w:rtl/>
        </w:rPr>
        <w:t xml:space="preserve">כל </w:t>
      </w:r>
      <w:r w:rsidRPr="00C43F1B">
        <w:rPr>
          <w:rtl/>
        </w:rPr>
        <w:t>ארבע</w:t>
      </w:r>
      <w:r w:rsidRPr="00C43F1B">
        <w:rPr>
          <w:rFonts w:hint="cs"/>
          <w:rtl/>
        </w:rPr>
        <w:t xml:space="preserve"> נשים</w:t>
      </w:r>
      <w:r w:rsidRPr="00C43F1B">
        <w:rPr>
          <w:rtl/>
        </w:rPr>
        <w:t xml:space="preserve"> חוותה הטרדה מינית או מעשה מגונה</w:t>
      </w:r>
      <w:r w:rsidRPr="00C43F1B">
        <w:rPr>
          <w:rFonts w:hint="cs"/>
          <w:rtl/>
        </w:rPr>
        <w:t xml:space="preserve"> בתחבורה הציבורית</w:t>
      </w:r>
      <w:r w:rsidRPr="00C43F1B">
        <w:rPr>
          <w:rtl/>
        </w:rPr>
        <w:t>, ואחת מחמש הי</w:t>
      </w:r>
      <w:r w:rsidRPr="00C43F1B">
        <w:rPr>
          <w:rFonts w:hint="cs"/>
          <w:rtl/>
        </w:rPr>
        <w:t>י</w:t>
      </w:r>
      <w:r w:rsidRPr="00C43F1B">
        <w:rPr>
          <w:rtl/>
        </w:rPr>
        <w:t xml:space="preserve">תה עדה </w:t>
      </w:r>
      <w:r w:rsidRPr="00C43F1B">
        <w:rPr>
          <w:rFonts w:hint="cs"/>
          <w:rtl/>
        </w:rPr>
        <w:t>להם</w:t>
      </w:r>
      <w:r w:rsidRPr="00C43F1B">
        <w:t>.</w:t>
      </w:r>
      <w:r w:rsidRPr="00C43F1B">
        <w:rPr>
          <w:rFonts w:hint="cs"/>
          <w:rtl/>
        </w:rPr>
        <w:t xml:space="preserve"> </w:t>
      </w:r>
    </w:p>
    <w:p w14:paraId="08C060FE" w14:textId="77777777" w:rsidR="00417266" w:rsidRPr="00C43F1B" w:rsidRDefault="00417266" w:rsidP="006D7BA7">
      <w:pPr>
        <w:pStyle w:val="100"/>
        <w:rPr>
          <w:rtl/>
        </w:rPr>
      </w:pPr>
      <w:r>
        <w:rPr>
          <w:rFonts w:hint="cs"/>
          <w:rtl/>
        </w:rPr>
        <w:t>להערכת ה-</w:t>
      </w:r>
      <w:r>
        <w:rPr>
          <w:rFonts w:hint="cs"/>
        </w:rPr>
        <w:t>OECD</w:t>
      </w:r>
      <w:r>
        <w:rPr>
          <w:rFonts w:hint="cs"/>
          <w:rtl/>
        </w:rPr>
        <w:t xml:space="preserve"> 75% מכל נשות העולם מעל גיל 18 הוטרדו מינית במהלך חייהן (2 מיליארד מתוך 2.7 מיליארד הנשים בעולם)</w:t>
      </w:r>
      <w:r>
        <w:rPr>
          <w:rStyle w:val="FootnoteReference"/>
          <w:rtl/>
        </w:rPr>
        <w:footnoteReference w:id="37"/>
      </w:r>
      <w:r>
        <w:rPr>
          <w:rFonts w:hint="cs"/>
          <w:rtl/>
        </w:rPr>
        <w:t xml:space="preserve">. </w:t>
      </w:r>
      <w:r w:rsidRPr="00C43F1B">
        <w:rPr>
          <w:rFonts w:hint="cs"/>
          <w:rtl/>
        </w:rPr>
        <w:t>מדינות מסוימות החלו להיאבק בתופעה. לדוגמה, בצרפת חוקק באוגוסט 2018 חוק המאפשר להטיל קנס על אנשים המטרידים מינית ברחוב</w:t>
      </w:r>
      <w:r w:rsidRPr="00C43F1B">
        <w:rPr>
          <w:rStyle w:val="FootnoteReference"/>
          <w:rtl/>
        </w:rPr>
        <w:footnoteReference w:id="38"/>
      </w:r>
      <w:r w:rsidRPr="00C43F1B">
        <w:rPr>
          <w:rFonts w:hint="cs"/>
          <w:rtl/>
        </w:rPr>
        <w:t>. בארצות אחרות יש דעות שונות בשאלה אם יש לראות בהטרדות רחוב הפרעה לסדר הציבורי ולתת להן מענה משטרתי. יש מי שסבורים שראוי להתמקד בשינוי תודעתי-חברתי שיתקיים מחוץ לשדה המשפטי-פלילי, שכן מעט מהטרדות הרחוב נדונות בו</w:t>
      </w:r>
      <w:r>
        <w:rPr>
          <w:rStyle w:val="FootnoteReference"/>
          <w:rtl/>
        </w:rPr>
        <w:footnoteReference w:id="39"/>
      </w:r>
      <w:r w:rsidRPr="00C43F1B">
        <w:rPr>
          <w:rFonts w:hint="cs"/>
          <w:rtl/>
        </w:rPr>
        <w:t>.</w:t>
      </w:r>
    </w:p>
    <w:p w14:paraId="0BE229A4" w14:textId="77777777" w:rsidR="00417266" w:rsidRPr="00C43F1B" w:rsidRDefault="00417266" w:rsidP="006D7BA7">
      <w:pPr>
        <w:pStyle w:val="af3"/>
        <w:rPr>
          <w:rtl/>
        </w:rPr>
      </w:pPr>
      <w:r w:rsidRPr="00C43F1B">
        <w:rPr>
          <w:rFonts w:hint="cs"/>
          <w:rtl/>
        </w:rPr>
        <w:t xml:space="preserve">הטרדות מיניות במרחב הציבורי הן תופעה חברתית שאין לראות בה התמודדות אישית של אישה זו או אחרת, ולכל אישה הזכות לבחור את המקומות שבהם תשהה ללא חשש מהטרדה מינית. </w:t>
      </w:r>
      <w:r w:rsidRPr="00C43F1B">
        <w:rPr>
          <w:rFonts w:hint="eastAsia"/>
          <w:rtl/>
        </w:rPr>
        <w:t>החוק</w:t>
      </w:r>
      <w:r w:rsidRPr="00C43F1B">
        <w:rPr>
          <w:rtl/>
        </w:rPr>
        <w:t xml:space="preserve"> </w:t>
      </w:r>
      <w:r w:rsidRPr="00C43F1B">
        <w:rPr>
          <w:rFonts w:hint="eastAsia"/>
          <w:rtl/>
        </w:rPr>
        <w:t>הישראלי</w:t>
      </w:r>
      <w:r w:rsidRPr="00C43F1B">
        <w:rPr>
          <w:rtl/>
        </w:rPr>
        <w:t xml:space="preserve"> </w:t>
      </w:r>
      <w:r>
        <w:rPr>
          <w:rFonts w:hint="cs"/>
          <w:rtl/>
        </w:rPr>
        <w:t>מאפשר ה</w:t>
      </w:r>
      <w:r w:rsidRPr="00C43F1B">
        <w:rPr>
          <w:rFonts w:hint="eastAsia"/>
          <w:rtl/>
        </w:rPr>
        <w:t>גשת</w:t>
      </w:r>
      <w:r w:rsidRPr="00C43F1B">
        <w:rPr>
          <w:rtl/>
        </w:rPr>
        <w:t xml:space="preserve"> </w:t>
      </w:r>
      <w:r w:rsidRPr="00C43F1B">
        <w:rPr>
          <w:rFonts w:hint="eastAsia"/>
          <w:rtl/>
        </w:rPr>
        <w:t>תביעה</w:t>
      </w:r>
      <w:r w:rsidRPr="00C43F1B">
        <w:rPr>
          <w:rtl/>
        </w:rPr>
        <w:t xml:space="preserve"> </w:t>
      </w:r>
      <w:r w:rsidRPr="00C43F1B">
        <w:rPr>
          <w:rFonts w:hint="eastAsia"/>
          <w:rtl/>
        </w:rPr>
        <w:t>נזיקית</w:t>
      </w:r>
      <w:r w:rsidRPr="00C43F1B">
        <w:rPr>
          <w:rtl/>
        </w:rPr>
        <w:t xml:space="preserve"> </w:t>
      </w:r>
      <w:r w:rsidRPr="00C43F1B">
        <w:rPr>
          <w:rFonts w:hint="eastAsia"/>
          <w:rtl/>
        </w:rPr>
        <w:t>לבית</w:t>
      </w:r>
      <w:r w:rsidRPr="00C43F1B">
        <w:rPr>
          <w:rtl/>
        </w:rPr>
        <w:t xml:space="preserve"> </w:t>
      </w:r>
      <w:r w:rsidRPr="00C43F1B">
        <w:rPr>
          <w:rFonts w:hint="eastAsia"/>
          <w:rtl/>
        </w:rPr>
        <w:t>המשפט</w:t>
      </w:r>
      <w:r w:rsidRPr="00C43F1B">
        <w:rPr>
          <w:rtl/>
        </w:rPr>
        <w:t xml:space="preserve"> </w:t>
      </w:r>
      <w:r>
        <w:rPr>
          <w:rFonts w:hint="cs"/>
          <w:rtl/>
        </w:rPr>
        <w:t>בגין הטרדה מינית במרחב הציבורי</w:t>
      </w:r>
      <w:r w:rsidRPr="00C43F1B">
        <w:rPr>
          <w:rtl/>
        </w:rPr>
        <w:t xml:space="preserve">, </w:t>
      </w:r>
      <w:r w:rsidRPr="00C43F1B">
        <w:rPr>
          <w:rFonts w:hint="eastAsia"/>
          <w:rtl/>
        </w:rPr>
        <w:t>אלא</w:t>
      </w:r>
      <w:r w:rsidRPr="00C43F1B">
        <w:rPr>
          <w:rtl/>
        </w:rPr>
        <w:t xml:space="preserve"> </w:t>
      </w:r>
      <w:r w:rsidRPr="00C43F1B">
        <w:rPr>
          <w:rFonts w:hint="cs"/>
          <w:rtl/>
        </w:rPr>
        <w:t>ש</w:t>
      </w:r>
      <w:r w:rsidRPr="00C43F1B">
        <w:rPr>
          <w:rFonts w:hint="eastAsia"/>
          <w:rtl/>
        </w:rPr>
        <w:t>מעטות</w:t>
      </w:r>
      <w:r w:rsidRPr="00C43F1B">
        <w:rPr>
          <w:rtl/>
        </w:rPr>
        <w:t xml:space="preserve"> </w:t>
      </w:r>
      <w:r w:rsidRPr="00C43F1B">
        <w:rPr>
          <w:rFonts w:hint="eastAsia"/>
          <w:rtl/>
        </w:rPr>
        <w:t>הנשים</w:t>
      </w:r>
      <w:r w:rsidRPr="00C43F1B">
        <w:rPr>
          <w:rtl/>
        </w:rPr>
        <w:t xml:space="preserve"> </w:t>
      </w:r>
      <w:r w:rsidRPr="00C43F1B">
        <w:rPr>
          <w:rFonts w:hint="cs"/>
          <w:rtl/>
        </w:rPr>
        <w:t xml:space="preserve">שהשתמשו עד כה </w:t>
      </w:r>
      <w:r w:rsidRPr="00C43F1B">
        <w:rPr>
          <w:rFonts w:hint="eastAsia"/>
          <w:rtl/>
        </w:rPr>
        <w:t>בכלי</w:t>
      </w:r>
      <w:r w:rsidRPr="00C43F1B">
        <w:rPr>
          <w:rtl/>
        </w:rPr>
        <w:t xml:space="preserve"> </w:t>
      </w:r>
      <w:r w:rsidRPr="00C43F1B">
        <w:rPr>
          <w:rFonts w:hint="eastAsia"/>
          <w:rtl/>
        </w:rPr>
        <w:t>משפטי</w:t>
      </w:r>
      <w:r w:rsidRPr="00C43F1B">
        <w:rPr>
          <w:rtl/>
        </w:rPr>
        <w:t xml:space="preserve"> </w:t>
      </w:r>
      <w:r w:rsidRPr="00C43F1B">
        <w:rPr>
          <w:rFonts w:hint="eastAsia"/>
          <w:rtl/>
        </w:rPr>
        <w:t>זה</w:t>
      </w:r>
      <w:r w:rsidRPr="00C43F1B">
        <w:rPr>
          <w:rtl/>
        </w:rPr>
        <w:t>.</w:t>
      </w:r>
    </w:p>
    <w:p w14:paraId="640F05DA" w14:textId="77777777" w:rsidR="00417266" w:rsidRPr="00C43F1B" w:rsidRDefault="00417266" w:rsidP="006D7BA7">
      <w:pPr>
        <w:pStyle w:val="af3"/>
        <w:rPr>
          <w:rtl/>
        </w:rPr>
      </w:pPr>
      <w:r w:rsidRPr="00C43F1B">
        <w:rPr>
          <w:rFonts w:hint="cs"/>
          <w:rtl/>
        </w:rPr>
        <w:t xml:space="preserve">שלא כמו בהליך הפלילי, להליך האזרחי אין הליכים חלופיים. </w:t>
      </w:r>
      <w:r w:rsidRPr="00C43F1B">
        <w:rPr>
          <w:rtl/>
        </w:rPr>
        <w:t xml:space="preserve">בשנים האחרונות ניתן לראות פעילות של </w:t>
      </w:r>
      <w:r w:rsidRPr="00C43F1B">
        <w:rPr>
          <w:rFonts w:hint="cs"/>
          <w:rtl/>
        </w:rPr>
        <w:t>ארגונים</w:t>
      </w:r>
      <w:r w:rsidRPr="00C43F1B">
        <w:rPr>
          <w:rtl/>
        </w:rPr>
        <w:t>, עמותות ומוסדות ב</w:t>
      </w:r>
      <w:r w:rsidRPr="00C43F1B">
        <w:rPr>
          <w:rFonts w:hint="cs"/>
          <w:rtl/>
        </w:rPr>
        <w:t>ארץ וב</w:t>
      </w:r>
      <w:r w:rsidRPr="00C43F1B">
        <w:rPr>
          <w:rtl/>
        </w:rPr>
        <w:t>רחבי</w:t>
      </w:r>
      <w:r w:rsidRPr="00C43F1B">
        <w:rPr>
          <w:rFonts w:hint="cs"/>
          <w:rtl/>
        </w:rPr>
        <w:t xml:space="preserve"> </w:t>
      </w:r>
      <w:r w:rsidRPr="00C43F1B">
        <w:rPr>
          <w:rtl/>
        </w:rPr>
        <w:t>העולם שמטרתם להתמודד עם הטרדות</w:t>
      </w:r>
      <w:r w:rsidRPr="00C43F1B">
        <w:rPr>
          <w:rFonts w:hint="cs"/>
          <w:rtl/>
        </w:rPr>
        <w:t xml:space="preserve"> במרחב הציבורי</w:t>
      </w:r>
      <w:r w:rsidRPr="00C43F1B">
        <w:rPr>
          <w:rtl/>
        </w:rPr>
        <w:t xml:space="preserve"> ולהגביר את ביטחונן של נשים במרחב</w:t>
      </w:r>
      <w:r w:rsidRPr="00C43F1B">
        <w:rPr>
          <w:rFonts w:hint="cs"/>
          <w:rtl/>
        </w:rPr>
        <w:t xml:space="preserve"> </w:t>
      </w:r>
      <w:r>
        <w:rPr>
          <w:rFonts w:hint="cs"/>
          <w:rtl/>
        </w:rPr>
        <w:t>זה</w:t>
      </w:r>
      <w:r w:rsidRPr="00C43F1B">
        <w:rPr>
          <w:rtl/>
        </w:rPr>
        <w:t xml:space="preserve">. </w:t>
      </w:r>
      <w:r w:rsidRPr="00C43F1B">
        <w:rPr>
          <w:rFonts w:hint="cs"/>
          <w:rtl/>
        </w:rPr>
        <w:t>להלן דוגמאות:</w:t>
      </w:r>
    </w:p>
    <w:p w14:paraId="1F30192A" w14:textId="77777777" w:rsidR="00417266" w:rsidRPr="00C43F1B" w:rsidRDefault="00417266" w:rsidP="00F10ECA">
      <w:pPr>
        <w:pStyle w:val="a0"/>
        <w:numPr>
          <w:ilvl w:val="0"/>
          <w:numId w:val="21"/>
        </w:numPr>
      </w:pPr>
      <w:r w:rsidRPr="00C43F1B">
        <w:rPr>
          <w:rFonts w:hint="cs"/>
          <w:rtl/>
        </w:rPr>
        <w:t>בשנת 2017 הודבקו</w:t>
      </w:r>
      <w:r w:rsidRPr="00C43F1B">
        <w:rPr>
          <w:rtl/>
        </w:rPr>
        <w:t xml:space="preserve"> </w:t>
      </w:r>
      <w:r w:rsidRPr="00C43F1B">
        <w:rPr>
          <w:rFonts w:hint="cs"/>
          <w:rtl/>
        </w:rPr>
        <w:t>ב</w:t>
      </w:r>
      <w:r w:rsidRPr="00C43F1B">
        <w:rPr>
          <w:rtl/>
        </w:rPr>
        <w:t>אוטובוסים</w:t>
      </w:r>
      <w:r w:rsidRPr="00C43F1B">
        <w:rPr>
          <w:rFonts w:hint="cs"/>
          <w:rtl/>
        </w:rPr>
        <w:t xml:space="preserve"> מודעות ובהן מידע על החוק למניעת </w:t>
      </w:r>
      <w:r w:rsidRPr="00C43F1B">
        <w:rPr>
          <w:rtl/>
        </w:rPr>
        <w:t xml:space="preserve">הטרדה מינית. </w:t>
      </w:r>
      <w:r w:rsidRPr="00C43F1B">
        <w:rPr>
          <w:rFonts w:hint="cs"/>
          <w:rtl/>
        </w:rPr>
        <w:t>יוזמה זו קודמה על ידי שר התחבורה</w:t>
      </w:r>
      <w:r>
        <w:rPr>
          <w:rFonts w:hint="cs"/>
          <w:rtl/>
        </w:rPr>
        <w:t xml:space="preserve"> דאז</w:t>
      </w:r>
      <w:r w:rsidRPr="00C43F1B">
        <w:rPr>
          <w:rFonts w:hint="cs"/>
          <w:rtl/>
        </w:rPr>
        <w:t xml:space="preserve"> ח"כ ישראל כ"ץ וחברת </w:t>
      </w:r>
      <w:r>
        <w:rPr>
          <w:rFonts w:hint="cs"/>
          <w:rtl/>
        </w:rPr>
        <w:t>ה</w:t>
      </w:r>
      <w:r w:rsidRPr="00C43F1B">
        <w:rPr>
          <w:rFonts w:hint="cs"/>
          <w:rtl/>
        </w:rPr>
        <w:t>כנסת מיכל רוזין. מטרת ה</w:t>
      </w:r>
      <w:r w:rsidRPr="00C43F1B">
        <w:rPr>
          <w:rtl/>
        </w:rPr>
        <w:t xml:space="preserve">מדבקה </w:t>
      </w:r>
      <w:r w:rsidRPr="00C43F1B">
        <w:rPr>
          <w:rFonts w:hint="cs"/>
          <w:rtl/>
        </w:rPr>
        <w:t>ליידע את הציבור שהטרדה מינית היא</w:t>
      </w:r>
      <w:r w:rsidRPr="00C43F1B">
        <w:rPr>
          <w:rtl/>
        </w:rPr>
        <w:t xml:space="preserve"> עבירה</w:t>
      </w:r>
      <w:r>
        <w:rPr>
          <w:rFonts w:hint="cs"/>
          <w:rtl/>
        </w:rPr>
        <w:t>,</w:t>
      </w:r>
      <w:r w:rsidRPr="00C43F1B">
        <w:rPr>
          <w:rtl/>
        </w:rPr>
        <w:t xml:space="preserve"> </w:t>
      </w:r>
      <w:r w:rsidRPr="00C43F1B">
        <w:rPr>
          <w:rFonts w:hint="cs"/>
          <w:rtl/>
        </w:rPr>
        <w:t>וכי ניתן לגשת לנהג בעניין זה והוא יכול להזמין את המשטרה כדי שתטפל בנושא.</w:t>
      </w:r>
    </w:p>
    <w:p w14:paraId="6E0F2A83" w14:textId="77777777" w:rsidR="00417266" w:rsidRDefault="00417266" w:rsidP="00C6774F">
      <w:pPr>
        <w:pStyle w:val="a0"/>
      </w:pPr>
      <w:r w:rsidRPr="00C43F1B">
        <w:rPr>
          <w:rtl/>
        </w:rPr>
        <w:t>במאי 2017 נוסדה עמותת ״לילה טוב - לבלות בלי הטרדות״ (ע״ר)</w:t>
      </w:r>
      <w:r w:rsidRPr="00C43F1B">
        <w:rPr>
          <w:rFonts w:hint="cs"/>
          <w:rtl/>
        </w:rPr>
        <w:t>. מטרת העמותה לקדם ח</w:t>
      </w:r>
      <w:r w:rsidRPr="00C43F1B">
        <w:rPr>
          <w:rtl/>
        </w:rPr>
        <w:t>יי לילה</w:t>
      </w:r>
      <w:r>
        <w:rPr>
          <w:rFonts w:hint="cs"/>
          <w:rtl/>
        </w:rPr>
        <w:t xml:space="preserve"> ו</w:t>
      </w:r>
      <w:r w:rsidRPr="00C43F1B">
        <w:rPr>
          <w:rtl/>
        </w:rPr>
        <w:t>מרחבי הופעות, פסטיבלים ומסיבות מהנים ובטוחים</w:t>
      </w:r>
      <w:r w:rsidRPr="00C43F1B">
        <w:rPr>
          <w:rFonts w:hint="cs"/>
          <w:rtl/>
        </w:rPr>
        <w:t xml:space="preserve">. העמותה מקדמת מניעת הטרדות מיניות באמצעות החתמה של מקומות בילוי על אמנה ובה הם מתחייבים </w:t>
      </w:r>
      <w:r w:rsidRPr="00C43F1B">
        <w:rPr>
          <w:rtl/>
        </w:rPr>
        <w:t xml:space="preserve">לשלושה עקרונות יסוד: ראשית, צוות </w:t>
      </w:r>
      <w:r w:rsidRPr="00C43F1B">
        <w:rPr>
          <w:rFonts w:hint="cs"/>
          <w:rtl/>
        </w:rPr>
        <w:t xml:space="preserve">עובדי מקום הבילוי יקבל </w:t>
      </w:r>
      <w:r w:rsidRPr="00C43F1B">
        <w:rPr>
          <w:rtl/>
        </w:rPr>
        <w:t>אחת לשנה הכשר</w:t>
      </w:r>
      <w:r w:rsidRPr="00C43F1B">
        <w:rPr>
          <w:rFonts w:hint="cs"/>
          <w:rtl/>
        </w:rPr>
        <w:t>ה</w:t>
      </w:r>
      <w:r w:rsidRPr="00C43F1B">
        <w:rPr>
          <w:rtl/>
        </w:rPr>
        <w:t xml:space="preserve"> ייעודית </w:t>
      </w:r>
      <w:r w:rsidRPr="00C43F1B">
        <w:rPr>
          <w:rFonts w:hint="cs"/>
          <w:rtl/>
        </w:rPr>
        <w:t xml:space="preserve">המקנה </w:t>
      </w:r>
      <w:r w:rsidRPr="00C43F1B">
        <w:rPr>
          <w:rtl/>
        </w:rPr>
        <w:t>כלים לזיהוי מקרים של הטרדה מינית</w:t>
      </w:r>
      <w:r w:rsidRPr="00C43F1B">
        <w:rPr>
          <w:rFonts w:hint="cs"/>
          <w:rtl/>
        </w:rPr>
        <w:t xml:space="preserve"> וטיפול בהם</w:t>
      </w:r>
      <w:r w:rsidRPr="00C43F1B">
        <w:rPr>
          <w:rtl/>
        </w:rPr>
        <w:t xml:space="preserve">; שנית, תליית </w:t>
      </w:r>
      <w:r w:rsidRPr="00C43F1B">
        <w:rPr>
          <w:rFonts w:hint="cs"/>
          <w:rtl/>
        </w:rPr>
        <w:t xml:space="preserve">שלטים </w:t>
      </w:r>
      <w:r w:rsidRPr="00C43F1B">
        <w:rPr>
          <w:rtl/>
        </w:rPr>
        <w:t xml:space="preserve">ברחבי </w:t>
      </w:r>
      <w:r w:rsidRPr="00C43F1B">
        <w:rPr>
          <w:rFonts w:hint="cs"/>
          <w:rtl/>
        </w:rPr>
        <w:t xml:space="preserve">מקום הבילוי </w:t>
      </w:r>
      <w:r w:rsidRPr="00C43F1B">
        <w:rPr>
          <w:rtl/>
        </w:rPr>
        <w:t>המבהיר</w:t>
      </w:r>
      <w:r w:rsidRPr="00C43F1B">
        <w:rPr>
          <w:rFonts w:hint="cs"/>
          <w:rtl/>
        </w:rPr>
        <w:t>ים</w:t>
      </w:r>
      <w:r w:rsidRPr="00C43F1B">
        <w:rPr>
          <w:rtl/>
        </w:rPr>
        <w:t xml:space="preserve"> למבלים שלמקום</w:t>
      </w:r>
      <w:r w:rsidRPr="00C43F1B">
        <w:rPr>
          <w:rFonts w:hint="cs"/>
          <w:rtl/>
        </w:rPr>
        <w:t xml:space="preserve"> הבילוי</w:t>
      </w:r>
      <w:r w:rsidRPr="00C43F1B">
        <w:rPr>
          <w:rtl/>
        </w:rPr>
        <w:t xml:space="preserve"> "יש אפס סובלנות כלפי הטרדה מינית", ומי שחש</w:t>
      </w:r>
      <w:r w:rsidRPr="00C43F1B">
        <w:rPr>
          <w:rFonts w:hint="cs"/>
          <w:rtl/>
        </w:rPr>
        <w:t>ה</w:t>
      </w:r>
      <w:r w:rsidRPr="00C43F1B">
        <w:rPr>
          <w:rtl/>
        </w:rPr>
        <w:t xml:space="preserve"> מוטרד</w:t>
      </w:r>
      <w:r w:rsidRPr="00C43F1B">
        <w:rPr>
          <w:rFonts w:hint="cs"/>
          <w:rtl/>
        </w:rPr>
        <w:t>ת</w:t>
      </w:r>
      <w:r w:rsidRPr="00C43F1B">
        <w:rPr>
          <w:rtl/>
        </w:rPr>
        <w:t xml:space="preserve"> יכול</w:t>
      </w:r>
      <w:r w:rsidRPr="00C43F1B">
        <w:rPr>
          <w:rFonts w:hint="cs"/>
          <w:rtl/>
        </w:rPr>
        <w:t>ה</w:t>
      </w:r>
      <w:r w:rsidRPr="00C43F1B">
        <w:rPr>
          <w:rtl/>
        </w:rPr>
        <w:t xml:space="preserve"> לפנות לכל אחד מעובדי המקום לעזרה; שלישית, מינוי אחראי לנושא במקום </w:t>
      </w:r>
      <w:r>
        <w:rPr>
          <w:rFonts w:hint="cs"/>
          <w:rtl/>
        </w:rPr>
        <w:lastRenderedPageBreak/>
        <w:t>ה</w:t>
      </w:r>
      <w:r w:rsidRPr="00C43F1B">
        <w:rPr>
          <w:rtl/>
        </w:rPr>
        <w:t xml:space="preserve">בילוי לצורך טיפול </w:t>
      </w:r>
      <w:r w:rsidRPr="00C43F1B">
        <w:rPr>
          <w:rFonts w:hint="cs"/>
          <w:rtl/>
        </w:rPr>
        <w:t>ב</w:t>
      </w:r>
      <w:r w:rsidRPr="00C43F1B">
        <w:rPr>
          <w:rtl/>
        </w:rPr>
        <w:t>מקרים</w:t>
      </w:r>
      <w:r w:rsidRPr="00C43F1B">
        <w:rPr>
          <w:rFonts w:hint="cs"/>
          <w:rtl/>
        </w:rPr>
        <w:t xml:space="preserve"> ותיעודם</w:t>
      </w:r>
      <w:r w:rsidRPr="00C43F1B">
        <w:rPr>
          <w:rtl/>
        </w:rPr>
        <w:t>, תיאום ההכשרות והנחלת העקרונות בקרב עובדי המקום.</w:t>
      </w:r>
    </w:p>
    <w:p w14:paraId="3C9419FF" w14:textId="77777777" w:rsidR="00417266" w:rsidRPr="00C43F1B" w:rsidRDefault="00417266" w:rsidP="00C6774F">
      <w:pPr>
        <w:pStyle w:val="a0"/>
        <w:rPr>
          <w:rtl/>
        </w:rPr>
      </w:pPr>
      <w:r w:rsidRPr="00C43F1B">
        <w:rPr>
          <w:rtl/>
        </w:rPr>
        <w:t>הארגון הבי</w:t>
      </w:r>
      <w:r w:rsidRPr="00C43F1B">
        <w:rPr>
          <w:rFonts w:hint="cs"/>
          <w:rtl/>
        </w:rPr>
        <w:t>ן-</w:t>
      </w:r>
      <w:r w:rsidRPr="00C43F1B">
        <w:rPr>
          <w:rtl/>
        </w:rPr>
        <w:t>לאומי למען נשים בערים</w:t>
      </w:r>
      <w:r w:rsidRPr="00C43F1B">
        <w:rPr>
          <w:rFonts w:hint="cs"/>
          <w:rtl/>
        </w:rPr>
        <w:t xml:space="preserve"> </w:t>
      </w:r>
      <w:r w:rsidRPr="00C43F1B">
        <w:t>(Women in Cities International)</w:t>
      </w:r>
      <w:r w:rsidRPr="00C43F1B">
        <w:rPr>
          <w:rFonts w:hint="cs"/>
          <w:rtl/>
        </w:rPr>
        <w:t xml:space="preserve"> </w:t>
      </w:r>
      <w:r w:rsidRPr="00C43F1B">
        <w:rPr>
          <w:rtl/>
        </w:rPr>
        <w:t>פועל לשיתוף פעולה בין ארגונים ותוכניות לשם שיפור ביטחונן ואיכות חייהן של נשים בערים שונות בעולם</w:t>
      </w:r>
      <w:r>
        <w:rPr>
          <w:rFonts w:hint="cs"/>
          <w:rtl/>
        </w:rPr>
        <w:t>,</w:t>
      </w:r>
      <w:r w:rsidRPr="00C43F1B">
        <w:rPr>
          <w:rFonts w:hint="cs"/>
          <w:rtl/>
        </w:rPr>
        <w:t xml:space="preserve"> ו</w:t>
      </w:r>
      <w:r w:rsidRPr="00C43F1B">
        <w:rPr>
          <w:rtl/>
        </w:rPr>
        <w:t>התוכנית לערים בטוחות</w:t>
      </w:r>
      <w:r w:rsidRPr="00C43F1B">
        <w:rPr>
          <w:rFonts w:hint="cs"/>
          <w:rtl/>
        </w:rPr>
        <w:t xml:space="preserve"> </w:t>
      </w:r>
      <w:r w:rsidRPr="00C43F1B">
        <w:rPr>
          <w:rtl/>
        </w:rPr>
        <w:t>פועלת בחסות מחלקת הנשים באו"ם</w:t>
      </w:r>
      <w:r w:rsidRPr="00C43F1B">
        <w:rPr>
          <w:rStyle w:val="FootnoteReference"/>
          <w:rtl/>
        </w:rPr>
        <w:footnoteReference w:id="40"/>
      </w:r>
      <w:r w:rsidRPr="00C43F1B">
        <w:rPr>
          <w:rFonts w:hint="cs"/>
          <w:rtl/>
        </w:rPr>
        <w:t xml:space="preserve">. </w:t>
      </w:r>
      <w:r>
        <w:rPr>
          <w:rFonts w:hint="cs"/>
          <w:rtl/>
        </w:rPr>
        <w:t>במסגרת פעולות הארגון ו</w:t>
      </w:r>
      <w:r w:rsidRPr="00C43F1B">
        <w:rPr>
          <w:rFonts w:hint="cs"/>
          <w:rtl/>
        </w:rPr>
        <w:t>ה</w:t>
      </w:r>
      <w:r w:rsidRPr="00C43F1B">
        <w:rPr>
          <w:rtl/>
        </w:rPr>
        <w:t>ת</w:t>
      </w:r>
      <w:r>
        <w:rPr>
          <w:rFonts w:hint="cs"/>
          <w:rtl/>
        </w:rPr>
        <w:t>ו</w:t>
      </w:r>
      <w:r w:rsidRPr="00C43F1B">
        <w:rPr>
          <w:rtl/>
        </w:rPr>
        <w:t>כניות אוספ</w:t>
      </w:r>
      <w:r>
        <w:rPr>
          <w:rFonts w:hint="cs"/>
          <w:rtl/>
        </w:rPr>
        <w:t>ים</w:t>
      </w:r>
      <w:r w:rsidRPr="00C43F1B">
        <w:rPr>
          <w:rtl/>
        </w:rPr>
        <w:t xml:space="preserve"> נתונים על בעיות של נשים במרחבים הציבוריים בהקשרים</w:t>
      </w:r>
      <w:r w:rsidRPr="00C43F1B">
        <w:rPr>
          <w:rFonts w:hint="cs"/>
          <w:rtl/>
        </w:rPr>
        <w:t xml:space="preserve"> </w:t>
      </w:r>
      <w:r w:rsidRPr="00C43F1B">
        <w:rPr>
          <w:rtl/>
        </w:rPr>
        <w:t>מקומיים ופועל</w:t>
      </w:r>
      <w:r>
        <w:rPr>
          <w:rFonts w:hint="cs"/>
          <w:rtl/>
        </w:rPr>
        <w:t>ים</w:t>
      </w:r>
      <w:r w:rsidRPr="00C43F1B">
        <w:rPr>
          <w:rtl/>
        </w:rPr>
        <w:t xml:space="preserve"> למציאת פתרונות </w:t>
      </w:r>
      <w:r w:rsidRPr="00C43F1B">
        <w:rPr>
          <w:rFonts w:hint="cs"/>
          <w:rtl/>
        </w:rPr>
        <w:t>ב</w:t>
      </w:r>
      <w:r w:rsidRPr="00C43F1B">
        <w:rPr>
          <w:rtl/>
        </w:rPr>
        <w:t>שיתוף פעולה עם הקהילות המקומיות.</w:t>
      </w:r>
      <w:r w:rsidRPr="00C43F1B">
        <w:rPr>
          <w:rFonts w:hint="cs"/>
          <w:rtl/>
        </w:rPr>
        <w:t xml:space="preserve"> </w:t>
      </w:r>
      <w:r w:rsidRPr="00C43F1B">
        <w:rPr>
          <w:rtl/>
        </w:rPr>
        <w:t>בבסיס התארגנויות ויוזמות מעין אלה ניצבת השאלה כיצד אפשר ליצ</w:t>
      </w:r>
      <w:r w:rsidRPr="00C43F1B">
        <w:rPr>
          <w:rFonts w:hint="cs"/>
          <w:rtl/>
        </w:rPr>
        <w:t>ו</w:t>
      </w:r>
      <w:r w:rsidRPr="00C43F1B">
        <w:rPr>
          <w:rtl/>
        </w:rPr>
        <w:t>ר שינוי</w:t>
      </w:r>
      <w:r w:rsidRPr="00C43F1B">
        <w:rPr>
          <w:rFonts w:hint="cs"/>
          <w:rtl/>
        </w:rPr>
        <w:t xml:space="preserve"> </w:t>
      </w:r>
      <w:r w:rsidRPr="00C43F1B">
        <w:rPr>
          <w:rtl/>
        </w:rPr>
        <w:t>חברתי בתחום</w:t>
      </w:r>
      <w:r w:rsidRPr="00C43F1B">
        <w:rPr>
          <w:rFonts w:hint="cs"/>
          <w:rtl/>
        </w:rPr>
        <w:t xml:space="preserve"> זה</w:t>
      </w:r>
      <w:r w:rsidRPr="00C43F1B">
        <w:rPr>
          <w:rtl/>
        </w:rPr>
        <w:t xml:space="preserve"> ולהפוך את המרחב הציבורי על מאפייניו המקומיים למקום בטוח לנשים.</w:t>
      </w:r>
      <w:r w:rsidRPr="00C43F1B">
        <w:rPr>
          <w:rFonts w:hint="cs"/>
          <w:rtl/>
        </w:rPr>
        <w:t xml:space="preserve"> </w:t>
      </w:r>
    </w:p>
    <w:p w14:paraId="20A2D5A8" w14:textId="1B1AC97E" w:rsidR="00417266" w:rsidRDefault="00417266" w:rsidP="00C6774F">
      <w:pPr>
        <w:pStyle w:val="a0"/>
      </w:pPr>
      <w:r>
        <w:rPr>
          <w:rFonts w:hint="cs"/>
          <w:rtl/>
        </w:rPr>
        <w:t xml:space="preserve">בקנדה, </w:t>
      </w:r>
      <w:r w:rsidRPr="003D2CB6">
        <w:rPr>
          <w:rtl/>
        </w:rPr>
        <w:t>כחלק מהת</w:t>
      </w:r>
      <w:r>
        <w:rPr>
          <w:rFonts w:hint="cs"/>
          <w:rtl/>
        </w:rPr>
        <w:t>ו</w:t>
      </w:r>
      <w:r w:rsidRPr="003D2CB6">
        <w:rPr>
          <w:rtl/>
        </w:rPr>
        <w:t>כנית של מחוז אונטריו</w:t>
      </w:r>
      <w:r w:rsidRPr="003D2CB6">
        <w:t xml:space="preserve"> </w:t>
      </w:r>
      <w:r w:rsidRPr="003D2CB6">
        <w:rPr>
          <w:rtl/>
        </w:rPr>
        <w:t>למיגור הטרדות מיניות, הושק בשנת 2015 קמפיין</w:t>
      </w:r>
      <w:r w:rsidR="001132D9">
        <w:rPr>
          <w:rFonts w:hint="cs"/>
          <w:rtl/>
        </w:rPr>
        <w:t xml:space="preserve"> </w:t>
      </w:r>
      <w:r w:rsidRPr="003D2CB6">
        <w:t xml:space="preserve"> "Who will help you"</w:t>
      </w:r>
      <w:r w:rsidRPr="003D2CB6">
        <w:rPr>
          <w:rtl/>
        </w:rPr>
        <w:t xml:space="preserve">להגברת מעורבותם של צופים מן הצד במקרי הטרדות מיניות. הקמפיין </w:t>
      </w:r>
      <w:r>
        <w:rPr>
          <w:rFonts w:hint="cs"/>
          <w:rtl/>
        </w:rPr>
        <w:t xml:space="preserve">נצפה יותר </w:t>
      </w:r>
      <w:r w:rsidRPr="003D2CB6">
        <w:rPr>
          <w:rtl/>
        </w:rPr>
        <w:t>מ-85 מיליון צפיות. לפי סקרים</w:t>
      </w:r>
      <w:r>
        <w:rPr>
          <w:rFonts w:hint="cs"/>
          <w:rtl/>
        </w:rPr>
        <w:t xml:space="preserve">, </w:t>
      </w:r>
      <w:r w:rsidRPr="003D2CB6">
        <w:rPr>
          <w:rtl/>
        </w:rPr>
        <w:t>בעקבות הקמפיין תושבי מחוז אונטריו בקנדה הרגישו מחויבים יותר להתערב כשהם עדים למקרה של הטרדה מינית</w:t>
      </w:r>
      <w:r>
        <w:rPr>
          <w:rStyle w:val="FootnoteReference"/>
          <w:rtl/>
        </w:rPr>
        <w:footnoteReference w:id="41"/>
      </w:r>
      <w:r>
        <w:rPr>
          <w:rFonts w:hint="cs"/>
          <w:rtl/>
        </w:rPr>
        <w:t>.</w:t>
      </w:r>
    </w:p>
    <w:p w14:paraId="5AC0F870" w14:textId="77777777" w:rsidR="00417266" w:rsidRPr="00C43F1B" w:rsidRDefault="00417266" w:rsidP="00C6774F">
      <w:pPr>
        <w:pStyle w:val="af3"/>
        <w:rPr>
          <w:rtl/>
        </w:rPr>
      </w:pPr>
      <w:r w:rsidRPr="00C43F1B">
        <w:rPr>
          <w:rFonts w:hint="cs"/>
          <w:rtl/>
        </w:rPr>
        <w:t xml:space="preserve">הטיפול בנושא ההטרדות המיניות במרחב הציבורי טעון בחינה </w:t>
      </w:r>
      <w:r>
        <w:rPr>
          <w:rFonts w:hint="cs"/>
          <w:rtl/>
        </w:rPr>
        <w:t>יסודית,</w:t>
      </w:r>
      <w:r w:rsidRPr="00C43F1B">
        <w:rPr>
          <w:rFonts w:hint="cs"/>
          <w:rtl/>
        </w:rPr>
        <w:t xml:space="preserve"> נוכח </w:t>
      </w:r>
      <w:r w:rsidRPr="00C43F1B">
        <w:rPr>
          <w:rtl/>
        </w:rPr>
        <w:t>מספר</w:t>
      </w:r>
      <w:r>
        <w:rPr>
          <w:rFonts w:hint="cs"/>
          <w:rtl/>
        </w:rPr>
        <w:t>ן המצומצם של</w:t>
      </w:r>
      <w:r w:rsidRPr="00C43F1B">
        <w:rPr>
          <w:rtl/>
        </w:rPr>
        <w:t xml:space="preserve"> התביעות האזרחיות</w:t>
      </w:r>
      <w:r w:rsidRPr="00C43F1B">
        <w:rPr>
          <w:rFonts w:hint="cs"/>
          <w:rtl/>
        </w:rPr>
        <w:t xml:space="preserve"> וקיומן של יוזמות פרטיות העשויות ללמד על </w:t>
      </w:r>
      <w:r>
        <w:rPr>
          <w:rFonts w:hint="cs"/>
          <w:rtl/>
        </w:rPr>
        <w:t xml:space="preserve">היעדר מענה ממשי לתופעה של הטרדות מיניות במרחב הציבורי. מוצע כי </w:t>
      </w:r>
      <w:r w:rsidRPr="00C43F1B">
        <w:rPr>
          <w:rFonts w:hint="cs"/>
          <w:rtl/>
        </w:rPr>
        <w:t xml:space="preserve">משרד המשפטים ייזום איסוף נתונים ויבחן עם הגורמים הרלוונטיים את החסמים </w:t>
      </w:r>
      <w:r>
        <w:rPr>
          <w:rFonts w:hint="cs"/>
          <w:rtl/>
        </w:rPr>
        <w:t>ל</w:t>
      </w:r>
      <w:r w:rsidRPr="00C43F1B">
        <w:rPr>
          <w:rFonts w:hint="cs"/>
          <w:rtl/>
        </w:rPr>
        <w:t>הגשת תביעות ויגבש הצעות להעלאת המודעות ולחינוך הציבור בדבר התנהגויות אסורות במרחב הציבורי</w:t>
      </w:r>
      <w:r>
        <w:rPr>
          <w:rFonts w:hint="cs"/>
          <w:rtl/>
        </w:rPr>
        <w:t>, כדוגמת המלצת הרשות לקידום מעמד האישה למסע פרסום לשינוי תפיסות חברתיות בנוגע להטרדה מינית</w:t>
      </w:r>
      <w:r w:rsidRPr="001132D9">
        <w:rPr>
          <w:rStyle w:val="FootnoteReference"/>
          <w:rtl/>
        </w:rPr>
        <w:footnoteReference w:id="42"/>
      </w:r>
      <w:r w:rsidRPr="00C43F1B">
        <w:rPr>
          <w:rFonts w:hint="cs"/>
          <w:rtl/>
        </w:rPr>
        <w:t xml:space="preserve">. </w:t>
      </w:r>
    </w:p>
    <w:p w14:paraId="2F894D3B" w14:textId="77777777" w:rsidR="00C6774F" w:rsidRDefault="00C6774F">
      <w:pPr>
        <w:bidi w:val="0"/>
        <w:spacing w:after="200" w:line="276" w:lineRule="auto"/>
        <w:rPr>
          <w:rStyle w:val="218Char"/>
          <w:rFonts w:eastAsiaTheme="minorHAnsi"/>
          <w:rtl/>
        </w:rPr>
      </w:pPr>
      <w:bookmarkStart w:id="16" w:name="_Toc9150786"/>
      <w:r>
        <w:rPr>
          <w:rStyle w:val="218Char"/>
          <w:rFonts w:eastAsiaTheme="minorHAnsi"/>
          <w:rtl/>
        </w:rPr>
        <w:br w:type="page"/>
      </w:r>
    </w:p>
    <w:p w14:paraId="1E575E84" w14:textId="0E88C20E" w:rsidR="00417266" w:rsidRPr="00C6774F" w:rsidRDefault="00417266" w:rsidP="00C6774F">
      <w:pPr>
        <w:pStyle w:val="218"/>
        <w:rPr>
          <w:rtl/>
        </w:rPr>
      </w:pPr>
      <w:r w:rsidRPr="00C6774F">
        <w:rPr>
          <w:rStyle w:val="218Char"/>
          <w:rFonts w:hint="eastAsia"/>
          <w:rtl/>
        </w:rPr>
        <w:lastRenderedPageBreak/>
        <w:t>הטיפול</w:t>
      </w:r>
      <w:r w:rsidRPr="00C6774F">
        <w:rPr>
          <w:rtl/>
        </w:rPr>
        <w:t xml:space="preserve"> </w:t>
      </w:r>
      <w:r w:rsidRPr="00C6774F">
        <w:rPr>
          <w:rFonts w:hint="eastAsia"/>
          <w:rtl/>
        </w:rPr>
        <w:t>בהטרדות</w:t>
      </w:r>
      <w:r w:rsidRPr="00C6774F">
        <w:rPr>
          <w:rtl/>
        </w:rPr>
        <w:t xml:space="preserve"> </w:t>
      </w:r>
      <w:r w:rsidRPr="00C6774F">
        <w:rPr>
          <w:rFonts w:hint="eastAsia"/>
          <w:rtl/>
        </w:rPr>
        <w:t>מיניות</w:t>
      </w:r>
      <w:r w:rsidRPr="00C6774F">
        <w:rPr>
          <w:rtl/>
        </w:rPr>
        <w:t xml:space="preserve"> </w:t>
      </w:r>
      <w:r w:rsidRPr="00C6774F">
        <w:rPr>
          <w:rFonts w:hint="eastAsia"/>
          <w:rtl/>
        </w:rPr>
        <w:t>במסגרת</w:t>
      </w:r>
      <w:r w:rsidRPr="00C6774F">
        <w:rPr>
          <w:rtl/>
        </w:rPr>
        <w:t xml:space="preserve"> </w:t>
      </w:r>
      <w:r w:rsidRPr="00C6774F">
        <w:rPr>
          <w:rFonts w:hint="eastAsia"/>
          <w:rtl/>
        </w:rPr>
        <w:t>יחסי</w:t>
      </w:r>
      <w:r w:rsidRPr="00C6774F">
        <w:rPr>
          <w:rtl/>
        </w:rPr>
        <w:t xml:space="preserve"> </w:t>
      </w:r>
      <w:r w:rsidRPr="00C6774F">
        <w:rPr>
          <w:rFonts w:hint="eastAsia"/>
          <w:rtl/>
        </w:rPr>
        <w:t>עבודה</w:t>
      </w:r>
      <w:bookmarkEnd w:id="16"/>
    </w:p>
    <w:p w14:paraId="18D1AAA6" w14:textId="77777777" w:rsidR="00417266" w:rsidRPr="00D51110" w:rsidRDefault="00417266" w:rsidP="00C6774F">
      <w:pPr>
        <w:pStyle w:val="316"/>
        <w:rPr>
          <w:rtl/>
        </w:rPr>
      </w:pPr>
      <w:r>
        <w:rPr>
          <w:rFonts w:hint="cs"/>
          <w:rtl/>
        </w:rPr>
        <w:t>מבוא</w:t>
      </w:r>
    </w:p>
    <w:p w14:paraId="298162CB" w14:textId="77777777" w:rsidR="00417266" w:rsidRDefault="00417266" w:rsidP="00C6774F">
      <w:pPr>
        <w:pStyle w:val="100"/>
        <w:rPr>
          <w:rtl/>
        </w:rPr>
      </w:pPr>
      <w:r>
        <w:rPr>
          <w:rFonts w:hint="cs"/>
          <w:rtl/>
        </w:rPr>
        <w:t xml:space="preserve">החוק למניעת הטרדה מינית ייחד חלק נכבד לעולם העבודה. </w:t>
      </w:r>
      <w:r w:rsidRPr="00B914CD">
        <w:rPr>
          <w:rFonts w:hint="cs"/>
          <w:rtl/>
        </w:rPr>
        <w:t xml:space="preserve">מקומות העבודה מועדים להיווצרות הטרדה מינית והתנכלות, מאחר </w:t>
      </w:r>
      <w:r>
        <w:rPr>
          <w:rFonts w:hint="cs"/>
          <w:rtl/>
        </w:rPr>
        <w:t>ש</w:t>
      </w:r>
      <w:r w:rsidRPr="00B914CD">
        <w:rPr>
          <w:rFonts w:hint="cs"/>
          <w:rtl/>
        </w:rPr>
        <w:t>העובדים נמצאים בהם במשך שעות עבודה ארוכות</w:t>
      </w:r>
      <w:r>
        <w:rPr>
          <w:rFonts w:hint="cs"/>
          <w:rtl/>
        </w:rPr>
        <w:t>,</w:t>
      </w:r>
      <w:r w:rsidRPr="00B914CD">
        <w:rPr>
          <w:rFonts w:hint="cs"/>
          <w:rtl/>
        </w:rPr>
        <w:t xml:space="preserve"> ויחסי המרות שבמקום העבודה בין מנהל </w:t>
      </w:r>
      <w:r>
        <w:rPr>
          <w:rFonts w:hint="cs"/>
          <w:rtl/>
        </w:rPr>
        <w:t>ל</w:t>
      </w:r>
      <w:r w:rsidRPr="00B914CD">
        <w:rPr>
          <w:rFonts w:hint="cs"/>
          <w:rtl/>
        </w:rPr>
        <w:t>כפיפים הם חלק בלתי נפרד מיחסי העבודה. התנאים במקומות העבודה, מעצם טיבם, מאפשרים הטרדות והתנכלויות שאינן חד</w:t>
      </w:r>
      <w:r>
        <w:rPr>
          <w:rFonts w:hint="cs"/>
          <w:rtl/>
        </w:rPr>
        <w:t>-</w:t>
      </w:r>
      <w:r w:rsidRPr="00B914CD">
        <w:rPr>
          <w:rFonts w:hint="cs"/>
          <w:rtl/>
        </w:rPr>
        <w:t>פעמיות אלא ממושכות וחמורות ביותר. להטרדה מינית במקו</w:t>
      </w:r>
      <w:r>
        <w:rPr>
          <w:rFonts w:hint="cs"/>
          <w:rtl/>
        </w:rPr>
        <w:t>ם</w:t>
      </w:r>
      <w:r w:rsidRPr="00B914CD">
        <w:rPr>
          <w:rFonts w:hint="cs"/>
          <w:rtl/>
        </w:rPr>
        <w:t xml:space="preserve"> העבודה יש </w:t>
      </w:r>
      <w:r>
        <w:rPr>
          <w:rFonts w:hint="cs"/>
          <w:rtl/>
        </w:rPr>
        <w:t>השפעות</w:t>
      </w:r>
      <w:r w:rsidRPr="00B914CD">
        <w:rPr>
          <w:rFonts w:hint="cs"/>
          <w:rtl/>
        </w:rPr>
        <w:t xml:space="preserve"> רבות </w:t>
      </w:r>
      <w:r>
        <w:rPr>
          <w:rFonts w:hint="cs"/>
          <w:rtl/>
        </w:rPr>
        <w:t xml:space="preserve">מלבד </w:t>
      </w:r>
      <w:r w:rsidRPr="00B914CD">
        <w:rPr>
          <w:rFonts w:hint="cs"/>
          <w:rtl/>
        </w:rPr>
        <w:t xml:space="preserve">עצם ההטרדה, משום שלנפגעת עלולים </w:t>
      </w:r>
      <w:r>
        <w:rPr>
          <w:rFonts w:hint="cs"/>
          <w:rtl/>
        </w:rPr>
        <w:t>להיגרם נזקים</w:t>
      </w:r>
      <w:r w:rsidRPr="00B914CD">
        <w:rPr>
          <w:rFonts w:hint="cs"/>
          <w:rtl/>
        </w:rPr>
        <w:t xml:space="preserve"> רבים. הסבל הנגרם מהפגיעה הוא סבל מתמשך הפוגע בתפקוד המקצועי, בריכוז ובביטחון של הנפגעת. אירוע ההטרדה יכול להשפיע גם על הבריאות הפיזית </w:t>
      </w:r>
      <w:r>
        <w:rPr>
          <w:rFonts w:hint="cs"/>
          <w:rtl/>
        </w:rPr>
        <w:t>ועלול לפגוע בפרנסתה</w:t>
      </w:r>
      <w:r w:rsidRPr="00B914CD">
        <w:rPr>
          <w:rStyle w:val="FootnoteReference"/>
          <w:rtl/>
        </w:rPr>
        <w:footnoteReference w:id="43"/>
      </w:r>
      <w:r w:rsidRPr="00B914CD">
        <w:rPr>
          <w:rFonts w:hint="cs"/>
          <w:rtl/>
        </w:rPr>
        <w:t xml:space="preserve">. </w:t>
      </w:r>
      <w:r>
        <w:rPr>
          <w:rFonts w:hint="cs"/>
          <w:rtl/>
        </w:rPr>
        <w:t xml:space="preserve">מטעמים אלו החוק למניעת הטרדה מינית חייב את המעסיק לנקוט באמצעים למניעת התופעה ולטפל באירועים שהתרחשו. </w:t>
      </w:r>
    </w:p>
    <w:p w14:paraId="1F73D5E4" w14:textId="77777777" w:rsidR="00417266" w:rsidRDefault="00417266" w:rsidP="00C6774F">
      <w:pPr>
        <w:pStyle w:val="100"/>
        <w:rPr>
          <w:rtl/>
        </w:rPr>
      </w:pPr>
      <w:r w:rsidRPr="0012242B">
        <w:rPr>
          <w:rFonts w:hint="eastAsia"/>
          <w:rtl/>
        </w:rPr>
        <w:t>בישראל</w:t>
      </w:r>
      <w:r w:rsidRPr="0012242B">
        <w:rPr>
          <w:rtl/>
        </w:rPr>
        <w:t xml:space="preserve"> </w:t>
      </w:r>
      <w:r w:rsidRPr="0012242B">
        <w:rPr>
          <w:rFonts w:hint="eastAsia"/>
          <w:rtl/>
        </w:rPr>
        <w:t>עובדים</w:t>
      </w:r>
      <w:r w:rsidRPr="0012242B">
        <w:rPr>
          <w:rtl/>
        </w:rPr>
        <w:t xml:space="preserve"> </w:t>
      </w:r>
      <w:r w:rsidRPr="0012242B">
        <w:rPr>
          <w:rFonts w:hint="eastAsia"/>
          <w:rtl/>
        </w:rPr>
        <w:t>כ</w:t>
      </w:r>
      <w:r w:rsidRPr="0012242B">
        <w:rPr>
          <w:rtl/>
        </w:rPr>
        <w:t xml:space="preserve">-4 </w:t>
      </w:r>
      <w:r w:rsidRPr="0012242B">
        <w:rPr>
          <w:rFonts w:hint="eastAsia"/>
          <w:rtl/>
        </w:rPr>
        <w:t>מיליון</w:t>
      </w:r>
      <w:r w:rsidRPr="0012242B">
        <w:rPr>
          <w:rtl/>
        </w:rPr>
        <w:t xml:space="preserve"> </w:t>
      </w:r>
      <w:r w:rsidRPr="0012242B">
        <w:rPr>
          <w:rFonts w:hint="eastAsia"/>
          <w:rtl/>
        </w:rPr>
        <w:t>עובדים</w:t>
      </w:r>
      <w:r>
        <w:rPr>
          <w:rFonts w:hint="cs"/>
          <w:rtl/>
        </w:rPr>
        <w:t xml:space="preserve"> - כ-2.1 מיליון גברים וכ-1.8 מיליון נשים</w:t>
      </w:r>
      <w:r w:rsidRPr="0012242B">
        <w:rPr>
          <w:rStyle w:val="FootnoteReference"/>
          <w:rtl/>
        </w:rPr>
        <w:footnoteReference w:id="44"/>
      </w:r>
      <w:r>
        <w:rPr>
          <w:rtl/>
        </w:rPr>
        <w:t xml:space="preserve">, מתוכם כ-230,000 עובדי </w:t>
      </w:r>
      <w:r w:rsidRPr="0012242B">
        <w:rPr>
          <w:rtl/>
        </w:rPr>
        <w:t>מדינה</w:t>
      </w:r>
      <w:r>
        <w:rPr>
          <w:rFonts w:hint="cs"/>
          <w:rtl/>
        </w:rPr>
        <w:t xml:space="preserve"> ועובדי ציבור</w:t>
      </w:r>
      <w:r w:rsidRPr="0012242B">
        <w:rPr>
          <w:rtl/>
        </w:rPr>
        <w:t xml:space="preserve"> </w:t>
      </w:r>
      <w:r>
        <w:rPr>
          <w:rFonts w:hint="cs"/>
          <w:rtl/>
        </w:rPr>
        <w:t>שחל עליהם חוק המשמעת</w:t>
      </w:r>
      <w:r>
        <w:rPr>
          <w:rStyle w:val="FootnoteReference"/>
          <w:rtl/>
        </w:rPr>
        <w:footnoteReference w:id="45"/>
      </w:r>
      <w:r w:rsidRPr="0012242B">
        <w:rPr>
          <w:rtl/>
        </w:rPr>
        <w:t>.</w:t>
      </w:r>
      <w:r>
        <w:rPr>
          <w:rFonts w:hint="cs"/>
          <w:rtl/>
        </w:rPr>
        <w:t xml:space="preserve"> </w:t>
      </w:r>
    </w:p>
    <w:p w14:paraId="14937EFD" w14:textId="77777777" w:rsidR="00417266" w:rsidRPr="00C6774F" w:rsidRDefault="00417266" w:rsidP="00C6774F">
      <w:pPr>
        <w:pStyle w:val="a8"/>
        <w:rPr>
          <w:b/>
          <w:bCs/>
          <w:rtl/>
        </w:rPr>
      </w:pPr>
      <w:r w:rsidRPr="001912CD">
        <w:rPr>
          <w:rFonts w:hint="cs"/>
          <w:rtl/>
        </w:rPr>
        <w:t xml:space="preserve">תרשים </w:t>
      </w:r>
      <w:r>
        <w:rPr>
          <w:rFonts w:hint="cs"/>
          <w:rtl/>
        </w:rPr>
        <w:t>13</w:t>
      </w:r>
      <w:r w:rsidRPr="001912CD">
        <w:rPr>
          <w:rFonts w:hint="cs"/>
          <w:rtl/>
        </w:rPr>
        <w:t xml:space="preserve">: </w:t>
      </w:r>
      <w:r w:rsidRPr="00C6774F">
        <w:rPr>
          <w:rFonts w:hint="cs"/>
          <w:b/>
          <w:bCs/>
          <w:rtl/>
        </w:rPr>
        <w:t>מועסקים לפי מגזר עבודה ומין</w:t>
      </w:r>
    </w:p>
    <w:p w14:paraId="797B72F8" w14:textId="77777777" w:rsidR="00417266" w:rsidRDefault="00417266" w:rsidP="00417266">
      <w:pPr>
        <w:spacing w:line="269" w:lineRule="auto"/>
        <w:ind w:left="312"/>
        <w:rPr>
          <w:rtl/>
        </w:rPr>
      </w:pPr>
      <w:r>
        <w:rPr>
          <w:b/>
          <w:bCs/>
          <w:noProof/>
          <w:rtl/>
        </w:rPr>
        <w:drawing>
          <wp:inline distT="0" distB="0" distL="0" distR="0" wp14:anchorId="64FF39D6" wp14:editId="0710BFDF">
            <wp:extent cx="2190750" cy="2132455"/>
            <wp:effectExtent l="0" t="0" r="0" b="1270"/>
            <wp:docPr id="50" name="תרשים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b/>
          <w:bCs/>
          <w:noProof/>
          <w:rtl/>
        </w:rPr>
        <w:drawing>
          <wp:inline distT="0" distB="0" distL="0" distR="0" wp14:anchorId="67FCECB6" wp14:editId="31CF52FA">
            <wp:extent cx="2250292" cy="2123440"/>
            <wp:effectExtent l="0" t="0" r="17145" b="10160"/>
            <wp:docPr id="51" name="תרשים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FF683BD" w14:textId="77777777" w:rsidR="00417266" w:rsidRPr="00526012" w:rsidRDefault="00417266" w:rsidP="00B90C7D">
      <w:pPr>
        <w:pStyle w:val="aa"/>
        <w:rPr>
          <w:rtl/>
        </w:rPr>
      </w:pPr>
      <w:r w:rsidRPr="00526012">
        <w:rPr>
          <w:rFonts w:hint="eastAsia"/>
          <w:rtl/>
        </w:rPr>
        <w:t>על</w:t>
      </w:r>
      <w:r w:rsidRPr="00526012">
        <w:rPr>
          <w:rtl/>
        </w:rPr>
        <w:t xml:space="preserve"> פי נתוני </w:t>
      </w:r>
      <w:r w:rsidRPr="00526012">
        <w:rPr>
          <w:rFonts w:hint="eastAsia"/>
          <w:rtl/>
        </w:rPr>
        <w:t>הלמ</w:t>
      </w:r>
      <w:r w:rsidRPr="00526012">
        <w:rPr>
          <w:rtl/>
        </w:rPr>
        <w:t xml:space="preserve">"ס, </w:t>
      </w:r>
      <w:r w:rsidRPr="00526012">
        <w:rPr>
          <w:rFonts w:hint="eastAsia"/>
          <w:rtl/>
        </w:rPr>
        <w:t>בעיבוד</w:t>
      </w:r>
      <w:r w:rsidRPr="00526012">
        <w:rPr>
          <w:rtl/>
        </w:rPr>
        <w:t xml:space="preserve"> </w:t>
      </w:r>
      <w:r w:rsidRPr="00526012">
        <w:rPr>
          <w:rFonts w:hint="eastAsia"/>
          <w:rtl/>
        </w:rPr>
        <w:t>משרד</w:t>
      </w:r>
      <w:r w:rsidRPr="00526012">
        <w:rPr>
          <w:rtl/>
        </w:rPr>
        <w:t xml:space="preserve"> </w:t>
      </w:r>
      <w:r w:rsidRPr="00526012">
        <w:rPr>
          <w:rFonts w:hint="eastAsia"/>
          <w:rtl/>
        </w:rPr>
        <w:t>מבקר</w:t>
      </w:r>
      <w:r w:rsidRPr="00526012">
        <w:rPr>
          <w:rtl/>
        </w:rPr>
        <w:t xml:space="preserve"> </w:t>
      </w:r>
      <w:r w:rsidRPr="00526012">
        <w:rPr>
          <w:rFonts w:hint="eastAsia"/>
          <w:rtl/>
        </w:rPr>
        <w:t>המדינה</w:t>
      </w:r>
      <w:r>
        <w:rPr>
          <w:rFonts w:hint="cs"/>
          <w:rtl/>
        </w:rPr>
        <w:t>.</w:t>
      </w:r>
    </w:p>
    <w:p w14:paraId="57DB6E73" w14:textId="77777777" w:rsidR="00417266" w:rsidRDefault="00417266" w:rsidP="00B90C7D">
      <w:pPr>
        <w:pStyle w:val="100"/>
        <w:rPr>
          <w:rtl/>
        </w:rPr>
      </w:pPr>
      <w:r>
        <w:rPr>
          <w:rFonts w:hint="cs"/>
          <w:rtl/>
        </w:rPr>
        <w:lastRenderedPageBreak/>
        <w:t>סקר כוח אדם לשנת 2017, שפרסמה הלשכה המרכזית לסטטיסטיקה בשנת 2019, מפלח את המועסקים לפי ענפים כלכליים, מעמד בעבודה ומין. להלן יוצגו פילוח המועסקים בכל הענפים הכלכליים לפי מין וכן מעמדם בעבודה של גברים ונשים.</w:t>
      </w:r>
    </w:p>
    <w:p w14:paraId="3AB9CF90" w14:textId="77777777" w:rsidR="00417266" w:rsidRPr="00702AB6" w:rsidRDefault="00417266" w:rsidP="00B90C7D">
      <w:pPr>
        <w:pStyle w:val="a8"/>
        <w:rPr>
          <w:rtl/>
        </w:rPr>
      </w:pPr>
      <w:r w:rsidRPr="00702AB6">
        <w:rPr>
          <w:rFonts w:hint="eastAsia"/>
          <w:rtl/>
        </w:rPr>
        <w:t>תרשים</w:t>
      </w:r>
      <w:r w:rsidRPr="00702AB6">
        <w:rPr>
          <w:rtl/>
        </w:rPr>
        <w:t xml:space="preserve"> </w:t>
      </w:r>
      <w:r w:rsidRPr="00702AB6">
        <w:rPr>
          <w:rFonts w:hint="cs"/>
          <w:rtl/>
        </w:rPr>
        <w:t>14</w:t>
      </w:r>
      <w:r w:rsidRPr="00702AB6">
        <w:rPr>
          <w:rtl/>
        </w:rPr>
        <w:t xml:space="preserve">: </w:t>
      </w:r>
      <w:r w:rsidRPr="00B90C7D">
        <w:rPr>
          <w:rFonts w:hint="eastAsia"/>
          <w:b/>
          <w:bCs/>
          <w:rtl/>
        </w:rPr>
        <w:t>מועסקים</w:t>
      </w:r>
      <w:r w:rsidRPr="00B90C7D">
        <w:rPr>
          <w:b/>
          <w:bCs/>
          <w:rtl/>
        </w:rPr>
        <w:t xml:space="preserve"> </w:t>
      </w:r>
      <w:r w:rsidRPr="00B90C7D">
        <w:rPr>
          <w:rFonts w:hint="eastAsia"/>
          <w:b/>
          <w:bCs/>
          <w:rtl/>
        </w:rPr>
        <w:t>לפי</w:t>
      </w:r>
      <w:r w:rsidRPr="00B90C7D">
        <w:rPr>
          <w:b/>
          <w:bCs/>
          <w:rtl/>
        </w:rPr>
        <w:t xml:space="preserve"> </w:t>
      </w:r>
      <w:r w:rsidRPr="00B90C7D">
        <w:rPr>
          <w:rFonts w:hint="eastAsia"/>
          <w:b/>
          <w:bCs/>
          <w:rtl/>
        </w:rPr>
        <w:t>ענף</w:t>
      </w:r>
      <w:r w:rsidRPr="00B90C7D">
        <w:rPr>
          <w:b/>
          <w:bCs/>
          <w:rtl/>
        </w:rPr>
        <w:t xml:space="preserve"> </w:t>
      </w:r>
      <w:r w:rsidRPr="00B90C7D">
        <w:rPr>
          <w:rFonts w:hint="eastAsia"/>
          <w:b/>
          <w:bCs/>
          <w:rtl/>
        </w:rPr>
        <w:t>כלכלי</w:t>
      </w:r>
      <w:r w:rsidRPr="00B90C7D">
        <w:rPr>
          <w:b/>
          <w:bCs/>
          <w:rtl/>
        </w:rPr>
        <w:t xml:space="preserve">, </w:t>
      </w:r>
      <w:r w:rsidRPr="00B90C7D">
        <w:rPr>
          <w:rFonts w:hint="eastAsia"/>
          <w:b/>
          <w:bCs/>
          <w:rtl/>
        </w:rPr>
        <w:t>מעמד</w:t>
      </w:r>
      <w:r w:rsidRPr="00B90C7D">
        <w:rPr>
          <w:b/>
          <w:bCs/>
          <w:rtl/>
        </w:rPr>
        <w:t xml:space="preserve"> </w:t>
      </w:r>
      <w:r w:rsidRPr="00B90C7D">
        <w:rPr>
          <w:rFonts w:hint="eastAsia"/>
          <w:b/>
          <w:bCs/>
          <w:rtl/>
        </w:rPr>
        <w:t>בעבודה</w:t>
      </w:r>
      <w:r w:rsidRPr="00B90C7D">
        <w:rPr>
          <w:b/>
          <w:bCs/>
          <w:rtl/>
        </w:rPr>
        <w:t xml:space="preserve"> </w:t>
      </w:r>
      <w:r w:rsidRPr="00B90C7D">
        <w:rPr>
          <w:rFonts w:hint="eastAsia"/>
          <w:b/>
          <w:bCs/>
          <w:rtl/>
        </w:rPr>
        <w:t>ומין</w:t>
      </w:r>
      <w:r w:rsidRPr="00B90C7D">
        <w:rPr>
          <w:rFonts w:hint="cs"/>
          <w:b/>
          <w:bCs/>
          <w:rtl/>
        </w:rPr>
        <w:t xml:space="preserve"> (באלפים)</w:t>
      </w:r>
    </w:p>
    <w:p w14:paraId="055C87D4" w14:textId="77777777" w:rsidR="00417266" w:rsidRDefault="00417266" w:rsidP="00417266">
      <w:pPr>
        <w:spacing w:line="269" w:lineRule="auto"/>
        <w:rPr>
          <w:rtl/>
        </w:rPr>
      </w:pPr>
      <w:r>
        <w:rPr>
          <w:noProof/>
          <w:rtl/>
        </w:rPr>
        <w:drawing>
          <wp:inline distT="0" distB="0" distL="0" distR="0" wp14:anchorId="620A8DD8" wp14:editId="3E007A68">
            <wp:extent cx="5220335" cy="3233318"/>
            <wp:effectExtent l="0" t="0" r="18415" b="5715"/>
            <wp:docPr id="196" name="תרשים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9D3928D" w14:textId="77777777" w:rsidR="00417266" w:rsidRPr="00EF574B" w:rsidRDefault="00417266" w:rsidP="00B90C7D">
      <w:pPr>
        <w:pStyle w:val="aa"/>
        <w:rPr>
          <w:rtl/>
        </w:rPr>
      </w:pPr>
      <w:r w:rsidRPr="00EF574B">
        <w:rPr>
          <w:rFonts w:hint="cs"/>
          <w:rtl/>
        </w:rPr>
        <w:t xml:space="preserve">על פי נתוני </w:t>
      </w:r>
      <w:r>
        <w:rPr>
          <w:rFonts w:hint="cs"/>
          <w:rtl/>
        </w:rPr>
        <w:t>הלמ"ס</w:t>
      </w:r>
      <w:r w:rsidRPr="00EF574B">
        <w:rPr>
          <w:rFonts w:hint="cs"/>
          <w:rtl/>
        </w:rPr>
        <w:t>, בעיבוד משרד מבקר המדינה</w:t>
      </w:r>
      <w:r>
        <w:rPr>
          <w:rFonts w:hint="cs"/>
          <w:rtl/>
        </w:rPr>
        <w:t>.</w:t>
      </w:r>
    </w:p>
    <w:p w14:paraId="54AA1073" w14:textId="77777777" w:rsidR="00417266" w:rsidRDefault="00417266" w:rsidP="00417266">
      <w:pPr>
        <w:spacing w:line="269" w:lineRule="auto"/>
        <w:rPr>
          <w:rtl/>
        </w:rPr>
      </w:pPr>
    </w:p>
    <w:p w14:paraId="1B45F4D4" w14:textId="77777777" w:rsidR="00417266" w:rsidRDefault="00417266" w:rsidP="00417266">
      <w:pPr>
        <w:spacing w:line="269" w:lineRule="auto"/>
        <w:rPr>
          <w:rtl/>
        </w:rPr>
      </w:pPr>
      <w:r>
        <w:rPr>
          <w:b/>
          <w:bCs/>
          <w:noProof/>
          <w:rtl/>
        </w:rPr>
        <w:drawing>
          <wp:inline distT="0" distB="0" distL="0" distR="0" wp14:anchorId="2CFA7E8A" wp14:editId="447B42A0">
            <wp:extent cx="2527935" cy="2376000"/>
            <wp:effectExtent l="0" t="0" r="5715" b="5715"/>
            <wp:docPr id="197" name="תרשים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b/>
          <w:bCs/>
          <w:noProof/>
          <w:rtl/>
        </w:rPr>
        <w:drawing>
          <wp:inline distT="0" distB="0" distL="0" distR="0" wp14:anchorId="2EE7001E" wp14:editId="6EFC4DA5">
            <wp:extent cx="2684526" cy="2375535"/>
            <wp:effectExtent l="0" t="0" r="1905" b="5715"/>
            <wp:docPr id="198" name="תרשים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5CE35D1" w14:textId="77777777" w:rsidR="00417266" w:rsidRPr="006E1AC8" w:rsidRDefault="00417266" w:rsidP="00B90C7D">
      <w:pPr>
        <w:pStyle w:val="aa"/>
        <w:rPr>
          <w:sz w:val="22"/>
          <w:szCs w:val="22"/>
          <w:rtl/>
        </w:rPr>
      </w:pPr>
      <w:r w:rsidRPr="00526012">
        <w:rPr>
          <w:rFonts w:hint="eastAsia"/>
          <w:rtl/>
        </w:rPr>
        <w:t>על</w:t>
      </w:r>
      <w:r w:rsidRPr="00526012">
        <w:rPr>
          <w:rtl/>
        </w:rPr>
        <w:t xml:space="preserve"> פי נתוני </w:t>
      </w:r>
      <w:r w:rsidRPr="00526012">
        <w:rPr>
          <w:rFonts w:hint="eastAsia"/>
          <w:rtl/>
        </w:rPr>
        <w:t>הלמ</w:t>
      </w:r>
      <w:r w:rsidRPr="00526012">
        <w:rPr>
          <w:rtl/>
        </w:rPr>
        <w:t xml:space="preserve">"ס, </w:t>
      </w:r>
      <w:r w:rsidRPr="00526012">
        <w:rPr>
          <w:rFonts w:hint="eastAsia"/>
          <w:rtl/>
        </w:rPr>
        <w:t>בעיבוד</w:t>
      </w:r>
      <w:r w:rsidRPr="00526012">
        <w:rPr>
          <w:rtl/>
        </w:rPr>
        <w:t xml:space="preserve"> </w:t>
      </w:r>
      <w:r w:rsidRPr="00526012">
        <w:rPr>
          <w:rFonts w:hint="eastAsia"/>
          <w:rtl/>
        </w:rPr>
        <w:t>משרד</w:t>
      </w:r>
      <w:r w:rsidRPr="00526012">
        <w:rPr>
          <w:rtl/>
        </w:rPr>
        <w:t xml:space="preserve"> </w:t>
      </w:r>
      <w:r w:rsidRPr="00526012">
        <w:rPr>
          <w:rFonts w:hint="eastAsia"/>
          <w:rtl/>
        </w:rPr>
        <w:t>מבקר</w:t>
      </w:r>
      <w:r w:rsidRPr="00526012">
        <w:rPr>
          <w:rtl/>
        </w:rPr>
        <w:t xml:space="preserve"> </w:t>
      </w:r>
      <w:r w:rsidRPr="00526012">
        <w:rPr>
          <w:rFonts w:hint="eastAsia"/>
          <w:rtl/>
        </w:rPr>
        <w:t>המדינה</w:t>
      </w:r>
      <w:r w:rsidRPr="00526012">
        <w:rPr>
          <w:rtl/>
        </w:rPr>
        <w:t>.</w:t>
      </w:r>
    </w:p>
    <w:p w14:paraId="32F373BC" w14:textId="03C1309B" w:rsidR="00417266" w:rsidRPr="008B126D" w:rsidRDefault="00417266" w:rsidP="00417266">
      <w:pPr>
        <w:spacing w:line="269" w:lineRule="auto"/>
        <w:rPr>
          <w:rtl/>
        </w:rPr>
      </w:pPr>
    </w:p>
    <w:p w14:paraId="40ABC0D9" w14:textId="77777777" w:rsidR="00417266" w:rsidRDefault="00417266" w:rsidP="00B90C7D">
      <w:pPr>
        <w:pStyle w:val="100"/>
        <w:rPr>
          <w:rtl/>
        </w:rPr>
      </w:pPr>
      <w:r w:rsidRPr="008B126D">
        <w:rPr>
          <w:rFonts w:hint="cs"/>
          <w:rtl/>
        </w:rPr>
        <w:lastRenderedPageBreak/>
        <w:t xml:space="preserve">מן הנתונים עולה כי </w:t>
      </w:r>
      <w:r>
        <w:rPr>
          <w:rFonts w:hint="cs"/>
          <w:rtl/>
        </w:rPr>
        <w:t xml:space="preserve">שיעור גדול מאוד של </w:t>
      </w:r>
      <w:r w:rsidRPr="008B126D">
        <w:rPr>
          <w:rFonts w:hint="cs"/>
          <w:rtl/>
        </w:rPr>
        <w:t>נשים עוסקות בענף החינוך ו</w:t>
      </w:r>
      <w:r>
        <w:rPr>
          <w:rFonts w:hint="cs"/>
          <w:rtl/>
        </w:rPr>
        <w:t>ב</w:t>
      </w:r>
      <w:r w:rsidRPr="008B126D">
        <w:rPr>
          <w:rFonts w:hint="cs"/>
          <w:rtl/>
        </w:rPr>
        <w:t>ענף הבריאות</w:t>
      </w:r>
      <w:r>
        <w:rPr>
          <w:rFonts w:hint="cs"/>
          <w:rtl/>
        </w:rPr>
        <w:t>,</w:t>
      </w:r>
      <w:r w:rsidRPr="008B126D">
        <w:rPr>
          <w:rFonts w:hint="cs"/>
          <w:rtl/>
        </w:rPr>
        <w:t xml:space="preserve"> ואילו גברים עוסקים</w:t>
      </w:r>
      <w:r>
        <w:rPr>
          <w:rFonts w:hint="cs"/>
          <w:rtl/>
        </w:rPr>
        <w:t xml:space="preserve"> בשיעורים גדולים</w:t>
      </w:r>
      <w:r w:rsidRPr="008B126D">
        <w:rPr>
          <w:rFonts w:hint="cs"/>
          <w:rtl/>
        </w:rPr>
        <w:t xml:space="preserve"> במגוון רחב יותר של ענפים כלכליים ובעיקר בענ</w:t>
      </w:r>
      <w:r>
        <w:rPr>
          <w:rFonts w:hint="cs"/>
          <w:rtl/>
        </w:rPr>
        <w:t>פי</w:t>
      </w:r>
      <w:r w:rsidRPr="008B126D">
        <w:rPr>
          <w:rFonts w:hint="cs"/>
          <w:rtl/>
        </w:rPr>
        <w:t xml:space="preserve"> התעשייה </w:t>
      </w:r>
      <w:r>
        <w:rPr>
          <w:rFonts w:hint="cs"/>
          <w:rtl/>
        </w:rPr>
        <w:t>ו</w:t>
      </w:r>
      <w:r w:rsidRPr="008B126D">
        <w:rPr>
          <w:rFonts w:hint="cs"/>
          <w:rtl/>
        </w:rPr>
        <w:t>המסחר וגם בענ</w:t>
      </w:r>
      <w:r>
        <w:rPr>
          <w:rFonts w:hint="cs"/>
          <w:rtl/>
        </w:rPr>
        <w:t>פי</w:t>
      </w:r>
      <w:r w:rsidRPr="008B126D">
        <w:rPr>
          <w:rFonts w:hint="cs"/>
          <w:rtl/>
        </w:rPr>
        <w:t xml:space="preserve"> המינהל המקומי, </w:t>
      </w:r>
      <w:r>
        <w:rPr>
          <w:rFonts w:hint="cs"/>
          <w:rtl/>
        </w:rPr>
        <w:t>המינהל ה</w:t>
      </w:r>
      <w:r w:rsidRPr="008B126D">
        <w:rPr>
          <w:rFonts w:hint="cs"/>
          <w:rtl/>
        </w:rPr>
        <w:t>ציבורי</w:t>
      </w:r>
      <w:r>
        <w:rPr>
          <w:rFonts w:hint="cs"/>
          <w:rtl/>
        </w:rPr>
        <w:t>,</w:t>
      </w:r>
      <w:r w:rsidRPr="008B126D">
        <w:rPr>
          <w:rFonts w:hint="cs"/>
          <w:rtl/>
        </w:rPr>
        <w:t xml:space="preserve"> </w:t>
      </w:r>
      <w:r>
        <w:rPr>
          <w:rFonts w:hint="cs"/>
          <w:rtl/>
        </w:rPr>
        <w:t>ה</w:t>
      </w:r>
      <w:r w:rsidRPr="008B126D">
        <w:rPr>
          <w:rFonts w:hint="cs"/>
          <w:rtl/>
        </w:rPr>
        <w:t>ביטחון</w:t>
      </w:r>
      <w:r>
        <w:rPr>
          <w:rFonts w:hint="cs"/>
          <w:rtl/>
        </w:rPr>
        <w:t xml:space="preserve"> והביטוח הלאומי</w:t>
      </w:r>
      <w:r w:rsidRPr="008B126D">
        <w:rPr>
          <w:rFonts w:hint="cs"/>
          <w:rtl/>
        </w:rPr>
        <w:t xml:space="preserve">. כמו כן, בענפים הכלכליים העיקריים של הנשים 7% </w:t>
      </w:r>
      <w:r>
        <w:rPr>
          <w:rFonts w:hint="cs"/>
          <w:rtl/>
        </w:rPr>
        <w:t>עוס</w:t>
      </w:r>
      <w:r w:rsidRPr="008B126D">
        <w:rPr>
          <w:rFonts w:hint="cs"/>
          <w:rtl/>
        </w:rPr>
        <w:t>קות כעצמאיות ומע</w:t>
      </w:r>
      <w:r>
        <w:rPr>
          <w:rFonts w:hint="cs"/>
          <w:rtl/>
        </w:rPr>
        <w:t xml:space="preserve">סיקות, </w:t>
      </w:r>
      <w:r w:rsidRPr="008B126D">
        <w:rPr>
          <w:rFonts w:hint="cs"/>
          <w:rtl/>
        </w:rPr>
        <w:t xml:space="preserve">ואילו בענפים הכלכליים העיקריים של הגברים 12% </w:t>
      </w:r>
      <w:r>
        <w:rPr>
          <w:rFonts w:hint="cs"/>
          <w:rtl/>
        </w:rPr>
        <w:t>עוס</w:t>
      </w:r>
      <w:r w:rsidRPr="008B126D">
        <w:rPr>
          <w:rFonts w:hint="cs"/>
          <w:rtl/>
        </w:rPr>
        <w:t>קים כעצמאים ומע</w:t>
      </w:r>
      <w:r>
        <w:rPr>
          <w:rFonts w:hint="cs"/>
          <w:rtl/>
        </w:rPr>
        <w:t>סיקים</w:t>
      </w:r>
      <w:r w:rsidRPr="008B126D">
        <w:rPr>
          <w:rFonts w:hint="cs"/>
          <w:rtl/>
        </w:rPr>
        <w:t>.</w:t>
      </w:r>
    </w:p>
    <w:p w14:paraId="0A2C9E4A" w14:textId="77777777" w:rsidR="00417266" w:rsidRPr="00C43F1B" w:rsidRDefault="00417266" w:rsidP="00B90C7D">
      <w:pPr>
        <w:pStyle w:val="af3"/>
        <w:rPr>
          <w:rtl/>
        </w:rPr>
      </w:pPr>
      <w:r w:rsidRPr="002F2BFB">
        <w:rPr>
          <w:rtl/>
        </w:rPr>
        <w:t xml:space="preserve">המסלול לבירור משמעתי של הטרדות מיניות של עובדי המדינה </w:t>
      </w:r>
      <w:r>
        <w:rPr>
          <w:rFonts w:hint="cs"/>
          <w:rtl/>
        </w:rPr>
        <w:t>מתקיים</w:t>
      </w:r>
      <w:r w:rsidRPr="002F2BFB">
        <w:rPr>
          <w:rtl/>
        </w:rPr>
        <w:t xml:space="preserve"> בנ</w:t>
      </w:r>
      <w:r>
        <w:rPr>
          <w:rFonts w:hint="cs"/>
          <w:rtl/>
        </w:rPr>
        <w:t>ש"ם</w:t>
      </w:r>
      <w:r w:rsidRPr="002F2BFB">
        <w:rPr>
          <w:rtl/>
        </w:rPr>
        <w:t xml:space="preserve"> (ראו ל</w:t>
      </w:r>
      <w:r>
        <w:rPr>
          <w:rFonts w:hint="cs"/>
          <w:rtl/>
        </w:rPr>
        <w:t>הלן</w:t>
      </w:r>
      <w:r w:rsidRPr="002F2BFB">
        <w:rPr>
          <w:rtl/>
        </w:rPr>
        <w:t>)</w:t>
      </w:r>
      <w:r>
        <w:rPr>
          <w:rFonts w:hint="cs"/>
          <w:rtl/>
        </w:rPr>
        <w:t>.</w:t>
      </w:r>
      <w:r w:rsidRPr="002F2BFB">
        <w:rPr>
          <w:rtl/>
        </w:rPr>
        <w:t xml:space="preserve"> לגבי 94% העובדים האחרים </w:t>
      </w:r>
      <w:r>
        <w:rPr>
          <w:rFonts w:hint="cs"/>
          <w:rtl/>
        </w:rPr>
        <w:t xml:space="preserve">לרוב </w:t>
      </w:r>
      <w:r w:rsidRPr="002F2BFB">
        <w:rPr>
          <w:rFonts w:hint="eastAsia"/>
          <w:rtl/>
        </w:rPr>
        <w:t>לא</w:t>
      </w:r>
      <w:r w:rsidRPr="002F2BFB">
        <w:rPr>
          <w:rtl/>
        </w:rPr>
        <w:t xml:space="preserve"> ניתן להתחקות א</w:t>
      </w:r>
      <w:r>
        <w:rPr>
          <w:rFonts w:hint="cs"/>
          <w:rtl/>
        </w:rPr>
        <w:t>חר אופן הטיפול ב</w:t>
      </w:r>
      <w:r w:rsidRPr="002F2BFB">
        <w:rPr>
          <w:rtl/>
        </w:rPr>
        <w:t>תלונות</w:t>
      </w:r>
      <w:r>
        <w:rPr>
          <w:rFonts w:hint="cs"/>
          <w:rtl/>
        </w:rPr>
        <w:t>,</w:t>
      </w:r>
      <w:r w:rsidRPr="002F2BFB">
        <w:rPr>
          <w:rtl/>
        </w:rPr>
        <w:t xml:space="preserve"> ולא </w:t>
      </w:r>
      <w:r w:rsidRPr="002F2BFB">
        <w:rPr>
          <w:rFonts w:hint="eastAsia"/>
          <w:rtl/>
        </w:rPr>
        <w:t>תמיד</w:t>
      </w:r>
      <w:r w:rsidRPr="002F2BFB">
        <w:rPr>
          <w:rtl/>
        </w:rPr>
        <w:t xml:space="preserve"> ניתן לבקר </w:t>
      </w:r>
      <w:r>
        <w:rPr>
          <w:rFonts w:hint="cs"/>
          <w:rtl/>
        </w:rPr>
        <w:t>את</w:t>
      </w:r>
      <w:r w:rsidRPr="002F2BFB">
        <w:rPr>
          <w:rtl/>
        </w:rPr>
        <w:t xml:space="preserve"> איכות הטיפול בתלונות</w:t>
      </w:r>
      <w:r>
        <w:rPr>
          <w:rFonts w:hint="cs"/>
          <w:rtl/>
        </w:rPr>
        <w:t xml:space="preserve"> ולפקח עליו</w:t>
      </w:r>
      <w:r w:rsidRPr="002F2BFB">
        <w:rPr>
          <w:rtl/>
        </w:rPr>
        <w:t xml:space="preserve">. </w:t>
      </w:r>
      <w:r w:rsidRPr="00C43F1B">
        <w:rPr>
          <w:rFonts w:hint="cs"/>
          <w:rtl/>
        </w:rPr>
        <w:t xml:space="preserve">משרד מבקר המדינה בחן היבטים הנוגעים לטיפול בתלונות על הטרדות מיניות במגזר העבודה הפרטי, להכשרת האחראיות למניעת הטרדה מינית במקום העבודה ולפיקוח ולבקרה של המדינה על הטיפול בנושא ההטרדות המיניות. </w:t>
      </w:r>
      <w:r w:rsidRPr="003807DD">
        <w:rPr>
          <w:rFonts w:hint="cs"/>
          <w:rtl/>
        </w:rPr>
        <w:t>האחראיות</w:t>
      </w:r>
      <w:r w:rsidRPr="003807DD">
        <w:rPr>
          <w:rtl/>
        </w:rPr>
        <w:t xml:space="preserve"> על מניעת הטרדה מינית בשירות הציבורי קרויות בדוח </w:t>
      </w:r>
      <w:r w:rsidRPr="003807DD">
        <w:rPr>
          <w:rFonts w:hint="cs"/>
          <w:rtl/>
        </w:rPr>
        <w:t xml:space="preserve">זה </w:t>
      </w:r>
      <w:r w:rsidRPr="003807DD">
        <w:rPr>
          <w:rtl/>
        </w:rPr>
        <w:t>"ממונות"</w:t>
      </w:r>
      <w:r>
        <w:rPr>
          <w:rFonts w:hint="cs"/>
          <w:rtl/>
        </w:rPr>
        <w:t>, כיוון שתפקידן שונה מתפקיד האחראיות במגזר העבודה הפרטי, לפי החוק.</w:t>
      </w:r>
    </w:p>
    <w:p w14:paraId="4AF5E4C2" w14:textId="77777777" w:rsidR="00417266" w:rsidRPr="00C43F1B" w:rsidRDefault="00417266" w:rsidP="00B90C7D">
      <w:pPr>
        <w:pStyle w:val="100"/>
        <w:rPr>
          <w:rtl/>
        </w:rPr>
      </w:pPr>
      <w:r w:rsidRPr="00C43F1B">
        <w:rPr>
          <w:rFonts w:hint="cs"/>
          <w:rtl/>
        </w:rPr>
        <w:t>בית הדין הארצי לעבודה עמד על המאפיינים של הטרדות מיניות במקום העבודה וציין</w:t>
      </w:r>
      <w:r>
        <w:rPr>
          <w:rFonts w:hint="cs"/>
          <w:rtl/>
        </w:rPr>
        <w:t>, בדומה לאמור לעיל:</w:t>
      </w:r>
      <w:r w:rsidRPr="00C43F1B">
        <w:rPr>
          <w:rFonts w:hint="cs"/>
          <w:rtl/>
        </w:rPr>
        <w:t xml:space="preserve"> "ראשית, ההיכרות בין המטריד למוטרד היא מתמשכת והפגישות תדירות. לפיכך הטרדות מיניות בעבודה ככלל אינן חד פעמיות, אלא חוזרות על עצמן</w:t>
      </w:r>
      <w:r>
        <w:rPr>
          <w:rFonts w:hint="cs"/>
          <w:rtl/>
        </w:rPr>
        <w:t>..</w:t>
      </w:r>
      <w:r w:rsidRPr="00C43F1B">
        <w:rPr>
          <w:rFonts w:hint="cs"/>
          <w:rtl/>
        </w:rPr>
        <w:t>. ייחודיות נוספת היא בכך שהמוטרד נאלץ לשוב בעל כורחו למקום הפגיעה, אם משום שהוא זקוק למשכורת ואם משום שהוא אוהב את מקום העבודה. ייחודיות נוספת להטרדות מיניות בעבודה היא בכך שפעמים רבות קיימים פערי כוחות בין המטריד למוטרד. כאשר המוטרדות הן נשים אזי חומרתה של ההטרדה בעבודה נובעת גם מכך שהיא מהווה תזכורת מתמדת לנחיתותן היחסית של אותן נשים במערך המקצועי, להיותן פגיעות ומופלות לרעה. בפרט כך כאשר ההטרדה המינית מכוונת כלפי עובדות שממילא נמצאות בעמדות מקצועיות חלשות"</w:t>
      </w:r>
      <w:r w:rsidRPr="00C43F1B">
        <w:rPr>
          <w:rStyle w:val="FootnoteReference"/>
          <w:rtl/>
        </w:rPr>
        <w:footnoteReference w:id="46"/>
      </w:r>
      <w:r w:rsidRPr="00C43F1B">
        <w:rPr>
          <w:rFonts w:hint="cs"/>
          <w:rtl/>
        </w:rPr>
        <w:t>.</w:t>
      </w:r>
    </w:p>
    <w:p w14:paraId="312D4734" w14:textId="77777777" w:rsidR="00417266" w:rsidRDefault="00417266" w:rsidP="00B90C7D">
      <w:pPr>
        <w:pStyle w:val="100"/>
        <w:rPr>
          <w:rtl/>
        </w:rPr>
      </w:pPr>
      <w:r w:rsidRPr="00C43F1B">
        <w:rPr>
          <w:rFonts w:hint="eastAsia"/>
          <w:sz w:val="24"/>
          <w:rtl/>
        </w:rPr>
        <w:t>מחקרים</w:t>
      </w:r>
      <w:r w:rsidRPr="00C43F1B">
        <w:rPr>
          <w:sz w:val="24"/>
          <w:rtl/>
        </w:rPr>
        <w:t xml:space="preserve"> </w:t>
      </w:r>
      <w:r w:rsidRPr="00C43F1B">
        <w:rPr>
          <w:rFonts w:hint="eastAsia"/>
          <w:sz w:val="24"/>
          <w:rtl/>
        </w:rPr>
        <w:t>הראו</w:t>
      </w:r>
      <w:r w:rsidRPr="00C43F1B">
        <w:rPr>
          <w:sz w:val="24"/>
          <w:rtl/>
        </w:rPr>
        <w:t xml:space="preserve"> </w:t>
      </w:r>
      <w:r w:rsidRPr="00C43F1B">
        <w:rPr>
          <w:rFonts w:hint="eastAsia"/>
          <w:sz w:val="24"/>
          <w:rtl/>
        </w:rPr>
        <w:t>כי</w:t>
      </w:r>
      <w:r w:rsidRPr="00C43F1B">
        <w:rPr>
          <w:sz w:val="24"/>
          <w:rtl/>
        </w:rPr>
        <w:t xml:space="preserve"> </w:t>
      </w:r>
      <w:r w:rsidRPr="00C43F1B">
        <w:rPr>
          <w:rFonts w:hint="eastAsia"/>
          <w:sz w:val="24"/>
          <w:rtl/>
        </w:rPr>
        <w:t>הטרדה</w:t>
      </w:r>
      <w:r w:rsidRPr="00C43F1B">
        <w:rPr>
          <w:sz w:val="24"/>
          <w:rtl/>
        </w:rPr>
        <w:t xml:space="preserve"> </w:t>
      </w:r>
      <w:r w:rsidRPr="00C43F1B">
        <w:rPr>
          <w:rFonts w:hint="eastAsia"/>
          <w:sz w:val="24"/>
          <w:rtl/>
        </w:rPr>
        <w:t>מינית</w:t>
      </w:r>
      <w:r w:rsidRPr="00C43F1B">
        <w:rPr>
          <w:sz w:val="24"/>
          <w:rtl/>
        </w:rPr>
        <w:t xml:space="preserve"> </w:t>
      </w:r>
      <w:r w:rsidRPr="00C43F1B">
        <w:rPr>
          <w:rFonts w:hint="eastAsia"/>
          <w:sz w:val="24"/>
          <w:rtl/>
        </w:rPr>
        <w:t>בעבודה</w:t>
      </w:r>
      <w:r w:rsidRPr="00C43F1B">
        <w:rPr>
          <w:sz w:val="24"/>
          <w:rtl/>
        </w:rPr>
        <w:t xml:space="preserve"> </w:t>
      </w:r>
      <w:r w:rsidRPr="00C43F1B">
        <w:rPr>
          <w:rFonts w:hint="eastAsia"/>
          <w:sz w:val="24"/>
          <w:rtl/>
        </w:rPr>
        <w:t>עשויה</w:t>
      </w:r>
      <w:r w:rsidRPr="00C43F1B">
        <w:rPr>
          <w:sz w:val="24"/>
          <w:rtl/>
        </w:rPr>
        <w:t xml:space="preserve"> </w:t>
      </w:r>
      <w:r w:rsidRPr="00C43F1B">
        <w:rPr>
          <w:rFonts w:hint="cs"/>
          <w:sz w:val="24"/>
          <w:rtl/>
        </w:rPr>
        <w:t>לפגוע גם</w:t>
      </w:r>
      <w:r w:rsidRPr="00C43F1B">
        <w:rPr>
          <w:sz w:val="24"/>
          <w:rtl/>
        </w:rPr>
        <w:t xml:space="preserve"> בארגון</w:t>
      </w:r>
      <w:r w:rsidRPr="00C43F1B">
        <w:rPr>
          <w:sz w:val="24"/>
          <w:vertAlign w:val="superscript"/>
          <w:rtl/>
        </w:rPr>
        <w:footnoteReference w:id="47"/>
      </w:r>
      <w:r w:rsidRPr="00C43F1B">
        <w:rPr>
          <w:sz w:val="24"/>
          <w:rtl/>
        </w:rPr>
        <w:t>.</w:t>
      </w:r>
      <w:r w:rsidRPr="00C43F1B">
        <w:rPr>
          <w:rFonts w:hint="cs"/>
          <w:sz w:val="24"/>
          <w:rtl/>
        </w:rPr>
        <w:t xml:space="preserve"> בסקר שערך משרד התמ"ת בשנת 2011 בעניין הטרדה מינית במקומות עבודה</w:t>
      </w:r>
      <w:r w:rsidRPr="00C43F1B">
        <w:rPr>
          <w:rStyle w:val="FootnoteReference"/>
          <w:sz w:val="24"/>
          <w:rtl/>
        </w:rPr>
        <w:footnoteReference w:id="48"/>
      </w:r>
      <w:r w:rsidRPr="00C43F1B">
        <w:rPr>
          <w:rFonts w:hint="cs"/>
          <w:sz w:val="24"/>
          <w:rtl/>
        </w:rPr>
        <w:t xml:space="preserve"> נכתב: "הטרדה מינית, מעבר לפגיעה הנפשית, גובה מחיר כלכלי כבד הן מהעובדות שהוטרדו, והן מהמעסיקים וממקומות העבודה". </w:t>
      </w:r>
      <w:r w:rsidRPr="00C43F1B">
        <w:rPr>
          <w:rFonts w:hint="cs"/>
          <w:rtl/>
        </w:rPr>
        <w:t xml:space="preserve">לפי המחקר עלות הטרדה מינית למעסיק מוערכת </w:t>
      </w:r>
      <w:r w:rsidRPr="00815D70">
        <w:rPr>
          <w:rFonts w:hint="cs"/>
          <w:rtl/>
        </w:rPr>
        <w:t>בכ-13,500 ש"ח לשנה.</w:t>
      </w:r>
      <w:r w:rsidRPr="00C43F1B">
        <w:rPr>
          <w:rFonts w:hint="cs"/>
          <w:rtl/>
        </w:rPr>
        <w:t xml:space="preserve"> סיכום העלויות מגיע לכמיליארד שקל בשנה למשק הישראלי. יוצא אפוא</w:t>
      </w:r>
      <w:r w:rsidRPr="00C43F1B">
        <w:rPr>
          <w:rFonts w:hint="cs"/>
          <w:sz w:val="24"/>
          <w:rtl/>
        </w:rPr>
        <w:t xml:space="preserve"> כי התמריץ למנוע הטרדה מינית, </w:t>
      </w:r>
      <w:r>
        <w:rPr>
          <w:rFonts w:hint="cs"/>
          <w:sz w:val="24"/>
          <w:rtl/>
        </w:rPr>
        <w:t>מלבד</w:t>
      </w:r>
      <w:r w:rsidRPr="00C43F1B">
        <w:rPr>
          <w:rFonts w:hint="cs"/>
          <w:sz w:val="24"/>
          <w:rtl/>
        </w:rPr>
        <w:t xml:space="preserve"> לשמירה על כבוד האדם ועל ערכים של שוויון וחירות, יכול להיות גם כלכלי - החשש מפגיעה ביעילות העבודה.</w:t>
      </w:r>
    </w:p>
    <w:p w14:paraId="311170C8" w14:textId="55192C0E" w:rsidR="00417266" w:rsidRPr="00C43F1B" w:rsidRDefault="00417266" w:rsidP="00B90C7D">
      <w:pPr>
        <w:pStyle w:val="100"/>
        <w:rPr>
          <w:rtl/>
        </w:rPr>
      </w:pPr>
    </w:p>
    <w:p w14:paraId="052068CC" w14:textId="77777777" w:rsidR="00417266" w:rsidRPr="00C43F1B" w:rsidRDefault="00417266" w:rsidP="00B90C7D">
      <w:pPr>
        <w:pStyle w:val="100"/>
        <w:rPr>
          <w:rtl/>
        </w:rPr>
      </w:pPr>
      <w:r w:rsidRPr="00C43F1B">
        <w:rPr>
          <w:rFonts w:hint="cs"/>
          <w:rtl/>
        </w:rPr>
        <w:t>החוק למניעת הטרדה מינית קובע את זכו</w:t>
      </w:r>
      <w:r>
        <w:rPr>
          <w:rFonts w:hint="cs"/>
          <w:rtl/>
        </w:rPr>
        <w:t>תם</w:t>
      </w:r>
      <w:r w:rsidRPr="00C43F1B">
        <w:rPr>
          <w:rFonts w:hint="cs"/>
          <w:rtl/>
        </w:rPr>
        <w:t xml:space="preserve"> של עובדים לסביבה חופשית מהטרדה מינית. החוק קובע כי נוסף על אחריותו המשפטית של הפוגע, על המעסיק לנקוט אמצעים סבירים בנסיבות העניין כדי למנוע הטרדה מינית או התנכלות </w:t>
      </w:r>
      <w:r>
        <w:rPr>
          <w:rFonts w:hint="cs"/>
          <w:rtl/>
        </w:rPr>
        <w:t>על ידי עובדו, או על ידי ממונה מטעמו אף אם אינו עובדו, ואין הסעיף מגביל את האחריות בגין ההטרדה רק לזו שהיא כלפי עובד</w:t>
      </w:r>
      <w:r>
        <w:rPr>
          <w:rStyle w:val="FootnoteReference"/>
          <w:rtl/>
        </w:rPr>
        <w:footnoteReference w:id="49"/>
      </w:r>
      <w:r>
        <w:rPr>
          <w:rFonts w:hint="cs"/>
          <w:rtl/>
        </w:rPr>
        <w:t>.</w:t>
      </w:r>
      <w:r w:rsidRPr="00C43F1B">
        <w:rPr>
          <w:rFonts w:hint="cs"/>
          <w:rtl/>
        </w:rPr>
        <w:t xml:space="preserve"> לשם כך עליו לקבוע דרך יעילה להגשת תלונה ולבירורה, לטפל ביעילות במקרים של הטרדה מינית שהוא יודע עליהם ולעשות כל שביכולתו כדי למנוע את הישנות המעשים ולתקן את הפגיעה</w:t>
      </w:r>
      <w:r>
        <w:rPr>
          <w:rFonts w:hint="cs"/>
          <w:rtl/>
        </w:rPr>
        <w:t xml:space="preserve"> שנגרמה למתלונן</w:t>
      </w:r>
      <w:r w:rsidRPr="00C43F1B">
        <w:rPr>
          <w:rFonts w:hint="cs"/>
          <w:rtl/>
        </w:rPr>
        <w:t xml:space="preserve">. התקנות מחייבות את המעסיק לפעול למניעת הטרדות מיניות באמצעות הבאת החוק לידיעת כל עובדיו ודרישה מהם להימנע מהטרדה מינית והתנכלות. עוד מחייבות </w:t>
      </w:r>
      <w:r w:rsidRPr="00C43F1B">
        <w:rPr>
          <w:rFonts w:hint="eastAsia"/>
          <w:rtl/>
        </w:rPr>
        <w:t>התקנות</w:t>
      </w:r>
      <w:r w:rsidRPr="00C43F1B">
        <w:rPr>
          <w:rtl/>
        </w:rPr>
        <w:t xml:space="preserve"> </w:t>
      </w:r>
      <w:r w:rsidRPr="00C43F1B">
        <w:rPr>
          <w:rFonts w:hint="eastAsia"/>
          <w:rtl/>
        </w:rPr>
        <w:t>את</w:t>
      </w:r>
      <w:r w:rsidRPr="00C43F1B">
        <w:rPr>
          <w:rtl/>
        </w:rPr>
        <w:t xml:space="preserve"> </w:t>
      </w:r>
      <w:r w:rsidRPr="00C43F1B">
        <w:rPr>
          <w:rFonts w:hint="eastAsia"/>
          <w:rtl/>
        </w:rPr>
        <w:t>המעסיק</w:t>
      </w:r>
      <w:r w:rsidRPr="00C43F1B">
        <w:rPr>
          <w:rtl/>
        </w:rPr>
        <w:t xml:space="preserve"> </w:t>
      </w:r>
      <w:r w:rsidRPr="00C43F1B">
        <w:rPr>
          <w:rFonts w:hint="cs"/>
          <w:rtl/>
        </w:rPr>
        <w:t xml:space="preserve">לטפל באופן </w:t>
      </w:r>
      <w:r w:rsidRPr="00C43F1B">
        <w:rPr>
          <w:rFonts w:hint="eastAsia"/>
          <w:rtl/>
        </w:rPr>
        <w:t>נאות</w:t>
      </w:r>
      <w:r w:rsidRPr="00C43F1B">
        <w:rPr>
          <w:rtl/>
        </w:rPr>
        <w:t xml:space="preserve"> </w:t>
      </w:r>
      <w:r w:rsidRPr="00C43F1B">
        <w:rPr>
          <w:rFonts w:hint="eastAsia"/>
          <w:rtl/>
        </w:rPr>
        <w:t>בתלונות</w:t>
      </w:r>
      <w:r w:rsidRPr="00C43F1B">
        <w:rPr>
          <w:rtl/>
        </w:rPr>
        <w:t xml:space="preserve"> </w:t>
      </w:r>
      <w:r w:rsidRPr="00C43F1B">
        <w:rPr>
          <w:rFonts w:hint="eastAsia"/>
          <w:rtl/>
        </w:rPr>
        <w:t>על</w:t>
      </w:r>
      <w:r w:rsidRPr="00C43F1B">
        <w:rPr>
          <w:rtl/>
        </w:rPr>
        <w:t xml:space="preserve"> </w:t>
      </w:r>
      <w:r w:rsidRPr="00C43F1B">
        <w:rPr>
          <w:rFonts w:hint="eastAsia"/>
          <w:rtl/>
        </w:rPr>
        <w:t>הטרדה</w:t>
      </w:r>
      <w:r w:rsidRPr="00C43F1B">
        <w:rPr>
          <w:rtl/>
        </w:rPr>
        <w:t xml:space="preserve"> </w:t>
      </w:r>
      <w:r w:rsidRPr="00C43F1B">
        <w:rPr>
          <w:rFonts w:hint="eastAsia"/>
          <w:rtl/>
        </w:rPr>
        <w:t>מינית</w:t>
      </w:r>
      <w:r w:rsidRPr="00C43F1B">
        <w:rPr>
          <w:rtl/>
        </w:rPr>
        <w:t xml:space="preserve">: </w:t>
      </w:r>
      <w:r w:rsidRPr="00C43F1B">
        <w:rPr>
          <w:rFonts w:hint="eastAsia"/>
          <w:rtl/>
        </w:rPr>
        <w:t>על</w:t>
      </w:r>
      <w:r w:rsidRPr="00C43F1B">
        <w:rPr>
          <w:rFonts w:hint="cs"/>
          <w:rtl/>
        </w:rPr>
        <w:t>יו</w:t>
      </w:r>
      <w:r w:rsidRPr="00C43F1B">
        <w:rPr>
          <w:rtl/>
        </w:rPr>
        <w:t xml:space="preserve"> </w:t>
      </w:r>
      <w:r w:rsidRPr="00C43F1B">
        <w:rPr>
          <w:rFonts w:hint="eastAsia"/>
          <w:rtl/>
        </w:rPr>
        <w:t>למנות</w:t>
      </w:r>
      <w:r w:rsidRPr="00C43F1B">
        <w:rPr>
          <w:rtl/>
        </w:rPr>
        <w:t xml:space="preserve"> </w:t>
      </w:r>
      <w:r w:rsidRPr="00C43F1B">
        <w:rPr>
          <w:rFonts w:hint="eastAsia"/>
          <w:rtl/>
        </w:rPr>
        <w:t>אחראי</w:t>
      </w:r>
      <w:r w:rsidRPr="00C43F1B">
        <w:rPr>
          <w:rtl/>
        </w:rPr>
        <w:t xml:space="preserve"> </w:t>
      </w:r>
      <w:r w:rsidRPr="00C43F1B">
        <w:rPr>
          <w:rFonts w:hint="eastAsia"/>
          <w:rtl/>
        </w:rPr>
        <w:t>מטעמו</w:t>
      </w:r>
      <w:r w:rsidRPr="00C43F1B">
        <w:rPr>
          <w:rtl/>
        </w:rPr>
        <w:t xml:space="preserve"> </w:t>
      </w:r>
      <w:r w:rsidRPr="00C43F1B">
        <w:rPr>
          <w:rFonts w:hint="eastAsia"/>
          <w:rtl/>
        </w:rPr>
        <w:t>שיקבל</w:t>
      </w:r>
      <w:r w:rsidRPr="00C43F1B">
        <w:rPr>
          <w:rtl/>
        </w:rPr>
        <w:t xml:space="preserve"> </w:t>
      </w:r>
      <w:r w:rsidRPr="00C43F1B">
        <w:rPr>
          <w:rFonts w:hint="eastAsia"/>
          <w:rtl/>
        </w:rPr>
        <w:t>תלונות</w:t>
      </w:r>
      <w:r w:rsidRPr="00C43F1B">
        <w:rPr>
          <w:rtl/>
        </w:rPr>
        <w:t xml:space="preserve">, </w:t>
      </w:r>
      <w:r w:rsidRPr="00C43F1B">
        <w:rPr>
          <w:rFonts w:hint="eastAsia"/>
          <w:rtl/>
        </w:rPr>
        <w:t>יברר</w:t>
      </w:r>
      <w:r w:rsidRPr="00C43F1B">
        <w:rPr>
          <w:rFonts w:hint="cs"/>
          <w:rtl/>
        </w:rPr>
        <w:t>ן</w:t>
      </w:r>
      <w:r w:rsidRPr="00C43F1B">
        <w:rPr>
          <w:rtl/>
        </w:rPr>
        <w:t xml:space="preserve"> </w:t>
      </w:r>
      <w:r w:rsidRPr="00C43F1B">
        <w:rPr>
          <w:rFonts w:hint="eastAsia"/>
          <w:rtl/>
        </w:rPr>
        <w:t>לשם</w:t>
      </w:r>
      <w:r w:rsidRPr="00C43F1B">
        <w:rPr>
          <w:rtl/>
        </w:rPr>
        <w:t xml:space="preserve"> </w:t>
      </w:r>
      <w:r w:rsidRPr="00C43F1B">
        <w:rPr>
          <w:rFonts w:hint="eastAsia"/>
          <w:rtl/>
        </w:rPr>
        <w:t>מתן</w:t>
      </w:r>
      <w:r w:rsidRPr="00C43F1B">
        <w:rPr>
          <w:rtl/>
        </w:rPr>
        <w:t xml:space="preserve"> </w:t>
      </w:r>
      <w:r w:rsidRPr="00C43F1B">
        <w:rPr>
          <w:rFonts w:hint="eastAsia"/>
          <w:rtl/>
        </w:rPr>
        <w:t>המלצות</w:t>
      </w:r>
      <w:r w:rsidRPr="00C43F1B">
        <w:rPr>
          <w:rtl/>
        </w:rPr>
        <w:t xml:space="preserve"> </w:t>
      </w:r>
      <w:r w:rsidRPr="00C43F1B">
        <w:rPr>
          <w:rFonts w:hint="cs"/>
          <w:rtl/>
        </w:rPr>
        <w:t xml:space="preserve">למעסיק </w:t>
      </w:r>
      <w:r w:rsidRPr="00C43F1B">
        <w:rPr>
          <w:rFonts w:hint="eastAsia"/>
          <w:rtl/>
        </w:rPr>
        <w:t>וייתן</w:t>
      </w:r>
      <w:r w:rsidRPr="00C43F1B">
        <w:rPr>
          <w:rtl/>
        </w:rPr>
        <w:t xml:space="preserve"> </w:t>
      </w:r>
      <w:r w:rsidRPr="00C43F1B">
        <w:rPr>
          <w:rFonts w:hint="eastAsia"/>
          <w:rtl/>
        </w:rPr>
        <w:t>ייעוץ</w:t>
      </w:r>
      <w:r w:rsidRPr="00C43F1B">
        <w:rPr>
          <w:rtl/>
        </w:rPr>
        <w:t xml:space="preserve">, </w:t>
      </w:r>
      <w:r w:rsidRPr="00C43F1B">
        <w:rPr>
          <w:rFonts w:hint="eastAsia"/>
          <w:rtl/>
        </w:rPr>
        <w:t>מידע</w:t>
      </w:r>
      <w:r w:rsidRPr="00C43F1B">
        <w:rPr>
          <w:rtl/>
        </w:rPr>
        <w:t xml:space="preserve"> </w:t>
      </w:r>
      <w:r w:rsidRPr="00C43F1B">
        <w:rPr>
          <w:rFonts w:hint="eastAsia"/>
          <w:rtl/>
        </w:rPr>
        <w:t>והדרכה</w:t>
      </w:r>
      <w:r w:rsidRPr="00C43F1B">
        <w:rPr>
          <w:rtl/>
        </w:rPr>
        <w:t xml:space="preserve"> </w:t>
      </w:r>
      <w:r w:rsidRPr="00C43F1B">
        <w:rPr>
          <w:rFonts w:hint="eastAsia"/>
          <w:rtl/>
        </w:rPr>
        <w:t>לעובדים</w:t>
      </w:r>
      <w:r w:rsidRPr="00C43F1B">
        <w:rPr>
          <w:rtl/>
        </w:rPr>
        <w:t xml:space="preserve"> </w:t>
      </w:r>
      <w:r w:rsidRPr="00C43F1B">
        <w:rPr>
          <w:rFonts w:hint="eastAsia"/>
          <w:rtl/>
        </w:rPr>
        <w:t>הפונים</w:t>
      </w:r>
      <w:r w:rsidRPr="00C43F1B">
        <w:rPr>
          <w:rtl/>
        </w:rPr>
        <w:t xml:space="preserve"> </w:t>
      </w:r>
      <w:r w:rsidRPr="00C43F1B">
        <w:rPr>
          <w:rFonts w:hint="eastAsia"/>
          <w:rtl/>
        </w:rPr>
        <w:t>אליו</w:t>
      </w:r>
      <w:r w:rsidRPr="00C43F1B">
        <w:rPr>
          <w:rtl/>
        </w:rPr>
        <w:t xml:space="preserve">. </w:t>
      </w:r>
    </w:p>
    <w:p w14:paraId="741BE517" w14:textId="77777777" w:rsidR="00417266" w:rsidRPr="00C43F1B" w:rsidRDefault="00417266" w:rsidP="004955D7">
      <w:pPr>
        <w:pStyle w:val="100"/>
        <w:rPr>
          <w:rtl/>
        </w:rPr>
      </w:pPr>
      <w:r w:rsidRPr="00C43F1B">
        <w:rPr>
          <w:rFonts w:hint="cs"/>
          <w:rtl/>
        </w:rPr>
        <w:t>אם לא עמד המעסיק בחובות המפורטות בחוק ובתקנות, קמה לו אחריות משפטית והוא חשוף לתביעה בבית הדין לעבודה. בפסיקה נקבע לדוגמה כי מעסיק חייב בפיצוי ללא הוכחת נזק משום שלא בירר תלונת עובדת, אף שהתביעה נגד הנילון עצמו נדחתה</w:t>
      </w:r>
      <w:r w:rsidRPr="00C43F1B">
        <w:rPr>
          <w:rStyle w:val="FootnoteReference"/>
          <w:rtl/>
        </w:rPr>
        <w:footnoteReference w:id="50"/>
      </w:r>
      <w:r w:rsidRPr="00C43F1B">
        <w:rPr>
          <w:rFonts w:hint="cs"/>
          <w:rtl/>
        </w:rPr>
        <w:t>. במקרה נוסף הטיל בית הדין לעבודה על מעסיק פיצויים ללא הוכחת נזק בשל פגמים קשים בטיפולו בתלונה שקיבל</w:t>
      </w:r>
      <w:r w:rsidRPr="00C43F1B">
        <w:rPr>
          <w:rStyle w:val="FootnoteReference"/>
          <w:rtl/>
        </w:rPr>
        <w:footnoteReference w:id="51"/>
      </w:r>
      <w:r w:rsidRPr="00C43F1B">
        <w:rPr>
          <w:rFonts w:hint="cs"/>
          <w:rtl/>
        </w:rPr>
        <w:t>.</w:t>
      </w:r>
    </w:p>
    <w:p w14:paraId="7A3F61E3" w14:textId="77777777" w:rsidR="00417266" w:rsidRPr="00C43F1B" w:rsidRDefault="00417266" w:rsidP="00B90C7D">
      <w:pPr>
        <w:pStyle w:val="316"/>
        <w:rPr>
          <w:rtl/>
        </w:rPr>
      </w:pPr>
      <w:bookmarkStart w:id="17" w:name="_Toc9150787"/>
      <w:r w:rsidRPr="00C43F1B">
        <w:rPr>
          <w:rFonts w:hint="cs"/>
          <w:rtl/>
        </w:rPr>
        <w:t>התקנון לדוגמה והתקנון המותאם</w:t>
      </w:r>
      <w:bookmarkEnd w:id="17"/>
    </w:p>
    <w:p w14:paraId="1B7DCB82" w14:textId="77777777" w:rsidR="00417266" w:rsidRPr="00C43F1B" w:rsidRDefault="00417266" w:rsidP="00F10ECA">
      <w:pPr>
        <w:pStyle w:val="a0"/>
        <w:numPr>
          <w:ilvl w:val="0"/>
          <w:numId w:val="22"/>
        </w:numPr>
        <w:rPr>
          <w:rtl/>
        </w:rPr>
      </w:pPr>
      <w:r w:rsidRPr="00C43F1B">
        <w:rPr>
          <w:rFonts w:hint="cs"/>
          <w:rtl/>
        </w:rPr>
        <w:t xml:space="preserve">יחסי העבודה בעולם העבודה המודרני מגוונים ובחלקם מורכבים. התקנות קובעות כי על המעסיק למסור לעובדיו או לפרסם באופן גלוי תקנון למניעת הטרדה מינית. מי שמעסיק עד 25 עובדים יצא ידי חובתו זו אם מסר או פרסם </w:t>
      </w:r>
      <w:r>
        <w:rPr>
          <w:rFonts w:hint="cs"/>
          <w:rtl/>
        </w:rPr>
        <w:t xml:space="preserve">במקום בולט לעין שבשליטתו </w:t>
      </w:r>
      <w:r w:rsidRPr="00C43F1B">
        <w:rPr>
          <w:rFonts w:hint="cs"/>
          <w:rtl/>
        </w:rPr>
        <w:t>את התקנון לדוגמה למניעת הטרדה מינית הקבוע בתוספת לתקנות, שחל, כברירת מחדל, על כלל מקומות העבודה. התקנון לדוגמה מבהיר את מילות החוק</w:t>
      </w:r>
      <w:r w:rsidRPr="00C43F1B">
        <w:rPr>
          <w:rStyle w:val="FootnoteReference"/>
          <w:rtl/>
        </w:rPr>
        <w:footnoteReference w:id="52"/>
      </w:r>
      <w:r w:rsidRPr="00C43F1B">
        <w:rPr>
          <w:rFonts w:hint="cs"/>
          <w:rtl/>
        </w:rPr>
        <w:t xml:space="preserve"> ואף כולל דוגמאות המסבירות מהן ההתנהגויות האסורות על פי החוק. עוד מוסיף ומפרט תקנון זה את הדרכים שבהן יכול לפעול אדם שהטרידו אותו מינית או התנכלו לו.</w:t>
      </w:r>
    </w:p>
    <w:p w14:paraId="287D8AFA" w14:textId="77777777" w:rsidR="00417266" w:rsidRDefault="00417266" w:rsidP="00DF6074">
      <w:pPr>
        <w:pStyle w:val="a0"/>
      </w:pPr>
      <w:r w:rsidRPr="00C43F1B">
        <w:rPr>
          <w:rFonts w:hint="cs"/>
          <w:rtl/>
        </w:rPr>
        <w:t xml:space="preserve">בתקנות נקבע כי מי שמעסיק יותר מ-25 עובדים חייב לערוך בתקנון לדוגמה התאמות המביאות לידי ביטוי את המאפיינים הייחודיים של מקום העבודה מבחינת הסדרי העבודה </w:t>
      </w:r>
      <w:r w:rsidRPr="00C43F1B">
        <w:rPr>
          <w:rFonts w:hint="cs"/>
          <w:rtl/>
        </w:rPr>
        <w:lastRenderedPageBreak/>
        <w:t>וקשרי העבודה הקיימים בו</w:t>
      </w:r>
      <w:r w:rsidRPr="00C43F1B">
        <w:rPr>
          <w:vertAlign w:val="superscript"/>
          <w:rtl/>
        </w:rPr>
        <w:footnoteReference w:id="53"/>
      </w:r>
      <w:r w:rsidRPr="00C43F1B">
        <w:rPr>
          <w:rFonts w:hint="cs"/>
          <w:rtl/>
        </w:rPr>
        <w:t xml:space="preserve">. הדברים אמורים בעיקר למקומות עבודה שלהם מאפיינים ייחודיים כגון ריבוי סניפים ולגופים שיש בהם עובדים בתנאי עבודה ייחודיים כגון עובדים במשמרות </w:t>
      </w:r>
      <w:r>
        <w:rPr>
          <w:rFonts w:hint="cs"/>
          <w:rtl/>
        </w:rPr>
        <w:t>ו</w:t>
      </w:r>
      <w:r w:rsidRPr="00C43F1B">
        <w:rPr>
          <w:rFonts w:hint="cs"/>
          <w:rtl/>
        </w:rPr>
        <w:t>עובדי קבלן. על החשיבות בהכנת תקנון שנעשו בו התאמות אלה (להלן - תקנון מותאם) ניתן ללמוד מן הדוגמאות שלהלן.</w:t>
      </w:r>
    </w:p>
    <w:p w14:paraId="5EDB4773" w14:textId="77777777" w:rsidR="00417266" w:rsidRPr="00C43F1B" w:rsidRDefault="00417266" w:rsidP="00F0031B">
      <w:pPr>
        <w:pStyle w:val="a"/>
        <w:rPr>
          <w:rtl/>
        </w:rPr>
      </w:pPr>
      <w:r w:rsidRPr="001F6B1F">
        <w:rPr>
          <w:rFonts w:hint="eastAsia"/>
          <w:b/>
          <w:bCs/>
          <w:color w:val="004E6C"/>
          <w:rtl/>
        </w:rPr>
        <w:t>חברות</w:t>
      </w:r>
      <w:r w:rsidRPr="001F6B1F">
        <w:rPr>
          <w:b/>
          <w:bCs/>
          <w:color w:val="004E6C"/>
          <w:rtl/>
        </w:rPr>
        <w:t xml:space="preserve"> </w:t>
      </w:r>
      <w:r w:rsidRPr="001F6B1F">
        <w:rPr>
          <w:rFonts w:hint="eastAsia"/>
          <w:b/>
          <w:bCs/>
          <w:color w:val="004E6C"/>
          <w:rtl/>
        </w:rPr>
        <w:t>הדיור</w:t>
      </w:r>
      <w:r w:rsidRPr="001F6B1F">
        <w:rPr>
          <w:b/>
          <w:bCs/>
          <w:color w:val="004E6C"/>
          <w:rtl/>
        </w:rPr>
        <w:t xml:space="preserve"> </w:t>
      </w:r>
      <w:r w:rsidRPr="001F6B1F">
        <w:rPr>
          <w:rFonts w:hint="eastAsia"/>
          <w:b/>
          <w:bCs/>
          <w:color w:val="004E6C"/>
          <w:rtl/>
        </w:rPr>
        <w:t>הציבורי</w:t>
      </w:r>
      <w:r w:rsidRPr="001F6B1F">
        <w:rPr>
          <w:rFonts w:hint="cs"/>
          <w:b/>
          <w:bCs/>
          <w:color w:val="004E6C"/>
          <w:rtl/>
        </w:rPr>
        <w:t>:</w:t>
      </w:r>
      <w:r w:rsidRPr="001F6B1F">
        <w:rPr>
          <w:rStyle w:val="Heading7Char"/>
          <w:color w:val="004E6C"/>
          <w:rtl/>
        </w:rPr>
        <w:t xml:space="preserve"> </w:t>
      </w:r>
      <w:r>
        <w:rPr>
          <w:rFonts w:hint="cs"/>
          <w:rtl/>
        </w:rPr>
        <w:t>ביולי 2019 היו בישראל 50,416 דירות בדיור ציבורי</w:t>
      </w:r>
      <w:r>
        <w:rPr>
          <w:rStyle w:val="FootnoteReference"/>
          <w:rtl/>
        </w:rPr>
        <w:footnoteReference w:id="54"/>
      </w:r>
      <w:r>
        <w:rPr>
          <w:rFonts w:hint="cs"/>
          <w:rtl/>
        </w:rPr>
        <w:t xml:space="preserve">. כמחצית מדיירי הדיור הציבורי הן משפחות חד הוריות שבראשן אישה. מלאי דירות הדיור </w:t>
      </w:r>
      <w:r w:rsidRPr="00F0031B">
        <w:rPr>
          <w:rFonts w:hint="cs"/>
          <w:rtl/>
        </w:rPr>
        <w:t>הציבורי</w:t>
      </w:r>
      <w:r>
        <w:rPr>
          <w:rFonts w:hint="cs"/>
          <w:rtl/>
        </w:rPr>
        <w:t xml:space="preserve"> מנוהל על ידי כמה חברות מאכלסות. דייר המתגורר בדיור ציבורי זכאי לתיקון ליקויים בדירתו (לפי רשימת פריטים סגורה) על ידי החברה המאכלסת. </w:t>
      </w:r>
      <w:r w:rsidRPr="00C43F1B">
        <w:rPr>
          <w:rFonts w:hint="cs"/>
          <w:rtl/>
        </w:rPr>
        <w:t>ביום 12.7.16 הוצגו לוועדת הכנסת לקידום מעמד האישה עדויות בדבר הטרדות מיניות של משתכנות בדיור הציבורי. המטרידים לא נמצאו ביחסי עבודה עם המוטרדות, וגם לא היו עובדי החברה המשכנת, אלא סיפקו לה שירותים חיצוניים</w:t>
      </w:r>
      <w:r>
        <w:rPr>
          <w:rFonts w:hint="cs"/>
          <w:rtl/>
        </w:rPr>
        <w:t xml:space="preserve"> של תיקון ליקויי בניה וכו'</w:t>
      </w:r>
      <w:r w:rsidRPr="00C43F1B">
        <w:rPr>
          <w:rFonts w:hint="cs"/>
          <w:rtl/>
        </w:rPr>
        <w:t>.</w:t>
      </w:r>
      <w:r w:rsidRPr="00597EEC">
        <w:rPr>
          <w:noProof/>
        </w:rPr>
        <w:t xml:space="preserve"> </w:t>
      </w:r>
    </w:p>
    <w:p w14:paraId="4788A83C" w14:textId="77777777" w:rsidR="00417266" w:rsidRDefault="00417266" w:rsidP="00F0031B">
      <w:pPr>
        <w:pStyle w:val="ad"/>
        <w:rPr>
          <w:rtl/>
        </w:rPr>
      </w:pPr>
      <w:r w:rsidRPr="00C43F1B">
        <w:rPr>
          <w:rFonts w:hint="cs"/>
          <w:rtl/>
        </w:rPr>
        <w:t>מחמת מצבן הכלכלי הקשה לא היה ביכולתן של המוטרדות להגיש תביעה אזרחית, וההליך הפלילי היה המסלול האפשרי היחיד. כיוון שההליך הפלילי הוא תהליך מורכב, התגייסו חברות הדיור הציבורי לתיקון תקנון שהרחיב את חובות החברות למניעת הטרדה מינית של משתכנת של חברת הדיור בידי עובד או ספק של החברה</w:t>
      </w:r>
      <w:r w:rsidRPr="00C43F1B">
        <w:rPr>
          <w:rStyle w:val="FootnoteReference"/>
          <w:rtl/>
        </w:rPr>
        <w:footnoteReference w:id="55"/>
      </w:r>
      <w:r w:rsidRPr="00C43F1B">
        <w:rPr>
          <w:rFonts w:hint="cs"/>
          <w:rtl/>
        </w:rPr>
        <w:t>. בתקנון התחייבו חברות הדיור הציבורי למנות אחראית למניעת הטרד</w:t>
      </w:r>
      <w:r>
        <w:rPr>
          <w:rFonts w:hint="cs"/>
          <w:rtl/>
        </w:rPr>
        <w:t>ה</w:t>
      </w:r>
      <w:r w:rsidRPr="00C43F1B">
        <w:rPr>
          <w:rFonts w:hint="cs"/>
          <w:rtl/>
        </w:rPr>
        <w:t xml:space="preserve"> מינית שתקבל תלונות של דיירות ואף קבעו סנקציות משמעתיות כלפי ספקים עד כדי הפסקת התקשרות מיידית. משרד הבינוי והשיכון החליט לפקח על עבודת האחראיות </w:t>
      </w:r>
      <w:r>
        <w:rPr>
          <w:rFonts w:hint="cs"/>
          <w:rtl/>
        </w:rPr>
        <w:t>למניעת הטרדה מינית</w:t>
      </w:r>
      <w:r w:rsidRPr="00C43F1B">
        <w:rPr>
          <w:rFonts w:hint="cs"/>
          <w:rtl/>
        </w:rPr>
        <w:t xml:space="preserve"> בחברות הדיור הציבורי ופעל לקבלת דיווח קבוע על מספר התלונות ועל אופן הטיפול בהן</w:t>
      </w:r>
      <w:r w:rsidRPr="00C43F1B">
        <w:rPr>
          <w:rStyle w:val="FootnoteReference"/>
          <w:rtl/>
        </w:rPr>
        <w:footnoteReference w:id="56"/>
      </w:r>
      <w:r w:rsidRPr="00C43F1B">
        <w:rPr>
          <w:rFonts w:hint="cs"/>
          <w:rtl/>
        </w:rPr>
        <w:t xml:space="preserve">. </w:t>
      </w:r>
    </w:p>
    <w:p w14:paraId="18DBE4A9" w14:textId="252C8A5D" w:rsidR="00417266" w:rsidRPr="00C43F1B" w:rsidRDefault="00417266" w:rsidP="00F10ECA">
      <w:pPr>
        <w:pStyle w:val="a"/>
        <w:numPr>
          <w:ilvl w:val="1"/>
          <w:numId w:val="23"/>
        </w:numPr>
      </w:pPr>
      <w:r w:rsidRPr="001F6B1F">
        <w:rPr>
          <w:rFonts w:hint="eastAsia"/>
          <w:b/>
          <w:bCs/>
          <w:color w:val="004E6C"/>
          <w:rtl/>
        </w:rPr>
        <w:t>אקדמיות</w:t>
      </w:r>
      <w:r w:rsidRPr="001F6B1F">
        <w:rPr>
          <w:b/>
          <w:bCs/>
          <w:color w:val="004E6C"/>
          <w:rtl/>
        </w:rPr>
        <w:t xml:space="preserve"> </w:t>
      </w:r>
      <w:r w:rsidRPr="001F6B1F">
        <w:rPr>
          <w:rFonts w:hint="eastAsia"/>
          <w:b/>
          <w:bCs/>
          <w:color w:val="004E6C"/>
          <w:rtl/>
        </w:rPr>
        <w:t>לאמנויות</w:t>
      </w:r>
      <w:r w:rsidRPr="001F6B1F">
        <w:rPr>
          <w:rFonts w:hint="cs"/>
          <w:b/>
          <w:bCs/>
          <w:color w:val="004E6C"/>
          <w:rtl/>
        </w:rPr>
        <w:t>:</w:t>
      </w:r>
      <w:r w:rsidRPr="001F6B1F">
        <w:rPr>
          <w:rFonts w:hint="cs"/>
          <w:color w:val="004E6C"/>
          <w:rtl/>
        </w:rPr>
        <w:t xml:space="preserve"> </w:t>
      </w:r>
      <w:r w:rsidRPr="00C43F1B">
        <w:rPr>
          <w:rFonts w:hint="cs"/>
          <w:rtl/>
        </w:rPr>
        <w:t xml:space="preserve">למשרד מבקר המדינה נמסרו פרטים </w:t>
      </w:r>
      <w:r>
        <w:rPr>
          <w:rFonts w:hint="cs"/>
          <w:rtl/>
        </w:rPr>
        <w:t xml:space="preserve">בדבר </w:t>
      </w:r>
      <w:r w:rsidRPr="00C43F1B">
        <w:rPr>
          <w:rFonts w:hint="cs"/>
          <w:rtl/>
        </w:rPr>
        <w:t>טענות שהעלו בעבר סטודנטיות כנגד התנהגויות של מרצים באקדמיות לאומנו</w:t>
      </w:r>
      <w:r>
        <w:rPr>
          <w:rFonts w:hint="cs"/>
          <w:rtl/>
        </w:rPr>
        <w:t>יו</w:t>
      </w:r>
      <w:r w:rsidRPr="00C43F1B">
        <w:rPr>
          <w:rFonts w:hint="cs"/>
          <w:rtl/>
        </w:rPr>
        <w:t xml:space="preserve">ת. המידע שנמסר </w:t>
      </w:r>
      <w:r>
        <w:rPr>
          <w:rFonts w:hint="cs"/>
          <w:rtl/>
        </w:rPr>
        <w:t>נגע</w:t>
      </w:r>
      <w:r w:rsidRPr="00C43F1B">
        <w:rPr>
          <w:rFonts w:hint="cs"/>
          <w:rtl/>
        </w:rPr>
        <w:t xml:space="preserve"> ללימוד </w:t>
      </w:r>
      <w:r w:rsidRPr="00F0031B">
        <w:rPr>
          <w:rFonts w:hint="cs"/>
          <w:rtl/>
        </w:rPr>
        <w:t>תכנים</w:t>
      </w:r>
      <w:r w:rsidRPr="00C43F1B">
        <w:rPr>
          <w:rFonts w:hint="cs"/>
          <w:rtl/>
        </w:rPr>
        <w:t xml:space="preserve"> מיניים פוגעניים בטענה שיש לכך הצדקה אומנותית ושהלימודים מחייבים מרחב יצירה. לאלו התווספו דיווחים בתקשורת על טשטוש גבולות בין מרצים לסטודנטים וסטודנטיות המעלים חשד </w:t>
      </w:r>
      <w:r>
        <w:rPr>
          <w:rFonts w:hint="cs"/>
          <w:rtl/>
        </w:rPr>
        <w:t>לניצול יחסי מרות</w:t>
      </w:r>
      <w:r w:rsidRPr="00C43F1B">
        <w:rPr>
          <w:rFonts w:hint="cs"/>
          <w:rtl/>
        </w:rPr>
        <w:t xml:space="preserve"> בבתי הספר למשחק ולאומנו</w:t>
      </w:r>
      <w:r>
        <w:rPr>
          <w:rFonts w:hint="cs"/>
          <w:rtl/>
        </w:rPr>
        <w:t>יו</w:t>
      </w:r>
      <w:r w:rsidRPr="00C43F1B">
        <w:rPr>
          <w:rFonts w:hint="cs"/>
          <w:rtl/>
        </w:rPr>
        <w:t xml:space="preserve">ת. </w:t>
      </w:r>
      <w:r w:rsidRPr="00C43F1B">
        <w:rPr>
          <w:rFonts w:hint="eastAsia"/>
          <w:rtl/>
        </w:rPr>
        <w:t>התקנון</w:t>
      </w:r>
      <w:r w:rsidRPr="00C43F1B">
        <w:rPr>
          <w:rtl/>
        </w:rPr>
        <w:t xml:space="preserve"> </w:t>
      </w:r>
      <w:r w:rsidRPr="00C43F1B">
        <w:rPr>
          <w:rFonts w:hint="eastAsia"/>
          <w:rtl/>
        </w:rPr>
        <w:t>לדוגמה</w:t>
      </w:r>
      <w:r w:rsidRPr="00C43F1B">
        <w:rPr>
          <w:rtl/>
        </w:rPr>
        <w:t xml:space="preserve"> </w:t>
      </w:r>
      <w:r w:rsidRPr="00C43F1B">
        <w:rPr>
          <w:rFonts w:hint="eastAsia"/>
          <w:rtl/>
        </w:rPr>
        <w:t>איננו</w:t>
      </w:r>
      <w:r w:rsidRPr="00C43F1B">
        <w:rPr>
          <w:rtl/>
        </w:rPr>
        <w:t xml:space="preserve"> </w:t>
      </w:r>
      <w:r w:rsidRPr="00C43F1B">
        <w:rPr>
          <w:rFonts w:hint="cs"/>
          <w:rtl/>
        </w:rPr>
        <w:t>עוסק ב</w:t>
      </w:r>
      <w:r w:rsidRPr="00C43F1B">
        <w:rPr>
          <w:rFonts w:hint="eastAsia"/>
          <w:rtl/>
        </w:rPr>
        <w:t>נסיבות</w:t>
      </w:r>
      <w:r w:rsidRPr="00C43F1B">
        <w:rPr>
          <w:rtl/>
        </w:rPr>
        <w:t xml:space="preserve"> </w:t>
      </w:r>
      <w:r w:rsidRPr="00C43F1B">
        <w:rPr>
          <w:rFonts w:hint="eastAsia"/>
          <w:rtl/>
        </w:rPr>
        <w:t>ייחודיות</w:t>
      </w:r>
      <w:r w:rsidRPr="00C43F1B">
        <w:rPr>
          <w:rtl/>
        </w:rPr>
        <w:t xml:space="preserve"> </w:t>
      </w:r>
      <w:r w:rsidRPr="00C43F1B">
        <w:rPr>
          <w:rFonts w:hint="eastAsia"/>
          <w:rtl/>
        </w:rPr>
        <w:t>אלו</w:t>
      </w:r>
      <w:r w:rsidRPr="00C43F1B">
        <w:rPr>
          <w:rtl/>
        </w:rPr>
        <w:t xml:space="preserve">. </w:t>
      </w:r>
    </w:p>
    <w:p w14:paraId="18F2BF9D" w14:textId="77777777" w:rsidR="00417266" w:rsidRPr="00C43F1B" w:rsidRDefault="00417266" w:rsidP="00F0031B">
      <w:pPr>
        <w:pStyle w:val="ad"/>
        <w:rPr>
          <w:rtl/>
        </w:rPr>
      </w:pPr>
      <w:r w:rsidRPr="00C43F1B">
        <w:rPr>
          <w:rFonts w:hint="cs"/>
          <w:rtl/>
        </w:rPr>
        <w:t>יש לציין כי הלימודים באקדמיות לאומנו</w:t>
      </w:r>
      <w:r>
        <w:rPr>
          <w:rFonts w:hint="cs"/>
          <w:rtl/>
        </w:rPr>
        <w:t>יו</w:t>
      </w:r>
      <w:r w:rsidRPr="00C43F1B">
        <w:rPr>
          <w:rFonts w:hint="cs"/>
          <w:rtl/>
        </w:rPr>
        <w:t>ת עוסקים ביצירה ו</w:t>
      </w:r>
      <w:r>
        <w:rPr>
          <w:rFonts w:hint="cs"/>
          <w:rtl/>
        </w:rPr>
        <w:t>ב</w:t>
      </w:r>
      <w:r w:rsidRPr="00C43F1B">
        <w:rPr>
          <w:rFonts w:hint="cs"/>
          <w:rtl/>
        </w:rPr>
        <w:t>חשיפה אישית, ובין היתר, גם בגוף האדם ובמיניות. עם זאת, אין בכך כדי לייתר את הדרישה כלפי מוסדות הלימוד להגדיר, במסגרת של תקנון למניעת הטרדה מינית, את גבולות המותר והאסור במהלך השיעורים</w:t>
      </w:r>
      <w:r>
        <w:rPr>
          <w:rFonts w:hint="cs"/>
          <w:rtl/>
        </w:rPr>
        <w:t>,</w:t>
      </w:r>
      <w:r w:rsidRPr="00C43F1B">
        <w:rPr>
          <w:rFonts w:hint="cs"/>
          <w:rtl/>
        </w:rPr>
        <w:t xml:space="preserve"> וכן את גבולות המותר והאסור בכל הנוגע לניצול יחסי מרות שבין מרצים לבין סטודנטיות וסטודנטים. </w:t>
      </w:r>
    </w:p>
    <w:p w14:paraId="25D9C3C4" w14:textId="77777777" w:rsidR="00417266" w:rsidRPr="00C43F1B" w:rsidRDefault="00417266" w:rsidP="00F0031B">
      <w:pPr>
        <w:pStyle w:val="ad"/>
        <w:rPr>
          <w:rtl/>
        </w:rPr>
      </w:pPr>
      <w:r w:rsidRPr="00C43F1B">
        <w:rPr>
          <w:rFonts w:hint="cs"/>
          <w:rtl/>
        </w:rPr>
        <w:lastRenderedPageBreak/>
        <w:t>דוגמה להתייחסות למאפיינים הייחודיים של עולם האומנות במסגרת תקנון למניעת הטרדה מינית ניתן למצוא במסמך מדיניות איסור אפליה והטרדה מינית שפרסמ</w:t>
      </w:r>
      <w:r>
        <w:rPr>
          <w:rFonts w:hint="cs"/>
          <w:rtl/>
        </w:rPr>
        <w:t>ה</w:t>
      </w:r>
      <w:r w:rsidRPr="00C43F1B">
        <w:rPr>
          <w:rFonts w:hint="cs"/>
          <w:rtl/>
        </w:rPr>
        <w:t xml:space="preserve"> </w:t>
      </w:r>
      <w:r>
        <w:rPr>
          <w:rFonts w:hint="cs"/>
          <w:rtl/>
        </w:rPr>
        <w:t>ה</w:t>
      </w:r>
      <w:r w:rsidRPr="00C43F1B">
        <w:rPr>
          <w:rFonts w:hint="cs"/>
          <w:rtl/>
        </w:rPr>
        <w:t>אקדמיה לאומנות יפה בפנסילבניה</w:t>
      </w:r>
      <w:r>
        <w:rPr>
          <w:rFonts w:hint="cs"/>
          <w:rtl/>
        </w:rPr>
        <w:t>,</w:t>
      </w:r>
      <w:r w:rsidRPr="00C43F1B">
        <w:rPr>
          <w:rFonts w:hint="cs"/>
          <w:rtl/>
        </w:rPr>
        <w:t xml:space="preserve"> וכן במדריך התקנות לסטודנט</w:t>
      </w:r>
      <w:r>
        <w:rPr>
          <w:rFonts w:hint="cs"/>
          <w:rtl/>
        </w:rPr>
        <w:t xml:space="preserve"> שפרסמה</w:t>
      </w:r>
      <w:r w:rsidRPr="00C43F1B">
        <w:rPr>
          <w:rFonts w:hint="cs"/>
          <w:rtl/>
        </w:rPr>
        <w:t>, העוסק, בין היתר</w:t>
      </w:r>
      <w:r>
        <w:rPr>
          <w:rFonts w:hint="cs"/>
          <w:rtl/>
        </w:rPr>
        <w:t>,</w:t>
      </w:r>
      <w:r w:rsidRPr="00C43F1B">
        <w:rPr>
          <w:rFonts w:hint="cs"/>
          <w:rtl/>
        </w:rPr>
        <w:t xml:space="preserve"> בהתנהלות בשיעור הכולל מודל אנושי</w:t>
      </w:r>
      <w:r w:rsidRPr="00C43F1B">
        <w:rPr>
          <w:rStyle w:val="FootnoteReference"/>
          <w:rtl/>
        </w:rPr>
        <w:footnoteReference w:id="57"/>
      </w:r>
      <w:r>
        <w:rPr>
          <w:rFonts w:hint="cs"/>
          <w:rtl/>
        </w:rPr>
        <w:t>.</w:t>
      </w:r>
      <w:r w:rsidRPr="00C43F1B">
        <w:rPr>
          <w:rFonts w:hint="cs"/>
          <w:rtl/>
        </w:rPr>
        <w:t xml:space="preserve"> בישראל ארגון השחקנים בישראל (שח"ם) יצר אמנה</w:t>
      </w:r>
      <w:r>
        <w:rPr>
          <w:rStyle w:val="FootnoteReference"/>
          <w:rtl/>
        </w:rPr>
        <w:footnoteReference w:id="58"/>
      </w:r>
      <w:r w:rsidRPr="00C43F1B">
        <w:rPr>
          <w:rFonts w:hint="cs"/>
          <w:rtl/>
        </w:rPr>
        <w:t xml:space="preserve"> </w:t>
      </w:r>
      <w:r>
        <w:rPr>
          <w:rFonts w:hint="cs"/>
          <w:rtl/>
        </w:rPr>
        <w:t>הקובעת</w:t>
      </w:r>
      <w:r w:rsidRPr="00C43F1B">
        <w:rPr>
          <w:rFonts w:hint="cs"/>
          <w:rtl/>
        </w:rPr>
        <w:t xml:space="preserve"> כללים להתנהגות במבחני קבלה לבתי הספר למשחק, בשיעורי משחק ו</w:t>
      </w:r>
      <w:r>
        <w:rPr>
          <w:rFonts w:hint="cs"/>
          <w:rtl/>
        </w:rPr>
        <w:t>ב</w:t>
      </w:r>
      <w:r w:rsidRPr="00C43F1B">
        <w:rPr>
          <w:rFonts w:hint="cs"/>
          <w:rtl/>
        </w:rPr>
        <w:t xml:space="preserve">תרגילי משחק </w:t>
      </w:r>
      <w:r>
        <w:rPr>
          <w:rFonts w:hint="cs"/>
          <w:rtl/>
        </w:rPr>
        <w:t>ו</w:t>
      </w:r>
      <w:r w:rsidRPr="00C43F1B">
        <w:rPr>
          <w:rFonts w:hint="cs"/>
          <w:rtl/>
        </w:rPr>
        <w:t>כללי</w:t>
      </w:r>
      <w:r>
        <w:rPr>
          <w:rFonts w:hint="cs"/>
          <w:rtl/>
        </w:rPr>
        <w:t>ם</w:t>
      </w:r>
      <w:r w:rsidRPr="00C43F1B">
        <w:rPr>
          <w:rFonts w:hint="cs"/>
          <w:rtl/>
        </w:rPr>
        <w:t xml:space="preserve"> </w:t>
      </w:r>
      <w:r>
        <w:rPr>
          <w:rFonts w:hint="cs"/>
          <w:rtl/>
        </w:rPr>
        <w:t>ל</w:t>
      </w:r>
      <w:r w:rsidRPr="00C43F1B">
        <w:rPr>
          <w:rFonts w:hint="cs"/>
          <w:rtl/>
        </w:rPr>
        <w:t xml:space="preserve">התנהגות במסגרת יחסי מורה ותלמידים. </w:t>
      </w:r>
    </w:p>
    <w:p w14:paraId="334E7B66" w14:textId="77777777" w:rsidR="00417266" w:rsidRPr="006764DD" w:rsidRDefault="00417266" w:rsidP="00F0031B">
      <w:pPr>
        <w:pStyle w:val="ab"/>
        <w:rPr>
          <w:rtl/>
        </w:rPr>
      </w:pPr>
      <w:r w:rsidRPr="006764DD">
        <w:rPr>
          <w:rFonts w:hint="eastAsia"/>
          <w:rtl/>
        </w:rPr>
        <w:t>מן</w:t>
      </w:r>
      <w:r w:rsidRPr="006764DD">
        <w:rPr>
          <w:rtl/>
        </w:rPr>
        <w:t xml:space="preserve"> </w:t>
      </w:r>
      <w:r w:rsidRPr="006764DD">
        <w:rPr>
          <w:rFonts w:hint="eastAsia"/>
          <w:rtl/>
        </w:rPr>
        <w:t>הראוי</w:t>
      </w:r>
      <w:r w:rsidRPr="006764DD">
        <w:rPr>
          <w:rtl/>
        </w:rPr>
        <w:t xml:space="preserve"> </w:t>
      </w:r>
      <w:r w:rsidRPr="006764DD">
        <w:rPr>
          <w:rFonts w:hint="eastAsia"/>
          <w:rtl/>
        </w:rPr>
        <w:t>כי</w:t>
      </w:r>
      <w:r w:rsidRPr="006764DD">
        <w:rPr>
          <w:rtl/>
        </w:rPr>
        <w:t xml:space="preserve"> </w:t>
      </w:r>
      <w:r>
        <w:rPr>
          <w:rFonts w:hint="cs"/>
          <w:rtl/>
        </w:rPr>
        <w:t xml:space="preserve">המל"ג תנחה את </w:t>
      </w:r>
      <w:r w:rsidRPr="006764DD">
        <w:rPr>
          <w:rFonts w:hint="eastAsia"/>
          <w:rtl/>
        </w:rPr>
        <w:t>האקדמיות</w:t>
      </w:r>
      <w:r w:rsidRPr="006764DD">
        <w:rPr>
          <w:rtl/>
        </w:rPr>
        <w:t xml:space="preserve"> </w:t>
      </w:r>
      <w:r w:rsidRPr="006764DD">
        <w:rPr>
          <w:rFonts w:hint="eastAsia"/>
          <w:rtl/>
        </w:rPr>
        <w:t>לא</w:t>
      </w:r>
      <w:r w:rsidRPr="006764DD">
        <w:rPr>
          <w:rFonts w:hint="cs"/>
          <w:rtl/>
        </w:rPr>
        <w:t>ו</w:t>
      </w:r>
      <w:r w:rsidRPr="006764DD">
        <w:rPr>
          <w:rFonts w:hint="eastAsia"/>
          <w:rtl/>
        </w:rPr>
        <w:t>מנו</w:t>
      </w:r>
      <w:r>
        <w:rPr>
          <w:rFonts w:hint="cs"/>
          <w:rtl/>
        </w:rPr>
        <w:t>יו</w:t>
      </w:r>
      <w:r w:rsidRPr="006764DD">
        <w:rPr>
          <w:rFonts w:hint="eastAsia"/>
          <w:rtl/>
        </w:rPr>
        <w:t>ת</w:t>
      </w:r>
      <w:r w:rsidRPr="006764DD">
        <w:rPr>
          <w:rtl/>
        </w:rPr>
        <w:t xml:space="preserve"> </w:t>
      </w:r>
      <w:r>
        <w:rPr>
          <w:rFonts w:hint="cs"/>
          <w:rtl/>
        </w:rPr>
        <w:t>להתאים</w:t>
      </w:r>
      <w:r w:rsidRPr="006764DD">
        <w:rPr>
          <w:rtl/>
        </w:rPr>
        <w:t xml:space="preserve"> </w:t>
      </w:r>
      <w:r w:rsidRPr="006764DD">
        <w:rPr>
          <w:rFonts w:hint="eastAsia"/>
          <w:rtl/>
        </w:rPr>
        <w:t>את</w:t>
      </w:r>
      <w:r w:rsidRPr="006764DD">
        <w:rPr>
          <w:rtl/>
        </w:rPr>
        <w:t xml:space="preserve"> </w:t>
      </w:r>
      <w:r w:rsidRPr="006764DD">
        <w:rPr>
          <w:rFonts w:hint="eastAsia"/>
          <w:rtl/>
        </w:rPr>
        <w:t>התקנון</w:t>
      </w:r>
      <w:r w:rsidRPr="006764DD">
        <w:rPr>
          <w:rtl/>
        </w:rPr>
        <w:t xml:space="preserve"> </w:t>
      </w:r>
      <w:r w:rsidRPr="006764DD">
        <w:rPr>
          <w:rFonts w:hint="eastAsia"/>
          <w:rtl/>
        </w:rPr>
        <w:t>למניעת</w:t>
      </w:r>
      <w:r w:rsidRPr="006764DD">
        <w:rPr>
          <w:rtl/>
        </w:rPr>
        <w:t xml:space="preserve"> </w:t>
      </w:r>
      <w:r w:rsidRPr="006764DD">
        <w:rPr>
          <w:rFonts w:hint="eastAsia"/>
          <w:rtl/>
        </w:rPr>
        <w:t>הטרדה</w:t>
      </w:r>
      <w:r w:rsidRPr="006764DD">
        <w:rPr>
          <w:rtl/>
        </w:rPr>
        <w:t xml:space="preserve"> </w:t>
      </w:r>
      <w:r w:rsidRPr="006764DD">
        <w:rPr>
          <w:rFonts w:hint="eastAsia"/>
          <w:rtl/>
        </w:rPr>
        <w:t>מינית</w:t>
      </w:r>
      <w:r>
        <w:rPr>
          <w:rFonts w:hint="cs"/>
          <w:rtl/>
        </w:rPr>
        <w:t xml:space="preserve"> שלהן</w:t>
      </w:r>
      <w:r w:rsidRPr="006764DD">
        <w:rPr>
          <w:rtl/>
        </w:rPr>
        <w:t xml:space="preserve"> </w:t>
      </w:r>
      <w:r w:rsidRPr="006764DD">
        <w:rPr>
          <w:rFonts w:hint="eastAsia"/>
          <w:rtl/>
        </w:rPr>
        <w:t>למאפיינים</w:t>
      </w:r>
      <w:r w:rsidRPr="006764DD">
        <w:rPr>
          <w:rtl/>
        </w:rPr>
        <w:t xml:space="preserve"> </w:t>
      </w:r>
      <w:r w:rsidRPr="006764DD">
        <w:rPr>
          <w:rFonts w:hint="eastAsia"/>
          <w:rtl/>
        </w:rPr>
        <w:t>הייחודיים</w:t>
      </w:r>
      <w:r w:rsidRPr="006764DD">
        <w:rPr>
          <w:rtl/>
        </w:rPr>
        <w:t xml:space="preserve"> </w:t>
      </w:r>
      <w:r w:rsidRPr="006764DD">
        <w:rPr>
          <w:rFonts w:hint="eastAsia"/>
          <w:rtl/>
        </w:rPr>
        <w:t>של</w:t>
      </w:r>
      <w:r w:rsidRPr="006764DD">
        <w:rPr>
          <w:rtl/>
        </w:rPr>
        <w:t xml:space="preserve"> </w:t>
      </w:r>
      <w:r w:rsidRPr="006764DD">
        <w:rPr>
          <w:rFonts w:hint="eastAsia"/>
          <w:rtl/>
        </w:rPr>
        <w:t>חומרי</w:t>
      </w:r>
      <w:r w:rsidRPr="006764DD">
        <w:rPr>
          <w:rtl/>
        </w:rPr>
        <w:t xml:space="preserve"> </w:t>
      </w:r>
      <w:r w:rsidRPr="006764DD">
        <w:rPr>
          <w:rFonts w:hint="eastAsia"/>
          <w:rtl/>
        </w:rPr>
        <w:t>הלימוד</w:t>
      </w:r>
      <w:r w:rsidRPr="006764DD">
        <w:rPr>
          <w:rtl/>
        </w:rPr>
        <w:t xml:space="preserve"> </w:t>
      </w:r>
      <w:r w:rsidRPr="006764DD">
        <w:rPr>
          <w:rFonts w:hint="eastAsia"/>
          <w:rtl/>
        </w:rPr>
        <w:t>ו</w:t>
      </w:r>
      <w:r w:rsidRPr="006764DD">
        <w:rPr>
          <w:rFonts w:hint="cs"/>
          <w:rtl/>
        </w:rPr>
        <w:t xml:space="preserve">של </w:t>
      </w:r>
      <w:r w:rsidRPr="006764DD">
        <w:rPr>
          <w:rFonts w:hint="eastAsia"/>
          <w:rtl/>
        </w:rPr>
        <w:t>הקשרים</w:t>
      </w:r>
      <w:r w:rsidRPr="006764DD">
        <w:rPr>
          <w:rtl/>
        </w:rPr>
        <w:t xml:space="preserve"> </w:t>
      </w:r>
      <w:r w:rsidRPr="006764DD">
        <w:rPr>
          <w:rFonts w:hint="eastAsia"/>
          <w:rtl/>
        </w:rPr>
        <w:t>הבין</w:t>
      </w:r>
      <w:r w:rsidRPr="006764DD">
        <w:rPr>
          <w:rFonts w:hint="cs"/>
          <w:rtl/>
        </w:rPr>
        <w:t>-</w:t>
      </w:r>
      <w:r w:rsidRPr="006764DD">
        <w:rPr>
          <w:rFonts w:hint="eastAsia"/>
          <w:rtl/>
        </w:rPr>
        <w:t>אישיים</w:t>
      </w:r>
      <w:r w:rsidRPr="006764DD">
        <w:rPr>
          <w:rtl/>
        </w:rPr>
        <w:t xml:space="preserve"> </w:t>
      </w:r>
      <w:r w:rsidRPr="006764DD">
        <w:rPr>
          <w:rFonts w:hint="eastAsia"/>
          <w:rtl/>
        </w:rPr>
        <w:t>בין</w:t>
      </w:r>
      <w:r w:rsidRPr="006764DD">
        <w:rPr>
          <w:rtl/>
        </w:rPr>
        <w:t xml:space="preserve"> </w:t>
      </w:r>
      <w:r w:rsidRPr="006764DD">
        <w:rPr>
          <w:rFonts w:hint="eastAsia"/>
          <w:rtl/>
        </w:rPr>
        <w:t>התלמידים</w:t>
      </w:r>
      <w:r w:rsidRPr="006764DD">
        <w:rPr>
          <w:rtl/>
        </w:rPr>
        <w:t xml:space="preserve"> </w:t>
      </w:r>
      <w:r w:rsidRPr="006764DD">
        <w:rPr>
          <w:rFonts w:hint="eastAsia"/>
          <w:rtl/>
        </w:rPr>
        <w:t>והמרצים</w:t>
      </w:r>
      <w:r w:rsidRPr="006764DD">
        <w:rPr>
          <w:rtl/>
        </w:rPr>
        <w:t>.</w:t>
      </w:r>
    </w:p>
    <w:p w14:paraId="1FA1D2B6" w14:textId="77777777" w:rsidR="00417266" w:rsidRDefault="00417266" w:rsidP="00F0031B">
      <w:pPr>
        <w:pStyle w:val="ad"/>
        <w:rPr>
          <w:rtl/>
        </w:rPr>
      </w:pPr>
      <w:r>
        <w:rPr>
          <w:rFonts w:hint="cs"/>
          <w:rtl/>
        </w:rPr>
        <w:t>המל"ג מסרה בתשובתה מיולי 2019 כי האחריות לעמידה בהוראות החוק מוטלת על המוסדות להשכלה גבוהה. עם זאת, מליאת המל"ג פועלת לקידום מניעת הטרדה מינית במוסדות אלה. בינואר 2018 מונתה במל"</w:t>
      </w:r>
      <w:r w:rsidRPr="000048A4">
        <w:rPr>
          <w:rFonts w:hint="cs"/>
          <w:rtl/>
        </w:rPr>
        <w:t xml:space="preserve">ג </w:t>
      </w:r>
      <w:r w:rsidRPr="000048A4">
        <w:rPr>
          <w:rFonts w:hint="eastAsia"/>
          <w:rtl/>
        </w:rPr>
        <w:t>אחראית</w:t>
      </w:r>
      <w:r w:rsidRPr="000048A4">
        <w:rPr>
          <w:rtl/>
        </w:rPr>
        <w:t xml:space="preserve"> </w:t>
      </w:r>
      <w:r w:rsidRPr="000048A4">
        <w:rPr>
          <w:rFonts w:hint="eastAsia"/>
          <w:rtl/>
        </w:rPr>
        <w:t>ל</w:t>
      </w:r>
      <w:r w:rsidRPr="000048A4">
        <w:rPr>
          <w:rFonts w:hint="cs"/>
          <w:rtl/>
        </w:rPr>
        <w:t>מניעת</w:t>
      </w:r>
      <w:r>
        <w:rPr>
          <w:rFonts w:hint="cs"/>
          <w:rtl/>
        </w:rPr>
        <w:t xml:space="preserve"> הטרדה מינית, העוקבת אחר הדוחות השנתיים שמגישים מוסדות ההשכלה הגבוהה על פי החוק, ובשנת 2018 קיימה המל"ג כנס לאחראיות למניעת הטרדה מינית של מוסדות ההשכלה הגבוהה ויום עיון בנושא לבכירי המערכת האקדמית. המל"ג גם הבהירה בתשובתה כי תבחן את נושא ההטרדות המיניות במסגרת לימודי האומנות ואף תפנה למוסדות בתחומי האומנויות בבקשה להתאים את התקנון למניעת הטרדה מינית למאפייני המוסד, בהתאם לתחומי הלימוד הייחודיים הנלמדים בו.</w:t>
      </w:r>
    </w:p>
    <w:p w14:paraId="65BC589C" w14:textId="16715D31" w:rsidR="00417266" w:rsidRPr="00C43F1B" w:rsidRDefault="00417266" w:rsidP="00F10ECA">
      <w:pPr>
        <w:pStyle w:val="a"/>
        <w:numPr>
          <w:ilvl w:val="1"/>
          <w:numId w:val="23"/>
        </w:numPr>
      </w:pPr>
      <w:r w:rsidRPr="00315D7F">
        <w:rPr>
          <w:rFonts w:hint="eastAsia"/>
          <w:b/>
          <w:bCs/>
          <w:color w:val="004E6C"/>
          <w:rtl/>
        </w:rPr>
        <w:t>הנהלת</w:t>
      </w:r>
      <w:r w:rsidRPr="00315D7F">
        <w:rPr>
          <w:b/>
          <w:bCs/>
          <w:color w:val="004E6C"/>
          <w:rtl/>
        </w:rPr>
        <w:t xml:space="preserve"> </w:t>
      </w:r>
      <w:r w:rsidRPr="00315D7F">
        <w:rPr>
          <w:rFonts w:hint="eastAsia"/>
          <w:b/>
          <w:bCs/>
          <w:color w:val="004E6C"/>
          <w:rtl/>
        </w:rPr>
        <w:t>בתי</w:t>
      </w:r>
      <w:r w:rsidRPr="00315D7F">
        <w:rPr>
          <w:b/>
          <w:bCs/>
          <w:color w:val="004E6C"/>
          <w:rtl/>
        </w:rPr>
        <w:t xml:space="preserve"> </w:t>
      </w:r>
      <w:r w:rsidRPr="00315D7F">
        <w:rPr>
          <w:rFonts w:hint="eastAsia"/>
          <w:b/>
          <w:bCs/>
          <w:color w:val="004E6C"/>
          <w:rtl/>
        </w:rPr>
        <w:t>המשפט</w:t>
      </w:r>
      <w:r w:rsidRPr="00315D7F">
        <w:rPr>
          <w:rFonts w:hint="cs"/>
          <w:b/>
          <w:bCs/>
          <w:color w:val="004E6C"/>
          <w:rtl/>
        </w:rPr>
        <w:t>:</w:t>
      </w:r>
      <w:r w:rsidRPr="00315D7F">
        <w:rPr>
          <w:rFonts w:hint="cs"/>
          <w:color w:val="004E6C"/>
          <w:rtl/>
        </w:rPr>
        <w:t xml:space="preserve"> </w:t>
      </w:r>
      <w:r w:rsidRPr="00C43F1B">
        <w:rPr>
          <w:rFonts w:hint="cs"/>
          <w:rtl/>
        </w:rPr>
        <w:t xml:space="preserve">בהנהלת בתי המשפט </w:t>
      </w:r>
      <w:r w:rsidRPr="00C43F1B">
        <w:rPr>
          <w:rtl/>
        </w:rPr>
        <w:t>כ-4,000 עובדי מדינה</w:t>
      </w:r>
      <w:r w:rsidRPr="00C43F1B">
        <w:rPr>
          <w:rFonts w:hint="cs"/>
          <w:rtl/>
        </w:rPr>
        <w:t xml:space="preserve">, שחוק </w:t>
      </w:r>
      <w:r>
        <w:rPr>
          <w:rFonts w:hint="cs"/>
          <w:rtl/>
        </w:rPr>
        <w:t>המשמעת</w:t>
      </w:r>
      <w:r w:rsidRPr="00C43F1B">
        <w:rPr>
          <w:rtl/>
        </w:rPr>
        <w:t xml:space="preserve"> </w:t>
      </w:r>
      <w:r w:rsidRPr="00C43F1B">
        <w:rPr>
          <w:rFonts w:hint="cs"/>
          <w:rtl/>
        </w:rPr>
        <w:t>חל עליהם. לעומתם, סגל השופטים</w:t>
      </w:r>
      <w:r w:rsidRPr="00C43F1B">
        <w:rPr>
          <w:rtl/>
        </w:rPr>
        <w:t xml:space="preserve"> אינם מוגדרים עובדי מדינה, וחוק </w:t>
      </w:r>
      <w:r w:rsidRPr="00C43F1B">
        <w:rPr>
          <w:rFonts w:hint="cs"/>
          <w:rtl/>
        </w:rPr>
        <w:t>זה</w:t>
      </w:r>
      <w:r w:rsidRPr="00C43F1B">
        <w:rPr>
          <w:rtl/>
        </w:rPr>
        <w:t xml:space="preserve"> </w:t>
      </w:r>
      <w:r w:rsidRPr="00C43F1B">
        <w:rPr>
          <w:rFonts w:hint="cs"/>
          <w:rtl/>
        </w:rPr>
        <w:t>אינו</w:t>
      </w:r>
      <w:r w:rsidRPr="00C43F1B">
        <w:rPr>
          <w:rtl/>
        </w:rPr>
        <w:t xml:space="preserve"> חל עליהם.</w:t>
      </w:r>
      <w:r w:rsidRPr="00C43F1B">
        <w:rPr>
          <w:rFonts w:hint="cs"/>
          <w:rtl/>
        </w:rPr>
        <w:t xml:space="preserve"> </w:t>
      </w:r>
    </w:p>
    <w:p w14:paraId="717EB210" w14:textId="33A8F39A" w:rsidR="00417266" w:rsidRPr="00C43F1B" w:rsidRDefault="00417266" w:rsidP="005048AA">
      <w:pPr>
        <w:pStyle w:val="ad"/>
        <w:rPr>
          <w:rtl/>
        </w:rPr>
      </w:pPr>
      <w:r w:rsidRPr="00C43F1B">
        <w:rPr>
          <w:rFonts w:hint="cs"/>
          <w:rtl/>
        </w:rPr>
        <w:t>כאשר הנילון הוא עובד מדינה</w:t>
      </w:r>
      <w:r>
        <w:rPr>
          <w:rFonts w:hint="cs"/>
          <w:rtl/>
        </w:rPr>
        <w:t>,</w:t>
      </w:r>
      <w:r w:rsidRPr="00C43F1B">
        <w:rPr>
          <w:rFonts w:hint="cs"/>
          <w:rtl/>
        </w:rPr>
        <w:t xml:space="preserve"> על </w:t>
      </w:r>
      <w:r>
        <w:rPr>
          <w:rFonts w:hint="cs"/>
          <w:rtl/>
        </w:rPr>
        <w:t xml:space="preserve">הממונה על </w:t>
      </w:r>
      <w:r w:rsidRPr="00C43F1B">
        <w:rPr>
          <w:rFonts w:hint="cs"/>
          <w:rtl/>
        </w:rPr>
        <w:t>מניעת הטרד</w:t>
      </w:r>
      <w:r>
        <w:rPr>
          <w:rFonts w:hint="cs"/>
          <w:rtl/>
        </w:rPr>
        <w:t>ה</w:t>
      </w:r>
      <w:r w:rsidRPr="00C43F1B">
        <w:rPr>
          <w:rFonts w:hint="cs"/>
          <w:rtl/>
        </w:rPr>
        <w:t xml:space="preserve"> מינית להעביר את התלונה לבירורה של נש"ם. אולם אם המטריד הוא שופט שאינו עובד מדינה, הרי שעל </w:t>
      </w:r>
      <w:r w:rsidRPr="00C43F1B">
        <w:rPr>
          <w:rFonts w:hint="eastAsia"/>
          <w:rtl/>
        </w:rPr>
        <w:t>הממונה</w:t>
      </w:r>
      <w:r w:rsidRPr="00C43F1B">
        <w:rPr>
          <w:rtl/>
        </w:rPr>
        <w:t xml:space="preserve"> </w:t>
      </w:r>
      <w:r w:rsidRPr="00C43F1B">
        <w:rPr>
          <w:rFonts w:hint="cs"/>
          <w:rtl/>
        </w:rPr>
        <w:t xml:space="preserve">להעביר את התלונה לבירור מנהל בתי המשפט, שהוא למעשה המעסיק. </w:t>
      </w:r>
    </w:p>
    <w:p w14:paraId="2D4E33F6" w14:textId="77777777" w:rsidR="00417266" w:rsidRPr="00C43F1B" w:rsidRDefault="00417266" w:rsidP="005048AA">
      <w:pPr>
        <w:pStyle w:val="ad"/>
        <w:rPr>
          <w:b/>
          <w:bCs/>
          <w:rtl/>
        </w:rPr>
      </w:pPr>
      <w:r w:rsidRPr="00C43F1B">
        <w:rPr>
          <w:rFonts w:hint="cs"/>
          <w:rtl/>
        </w:rPr>
        <w:t xml:space="preserve">יצוין כי לפי התקנות והתקנון לדוגמה, כל מעסיק נדרש למנות אחראי מטעמו, והמעסיק אמור לטפל </w:t>
      </w:r>
      <w:r>
        <w:rPr>
          <w:rFonts w:hint="cs"/>
          <w:rtl/>
        </w:rPr>
        <w:t xml:space="preserve">בעצמו </w:t>
      </w:r>
      <w:r w:rsidRPr="00C43F1B">
        <w:rPr>
          <w:rFonts w:hint="cs"/>
          <w:rtl/>
        </w:rPr>
        <w:t xml:space="preserve">בתלונות על הטרדה מינית רק אם לאחראי או למחליפו יש נגיעה אישית למעורבים בתלונה. עוד קובעות התקנות כי ככל שניתן, תמונה אישה אחראית לבירור התלונות. </w:t>
      </w:r>
    </w:p>
    <w:p w14:paraId="337EA0ED" w14:textId="77777777" w:rsidR="00417266" w:rsidRPr="00C43F1B" w:rsidRDefault="00417266" w:rsidP="005048AA">
      <w:pPr>
        <w:pStyle w:val="ab"/>
        <w:rPr>
          <w:rtl/>
        </w:rPr>
      </w:pPr>
      <w:r w:rsidRPr="00C43F1B">
        <w:rPr>
          <w:rFonts w:hint="cs"/>
          <w:rtl/>
        </w:rPr>
        <w:lastRenderedPageBreak/>
        <w:t>על הנהלת בתי המשפט להכין תקנון מותאם שיבהיר לעובדיה</w:t>
      </w:r>
      <w:r w:rsidRPr="00C43F1B" w:rsidDel="008B0356">
        <w:rPr>
          <w:rFonts w:hint="cs"/>
          <w:rtl/>
        </w:rPr>
        <w:t xml:space="preserve"> </w:t>
      </w:r>
      <w:r w:rsidRPr="00C43F1B">
        <w:rPr>
          <w:rFonts w:hint="cs"/>
          <w:rtl/>
        </w:rPr>
        <w:t xml:space="preserve">אל מי עליהם לפנות במקרה של הטרדה </w:t>
      </w:r>
      <w:r>
        <w:rPr>
          <w:rFonts w:hint="cs"/>
          <w:rtl/>
        </w:rPr>
        <w:t xml:space="preserve">מינית </w:t>
      </w:r>
      <w:r w:rsidRPr="00C43F1B">
        <w:rPr>
          <w:rFonts w:hint="cs"/>
          <w:rtl/>
        </w:rPr>
        <w:t>ויתווה הליך נגיש להגשת תלונות על הטרדה מינית בידי שופטים. כמו כן ראוי שהנהלת בתי המשפט תבחן מינוי של אחראית</w:t>
      </w:r>
      <w:r>
        <w:rPr>
          <w:rFonts w:hint="cs"/>
          <w:rtl/>
        </w:rPr>
        <w:t xml:space="preserve"> למניעת הטרדה מינית</w:t>
      </w:r>
      <w:r w:rsidRPr="00C43F1B">
        <w:rPr>
          <w:rFonts w:hint="cs"/>
          <w:rtl/>
        </w:rPr>
        <w:t xml:space="preserve"> שתטפל בכלל התלונות על שופטים.</w:t>
      </w:r>
    </w:p>
    <w:p w14:paraId="713F32D6" w14:textId="77777777" w:rsidR="00417266" w:rsidRDefault="00417266" w:rsidP="005048AA">
      <w:pPr>
        <w:pStyle w:val="ad"/>
        <w:rPr>
          <w:rtl/>
        </w:rPr>
      </w:pPr>
      <w:r>
        <w:rPr>
          <w:rFonts w:hint="cs"/>
          <w:rtl/>
        </w:rPr>
        <w:t xml:space="preserve">הנהלת בתי המשפט ציינה בתשובתה מיולי 2019 כי יש מקום למנגנון מובנה הכולל את ההתאמות הנדרשות מתוקף מעמדם ותפקידם של שופטים. במסגרת זו פעלה חטיבת השופטים הרשומים והרשמים בהנהלת בתי המשפט לקידום מינוי אחראית, שופטת בדימוס, שתהיה אמונה על תלונות בנוגע להטרדות מיניות שהוגשו נגד נושאי משרה שיפוטית. </w:t>
      </w:r>
      <w:r w:rsidRPr="00D47EBE">
        <w:rPr>
          <w:rFonts w:hint="cs"/>
          <w:rtl/>
        </w:rPr>
        <w:t>המינוי יצא לפועל בספטמבר 2019.</w:t>
      </w:r>
    </w:p>
    <w:p w14:paraId="080F4DBC" w14:textId="77777777" w:rsidR="00417266" w:rsidRPr="00D0354A" w:rsidRDefault="00417266" w:rsidP="005048AA">
      <w:pPr>
        <w:pStyle w:val="ab"/>
        <w:rPr>
          <w:rtl/>
        </w:rPr>
      </w:pPr>
      <w:r>
        <w:rPr>
          <w:rFonts w:hint="cs"/>
          <w:rtl/>
        </w:rPr>
        <w:t>משרד מבקר המדינה רואה בחיוב את מינוי האחראית למניעת הטרדה מינית שתברר תלונות על נושאי משרה שיפוטית.</w:t>
      </w:r>
    </w:p>
    <w:p w14:paraId="1F4CFAD5" w14:textId="77777777" w:rsidR="00417266" w:rsidRDefault="00417266" w:rsidP="005048AA">
      <w:pPr>
        <w:pStyle w:val="316"/>
        <w:rPr>
          <w:rtl/>
        </w:rPr>
      </w:pPr>
      <w:bookmarkStart w:id="18" w:name="_Toc9150788"/>
      <w:r w:rsidRPr="00C43F1B">
        <w:rPr>
          <w:rFonts w:hint="cs"/>
          <w:rtl/>
        </w:rPr>
        <w:t>הטרדה מינית במגזר העבודה הפרטי</w:t>
      </w:r>
      <w:bookmarkEnd w:id="18"/>
    </w:p>
    <w:p w14:paraId="673F8DB3" w14:textId="77777777" w:rsidR="00417266" w:rsidRDefault="00417266" w:rsidP="005048AA">
      <w:pPr>
        <w:pStyle w:val="414"/>
        <w:rPr>
          <w:rtl/>
        </w:rPr>
      </w:pPr>
      <w:bookmarkStart w:id="19" w:name="_Toc9150789"/>
      <w:r w:rsidRPr="00C017C5">
        <w:rPr>
          <w:rFonts w:hint="cs"/>
          <w:rtl/>
        </w:rPr>
        <w:t>בירור תלונות בידי האחראית</w:t>
      </w:r>
      <w:r>
        <w:rPr>
          <w:rFonts w:hint="cs"/>
          <w:rtl/>
        </w:rPr>
        <w:t xml:space="preserve"> למניעת הטרדה מינית</w:t>
      </w:r>
      <w:r w:rsidRPr="00C017C5">
        <w:rPr>
          <w:rFonts w:hint="cs"/>
          <w:rtl/>
        </w:rPr>
        <w:t xml:space="preserve"> במקום העבודה</w:t>
      </w:r>
      <w:bookmarkEnd w:id="19"/>
    </w:p>
    <w:p w14:paraId="0F4017BB" w14:textId="77777777" w:rsidR="00417266" w:rsidRPr="00C43F1B" w:rsidRDefault="00417266" w:rsidP="00F10ECA">
      <w:pPr>
        <w:pStyle w:val="a0"/>
        <w:numPr>
          <w:ilvl w:val="0"/>
          <w:numId w:val="24"/>
        </w:numPr>
      </w:pPr>
      <w:r w:rsidRPr="00C43F1B">
        <w:rPr>
          <w:rFonts w:hint="cs"/>
          <w:rtl/>
        </w:rPr>
        <w:t xml:space="preserve">כאמור, </w:t>
      </w:r>
      <w:r w:rsidRPr="00C43F1B">
        <w:rPr>
          <w:rFonts w:hint="eastAsia"/>
          <w:rtl/>
        </w:rPr>
        <w:t>התקנות</w:t>
      </w:r>
      <w:r w:rsidRPr="00C43F1B">
        <w:rPr>
          <w:rtl/>
        </w:rPr>
        <w:t xml:space="preserve"> </w:t>
      </w:r>
      <w:r w:rsidRPr="00C43F1B">
        <w:rPr>
          <w:rFonts w:hint="eastAsia"/>
          <w:rtl/>
        </w:rPr>
        <w:t>מחייבות</w:t>
      </w:r>
      <w:r w:rsidRPr="00C43F1B">
        <w:rPr>
          <w:rtl/>
        </w:rPr>
        <w:t xml:space="preserve"> </w:t>
      </w:r>
      <w:r w:rsidRPr="00C43F1B">
        <w:rPr>
          <w:rFonts w:hint="eastAsia"/>
          <w:rtl/>
        </w:rPr>
        <w:t>את</w:t>
      </w:r>
      <w:r w:rsidRPr="00C43F1B">
        <w:rPr>
          <w:rtl/>
        </w:rPr>
        <w:t xml:space="preserve"> </w:t>
      </w:r>
      <w:r w:rsidRPr="00C43F1B">
        <w:rPr>
          <w:rFonts w:hint="eastAsia"/>
          <w:rtl/>
        </w:rPr>
        <w:t>המעסיק</w:t>
      </w:r>
      <w:r w:rsidRPr="00C43F1B">
        <w:rPr>
          <w:rtl/>
        </w:rPr>
        <w:t xml:space="preserve"> </w:t>
      </w:r>
      <w:r w:rsidRPr="00C43F1B">
        <w:rPr>
          <w:rFonts w:hint="eastAsia"/>
          <w:rtl/>
        </w:rPr>
        <w:t>לפעול</w:t>
      </w:r>
      <w:r w:rsidRPr="00C43F1B">
        <w:rPr>
          <w:rtl/>
        </w:rPr>
        <w:t xml:space="preserve"> </w:t>
      </w:r>
      <w:r w:rsidRPr="00C43F1B">
        <w:rPr>
          <w:rFonts w:hint="eastAsia"/>
          <w:rtl/>
        </w:rPr>
        <w:t>למניעת</w:t>
      </w:r>
      <w:r w:rsidRPr="00C43F1B">
        <w:rPr>
          <w:rtl/>
        </w:rPr>
        <w:t xml:space="preserve"> </w:t>
      </w:r>
      <w:r w:rsidRPr="00C43F1B">
        <w:rPr>
          <w:rFonts w:hint="eastAsia"/>
          <w:rtl/>
        </w:rPr>
        <w:t>הטרדות</w:t>
      </w:r>
      <w:r w:rsidRPr="00C43F1B">
        <w:rPr>
          <w:rtl/>
        </w:rPr>
        <w:t xml:space="preserve"> </w:t>
      </w:r>
      <w:r w:rsidRPr="00C43F1B">
        <w:rPr>
          <w:rFonts w:hint="eastAsia"/>
          <w:rtl/>
        </w:rPr>
        <w:t>מיניות</w:t>
      </w:r>
      <w:r w:rsidRPr="00C43F1B">
        <w:rPr>
          <w:rtl/>
        </w:rPr>
        <w:t xml:space="preserve"> </w:t>
      </w:r>
      <w:r w:rsidRPr="00C43F1B">
        <w:rPr>
          <w:rFonts w:hint="eastAsia"/>
          <w:rtl/>
        </w:rPr>
        <w:t>גם</w:t>
      </w:r>
      <w:r w:rsidRPr="00C43F1B">
        <w:rPr>
          <w:rtl/>
        </w:rPr>
        <w:t xml:space="preserve"> </w:t>
      </w:r>
      <w:r w:rsidRPr="00C43F1B">
        <w:rPr>
          <w:rFonts w:hint="eastAsia"/>
          <w:rtl/>
        </w:rPr>
        <w:t>באמצעות</w:t>
      </w:r>
      <w:r w:rsidRPr="00C43F1B">
        <w:rPr>
          <w:rtl/>
        </w:rPr>
        <w:t xml:space="preserve"> </w:t>
      </w:r>
      <w:r w:rsidRPr="00C43F1B">
        <w:rPr>
          <w:rFonts w:hint="eastAsia"/>
          <w:rtl/>
        </w:rPr>
        <w:t>טיפול</w:t>
      </w:r>
      <w:r w:rsidRPr="00C43F1B">
        <w:rPr>
          <w:rtl/>
        </w:rPr>
        <w:t xml:space="preserve"> </w:t>
      </w:r>
      <w:r w:rsidRPr="00C43F1B">
        <w:rPr>
          <w:rFonts w:hint="eastAsia"/>
          <w:rtl/>
        </w:rPr>
        <w:t>נאות</w:t>
      </w:r>
      <w:r w:rsidRPr="00C43F1B">
        <w:rPr>
          <w:rtl/>
        </w:rPr>
        <w:t xml:space="preserve"> </w:t>
      </w:r>
      <w:r w:rsidRPr="00C43F1B">
        <w:rPr>
          <w:rFonts w:hint="eastAsia"/>
          <w:rtl/>
        </w:rPr>
        <w:t>בתלונות</w:t>
      </w:r>
      <w:r w:rsidRPr="00C43F1B">
        <w:rPr>
          <w:rtl/>
        </w:rPr>
        <w:t xml:space="preserve"> </w:t>
      </w:r>
      <w:r w:rsidRPr="00C43F1B">
        <w:rPr>
          <w:rFonts w:hint="cs"/>
          <w:rtl/>
        </w:rPr>
        <w:t>בנושא</w:t>
      </w:r>
      <w:r w:rsidRPr="00C43F1B">
        <w:rPr>
          <w:rtl/>
        </w:rPr>
        <w:t xml:space="preserve">. </w:t>
      </w:r>
      <w:r w:rsidRPr="00C43F1B">
        <w:rPr>
          <w:rFonts w:hint="eastAsia"/>
          <w:rtl/>
        </w:rPr>
        <w:t>לפי</w:t>
      </w:r>
      <w:r w:rsidRPr="00C43F1B">
        <w:rPr>
          <w:rtl/>
        </w:rPr>
        <w:t xml:space="preserve"> </w:t>
      </w:r>
      <w:r w:rsidRPr="00C43F1B">
        <w:rPr>
          <w:rFonts w:hint="eastAsia"/>
          <w:rtl/>
        </w:rPr>
        <w:t>התקנות</w:t>
      </w:r>
      <w:r w:rsidRPr="00C43F1B">
        <w:rPr>
          <w:rFonts w:hint="cs"/>
          <w:rtl/>
        </w:rPr>
        <w:t>,</w:t>
      </w:r>
      <w:r w:rsidRPr="00C43F1B">
        <w:rPr>
          <w:rtl/>
        </w:rPr>
        <w:t xml:space="preserve"> </w:t>
      </w:r>
      <w:r w:rsidRPr="00C43F1B">
        <w:rPr>
          <w:rFonts w:hint="eastAsia"/>
          <w:rtl/>
        </w:rPr>
        <w:t>האחראיות</w:t>
      </w:r>
      <w:r w:rsidRPr="00C43F1B">
        <w:rPr>
          <w:rtl/>
        </w:rPr>
        <w:t xml:space="preserve"> </w:t>
      </w:r>
      <w:r w:rsidRPr="00C43F1B">
        <w:rPr>
          <w:rFonts w:hint="eastAsia"/>
          <w:rtl/>
        </w:rPr>
        <w:t>למניעת</w:t>
      </w:r>
      <w:r w:rsidRPr="00C43F1B">
        <w:rPr>
          <w:rtl/>
        </w:rPr>
        <w:t xml:space="preserve"> </w:t>
      </w:r>
      <w:r w:rsidRPr="00C43F1B">
        <w:rPr>
          <w:rFonts w:hint="eastAsia"/>
          <w:rtl/>
        </w:rPr>
        <w:t>הטרדה</w:t>
      </w:r>
      <w:r w:rsidRPr="00C43F1B">
        <w:rPr>
          <w:rtl/>
        </w:rPr>
        <w:t xml:space="preserve"> </w:t>
      </w:r>
      <w:r w:rsidRPr="00C43F1B">
        <w:rPr>
          <w:rFonts w:hint="eastAsia"/>
          <w:rtl/>
        </w:rPr>
        <w:t>מינית</w:t>
      </w:r>
      <w:r w:rsidRPr="00C43F1B">
        <w:rPr>
          <w:rtl/>
        </w:rPr>
        <w:t xml:space="preserve"> </w:t>
      </w:r>
      <w:r w:rsidRPr="00C43F1B">
        <w:rPr>
          <w:rFonts w:hint="eastAsia"/>
          <w:rtl/>
        </w:rPr>
        <w:t>במקומות</w:t>
      </w:r>
      <w:r w:rsidRPr="00C43F1B">
        <w:rPr>
          <w:rtl/>
        </w:rPr>
        <w:t xml:space="preserve"> </w:t>
      </w:r>
      <w:r w:rsidRPr="00C43F1B">
        <w:rPr>
          <w:rFonts w:hint="eastAsia"/>
          <w:rtl/>
        </w:rPr>
        <w:t>עבודה</w:t>
      </w:r>
      <w:r w:rsidRPr="00C43F1B">
        <w:rPr>
          <w:rtl/>
        </w:rPr>
        <w:t xml:space="preserve"> </w:t>
      </w:r>
      <w:r w:rsidRPr="00C43F1B">
        <w:rPr>
          <w:rFonts w:hint="eastAsia"/>
          <w:rtl/>
        </w:rPr>
        <w:t>פרטיים</w:t>
      </w:r>
      <w:r w:rsidRPr="00C43F1B">
        <w:rPr>
          <w:rtl/>
        </w:rPr>
        <w:t xml:space="preserve"> </w:t>
      </w:r>
      <w:r w:rsidRPr="00C43F1B">
        <w:rPr>
          <w:rFonts w:hint="eastAsia"/>
          <w:rtl/>
        </w:rPr>
        <w:t>נדרשות</w:t>
      </w:r>
      <w:r w:rsidRPr="00C43F1B">
        <w:rPr>
          <w:rtl/>
        </w:rPr>
        <w:t xml:space="preserve"> </w:t>
      </w:r>
      <w:r w:rsidRPr="00C43F1B">
        <w:rPr>
          <w:rFonts w:hint="eastAsia"/>
          <w:rtl/>
        </w:rPr>
        <w:t>לברר</w:t>
      </w:r>
      <w:r w:rsidRPr="00C43F1B">
        <w:rPr>
          <w:rtl/>
        </w:rPr>
        <w:t xml:space="preserve"> </w:t>
      </w:r>
      <w:r w:rsidRPr="00C43F1B">
        <w:rPr>
          <w:rFonts w:hint="eastAsia"/>
          <w:rtl/>
        </w:rPr>
        <w:t>את</w:t>
      </w:r>
      <w:r w:rsidRPr="00C43F1B">
        <w:rPr>
          <w:rtl/>
        </w:rPr>
        <w:t xml:space="preserve"> </w:t>
      </w:r>
      <w:r w:rsidRPr="00C43F1B">
        <w:rPr>
          <w:rFonts w:hint="eastAsia"/>
          <w:rtl/>
        </w:rPr>
        <w:t>התלונות</w:t>
      </w:r>
      <w:r w:rsidRPr="00C43F1B">
        <w:rPr>
          <w:rtl/>
        </w:rPr>
        <w:t xml:space="preserve"> </w:t>
      </w:r>
      <w:r w:rsidRPr="00C43F1B">
        <w:rPr>
          <w:rFonts w:hint="eastAsia"/>
          <w:rtl/>
        </w:rPr>
        <w:t>המוגשות</w:t>
      </w:r>
      <w:r w:rsidRPr="00C43F1B">
        <w:rPr>
          <w:rtl/>
        </w:rPr>
        <w:t xml:space="preserve"> </w:t>
      </w:r>
      <w:r w:rsidRPr="00C43F1B">
        <w:rPr>
          <w:rFonts w:hint="eastAsia"/>
          <w:rtl/>
        </w:rPr>
        <w:t>לטיפולן</w:t>
      </w:r>
      <w:r w:rsidRPr="00C43F1B">
        <w:rPr>
          <w:rtl/>
        </w:rPr>
        <w:t>. לבירור התלונ</w:t>
      </w:r>
      <w:r w:rsidRPr="00C43F1B">
        <w:rPr>
          <w:rFonts w:hint="cs"/>
          <w:rtl/>
        </w:rPr>
        <w:t>ות</w:t>
      </w:r>
      <w:r w:rsidRPr="00C43F1B">
        <w:rPr>
          <w:rtl/>
        </w:rPr>
        <w:t xml:space="preserve"> על ידי האחראי</w:t>
      </w:r>
      <w:r w:rsidRPr="00C43F1B">
        <w:rPr>
          <w:rFonts w:hint="cs"/>
          <w:rtl/>
        </w:rPr>
        <w:t>ו</w:t>
      </w:r>
      <w:r w:rsidRPr="00C43F1B">
        <w:rPr>
          <w:rtl/>
        </w:rPr>
        <w:t>ת</w:t>
      </w:r>
      <w:r w:rsidRPr="00C43F1B">
        <w:rPr>
          <w:rFonts w:hint="cs"/>
          <w:rtl/>
        </w:rPr>
        <w:t xml:space="preserve"> </w:t>
      </w:r>
      <w:r>
        <w:rPr>
          <w:rFonts w:hint="cs"/>
          <w:rtl/>
        </w:rPr>
        <w:t xml:space="preserve">שבמקום העבודה </w:t>
      </w:r>
      <w:r w:rsidRPr="00C43F1B">
        <w:rPr>
          <w:rFonts w:hint="cs"/>
          <w:rtl/>
        </w:rPr>
        <w:t>יש יתרונות וחסרונות</w:t>
      </w:r>
      <w:r>
        <w:rPr>
          <w:rFonts w:hint="cs"/>
          <w:rtl/>
        </w:rPr>
        <w:t xml:space="preserve"> לעומת העברת התלונות לבירור חיצוני</w:t>
      </w:r>
      <w:r w:rsidRPr="00C43F1B">
        <w:rPr>
          <w:rFonts w:hint="cs"/>
          <w:rtl/>
        </w:rPr>
        <w:t>:</w:t>
      </w:r>
    </w:p>
    <w:p w14:paraId="7A4B738D" w14:textId="77777777" w:rsidR="00417266" w:rsidRPr="00C43F1B" w:rsidRDefault="00417266" w:rsidP="00076ED7">
      <w:pPr>
        <w:pStyle w:val="a"/>
      </w:pPr>
      <w:r w:rsidRPr="00C43F1B">
        <w:rPr>
          <w:rFonts w:hint="cs"/>
          <w:rtl/>
        </w:rPr>
        <w:t>היתרונות הם טיפול יעיל וזריז בתלונה, לטובת הנפגעת, הנילון ומקום העבודה; גמישות ניהולית ושיקול דעת רחב המאפשרים לבחור בדרכי טיפול, בפתרונות ובסנקציות ההולמים את נסיבותיו של כל מקרה ומביאים בחשבון את כל צורכי המעורבים; הטיפול בתלונה במקום העבודה מקל על הנפגעת לגייס את המשאבים הנפשיים הדרושים להגשת התלונה בלי לערב גורם חיצוני כמו המשטרה או בית המשפט, העלול</w:t>
      </w:r>
      <w:r w:rsidRPr="00C43F1B">
        <w:rPr>
          <w:rtl/>
        </w:rPr>
        <w:t xml:space="preserve"> להעמיק את המשבר ולהחריף את הטלטלה האישית והתעסוקתית שהיא חווה ממילא</w:t>
      </w:r>
      <w:r w:rsidRPr="00C43F1B">
        <w:rPr>
          <w:rStyle w:val="FootnoteReference"/>
          <w:rFonts w:eastAsia="PMingLiU"/>
          <w:i/>
          <w:sz w:val="24"/>
          <w:rtl/>
        </w:rPr>
        <w:footnoteReference w:id="59"/>
      </w:r>
      <w:r w:rsidRPr="00C43F1B">
        <w:rPr>
          <w:rtl/>
        </w:rPr>
        <w:t>.</w:t>
      </w:r>
      <w:r w:rsidRPr="00C43F1B">
        <w:rPr>
          <w:rFonts w:hint="cs"/>
          <w:rtl/>
        </w:rPr>
        <w:t xml:space="preserve"> </w:t>
      </w:r>
    </w:p>
    <w:p w14:paraId="0CB2F92D" w14:textId="00E02FD7" w:rsidR="00417266" w:rsidRPr="00C43F1B" w:rsidRDefault="002746DE" w:rsidP="002746DE">
      <w:pPr>
        <w:pStyle w:val="a"/>
        <w:numPr>
          <w:ilvl w:val="0"/>
          <w:numId w:val="0"/>
        </w:numPr>
        <w:ind w:left="652" w:hanging="397"/>
      </w:pPr>
      <w:r>
        <w:rPr>
          <w:rFonts w:hint="cs"/>
          <w:rtl/>
        </w:rPr>
        <w:t>ב.</w:t>
      </w:r>
      <w:r>
        <w:rPr>
          <w:rtl/>
        </w:rPr>
        <w:tab/>
      </w:r>
      <w:r w:rsidR="00417266" w:rsidRPr="00C43F1B">
        <w:rPr>
          <w:rFonts w:hint="cs"/>
          <w:rtl/>
        </w:rPr>
        <w:t>החסרונות נובעים מ</w:t>
      </w:r>
      <w:r w:rsidR="00417266" w:rsidRPr="00C43F1B">
        <w:rPr>
          <w:rtl/>
        </w:rPr>
        <w:t>קשיים ואתגרים רבים בקיום הליך הבירור במתכונתו הקיימת</w:t>
      </w:r>
      <w:r w:rsidR="00417266" w:rsidRPr="00C43F1B">
        <w:rPr>
          <w:rFonts w:hint="cs"/>
          <w:rtl/>
        </w:rPr>
        <w:t>, ובהם</w:t>
      </w:r>
      <w:r w:rsidR="00417266" w:rsidRPr="00C43F1B">
        <w:rPr>
          <w:rtl/>
        </w:rPr>
        <w:t xml:space="preserve"> היעדר </w:t>
      </w:r>
      <w:r w:rsidR="00417266" w:rsidRPr="002746DE">
        <w:rPr>
          <w:rtl/>
        </w:rPr>
        <w:t>הכשרה</w:t>
      </w:r>
      <w:r w:rsidR="00417266" w:rsidRPr="00C43F1B">
        <w:rPr>
          <w:rtl/>
        </w:rPr>
        <w:t xml:space="preserve"> מקצועית</w:t>
      </w:r>
      <w:r w:rsidR="00417266" w:rsidRPr="00C43F1B">
        <w:rPr>
          <w:rFonts w:hint="cs"/>
          <w:rtl/>
        </w:rPr>
        <w:t xml:space="preserve"> של האחראי</w:t>
      </w:r>
      <w:r w:rsidR="00417266">
        <w:rPr>
          <w:rFonts w:hint="cs"/>
          <w:rtl/>
        </w:rPr>
        <w:t>ת למניעת הטרדה מינית</w:t>
      </w:r>
      <w:r w:rsidR="00417266" w:rsidRPr="00C43F1B">
        <w:rPr>
          <w:rtl/>
        </w:rPr>
        <w:t xml:space="preserve">, היעדר גיבוי </w:t>
      </w:r>
      <w:r w:rsidR="00417266" w:rsidRPr="00C43F1B">
        <w:rPr>
          <w:rFonts w:hint="cs"/>
          <w:rtl/>
        </w:rPr>
        <w:t>של</w:t>
      </w:r>
      <w:r w:rsidR="00417266" w:rsidRPr="00C43F1B">
        <w:rPr>
          <w:rtl/>
        </w:rPr>
        <w:t xml:space="preserve"> המעסיק וקושי לקיים הליך בירור</w:t>
      </w:r>
      <w:r w:rsidR="00417266" w:rsidRPr="00C43F1B">
        <w:rPr>
          <w:rFonts w:hint="cs"/>
          <w:rtl/>
        </w:rPr>
        <w:t xml:space="preserve"> אובייקטיבי, מחמת ה</w:t>
      </w:r>
      <w:r w:rsidR="00417266">
        <w:rPr>
          <w:rFonts w:hint="cs"/>
          <w:rtl/>
        </w:rPr>
        <w:t>י</w:t>
      </w:r>
      <w:r w:rsidR="00417266" w:rsidRPr="00C43F1B">
        <w:rPr>
          <w:rFonts w:hint="cs"/>
          <w:rtl/>
        </w:rPr>
        <w:t xml:space="preserve">כרות מוקדמת של האחראית עם הצדדים, וכן החשש שבמקרים מסוימים </w:t>
      </w:r>
      <w:r w:rsidR="00417266">
        <w:rPr>
          <w:rFonts w:hint="cs"/>
          <w:rtl/>
        </w:rPr>
        <w:t>י</w:t>
      </w:r>
      <w:r w:rsidR="00417266" w:rsidRPr="00C43F1B">
        <w:rPr>
          <w:rFonts w:hint="cs"/>
          <w:rtl/>
        </w:rPr>
        <w:t>תנכל</w:t>
      </w:r>
      <w:r w:rsidR="00417266">
        <w:rPr>
          <w:rFonts w:hint="cs"/>
          <w:rtl/>
        </w:rPr>
        <w:t>ו</w:t>
      </w:r>
      <w:r w:rsidR="00417266" w:rsidRPr="00C43F1B">
        <w:rPr>
          <w:rFonts w:hint="cs"/>
          <w:rtl/>
        </w:rPr>
        <w:t xml:space="preserve"> לאחראית בעקבות הליכי הבירור שערכה</w:t>
      </w:r>
      <w:r w:rsidR="00417266" w:rsidRPr="00C43F1B">
        <w:rPr>
          <w:rStyle w:val="FootnoteReference"/>
          <w:rFonts w:ascii="David" w:eastAsia="PMingLiU" w:hAnsi="David"/>
          <w:sz w:val="24"/>
          <w:rtl/>
        </w:rPr>
        <w:footnoteReference w:id="60"/>
      </w:r>
      <w:r w:rsidR="00417266" w:rsidRPr="00C43F1B">
        <w:rPr>
          <w:rtl/>
        </w:rPr>
        <w:t xml:space="preserve">. </w:t>
      </w:r>
    </w:p>
    <w:p w14:paraId="37488836" w14:textId="77777777" w:rsidR="00417266" w:rsidRDefault="00417266" w:rsidP="005C2859">
      <w:pPr>
        <w:pStyle w:val="12"/>
        <w:rPr>
          <w:rtl/>
        </w:rPr>
      </w:pPr>
      <w:r w:rsidRPr="00C43F1B">
        <w:rPr>
          <w:rFonts w:hint="eastAsia"/>
          <w:rtl/>
        </w:rPr>
        <w:lastRenderedPageBreak/>
        <w:t>האחראיות</w:t>
      </w:r>
      <w:r w:rsidRPr="00C43F1B">
        <w:rPr>
          <w:rtl/>
        </w:rPr>
        <w:t xml:space="preserve"> </w:t>
      </w:r>
      <w:r w:rsidRPr="009537F5">
        <w:rPr>
          <w:rFonts w:hint="cs"/>
          <w:rtl/>
        </w:rPr>
        <w:t>למניעת הטרדה מינית</w:t>
      </w:r>
      <w:r w:rsidRPr="00C43F1B">
        <w:rPr>
          <w:rFonts w:hint="eastAsia"/>
          <w:rtl/>
        </w:rPr>
        <w:t xml:space="preserve"> במגזר</w:t>
      </w:r>
      <w:r w:rsidRPr="00C43F1B">
        <w:rPr>
          <w:rtl/>
        </w:rPr>
        <w:t xml:space="preserve"> </w:t>
      </w:r>
      <w:r w:rsidRPr="00C43F1B">
        <w:rPr>
          <w:rFonts w:hint="eastAsia"/>
          <w:rtl/>
        </w:rPr>
        <w:t>הפרטי</w:t>
      </w:r>
      <w:r w:rsidRPr="00C43F1B">
        <w:rPr>
          <w:rtl/>
        </w:rPr>
        <w:t xml:space="preserve"> </w:t>
      </w:r>
      <w:r w:rsidRPr="00C43F1B">
        <w:rPr>
          <w:rFonts w:hint="eastAsia"/>
          <w:rtl/>
        </w:rPr>
        <w:t>אינן</w:t>
      </w:r>
      <w:r w:rsidRPr="00C43F1B">
        <w:rPr>
          <w:rtl/>
        </w:rPr>
        <w:t xml:space="preserve"> </w:t>
      </w:r>
      <w:r w:rsidRPr="00C43F1B">
        <w:rPr>
          <w:rFonts w:hint="eastAsia"/>
          <w:rtl/>
        </w:rPr>
        <w:t>מחויבות</w:t>
      </w:r>
      <w:r w:rsidRPr="00C43F1B">
        <w:rPr>
          <w:rtl/>
        </w:rPr>
        <w:t xml:space="preserve"> </w:t>
      </w:r>
      <w:r w:rsidRPr="00C43F1B">
        <w:rPr>
          <w:rFonts w:hint="eastAsia"/>
          <w:rtl/>
        </w:rPr>
        <w:t>לעבור</w:t>
      </w:r>
      <w:r w:rsidRPr="00C43F1B">
        <w:rPr>
          <w:rtl/>
        </w:rPr>
        <w:t xml:space="preserve"> </w:t>
      </w:r>
      <w:r w:rsidRPr="00C43F1B">
        <w:rPr>
          <w:rFonts w:hint="eastAsia"/>
          <w:rtl/>
        </w:rPr>
        <w:t>השתלמויות</w:t>
      </w:r>
      <w:r w:rsidRPr="00C43F1B">
        <w:rPr>
          <w:rtl/>
        </w:rPr>
        <w:t xml:space="preserve"> </w:t>
      </w:r>
      <w:r w:rsidRPr="00C43F1B">
        <w:rPr>
          <w:rFonts w:hint="eastAsia"/>
          <w:rtl/>
        </w:rPr>
        <w:t>העוסקות</w:t>
      </w:r>
      <w:r w:rsidRPr="00C43F1B">
        <w:rPr>
          <w:rtl/>
        </w:rPr>
        <w:t xml:space="preserve"> </w:t>
      </w:r>
      <w:r w:rsidRPr="00C43F1B">
        <w:rPr>
          <w:rFonts w:hint="eastAsia"/>
          <w:rtl/>
        </w:rPr>
        <w:t>במהות</w:t>
      </w:r>
      <w:r w:rsidRPr="00C43F1B">
        <w:rPr>
          <w:rtl/>
        </w:rPr>
        <w:t xml:space="preserve"> </w:t>
      </w:r>
      <w:r w:rsidRPr="00C43F1B">
        <w:rPr>
          <w:rFonts w:hint="eastAsia"/>
          <w:rtl/>
        </w:rPr>
        <w:t>התפקיד</w:t>
      </w:r>
      <w:r w:rsidRPr="00C43F1B">
        <w:rPr>
          <w:rtl/>
        </w:rPr>
        <w:t xml:space="preserve">, </w:t>
      </w:r>
      <w:r w:rsidRPr="00C43F1B">
        <w:rPr>
          <w:rFonts w:hint="cs"/>
          <w:rtl/>
        </w:rPr>
        <w:t>ב</w:t>
      </w:r>
      <w:r w:rsidRPr="00C43F1B">
        <w:rPr>
          <w:rFonts w:hint="eastAsia"/>
          <w:rtl/>
        </w:rPr>
        <w:t>הכרת</w:t>
      </w:r>
      <w:r w:rsidRPr="00C43F1B">
        <w:rPr>
          <w:rtl/>
        </w:rPr>
        <w:t xml:space="preserve"> </w:t>
      </w:r>
      <w:r w:rsidRPr="00C43F1B">
        <w:rPr>
          <w:rFonts w:hint="eastAsia"/>
          <w:rtl/>
        </w:rPr>
        <w:t>החוק</w:t>
      </w:r>
      <w:r w:rsidRPr="00C43F1B">
        <w:rPr>
          <w:rtl/>
        </w:rPr>
        <w:t xml:space="preserve"> </w:t>
      </w:r>
      <w:r w:rsidRPr="00C43F1B">
        <w:rPr>
          <w:rFonts w:hint="eastAsia"/>
          <w:rtl/>
        </w:rPr>
        <w:t>למניעת</w:t>
      </w:r>
      <w:r w:rsidRPr="00C43F1B">
        <w:rPr>
          <w:rtl/>
        </w:rPr>
        <w:t xml:space="preserve"> </w:t>
      </w:r>
      <w:r w:rsidRPr="00C43F1B">
        <w:rPr>
          <w:rFonts w:hint="eastAsia"/>
          <w:rtl/>
        </w:rPr>
        <w:t>הטרדה</w:t>
      </w:r>
      <w:r w:rsidRPr="00C43F1B">
        <w:rPr>
          <w:rtl/>
        </w:rPr>
        <w:t xml:space="preserve"> </w:t>
      </w:r>
      <w:r w:rsidRPr="00C43F1B">
        <w:rPr>
          <w:rFonts w:hint="eastAsia"/>
          <w:rtl/>
        </w:rPr>
        <w:t>מינית</w:t>
      </w:r>
      <w:r w:rsidRPr="00C43F1B">
        <w:rPr>
          <w:rtl/>
        </w:rPr>
        <w:t xml:space="preserve">, </w:t>
      </w:r>
      <w:r w:rsidRPr="00C43F1B">
        <w:rPr>
          <w:rFonts w:hint="cs"/>
          <w:rtl/>
        </w:rPr>
        <w:t>ב</w:t>
      </w:r>
      <w:r w:rsidRPr="00C43F1B">
        <w:rPr>
          <w:rFonts w:hint="eastAsia"/>
          <w:rtl/>
        </w:rPr>
        <w:t>דרכי</w:t>
      </w:r>
      <w:r w:rsidRPr="00C43F1B">
        <w:rPr>
          <w:rtl/>
        </w:rPr>
        <w:t xml:space="preserve"> </w:t>
      </w:r>
      <w:r w:rsidRPr="00C43F1B">
        <w:rPr>
          <w:rFonts w:hint="eastAsia"/>
          <w:rtl/>
        </w:rPr>
        <w:t>מניעה</w:t>
      </w:r>
      <w:r w:rsidRPr="00C43F1B">
        <w:rPr>
          <w:rtl/>
        </w:rPr>
        <w:t xml:space="preserve"> </w:t>
      </w:r>
      <w:r w:rsidRPr="00C43F1B">
        <w:rPr>
          <w:rFonts w:hint="eastAsia"/>
          <w:rtl/>
        </w:rPr>
        <w:t>ו</w:t>
      </w:r>
      <w:r w:rsidRPr="00C43F1B">
        <w:rPr>
          <w:rFonts w:hint="cs"/>
          <w:rtl/>
        </w:rPr>
        <w:t>ב</w:t>
      </w:r>
      <w:r w:rsidRPr="00C43F1B">
        <w:rPr>
          <w:rFonts w:hint="eastAsia"/>
          <w:rtl/>
        </w:rPr>
        <w:t>אופן</w:t>
      </w:r>
      <w:r w:rsidRPr="00C43F1B">
        <w:rPr>
          <w:rtl/>
        </w:rPr>
        <w:t xml:space="preserve"> </w:t>
      </w:r>
      <w:r w:rsidRPr="00C43F1B">
        <w:rPr>
          <w:rFonts w:hint="eastAsia"/>
          <w:rtl/>
        </w:rPr>
        <w:t>הטיפול</w:t>
      </w:r>
      <w:r w:rsidRPr="00C43F1B">
        <w:rPr>
          <w:rtl/>
        </w:rPr>
        <w:t xml:space="preserve"> </w:t>
      </w:r>
      <w:r w:rsidRPr="00C43F1B">
        <w:rPr>
          <w:rFonts w:hint="eastAsia"/>
          <w:rtl/>
        </w:rPr>
        <w:t>בתלונות</w:t>
      </w:r>
      <w:r w:rsidRPr="00C43F1B">
        <w:rPr>
          <w:rtl/>
        </w:rPr>
        <w:t xml:space="preserve">. </w:t>
      </w:r>
      <w:r w:rsidRPr="00C43F1B">
        <w:rPr>
          <w:rFonts w:hint="eastAsia"/>
          <w:rtl/>
        </w:rPr>
        <w:t>במגזר</w:t>
      </w:r>
      <w:r w:rsidRPr="00C43F1B">
        <w:rPr>
          <w:rtl/>
        </w:rPr>
        <w:t xml:space="preserve"> </w:t>
      </w:r>
      <w:r w:rsidRPr="00C43F1B">
        <w:rPr>
          <w:rFonts w:hint="eastAsia"/>
          <w:rtl/>
        </w:rPr>
        <w:t>הפרטי</w:t>
      </w:r>
      <w:r w:rsidRPr="00C43F1B">
        <w:rPr>
          <w:rtl/>
        </w:rPr>
        <w:t xml:space="preserve"> </w:t>
      </w:r>
      <w:r w:rsidRPr="00C43F1B">
        <w:rPr>
          <w:rFonts w:hint="eastAsia"/>
          <w:rtl/>
        </w:rPr>
        <w:t>א</w:t>
      </w:r>
      <w:r w:rsidRPr="00C43F1B">
        <w:rPr>
          <w:rFonts w:hint="cs"/>
          <w:rtl/>
        </w:rPr>
        <w:t>ו</w:t>
      </w:r>
      <w:r w:rsidRPr="00C43F1B">
        <w:rPr>
          <w:rFonts w:hint="eastAsia"/>
          <w:rtl/>
        </w:rPr>
        <w:t>מנם</w:t>
      </w:r>
      <w:r w:rsidRPr="00C43F1B">
        <w:rPr>
          <w:rtl/>
        </w:rPr>
        <w:t xml:space="preserve"> </w:t>
      </w:r>
      <w:r w:rsidRPr="00C43F1B">
        <w:rPr>
          <w:rFonts w:hint="eastAsia"/>
          <w:rtl/>
        </w:rPr>
        <w:t>פועלים</w:t>
      </w:r>
      <w:r w:rsidRPr="00C43F1B">
        <w:rPr>
          <w:rtl/>
        </w:rPr>
        <w:t xml:space="preserve"> </w:t>
      </w:r>
      <w:r w:rsidRPr="00C43F1B">
        <w:rPr>
          <w:rFonts w:hint="cs"/>
          <w:rtl/>
        </w:rPr>
        <w:t xml:space="preserve">כמה </w:t>
      </w:r>
      <w:r w:rsidRPr="00C43F1B">
        <w:rPr>
          <w:rFonts w:hint="eastAsia"/>
          <w:rtl/>
        </w:rPr>
        <w:t>גופי</w:t>
      </w:r>
      <w:r w:rsidRPr="00C43F1B">
        <w:rPr>
          <w:rtl/>
        </w:rPr>
        <w:t xml:space="preserve"> </w:t>
      </w:r>
      <w:r w:rsidRPr="00C43F1B">
        <w:rPr>
          <w:rFonts w:hint="eastAsia"/>
          <w:rtl/>
        </w:rPr>
        <w:t>הכשרה</w:t>
      </w:r>
      <w:r w:rsidRPr="00C43F1B">
        <w:rPr>
          <w:rtl/>
        </w:rPr>
        <w:t xml:space="preserve"> </w:t>
      </w:r>
      <w:r w:rsidRPr="00C43F1B">
        <w:rPr>
          <w:rFonts w:hint="eastAsia"/>
          <w:rtl/>
        </w:rPr>
        <w:t>לאחראיות</w:t>
      </w:r>
      <w:r w:rsidRPr="00C43F1B">
        <w:rPr>
          <w:rtl/>
        </w:rPr>
        <w:t xml:space="preserve">, </w:t>
      </w:r>
      <w:r w:rsidRPr="00C43F1B">
        <w:rPr>
          <w:rFonts w:hint="eastAsia"/>
          <w:rtl/>
        </w:rPr>
        <w:t>אך</w:t>
      </w:r>
      <w:r w:rsidRPr="00C43F1B">
        <w:rPr>
          <w:rtl/>
        </w:rPr>
        <w:t xml:space="preserve"> </w:t>
      </w:r>
      <w:r w:rsidRPr="00C43F1B">
        <w:rPr>
          <w:rFonts w:hint="cs"/>
          <w:rtl/>
        </w:rPr>
        <w:t xml:space="preserve">אין פיקוח על </w:t>
      </w:r>
      <w:r w:rsidRPr="00C43F1B">
        <w:rPr>
          <w:rFonts w:hint="eastAsia"/>
          <w:rtl/>
        </w:rPr>
        <w:t>גופים</w:t>
      </w:r>
      <w:r w:rsidRPr="00C43F1B">
        <w:rPr>
          <w:rtl/>
        </w:rPr>
        <w:t xml:space="preserve"> </w:t>
      </w:r>
      <w:r w:rsidRPr="00C43F1B">
        <w:rPr>
          <w:rFonts w:hint="eastAsia"/>
          <w:rtl/>
        </w:rPr>
        <w:t>אלה</w:t>
      </w:r>
      <w:r w:rsidRPr="00C43F1B">
        <w:rPr>
          <w:rtl/>
        </w:rPr>
        <w:t xml:space="preserve">. </w:t>
      </w:r>
    </w:p>
    <w:p w14:paraId="77AA2864" w14:textId="77777777" w:rsidR="00417266" w:rsidRPr="00C43F1B" w:rsidRDefault="00417266" w:rsidP="00076ED7">
      <w:pPr>
        <w:pStyle w:val="a0"/>
      </w:pPr>
      <w:r w:rsidRPr="00C43F1B">
        <w:rPr>
          <w:rFonts w:hint="eastAsia"/>
          <w:rtl/>
        </w:rPr>
        <w:t>בשנת</w:t>
      </w:r>
      <w:r w:rsidRPr="00C43F1B">
        <w:rPr>
          <w:rtl/>
        </w:rPr>
        <w:t xml:space="preserve"> 2010 הקימה הרשות </w:t>
      </w:r>
      <w:r w:rsidRPr="00C43F1B">
        <w:rPr>
          <w:rFonts w:hint="cs"/>
          <w:rtl/>
        </w:rPr>
        <w:t xml:space="preserve">לקידום מעמד האישה, שפעלה אז </w:t>
      </w:r>
      <w:r>
        <w:rPr>
          <w:rFonts w:hint="cs"/>
          <w:rtl/>
        </w:rPr>
        <w:t>ב</w:t>
      </w:r>
      <w:r w:rsidRPr="00C43F1B">
        <w:rPr>
          <w:rFonts w:hint="cs"/>
          <w:rtl/>
        </w:rPr>
        <w:t xml:space="preserve">משרד ראש הממשלה, </w:t>
      </w:r>
      <w:r w:rsidRPr="00C43F1B">
        <w:rPr>
          <w:rFonts w:hint="eastAsia"/>
          <w:rtl/>
        </w:rPr>
        <w:t>את</w:t>
      </w:r>
      <w:r w:rsidRPr="00C43F1B">
        <w:rPr>
          <w:rtl/>
        </w:rPr>
        <w:t xml:space="preserve"> </w:t>
      </w:r>
      <w:r w:rsidRPr="00C43F1B">
        <w:rPr>
          <w:rFonts w:hint="eastAsia"/>
          <w:rtl/>
        </w:rPr>
        <w:t>הפורום</w:t>
      </w:r>
      <w:r w:rsidRPr="00C43F1B">
        <w:rPr>
          <w:rtl/>
        </w:rPr>
        <w:t xml:space="preserve"> </w:t>
      </w:r>
      <w:r w:rsidRPr="00C43F1B">
        <w:rPr>
          <w:rFonts w:hint="eastAsia"/>
          <w:rtl/>
        </w:rPr>
        <w:t>למניעת</w:t>
      </w:r>
      <w:r w:rsidRPr="00C43F1B">
        <w:rPr>
          <w:rtl/>
        </w:rPr>
        <w:t xml:space="preserve"> </w:t>
      </w:r>
      <w:r w:rsidRPr="00C43F1B">
        <w:rPr>
          <w:rFonts w:hint="eastAsia"/>
          <w:rtl/>
        </w:rPr>
        <w:t>הטרדה</w:t>
      </w:r>
      <w:r w:rsidRPr="00C43F1B">
        <w:rPr>
          <w:rtl/>
        </w:rPr>
        <w:t xml:space="preserve"> </w:t>
      </w:r>
      <w:r w:rsidRPr="00C43F1B">
        <w:rPr>
          <w:rFonts w:hint="eastAsia"/>
          <w:rtl/>
        </w:rPr>
        <w:t>מינית</w:t>
      </w:r>
      <w:r w:rsidRPr="00C43F1B">
        <w:rPr>
          <w:rtl/>
        </w:rPr>
        <w:t xml:space="preserve">. </w:t>
      </w:r>
      <w:r w:rsidRPr="00C43F1B">
        <w:rPr>
          <w:rFonts w:hint="cs"/>
          <w:rtl/>
        </w:rPr>
        <w:t>בפורום השתתפו בין היתר נציגים של נש"ם, הרשות לקידום מעמד האישה, נציבות שוויון הזדמנויות בעבודה שבמשרד העבודה, מ</w:t>
      </w:r>
      <w:r>
        <w:rPr>
          <w:rFonts w:hint="cs"/>
          <w:rtl/>
        </w:rPr>
        <w:t>י</w:t>
      </w:r>
      <w:r w:rsidRPr="00C43F1B">
        <w:rPr>
          <w:rFonts w:hint="cs"/>
          <w:rtl/>
        </w:rPr>
        <w:t>נהל הסדרה ואכיפה</w:t>
      </w:r>
      <w:r w:rsidRPr="00C43F1B">
        <w:rPr>
          <w:rFonts w:hint="cs"/>
          <w:b/>
          <w:sz w:val="24"/>
          <w:rtl/>
        </w:rPr>
        <w:t xml:space="preserve"> במשרד העבודה</w:t>
      </w:r>
      <w:r w:rsidRPr="00C43F1B">
        <w:rPr>
          <w:rFonts w:hint="cs"/>
          <w:rtl/>
        </w:rPr>
        <w:t xml:space="preserve">, משרד המשפטים ועמותות העוסקות בקידום נשים, נשות אקדמיה ועורכות דין. </w:t>
      </w:r>
      <w:r w:rsidRPr="00C43F1B">
        <w:rPr>
          <w:rFonts w:hint="eastAsia"/>
          <w:rtl/>
        </w:rPr>
        <w:t>מטרת</w:t>
      </w:r>
      <w:r w:rsidRPr="00C43F1B">
        <w:rPr>
          <w:rtl/>
        </w:rPr>
        <w:t xml:space="preserve"> </w:t>
      </w:r>
      <w:r w:rsidRPr="00C43F1B">
        <w:rPr>
          <w:rFonts w:hint="eastAsia"/>
          <w:rtl/>
        </w:rPr>
        <w:t>הפורום</w:t>
      </w:r>
      <w:r w:rsidRPr="00C43F1B">
        <w:rPr>
          <w:rtl/>
        </w:rPr>
        <w:t xml:space="preserve"> </w:t>
      </w:r>
      <w:r w:rsidRPr="00C43F1B">
        <w:rPr>
          <w:rFonts w:hint="eastAsia"/>
          <w:rtl/>
        </w:rPr>
        <w:t>הייתה</w:t>
      </w:r>
      <w:r w:rsidRPr="00C43F1B">
        <w:rPr>
          <w:rtl/>
        </w:rPr>
        <w:t xml:space="preserve"> </w:t>
      </w:r>
      <w:r w:rsidRPr="00C43F1B">
        <w:rPr>
          <w:rFonts w:hint="eastAsia"/>
          <w:rtl/>
        </w:rPr>
        <w:t>לבחון</w:t>
      </w:r>
      <w:r w:rsidRPr="00C43F1B">
        <w:rPr>
          <w:rFonts w:hint="cs"/>
          <w:rtl/>
        </w:rPr>
        <w:t xml:space="preserve"> ולקדם תיקוני חקיקה דרושים, </w:t>
      </w:r>
      <w:r w:rsidRPr="0085287D">
        <w:rPr>
          <w:rFonts w:hint="eastAsia"/>
          <w:rtl/>
        </w:rPr>
        <w:t>ובעיקר</w:t>
      </w:r>
      <w:r w:rsidRPr="0085287D">
        <w:rPr>
          <w:rtl/>
        </w:rPr>
        <w:t xml:space="preserve"> </w:t>
      </w:r>
      <w:r w:rsidRPr="0085287D">
        <w:rPr>
          <w:rFonts w:hint="eastAsia"/>
          <w:rtl/>
        </w:rPr>
        <w:t>לבחון</w:t>
      </w:r>
      <w:r w:rsidRPr="0085287D">
        <w:rPr>
          <w:rtl/>
        </w:rPr>
        <w:t xml:space="preserve"> </w:t>
      </w:r>
      <w:r w:rsidRPr="0085287D">
        <w:rPr>
          <w:rFonts w:hint="eastAsia"/>
          <w:rtl/>
        </w:rPr>
        <w:t>הקמת</w:t>
      </w:r>
      <w:r w:rsidRPr="0085287D">
        <w:rPr>
          <w:rtl/>
        </w:rPr>
        <w:t xml:space="preserve"> </w:t>
      </w:r>
      <w:r w:rsidRPr="0085287D">
        <w:rPr>
          <w:rFonts w:hint="eastAsia"/>
          <w:rtl/>
        </w:rPr>
        <w:t>נציבות</w:t>
      </w:r>
      <w:r w:rsidRPr="0085287D">
        <w:rPr>
          <w:rtl/>
        </w:rPr>
        <w:t xml:space="preserve"> </w:t>
      </w:r>
      <w:r w:rsidRPr="0085287D">
        <w:rPr>
          <w:rFonts w:hint="eastAsia"/>
          <w:rtl/>
        </w:rPr>
        <w:t>לבירור</w:t>
      </w:r>
      <w:r w:rsidRPr="0085287D">
        <w:rPr>
          <w:rtl/>
        </w:rPr>
        <w:t xml:space="preserve"> </w:t>
      </w:r>
      <w:r w:rsidRPr="0085287D">
        <w:rPr>
          <w:rFonts w:hint="eastAsia"/>
          <w:rtl/>
        </w:rPr>
        <w:t>תלונות</w:t>
      </w:r>
      <w:r w:rsidRPr="0085287D">
        <w:rPr>
          <w:rtl/>
        </w:rPr>
        <w:t xml:space="preserve"> </w:t>
      </w:r>
      <w:r w:rsidRPr="0085287D">
        <w:rPr>
          <w:rFonts w:hint="eastAsia"/>
          <w:rtl/>
        </w:rPr>
        <w:t>על</w:t>
      </w:r>
      <w:r w:rsidRPr="0085287D">
        <w:rPr>
          <w:rtl/>
        </w:rPr>
        <w:t xml:space="preserve"> </w:t>
      </w:r>
      <w:r w:rsidRPr="0085287D">
        <w:rPr>
          <w:rFonts w:hint="eastAsia"/>
          <w:rtl/>
        </w:rPr>
        <w:t>הטרדה</w:t>
      </w:r>
      <w:r w:rsidRPr="0085287D">
        <w:rPr>
          <w:rtl/>
        </w:rPr>
        <w:t xml:space="preserve"> </w:t>
      </w:r>
      <w:r w:rsidRPr="0085287D">
        <w:rPr>
          <w:rFonts w:hint="eastAsia"/>
          <w:rtl/>
        </w:rPr>
        <w:t>מינית</w:t>
      </w:r>
      <w:r w:rsidRPr="0085287D">
        <w:rPr>
          <w:rtl/>
        </w:rPr>
        <w:t xml:space="preserve"> </w:t>
      </w:r>
      <w:r w:rsidRPr="0085287D">
        <w:rPr>
          <w:rFonts w:hint="eastAsia"/>
          <w:rtl/>
        </w:rPr>
        <w:t>במקומות</w:t>
      </w:r>
      <w:r w:rsidRPr="0085287D">
        <w:rPr>
          <w:rtl/>
        </w:rPr>
        <w:t xml:space="preserve"> </w:t>
      </w:r>
      <w:r w:rsidRPr="0085287D">
        <w:rPr>
          <w:rFonts w:hint="eastAsia"/>
          <w:rtl/>
        </w:rPr>
        <w:t>עבודה</w:t>
      </w:r>
      <w:r w:rsidRPr="0085287D">
        <w:rPr>
          <w:rtl/>
        </w:rPr>
        <w:t xml:space="preserve"> </w:t>
      </w:r>
      <w:r w:rsidRPr="0085287D">
        <w:rPr>
          <w:rFonts w:hint="eastAsia"/>
          <w:rtl/>
        </w:rPr>
        <w:t>פרטיים</w:t>
      </w:r>
      <w:r w:rsidRPr="00C43F1B">
        <w:rPr>
          <w:rFonts w:hint="cs"/>
          <w:rtl/>
        </w:rPr>
        <w:t xml:space="preserve">, שתחליף את מנגנון בירור התלונות על ידי האחראיות למניעת הטרדה מינית. </w:t>
      </w:r>
    </w:p>
    <w:p w14:paraId="07792B4C" w14:textId="77777777" w:rsidR="00417266" w:rsidRPr="00C43F1B" w:rsidRDefault="00417266" w:rsidP="00076ED7">
      <w:pPr>
        <w:pStyle w:val="12"/>
      </w:pPr>
      <w:r w:rsidRPr="00C43F1B">
        <w:rPr>
          <w:rFonts w:hint="cs"/>
          <w:rtl/>
        </w:rPr>
        <w:t>ואולם פעילות הפורום הופסקה עוד בשנת 2010.</w:t>
      </w:r>
    </w:p>
    <w:p w14:paraId="36E09E20" w14:textId="77777777" w:rsidR="00417266" w:rsidRPr="00C43F1B" w:rsidRDefault="00417266" w:rsidP="00164C99">
      <w:pPr>
        <w:pStyle w:val="a0"/>
      </w:pPr>
      <w:r w:rsidRPr="00C43F1B">
        <w:rPr>
          <w:rFonts w:hint="cs"/>
          <w:rtl/>
        </w:rPr>
        <w:t>בשנת 2017 ערך איגוד מרכזי הסיוע סקר בקרב 50 אחראיות</w:t>
      </w:r>
      <w:r w:rsidRPr="009537F5">
        <w:rPr>
          <w:rFonts w:hint="cs"/>
          <w:rtl/>
        </w:rPr>
        <w:t xml:space="preserve"> </w:t>
      </w:r>
      <w:r>
        <w:rPr>
          <w:rFonts w:hint="cs"/>
          <w:rtl/>
        </w:rPr>
        <w:t>למניעת הטרדה מינית</w:t>
      </w:r>
      <w:r w:rsidRPr="00C43F1B">
        <w:rPr>
          <w:rFonts w:hint="cs"/>
          <w:rtl/>
        </w:rPr>
        <w:t xml:space="preserve"> במקומות עבודה</w:t>
      </w:r>
      <w:r>
        <w:rPr>
          <w:rFonts w:hint="cs"/>
          <w:rtl/>
        </w:rPr>
        <w:t xml:space="preserve"> פרטיים וממונות על מניעת הטרדה מינית</w:t>
      </w:r>
      <w:r w:rsidRPr="00C43F1B">
        <w:rPr>
          <w:rFonts w:hint="cs"/>
          <w:rtl/>
        </w:rPr>
        <w:t xml:space="preserve"> במגזר הציבורי</w:t>
      </w:r>
      <w:r w:rsidRPr="00C43F1B">
        <w:rPr>
          <w:rStyle w:val="FootnoteReference"/>
          <w:rtl/>
        </w:rPr>
        <w:footnoteReference w:id="61"/>
      </w:r>
      <w:r w:rsidRPr="00C43F1B">
        <w:rPr>
          <w:rFonts w:hint="cs"/>
          <w:rtl/>
        </w:rPr>
        <w:t>. הסקר איתר קשיים שונים בעבודת האחראיות. 48% מהמשתתפות בסקר ציינו שהן מעדיפות שהתלונה תבורר על ידי גוף חיצוני מקצועי ו-52% ציי</w:t>
      </w:r>
      <w:r>
        <w:rPr>
          <w:rFonts w:hint="cs"/>
          <w:rtl/>
        </w:rPr>
        <w:t>נו</w:t>
      </w:r>
      <w:r w:rsidRPr="00C43F1B">
        <w:rPr>
          <w:rFonts w:hint="cs"/>
          <w:rtl/>
        </w:rPr>
        <w:t xml:space="preserve"> שהן מעדיפות שהתלונה תבורר על ידי האחראית </w:t>
      </w:r>
      <w:r>
        <w:rPr>
          <w:rFonts w:hint="cs"/>
          <w:rtl/>
        </w:rPr>
        <w:t xml:space="preserve">או הממונה </w:t>
      </w:r>
      <w:r w:rsidRPr="00C43F1B">
        <w:rPr>
          <w:rFonts w:hint="cs"/>
          <w:rtl/>
        </w:rPr>
        <w:t>במקום העבודה. כ-56% מהאחראיות</w:t>
      </w:r>
      <w:r>
        <w:rPr>
          <w:rFonts w:hint="cs"/>
          <w:rtl/>
        </w:rPr>
        <w:t xml:space="preserve"> והממונות</w:t>
      </w:r>
      <w:r w:rsidRPr="00C43F1B">
        <w:rPr>
          <w:rFonts w:hint="cs"/>
          <w:rtl/>
        </w:rPr>
        <w:t xml:space="preserve"> שהן חברות הנהלה וכ-66% מהאחראיות</w:t>
      </w:r>
      <w:r>
        <w:rPr>
          <w:rFonts w:hint="cs"/>
          <w:rtl/>
        </w:rPr>
        <w:t xml:space="preserve"> והממונות</w:t>
      </w:r>
      <w:r w:rsidRPr="00C43F1B">
        <w:rPr>
          <w:rFonts w:hint="cs"/>
          <w:rtl/>
        </w:rPr>
        <w:t xml:space="preserve"> שנזקקו לייעוץ משפטי העדיפו שהתלונה תבורר על ידי גוף חיצוני.</w:t>
      </w:r>
    </w:p>
    <w:p w14:paraId="5A80B77D" w14:textId="77777777" w:rsidR="00417266" w:rsidRPr="00C43F1B" w:rsidRDefault="00417266" w:rsidP="00164C99">
      <w:pPr>
        <w:pStyle w:val="af3"/>
      </w:pPr>
      <w:r w:rsidRPr="00C43F1B">
        <w:rPr>
          <w:rFonts w:hint="cs"/>
          <w:rtl/>
        </w:rPr>
        <w:t xml:space="preserve">לנוכח קשיים בעבודת האחראיות </w:t>
      </w:r>
      <w:r>
        <w:rPr>
          <w:rFonts w:hint="cs"/>
          <w:rtl/>
        </w:rPr>
        <w:t xml:space="preserve">למניעת הטרדה מינית </w:t>
      </w:r>
      <w:r w:rsidRPr="00C43F1B">
        <w:rPr>
          <w:rFonts w:hint="cs"/>
          <w:rtl/>
        </w:rPr>
        <w:t xml:space="preserve">והיעדר הכשרה מוסדרת ולנוכח </w:t>
      </w:r>
      <w:r>
        <w:rPr>
          <w:rFonts w:hint="cs"/>
          <w:rtl/>
        </w:rPr>
        <w:t>ההכרה בצורך בבחינת הנושא על ידי הפורום למניעת הטרדה מינית, שלא השלים את דיוניו,</w:t>
      </w:r>
      <w:r w:rsidRPr="00C43F1B">
        <w:rPr>
          <w:rFonts w:hint="cs"/>
          <w:rtl/>
        </w:rPr>
        <w:t xml:space="preserve"> ראוי שמשרד המשפטים</w:t>
      </w:r>
      <w:r>
        <w:rPr>
          <w:rFonts w:hint="cs"/>
          <w:rtl/>
        </w:rPr>
        <w:t>, הממונה על יישום החוק, יבחן את</w:t>
      </w:r>
      <w:r w:rsidRPr="00C43F1B">
        <w:rPr>
          <w:rFonts w:hint="cs"/>
          <w:rtl/>
        </w:rPr>
        <w:t xml:space="preserve"> היתרונות והחסרונות המפורטים לעיל</w:t>
      </w:r>
      <w:r>
        <w:rPr>
          <w:rFonts w:hint="cs"/>
          <w:rtl/>
        </w:rPr>
        <w:t>, בשיתוף משרד העבודה</w:t>
      </w:r>
      <w:r w:rsidRPr="00C43F1B">
        <w:rPr>
          <w:rFonts w:hint="cs"/>
          <w:rtl/>
        </w:rPr>
        <w:t xml:space="preserve"> והמשרד לשוויון חברתי, שבו פועלת כיום הרשות לקידום מעמד האישה, </w:t>
      </w:r>
      <w:r>
        <w:rPr>
          <w:rFonts w:hint="cs"/>
          <w:rtl/>
        </w:rPr>
        <w:t>ויחד יגבשו מדיניות ראויה.</w:t>
      </w:r>
    </w:p>
    <w:p w14:paraId="4847D159" w14:textId="18B9438E" w:rsidR="00417266" w:rsidRPr="00C43F1B" w:rsidRDefault="00417266" w:rsidP="00164C99">
      <w:pPr>
        <w:pStyle w:val="414"/>
        <w:rPr>
          <w:rtl/>
        </w:rPr>
      </w:pPr>
      <w:bookmarkStart w:id="20" w:name="_Toc9150790"/>
      <w:r w:rsidRPr="00C43F1B">
        <w:rPr>
          <w:rFonts w:hint="cs"/>
          <w:rtl/>
        </w:rPr>
        <w:t xml:space="preserve">הפיקוח על </w:t>
      </w:r>
      <w:r>
        <w:rPr>
          <w:rFonts w:hint="cs"/>
          <w:rtl/>
        </w:rPr>
        <w:t>יישום החוק במגזר העבודה הפרטי</w:t>
      </w:r>
      <w:r w:rsidRPr="00C43F1B">
        <w:rPr>
          <w:rFonts w:hint="cs"/>
          <w:rtl/>
        </w:rPr>
        <w:t xml:space="preserve"> </w:t>
      </w:r>
    </w:p>
    <w:p w14:paraId="0C136AE6" w14:textId="5BBA76C1" w:rsidR="00417266" w:rsidRPr="00164C99" w:rsidRDefault="00417266" w:rsidP="00164C99">
      <w:pPr>
        <w:pStyle w:val="100"/>
        <w:rPr>
          <w:rtl/>
        </w:rPr>
      </w:pPr>
      <w:bookmarkStart w:id="21" w:name="_Toc9150791"/>
      <w:bookmarkEnd w:id="20"/>
      <w:r w:rsidRPr="00515C82">
        <w:rPr>
          <w:rStyle w:val="Heading7Char"/>
          <w:rFonts w:eastAsiaTheme="minorHAnsi" w:hint="cs"/>
          <w:b/>
          <w:color w:val="004E6C"/>
          <w:spacing w:val="0"/>
          <w:rtl/>
        </w:rPr>
        <w:t>מינהל הסדרה ואכיפה במשרד העבודה:</w:t>
      </w:r>
      <w:bookmarkEnd w:id="21"/>
      <w:r w:rsidR="00164C99" w:rsidRPr="00515C82">
        <w:rPr>
          <w:rStyle w:val="Heading7Char"/>
          <w:rFonts w:eastAsiaTheme="minorHAnsi" w:hint="cs"/>
          <w:bCs w:val="0"/>
          <w:color w:val="004E6C"/>
          <w:spacing w:val="0"/>
          <w:rtl/>
        </w:rPr>
        <w:t xml:space="preserve"> </w:t>
      </w:r>
      <w:r w:rsidRPr="00164C99">
        <w:rPr>
          <w:rFonts w:hint="eastAsia"/>
          <w:rtl/>
        </w:rPr>
        <w:t>בחוק</w:t>
      </w:r>
      <w:r w:rsidRPr="00164C99">
        <w:rPr>
          <w:rtl/>
        </w:rPr>
        <w:t xml:space="preserve"> ובתקנות נקבע כי המעסיק יותר מ-25 עובדים חייב להכין תקנון מותאם. </w:t>
      </w:r>
      <w:r w:rsidRPr="00164C99">
        <w:rPr>
          <w:rFonts w:hint="cs"/>
          <w:rtl/>
        </w:rPr>
        <w:t>החוק להגברת האכיפה של דיני העבודה, התשע"ב-2011, קובע כי אי-קביעת תקנון מותאם לפי החוק למניעת הטרדה מינית היא הפרת הוראה חוקית שניתן להטיל בגינה עיצום כספי. מינהל הסדרה ואכיפה במשרד העבודה (להלן - מינהל הסדרה ואכיפה) הוא המוסמך להטיל עיצום כספי על הפרת הוראה בדיני עבודה המתגלה בעקבות תלונה או בבדיקה יזומה של פקחי משרד העבודה.</w:t>
      </w:r>
    </w:p>
    <w:p w14:paraId="6531F9A0" w14:textId="77777777" w:rsidR="00417266" w:rsidRPr="004A16D4" w:rsidRDefault="00417266" w:rsidP="0077170D">
      <w:pPr>
        <w:pStyle w:val="100"/>
        <w:rPr>
          <w:b/>
          <w:bCs/>
          <w:rtl/>
        </w:rPr>
      </w:pPr>
      <w:r w:rsidRPr="004A16D4">
        <w:rPr>
          <w:rFonts w:hint="eastAsia"/>
          <w:rtl/>
        </w:rPr>
        <w:lastRenderedPageBreak/>
        <w:t>בשנת</w:t>
      </w:r>
      <w:r w:rsidRPr="004A16D4">
        <w:rPr>
          <w:rtl/>
        </w:rPr>
        <w:t xml:space="preserve"> 2007 יזם האגף לאכיפת חוקי עבודה במשרד התמ"ת, בשיתוף הרשות לקידום מעמד האישה, </w:t>
      </w:r>
      <w:r w:rsidRPr="004A16D4">
        <w:rPr>
          <w:rFonts w:hint="eastAsia"/>
          <w:rtl/>
        </w:rPr>
        <w:t>מבצע</w:t>
      </w:r>
      <w:r w:rsidRPr="004A16D4">
        <w:rPr>
          <w:rtl/>
        </w:rPr>
        <w:t xml:space="preserve"> </w:t>
      </w:r>
      <w:r w:rsidRPr="004A16D4">
        <w:rPr>
          <w:rFonts w:hint="eastAsia"/>
          <w:rtl/>
        </w:rPr>
        <w:t>לאכיפת</w:t>
      </w:r>
      <w:r w:rsidRPr="004A16D4">
        <w:rPr>
          <w:rtl/>
        </w:rPr>
        <w:t xml:space="preserve"> </w:t>
      </w:r>
      <w:r w:rsidRPr="004A16D4">
        <w:rPr>
          <w:rFonts w:hint="eastAsia"/>
          <w:rtl/>
        </w:rPr>
        <w:t>ההוראה</w:t>
      </w:r>
      <w:r w:rsidRPr="004A16D4">
        <w:rPr>
          <w:rtl/>
        </w:rPr>
        <w:t xml:space="preserve"> </w:t>
      </w:r>
      <w:r w:rsidRPr="004A16D4">
        <w:rPr>
          <w:rFonts w:hint="eastAsia"/>
          <w:rtl/>
        </w:rPr>
        <w:t>לקבוע</w:t>
      </w:r>
      <w:r w:rsidRPr="004A16D4">
        <w:rPr>
          <w:rtl/>
        </w:rPr>
        <w:t xml:space="preserve"> </w:t>
      </w:r>
      <w:r w:rsidRPr="004A16D4">
        <w:rPr>
          <w:rFonts w:hint="eastAsia"/>
          <w:rtl/>
        </w:rPr>
        <w:t>תקנון</w:t>
      </w:r>
      <w:r w:rsidRPr="004A16D4">
        <w:rPr>
          <w:rtl/>
        </w:rPr>
        <w:t xml:space="preserve"> </w:t>
      </w:r>
      <w:r w:rsidRPr="004A16D4">
        <w:rPr>
          <w:rFonts w:hint="eastAsia"/>
          <w:rtl/>
        </w:rPr>
        <w:t>מותאם</w:t>
      </w:r>
      <w:r w:rsidRPr="004A16D4">
        <w:rPr>
          <w:rtl/>
        </w:rPr>
        <w:t xml:space="preserve"> </w:t>
      </w:r>
      <w:r w:rsidRPr="004A16D4">
        <w:rPr>
          <w:rFonts w:hint="eastAsia"/>
          <w:rtl/>
        </w:rPr>
        <w:t>ב</w:t>
      </w:r>
      <w:r w:rsidRPr="004A16D4">
        <w:rPr>
          <w:rtl/>
        </w:rPr>
        <w:t>מקומות עבודה במגזר הפרטי</w:t>
      </w:r>
      <w:r>
        <w:rPr>
          <w:rFonts w:hint="cs"/>
          <w:rtl/>
        </w:rPr>
        <w:t>.</w:t>
      </w:r>
      <w:r w:rsidRPr="004A16D4">
        <w:rPr>
          <w:rtl/>
        </w:rPr>
        <w:t xml:space="preserve"> </w:t>
      </w:r>
      <w:r w:rsidRPr="004A16D4">
        <w:rPr>
          <w:rFonts w:hint="eastAsia"/>
          <w:rtl/>
        </w:rPr>
        <w:t>במהלך</w:t>
      </w:r>
      <w:r w:rsidRPr="004A16D4">
        <w:rPr>
          <w:rtl/>
        </w:rPr>
        <w:t xml:space="preserve"> המבצע </w:t>
      </w:r>
      <w:r w:rsidRPr="004A16D4">
        <w:rPr>
          <w:rFonts w:hint="eastAsia"/>
          <w:rtl/>
        </w:rPr>
        <w:t>ביקרו</w:t>
      </w:r>
      <w:r w:rsidRPr="004A16D4">
        <w:rPr>
          <w:rtl/>
        </w:rPr>
        <w:t xml:space="preserve"> פקחים ב-163 אתרים </w:t>
      </w:r>
      <w:r w:rsidRPr="004A16D4">
        <w:rPr>
          <w:rFonts w:hint="eastAsia"/>
          <w:rtl/>
        </w:rPr>
        <w:t>שהועסקו</w:t>
      </w:r>
      <w:r w:rsidRPr="004A16D4">
        <w:rPr>
          <w:rtl/>
        </w:rPr>
        <w:t xml:space="preserve"> </w:t>
      </w:r>
      <w:r w:rsidRPr="004A16D4">
        <w:rPr>
          <w:rFonts w:hint="eastAsia"/>
          <w:rtl/>
        </w:rPr>
        <w:t>בהם</w:t>
      </w:r>
      <w:r w:rsidRPr="004A16D4">
        <w:rPr>
          <w:rtl/>
        </w:rPr>
        <w:t xml:space="preserve"> כ-15,000 עובדים. </w:t>
      </w:r>
      <w:r w:rsidRPr="004A16D4">
        <w:rPr>
          <w:rFonts w:hint="eastAsia"/>
          <w:rtl/>
        </w:rPr>
        <w:t>בעקבות</w:t>
      </w:r>
      <w:r w:rsidRPr="004A16D4">
        <w:rPr>
          <w:rtl/>
        </w:rPr>
        <w:t xml:space="preserve"> המבצע נפתחו 102 תיקי חקירה ונמצא כי כ-34% מהמעסיקים </w:t>
      </w:r>
      <w:r w:rsidRPr="004A16D4">
        <w:rPr>
          <w:rFonts w:hint="eastAsia"/>
          <w:rtl/>
        </w:rPr>
        <w:t>שנבדקו</w:t>
      </w:r>
      <w:r w:rsidRPr="004A16D4">
        <w:rPr>
          <w:rtl/>
        </w:rPr>
        <w:t xml:space="preserve"> הפרו את החוק למניעת הטרדה מינית. כנגד 35 מעסיקים נפתחו הליכים פליליים. </w:t>
      </w:r>
      <w:r w:rsidRPr="004A16D4">
        <w:rPr>
          <w:rFonts w:hint="eastAsia"/>
          <w:rtl/>
        </w:rPr>
        <w:t>מטרות</w:t>
      </w:r>
      <w:r w:rsidRPr="004A16D4">
        <w:rPr>
          <w:rtl/>
        </w:rPr>
        <w:t xml:space="preserve"> המבצע היו לבדוק את מידת אכיפתו של החוק ולהעלות </w:t>
      </w:r>
      <w:r w:rsidRPr="004A16D4">
        <w:rPr>
          <w:rFonts w:hint="eastAsia"/>
          <w:rtl/>
        </w:rPr>
        <w:t>את</w:t>
      </w:r>
      <w:r w:rsidRPr="004A16D4">
        <w:rPr>
          <w:rtl/>
        </w:rPr>
        <w:t xml:space="preserve"> מודעות הציבור והמעסיקים לתופעה ולהיקפה.</w:t>
      </w:r>
    </w:p>
    <w:p w14:paraId="0FADF521" w14:textId="77777777" w:rsidR="00417266" w:rsidRDefault="00417266" w:rsidP="0077170D">
      <w:pPr>
        <w:pStyle w:val="af3"/>
        <w:rPr>
          <w:rtl/>
        </w:rPr>
      </w:pPr>
      <w:r w:rsidRPr="00AE609D" w:rsidDel="004112E0">
        <w:rPr>
          <w:rFonts w:hint="eastAsia"/>
          <w:rtl/>
        </w:rPr>
        <w:t>ב</w:t>
      </w:r>
      <w:r w:rsidRPr="00AE609D" w:rsidDel="004112E0">
        <w:rPr>
          <w:rtl/>
        </w:rPr>
        <w:t xml:space="preserve">ביקורת עלה כי </w:t>
      </w:r>
      <w:r w:rsidRPr="00C43F1B">
        <w:rPr>
          <w:rFonts w:hint="eastAsia"/>
          <w:rtl/>
        </w:rPr>
        <w:t>מ</w:t>
      </w:r>
      <w:r w:rsidRPr="00C43F1B">
        <w:rPr>
          <w:rtl/>
        </w:rPr>
        <w:t xml:space="preserve">שנת 2007 </w:t>
      </w:r>
      <w:r w:rsidRPr="00C43F1B">
        <w:rPr>
          <w:rFonts w:hint="eastAsia"/>
          <w:rtl/>
        </w:rPr>
        <w:t>לא</w:t>
      </w:r>
      <w:r w:rsidRPr="00C43F1B">
        <w:rPr>
          <w:rtl/>
        </w:rPr>
        <w:t xml:space="preserve"> </w:t>
      </w:r>
      <w:r w:rsidRPr="00C43F1B">
        <w:rPr>
          <w:rFonts w:hint="eastAsia"/>
          <w:rtl/>
        </w:rPr>
        <w:t>התקיימו</w:t>
      </w:r>
      <w:r w:rsidRPr="00C43F1B">
        <w:rPr>
          <w:rtl/>
        </w:rPr>
        <w:t xml:space="preserve"> </w:t>
      </w:r>
      <w:r w:rsidRPr="00C43F1B">
        <w:rPr>
          <w:rFonts w:hint="eastAsia"/>
          <w:rtl/>
        </w:rPr>
        <w:t>מבצעים</w:t>
      </w:r>
      <w:r w:rsidRPr="00C43F1B">
        <w:rPr>
          <w:rtl/>
        </w:rPr>
        <w:t xml:space="preserve"> דומים</w:t>
      </w:r>
      <w:r>
        <w:rPr>
          <w:rFonts w:hint="cs"/>
          <w:rtl/>
        </w:rPr>
        <w:t xml:space="preserve">. </w:t>
      </w:r>
    </w:p>
    <w:p w14:paraId="1822AD67" w14:textId="77777777" w:rsidR="00417266" w:rsidRDefault="00417266" w:rsidP="00E31FB7">
      <w:pPr>
        <w:pStyle w:val="100"/>
        <w:rPr>
          <w:rtl/>
        </w:rPr>
      </w:pPr>
      <w:r w:rsidRPr="00C07A4B">
        <w:rPr>
          <w:rFonts w:hint="cs"/>
          <w:rtl/>
        </w:rPr>
        <w:t xml:space="preserve">מטרת ההוראה </w:t>
      </w:r>
      <w:r w:rsidRPr="00C07A4B">
        <w:rPr>
          <w:rFonts w:hint="cs"/>
          <w:sz w:val="24"/>
          <w:rtl/>
        </w:rPr>
        <w:t>המחייבת מי שמעסיק יותר מ-25 עובדים להכין תקנון מותאם</w:t>
      </w:r>
      <w:r w:rsidRPr="00C07A4B">
        <w:rPr>
          <w:rFonts w:hint="cs"/>
          <w:rtl/>
        </w:rPr>
        <w:t xml:space="preserve"> היא לאפשר למעסיק </w:t>
      </w:r>
      <w:r>
        <w:rPr>
          <w:rFonts w:hint="cs"/>
          <w:rtl/>
        </w:rPr>
        <w:t>להביא לידי ביטוי</w:t>
      </w:r>
      <w:r w:rsidRPr="003B3916">
        <w:rPr>
          <w:rtl/>
        </w:rPr>
        <w:t xml:space="preserve"> </w:t>
      </w:r>
      <w:r w:rsidRPr="000F7380">
        <w:rPr>
          <w:rtl/>
        </w:rPr>
        <w:t xml:space="preserve">את המאפיינים הייחודיים של מקום </w:t>
      </w:r>
      <w:r w:rsidRPr="004112E0">
        <w:rPr>
          <w:rtl/>
        </w:rPr>
        <w:t>העבודה</w:t>
      </w:r>
      <w:r w:rsidRPr="00C07A4B">
        <w:rPr>
          <w:rFonts w:hint="cs"/>
          <w:rtl/>
        </w:rPr>
        <w:t xml:space="preserve">. </w:t>
      </w:r>
    </w:p>
    <w:p w14:paraId="45C19FAF" w14:textId="77777777" w:rsidR="00417266" w:rsidRPr="00C43F1B" w:rsidRDefault="00417266" w:rsidP="00E31FB7">
      <w:pPr>
        <w:pStyle w:val="af3"/>
        <w:rPr>
          <w:rtl/>
        </w:rPr>
      </w:pPr>
      <w:r w:rsidRPr="00AE609D" w:rsidDel="004112E0">
        <w:rPr>
          <w:rFonts w:hint="eastAsia"/>
          <w:rtl/>
        </w:rPr>
        <w:t>המינהל</w:t>
      </w:r>
      <w:r w:rsidRPr="00AE609D" w:rsidDel="004112E0">
        <w:rPr>
          <w:rtl/>
        </w:rPr>
        <w:t xml:space="preserve"> </w:t>
      </w:r>
      <w:r w:rsidRPr="00AE609D" w:rsidDel="004112E0">
        <w:rPr>
          <w:rFonts w:hint="eastAsia"/>
          <w:rtl/>
        </w:rPr>
        <w:t>אינו</w:t>
      </w:r>
      <w:r w:rsidRPr="00AE609D" w:rsidDel="004112E0">
        <w:rPr>
          <w:rtl/>
        </w:rPr>
        <w:t xml:space="preserve"> אוכף </w:t>
      </w:r>
      <w:r w:rsidDel="004112E0">
        <w:rPr>
          <w:rFonts w:hint="cs"/>
          <w:rtl/>
        </w:rPr>
        <w:t xml:space="preserve">באופן יזום </w:t>
      </w:r>
      <w:r w:rsidRPr="00AE609D" w:rsidDel="004112E0">
        <w:rPr>
          <w:rtl/>
        </w:rPr>
        <w:t xml:space="preserve">את </w:t>
      </w:r>
      <w:r w:rsidRPr="00AE609D">
        <w:rPr>
          <w:rFonts w:hint="eastAsia"/>
          <w:rtl/>
        </w:rPr>
        <w:t>ה</w:t>
      </w:r>
      <w:r w:rsidRPr="00AE609D">
        <w:rPr>
          <w:rtl/>
        </w:rPr>
        <w:t xml:space="preserve">סעיף </w:t>
      </w:r>
      <w:r w:rsidRPr="00AE609D">
        <w:rPr>
          <w:rFonts w:hint="eastAsia"/>
          <w:rtl/>
        </w:rPr>
        <w:t>הנוגע</w:t>
      </w:r>
      <w:r w:rsidRPr="00AE609D">
        <w:rPr>
          <w:rtl/>
        </w:rPr>
        <w:t xml:space="preserve"> </w:t>
      </w:r>
      <w:r w:rsidRPr="00AE609D">
        <w:rPr>
          <w:rFonts w:hint="eastAsia"/>
          <w:rtl/>
        </w:rPr>
        <w:t>ל</w:t>
      </w:r>
      <w:r w:rsidRPr="00AE609D">
        <w:rPr>
          <w:rtl/>
        </w:rPr>
        <w:t xml:space="preserve">אי-קביעת התקנון </w:t>
      </w:r>
      <w:r w:rsidRPr="00AE609D" w:rsidDel="004112E0">
        <w:rPr>
          <w:rtl/>
        </w:rPr>
        <w:t>ואינו עורך בדיקות בעניין אלא כאשר מתקבל</w:t>
      </w:r>
      <w:r w:rsidRPr="00AE609D" w:rsidDel="004112E0">
        <w:rPr>
          <w:rFonts w:hint="eastAsia"/>
          <w:rtl/>
        </w:rPr>
        <w:t>ת</w:t>
      </w:r>
      <w:r w:rsidRPr="00AE609D" w:rsidDel="004112E0">
        <w:rPr>
          <w:rtl/>
        </w:rPr>
        <w:t xml:space="preserve"> תלונה בנושא זה</w:t>
      </w:r>
      <w:r>
        <w:rPr>
          <w:rFonts w:hint="cs"/>
          <w:rtl/>
        </w:rPr>
        <w:t xml:space="preserve">. הלכה למעשה </w:t>
      </w:r>
      <w:r w:rsidRPr="00C43F1B">
        <w:rPr>
          <w:rFonts w:hint="cs"/>
          <w:rtl/>
        </w:rPr>
        <w:t xml:space="preserve">שום גורם </w:t>
      </w:r>
      <w:r>
        <w:rPr>
          <w:rFonts w:hint="cs"/>
          <w:rtl/>
        </w:rPr>
        <w:t xml:space="preserve">אינו בודק אפוא </w:t>
      </w:r>
      <w:r w:rsidRPr="00C43F1B">
        <w:rPr>
          <w:rFonts w:hint="cs"/>
          <w:rtl/>
        </w:rPr>
        <w:t>את יישו</w:t>
      </w:r>
      <w:r>
        <w:rPr>
          <w:rFonts w:hint="cs"/>
          <w:rtl/>
        </w:rPr>
        <w:t>מו של</w:t>
      </w:r>
      <w:r w:rsidRPr="00C43F1B">
        <w:rPr>
          <w:rFonts w:hint="cs"/>
          <w:rtl/>
        </w:rPr>
        <w:t xml:space="preserve"> </w:t>
      </w:r>
      <w:r w:rsidRPr="00AE609D" w:rsidDel="004112E0">
        <w:rPr>
          <w:rtl/>
        </w:rPr>
        <w:t xml:space="preserve">סעיף </w:t>
      </w:r>
      <w:r>
        <w:rPr>
          <w:rFonts w:hint="cs"/>
          <w:rtl/>
        </w:rPr>
        <w:t xml:space="preserve">זה </w:t>
      </w:r>
      <w:r w:rsidRPr="00C43F1B">
        <w:rPr>
          <w:rFonts w:hint="cs"/>
          <w:rtl/>
        </w:rPr>
        <w:t>במגזר הפרטי</w:t>
      </w:r>
      <w:r w:rsidRPr="00C43F1B">
        <w:rPr>
          <w:rtl/>
        </w:rPr>
        <w:t>.</w:t>
      </w:r>
      <w:r w:rsidRPr="00C43F1B">
        <w:rPr>
          <w:rFonts w:hint="cs"/>
          <w:rtl/>
        </w:rPr>
        <w:t xml:space="preserve"> </w:t>
      </w:r>
    </w:p>
    <w:p w14:paraId="1F4F9DC0" w14:textId="77777777" w:rsidR="00417266" w:rsidRDefault="00417266" w:rsidP="00E31FB7">
      <w:pPr>
        <w:pStyle w:val="100"/>
      </w:pPr>
      <w:r>
        <w:rPr>
          <w:rFonts w:hint="cs"/>
          <w:rtl/>
        </w:rPr>
        <w:t xml:space="preserve">יתרה מזו, </w:t>
      </w:r>
      <w:r w:rsidRPr="00C43F1B">
        <w:rPr>
          <w:rFonts w:hint="eastAsia"/>
          <w:rtl/>
        </w:rPr>
        <w:t>באפריל</w:t>
      </w:r>
      <w:r w:rsidRPr="00C43F1B">
        <w:rPr>
          <w:rtl/>
        </w:rPr>
        <w:t xml:space="preserve"> 2016 פרסם </w:t>
      </w:r>
      <w:r w:rsidRPr="00C43F1B">
        <w:rPr>
          <w:rFonts w:hint="eastAsia"/>
          <w:rtl/>
        </w:rPr>
        <w:t>מינהל</w:t>
      </w:r>
      <w:r w:rsidRPr="00C43F1B">
        <w:rPr>
          <w:rFonts w:hint="cs"/>
          <w:rtl/>
        </w:rPr>
        <w:t xml:space="preserve"> הסדרה ואכיפה</w:t>
      </w:r>
      <w:r w:rsidRPr="00C43F1B">
        <w:rPr>
          <w:rtl/>
        </w:rPr>
        <w:t xml:space="preserve"> את סדרי העדיפויות שלו לטיפול בהפרות דיני עבודה</w:t>
      </w:r>
      <w:r w:rsidRPr="00C43F1B">
        <w:rPr>
          <w:rFonts w:hint="cs"/>
          <w:rtl/>
        </w:rPr>
        <w:t xml:space="preserve">. המסמך לא כלל </w:t>
      </w:r>
      <w:r w:rsidRPr="00C43F1B">
        <w:rPr>
          <w:rFonts w:hint="eastAsia"/>
          <w:rtl/>
        </w:rPr>
        <w:t>התייחסות</w:t>
      </w:r>
      <w:r w:rsidRPr="00C43F1B">
        <w:rPr>
          <w:rtl/>
        </w:rPr>
        <w:t xml:space="preserve"> </w:t>
      </w:r>
      <w:r w:rsidRPr="00C43F1B">
        <w:rPr>
          <w:rFonts w:hint="eastAsia"/>
          <w:rtl/>
        </w:rPr>
        <w:t>לחוק</w:t>
      </w:r>
      <w:r w:rsidRPr="00C43F1B">
        <w:rPr>
          <w:rtl/>
        </w:rPr>
        <w:t xml:space="preserve"> </w:t>
      </w:r>
      <w:r w:rsidRPr="00C43F1B">
        <w:rPr>
          <w:rFonts w:hint="eastAsia"/>
          <w:rtl/>
        </w:rPr>
        <w:t>למניעת</w:t>
      </w:r>
      <w:r w:rsidRPr="00C43F1B">
        <w:rPr>
          <w:rtl/>
        </w:rPr>
        <w:t xml:space="preserve"> </w:t>
      </w:r>
      <w:r w:rsidRPr="00C43F1B">
        <w:rPr>
          <w:rFonts w:hint="eastAsia"/>
          <w:rtl/>
        </w:rPr>
        <w:t>הטרדה</w:t>
      </w:r>
      <w:r w:rsidRPr="00C43F1B">
        <w:rPr>
          <w:rtl/>
        </w:rPr>
        <w:t xml:space="preserve"> </w:t>
      </w:r>
      <w:r w:rsidRPr="00C43F1B">
        <w:rPr>
          <w:rFonts w:hint="eastAsia"/>
          <w:rtl/>
        </w:rPr>
        <w:t>מינית</w:t>
      </w:r>
      <w:r w:rsidRPr="00C43F1B">
        <w:rPr>
          <w:rtl/>
        </w:rPr>
        <w:t xml:space="preserve">. </w:t>
      </w:r>
      <w:r w:rsidRPr="00C43F1B">
        <w:rPr>
          <w:rFonts w:hint="cs"/>
          <w:rtl/>
        </w:rPr>
        <w:t xml:space="preserve">באפריל 2016 פרסם המינהל החלטה ולפיה עבודת הפיקוח "תתמקד בהפרות שכר שיש בהן פוטנציאל גבוה לפגיעה בזכויות העובדים". עקב כך ירדה העדיפות </w:t>
      </w:r>
      <w:r>
        <w:rPr>
          <w:rFonts w:hint="cs"/>
          <w:rtl/>
        </w:rPr>
        <w:t>ש</w:t>
      </w:r>
      <w:r w:rsidRPr="00C43F1B">
        <w:rPr>
          <w:rFonts w:hint="cs"/>
          <w:rtl/>
        </w:rPr>
        <w:t>ל</w:t>
      </w:r>
      <w:r>
        <w:rPr>
          <w:rFonts w:hint="cs"/>
          <w:rtl/>
        </w:rPr>
        <w:t xml:space="preserve"> ה</w:t>
      </w:r>
      <w:r w:rsidRPr="00C43F1B">
        <w:rPr>
          <w:rFonts w:hint="cs"/>
          <w:rtl/>
        </w:rPr>
        <w:t xml:space="preserve">פיקוח על יישום </w:t>
      </w:r>
      <w:r w:rsidRPr="00C43F1B">
        <w:rPr>
          <w:rFonts w:hint="eastAsia"/>
          <w:rtl/>
        </w:rPr>
        <w:t>החוק</w:t>
      </w:r>
      <w:r w:rsidRPr="00C43F1B">
        <w:rPr>
          <w:rtl/>
        </w:rPr>
        <w:t xml:space="preserve"> </w:t>
      </w:r>
      <w:r w:rsidRPr="00C43F1B">
        <w:rPr>
          <w:rFonts w:hint="eastAsia"/>
          <w:rtl/>
        </w:rPr>
        <w:t>למניעת</w:t>
      </w:r>
      <w:r w:rsidRPr="00C43F1B">
        <w:rPr>
          <w:rtl/>
        </w:rPr>
        <w:t xml:space="preserve"> </w:t>
      </w:r>
      <w:r w:rsidRPr="00C43F1B">
        <w:rPr>
          <w:rFonts w:hint="eastAsia"/>
          <w:rtl/>
        </w:rPr>
        <w:t>הטרדה</w:t>
      </w:r>
      <w:r w:rsidRPr="00C43F1B">
        <w:rPr>
          <w:rtl/>
        </w:rPr>
        <w:t xml:space="preserve"> </w:t>
      </w:r>
      <w:r w:rsidRPr="00C43F1B">
        <w:rPr>
          <w:rFonts w:hint="eastAsia"/>
          <w:rtl/>
        </w:rPr>
        <w:t>מינית</w:t>
      </w:r>
      <w:r w:rsidRPr="00C43F1B">
        <w:rPr>
          <w:rtl/>
        </w:rPr>
        <w:t xml:space="preserve">, </w:t>
      </w:r>
      <w:r w:rsidRPr="00C43F1B">
        <w:rPr>
          <w:rFonts w:hint="cs"/>
          <w:rtl/>
        </w:rPr>
        <w:t>הנתפס כ</w:t>
      </w:r>
      <w:r w:rsidRPr="00C43F1B">
        <w:rPr>
          <w:rtl/>
        </w:rPr>
        <w:t xml:space="preserve">חוק שאינו משפיע </w:t>
      </w:r>
      <w:r w:rsidRPr="00C43F1B">
        <w:rPr>
          <w:rFonts w:hint="cs"/>
          <w:rtl/>
        </w:rPr>
        <w:t>על זכויות ה</w:t>
      </w:r>
      <w:r w:rsidRPr="00C43F1B">
        <w:rPr>
          <w:rtl/>
        </w:rPr>
        <w:t>שכר</w:t>
      </w:r>
      <w:r w:rsidRPr="00C43F1B">
        <w:rPr>
          <w:rFonts w:hint="cs"/>
          <w:rtl/>
        </w:rPr>
        <w:t xml:space="preserve"> של העובדים</w:t>
      </w:r>
      <w:r w:rsidRPr="00CF1FDC">
        <w:rPr>
          <w:rFonts w:hint="cs"/>
          <w:rtl/>
        </w:rPr>
        <w:t>.</w:t>
      </w:r>
    </w:p>
    <w:p w14:paraId="209EBBB6" w14:textId="77777777" w:rsidR="00417266" w:rsidRPr="006510A1" w:rsidRDefault="00417266" w:rsidP="00E31FB7">
      <w:pPr>
        <w:pStyle w:val="100"/>
        <w:rPr>
          <w:rtl/>
        </w:rPr>
      </w:pPr>
      <w:r w:rsidRPr="006868F1">
        <w:rPr>
          <w:rtl/>
        </w:rPr>
        <w:t xml:space="preserve">לשיטת </w:t>
      </w:r>
      <w:r w:rsidRPr="006868F1">
        <w:rPr>
          <w:rFonts w:hint="eastAsia"/>
          <w:rtl/>
        </w:rPr>
        <w:t>מינהל</w:t>
      </w:r>
      <w:r w:rsidRPr="006868F1">
        <w:rPr>
          <w:rtl/>
        </w:rPr>
        <w:t xml:space="preserve"> הסדרה ואכיפה </w:t>
      </w:r>
      <w:r w:rsidRPr="006868F1">
        <w:rPr>
          <w:rFonts w:hint="eastAsia"/>
          <w:rtl/>
        </w:rPr>
        <w:t>אי</w:t>
      </w:r>
      <w:r w:rsidRPr="006868F1">
        <w:rPr>
          <w:rtl/>
        </w:rPr>
        <w:t>-</w:t>
      </w:r>
      <w:r w:rsidRPr="006868F1">
        <w:rPr>
          <w:rFonts w:hint="eastAsia"/>
          <w:rtl/>
        </w:rPr>
        <w:t>קביעת</w:t>
      </w:r>
      <w:r w:rsidRPr="006868F1">
        <w:rPr>
          <w:rtl/>
        </w:rPr>
        <w:t xml:space="preserve"> </w:t>
      </w:r>
      <w:r w:rsidRPr="006868F1">
        <w:rPr>
          <w:rFonts w:hint="eastAsia"/>
          <w:rtl/>
        </w:rPr>
        <w:t>תקנון</w:t>
      </w:r>
      <w:r w:rsidRPr="006868F1">
        <w:rPr>
          <w:rtl/>
        </w:rPr>
        <w:t xml:space="preserve"> </w:t>
      </w:r>
      <w:r w:rsidRPr="006868F1">
        <w:rPr>
          <w:rFonts w:hint="eastAsia"/>
          <w:rtl/>
        </w:rPr>
        <w:t>היא</w:t>
      </w:r>
      <w:r w:rsidRPr="006868F1">
        <w:rPr>
          <w:rtl/>
        </w:rPr>
        <w:t xml:space="preserve"> </w:t>
      </w:r>
      <w:r w:rsidRPr="006868F1">
        <w:rPr>
          <w:rFonts w:hint="eastAsia"/>
          <w:rtl/>
        </w:rPr>
        <w:t>עבירה</w:t>
      </w:r>
      <w:r w:rsidRPr="006868F1">
        <w:rPr>
          <w:rtl/>
        </w:rPr>
        <w:t xml:space="preserve"> רישומית </w:t>
      </w:r>
      <w:r w:rsidRPr="006868F1">
        <w:rPr>
          <w:rFonts w:hint="eastAsia"/>
          <w:rtl/>
        </w:rPr>
        <w:t>בלבד</w:t>
      </w:r>
      <w:r w:rsidRPr="006868F1">
        <w:rPr>
          <w:rStyle w:val="FootnoteReference"/>
          <w:rtl/>
        </w:rPr>
        <w:footnoteReference w:id="62"/>
      </w:r>
      <w:r w:rsidRPr="006868F1">
        <w:rPr>
          <w:rtl/>
        </w:rPr>
        <w:t xml:space="preserve">. </w:t>
      </w:r>
      <w:r w:rsidRPr="006510A1">
        <w:rPr>
          <w:rFonts w:hint="cs"/>
          <w:rtl/>
        </w:rPr>
        <w:t xml:space="preserve">משרד העבודה ציין בתשובתו מיולי 2019 כי עמדה זו נתמכת גם על ידי ארגוני העובדים והמעסיקים וקיבלה את אישור היועץ המשפטי לממשלה במסגרת התייעצות בעניין מדרג העיצומים הכספיים שבאפשרות המינהל להטיל. </w:t>
      </w:r>
    </w:p>
    <w:p w14:paraId="4F9131FC" w14:textId="77777777" w:rsidR="00E31FB7" w:rsidRDefault="00E31FB7">
      <w:pPr>
        <w:bidi w:val="0"/>
        <w:spacing w:after="200" w:line="276" w:lineRule="auto"/>
        <w:rPr>
          <w:b/>
          <w:bCs/>
          <w:rtl/>
        </w:rPr>
      </w:pPr>
      <w:r>
        <w:rPr>
          <w:b/>
          <w:bCs/>
          <w:rtl/>
        </w:rPr>
        <w:br w:type="page"/>
      </w:r>
    </w:p>
    <w:p w14:paraId="3A0C985B" w14:textId="6C428911" w:rsidR="00417266" w:rsidRDefault="00417266" w:rsidP="00E31FB7">
      <w:pPr>
        <w:pStyle w:val="af3"/>
        <w:rPr>
          <w:rtl/>
        </w:rPr>
      </w:pPr>
      <w:r>
        <w:rPr>
          <w:rFonts w:hint="cs"/>
          <w:rtl/>
        </w:rPr>
        <w:lastRenderedPageBreak/>
        <w:t xml:space="preserve">לדעת </w:t>
      </w:r>
      <w:r w:rsidRPr="006F2510">
        <w:rPr>
          <w:rFonts w:hint="eastAsia"/>
          <w:rtl/>
        </w:rPr>
        <w:t>משרד</w:t>
      </w:r>
      <w:r w:rsidRPr="006F2510">
        <w:rPr>
          <w:rtl/>
        </w:rPr>
        <w:t xml:space="preserve"> </w:t>
      </w:r>
      <w:r w:rsidRPr="006F2510">
        <w:rPr>
          <w:rFonts w:hint="eastAsia"/>
          <w:rtl/>
        </w:rPr>
        <w:t>מבקר</w:t>
      </w:r>
      <w:r w:rsidRPr="006F2510">
        <w:rPr>
          <w:rtl/>
        </w:rPr>
        <w:t xml:space="preserve"> </w:t>
      </w:r>
      <w:r w:rsidRPr="006F2510">
        <w:rPr>
          <w:rFonts w:hint="eastAsia"/>
          <w:rtl/>
        </w:rPr>
        <w:t>המדינה</w:t>
      </w:r>
      <w:r w:rsidRPr="006F2510">
        <w:rPr>
          <w:rtl/>
        </w:rPr>
        <w:t xml:space="preserve"> </w:t>
      </w:r>
      <w:r w:rsidRPr="00C43F1B">
        <w:rPr>
          <w:rtl/>
        </w:rPr>
        <w:t xml:space="preserve">החובה </w:t>
      </w:r>
      <w:r w:rsidRPr="00C43F1B">
        <w:rPr>
          <w:rFonts w:hint="eastAsia"/>
          <w:rtl/>
        </w:rPr>
        <w:t>לקבוע</w:t>
      </w:r>
      <w:r w:rsidRPr="00C43F1B">
        <w:rPr>
          <w:rtl/>
        </w:rPr>
        <w:t xml:space="preserve"> תקנון </w:t>
      </w:r>
      <w:r>
        <w:rPr>
          <w:rFonts w:hint="cs"/>
          <w:rtl/>
        </w:rPr>
        <w:t xml:space="preserve">מותאם </w:t>
      </w:r>
      <w:r w:rsidRPr="00C43F1B">
        <w:rPr>
          <w:rtl/>
        </w:rPr>
        <w:t>היא חובה מהותית</w:t>
      </w:r>
      <w:r>
        <w:rPr>
          <w:rFonts w:hint="cs"/>
          <w:rtl/>
        </w:rPr>
        <w:t>,</w:t>
      </w:r>
      <w:r w:rsidRPr="00C43F1B">
        <w:rPr>
          <w:rtl/>
        </w:rPr>
        <w:t xml:space="preserve"> </w:t>
      </w:r>
      <w:r>
        <w:rPr>
          <w:rFonts w:hint="cs"/>
          <w:rtl/>
        </w:rPr>
        <w:t>שנועדה ליצור</w:t>
      </w:r>
      <w:r w:rsidRPr="00C43F1B">
        <w:rPr>
          <w:rtl/>
        </w:rPr>
        <w:t xml:space="preserve"> </w:t>
      </w:r>
      <w:r w:rsidRPr="00C43F1B">
        <w:rPr>
          <w:rFonts w:hint="eastAsia"/>
          <w:rtl/>
        </w:rPr>
        <w:t>סביב</w:t>
      </w:r>
      <w:r>
        <w:rPr>
          <w:rFonts w:hint="cs"/>
          <w:rtl/>
        </w:rPr>
        <w:t>ת</w:t>
      </w:r>
      <w:r w:rsidRPr="00C43F1B">
        <w:rPr>
          <w:rtl/>
        </w:rPr>
        <w:t xml:space="preserve"> </w:t>
      </w:r>
      <w:r>
        <w:rPr>
          <w:rFonts w:hint="cs"/>
          <w:rtl/>
        </w:rPr>
        <w:t xml:space="preserve">עבודה </w:t>
      </w:r>
      <w:r w:rsidRPr="00C43F1B">
        <w:rPr>
          <w:rFonts w:hint="eastAsia"/>
          <w:rtl/>
        </w:rPr>
        <w:t>בטוחה</w:t>
      </w:r>
      <w:r w:rsidRPr="00C43F1B">
        <w:rPr>
          <w:rtl/>
        </w:rPr>
        <w:t xml:space="preserve"> </w:t>
      </w:r>
      <w:r>
        <w:rPr>
          <w:rFonts w:hint="cs"/>
          <w:rtl/>
        </w:rPr>
        <w:t xml:space="preserve">ומוגנת. </w:t>
      </w:r>
      <w:r w:rsidRPr="00C43F1B">
        <w:rPr>
          <w:rFonts w:hint="eastAsia"/>
          <w:rtl/>
        </w:rPr>
        <w:t>אין</w:t>
      </w:r>
      <w:r w:rsidRPr="00C43F1B">
        <w:rPr>
          <w:rtl/>
        </w:rPr>
        <w:t xml:space="preserve"> מדובר </w:t>
      </w:r>
      <w:r w:rsidRPr="00C43F1B">
        <w:rPr>
          <w:rFonts w:hint="eastAsia"/>
          <w:rtl/>
        </w:rPr>
        <w:t>רק</w:t>
      </w:r>
      <w:r w:rsidRPr="00C43F1B">
        <w:rPr>
          <w:rtl/>
        </w:rPr>
        <w:t xml:space="preserve"> </w:t>
      </w:r>
      <w:r w:rsidRPr="00C43F1B">
        <w:rPr>
          <w:rFonts w:hint="cs"/>
          <w:rtl/>
        </w:rPr>
        <w:t xml:space="preserve">בחובה </w:t>
      </w:r>
      <w:r>
        <w:rPr>
          <w:rFonts w:hint="cs"/>
          <w:rtl/>
        </w:rPr>
        <w:t xml:space="preserve">טכנית </w:t>
      </w:r>
      <w:r w:rsidRPr="00C43F1B">
        <w:rPr>
          <w:rFonts w:hint="cs"/>
          <w:rtl/>
        </w:rPr>
        <w:t xml:space="preserve">להציג את </w:t>
      </w:r>
      <w:r w:rsidRPr="00C43F1B">
        <w:rPr>
          <w:rFonts w:hint="eastAsia"/>
          <w:rtl/>
        </w:rPr>
        <w:t>נוסח</w:t>
      </w:r>
      <w:r w:rsidRPr="00C43F1B">
        <w:rPr>
          <w:rtl/>
        </w:rPr>
        <w:t xml:space="preserve"> התקנון המוצע בחוק, אלא החוק</w:t>
      </w:r>
      <w:r>
        <w:rPr>
          <w:rFonts w:hint="cs"/>
          <w:rtl/>
        </w:rPr>
        <w:t xml:space="preserve"> והתקנות</w:t>
      </w:r>
      <w:r w:rsidRPr="00C43F1B">
        <w:rPr>
          <w:rtl/>
        </w:rPr>
        <w:t xml:space="preserve"> כיוו</w:t>
      </w:r>
      <w:r>
        <w:rPr>
          <w:rFonts w:hint="cs"/>
          <w:rtl/>
        </w:rPr>
        <w:t xml:space="preserve">נו </w:t>
      </w:r>
      <w:r w:rsidRPr="00C43F1B">
        <w:rPr>
          <w:rtl/>
        </w:rPr>
        <w:t xml:space="preserve">לכך שמקומות העבודה </w:t>
      </w:r>
      <w:r>
        <w:rPr>
          <w:rFonts w:hint="cs"/>
          <w:rtl/>
        </w:rPr>
        <w:t xml:space="preserve">המעסיקים יותר מ-25 עובדים </w:t>
      </w:r>
      <w:r w:rsidRPr="00C43F1B">
        <w:rPr>
          <w:rtl/>
        </w:rPr>
        <w:t>יבחנו את סדרי העבודה הנהוגים אצלם ויקבעו תקנון המתאים לאופי העבודה ולאוכלוסיית העובדים.</w:t>
      </w:r>
    </w:p>
    <w:p w14:paraId="29BC33F4" w14:textId="77777777" w:rsidR="00417266" w:rsidRPr="00A55A41" w:rsidRDefault="00417266" w:rsidP="00863B4F">
      <w:pPr>
        <w:pStyle w:val="100"/>
        <w:rPr>
          <w:rtl/>
        </w:rPr>
      </w:pPr>
      <w:r w:rsidRPr="00A55A41">
        <w:rPr>
          <w:rtl/>
        </w:rPr>
        <w:t>יצוין כי לקיום מבצעי אכיפה למניעת הטרדה מינית במגזרים מסוימים יש חשיבות לא רק לאכיפת החובה לקבוע תקנון מותאם. כך למשל, במאמר שפרסם איגוד מרכזי הסיוע בשנת 2018</w:t>
      </w:r>
      <w:r>
        <w:rPr>
          <w:rtl/>
        </w:rPr>
        <w:t xml:space="preserve"> </w:t>
      </w:r>
      <w:r w:rsidRPr="00A55A41">
        <w:rPr>
          <w:rtl/>
        </w:rPr>
        <w:t>עלה כי בעיית ההטרדה המינית במגזר העבודה הערבי היא ייחודית, בשל אופי ההעסקה ואופי הקשרים המשפחתיים והבין-אישיים המורכבים בחברה הערבית. עסקים רבים הם קטנים או משפחתיים. אופי העסקה זה משפיע על האכיפה הפנימית של האיסור על הטרדות מיניות, הן במישור החוקי שאינו מחייב מינוי אחראית, אלא בעל העסק עצמו רשאי לכהן בתפקיד זה, והן במישור המעשי של הקושי לברר תלונות במציאות של קשרי משפחה בתוך מקום העבודה. גם רבים מהעסקים הגדולים נמנעים ממינוי אחראית כנדרש בחוק. לפי המאמר, "ההימנעות מהטלת סנקציות על מעסיקים אשר אינם ממנים אחראיות משדרת מסר של זלזול בתפקיד האחראית - דבר אשר משפיע על נכונותן של האחראיות להתמודד בעצמן עם האתגרים".</w:t>
      </w:r>
    </w:p>
    <w:p w14:paraId="12C7298D" w14:textId="308F236F" w:rsidR="00417266" w:rsidRDefault="00417266" w:rsidP="00863B4F">
      <w:pPr>
        <w:pStyle w:val="100"/>
        <w:rPr>
          <w:rtl/>
        </w:rPr>
      </w:pPr>
      <w:r w:rsidRPr="00C43F1B">
        <w:rPr>
          <w:rFonts w:hint="cs"/>
          <w:rtl/>
        </w:rPr>
        <w:t xml:space="preserve">לשימוש בכלי האכיפה שהוקנו למינהל הסדרה ואכיפה </w:t>
      </w:r>
      <w:r>
        <w:rPr>
          <w:rFonts w:hint="cs"/>
          <w:rtl/>
        </w:rPr>
        <w:t>יש אפוא חשיבות גם מהטעם ש</w:t>
      </w:r>
      <w:r w:rsidRPr="00C43F1B">
        <w:rPr>
          <w:rFonts w:hint="cs"/>
          <w:rtl/>
        </w:rPr>
        <w:t xml:space="preserve">אחת ממטרות החוק היא שינוי השיח החברתי והעלאת המודעות להתנהגויות לא רצויות שנאסרו בחוק. למינהל הסדרה ואכיפה היכולת ליידע את המעסיק על חובותיו ולפקח על מילוין וליידע את העובדים על איסורי החוק. </w:t>
      </w:r>
    </w:p>
    <w:p w14:paraId="5CE3BECC" w14:textId="77777777" w:rsidR="00417266" w:rsidRPr="00C43F1B" w:rsidRDefault="00417266" w:rsidP="00863B4F">
      <w:pPr>
        <w:pStyle w:val="af3"/>
        <w:rPr>
          <w:rtl/>
        </w:rPr>
      </w:pPr>
      <w:r>
        <w:rPr>
          <w:rFonts w:hint="cs"/>
          <w:rtl/>
        </w:rPr>
        <w:t>ע</w:t>
      </w:r>
      <w:r w:rsidRPr="00C43F1B">
        <w:rPr>
          <w:rFonts w:hint="cs"/>
          <w:rtl/>
        </w:rPr>
        <w:t>ל</w:t>
      </w:r>
      <w:r>
        <w:rPr>
          <w:rFonts w:hint="cs"/>
          <w:rtl/>
        </w:rPr>
        <w:t xml:space="preserve"> </w:t>
      </w:r>
      <w:r w:rsidRPr="00C43F1B">
        <w:rPr>
          <w:rFonts w:hint="cs"/>
          <w:rtl/>
        </w:rPr>
        <w:t xml:space="preserve">מינהל הסדרה ואכיפה לפעול בהתאם לסמכות שהוקנתה לו </w:t>
      </w:r>
      <w:r>
        <w:rPr>
          <w:rFonts w:hint="cs"/>
          <w:rtl/>
        </w:rPr>
        <w:t>ולפעול לאכיפה יזומה ו</w:t>
      </w:r>
      <w:r w:rsidRPr="00FB5D77">
        <w:rPr>
          <w:rFonts w:hint="eastAsia"/>
          <w:rtl/>
        </w:rPr>
        <w:t>בקרה</w:t>
      </w:r>
      <w:r w:rsidRPr="00FB5D77">
        <w:rPr>
          <w:rtl/>
        </w:rPr>
        <w:t xml:space="preserve"> על מילוי חובות מ</w:t>
      </w:r>
      <w:r>
        <w:rPr>
          <w:rFonts w:hint="cs"/>
          <w:rtl/>
        </w:rPr>
        <w:t>עסיקים</w:t>
      </w:r>
      <w:r w:rsidRPr="00FB5D77">
        <w:rPr>
          <w:rtl/>
        </w:rPr>
        <w:t xml:space="preserve"> </w:t>
      </w:r>
      <w:r>
        <w:rPr>
          <w:rFonts w:hint="cs"/>
          <w:rtl/>
        </w:rPr>
        <w:t>בהתאם לחוק למניעת הטרדה מינית. משרד מבקר המדינה ממליץ למינהל הרכש הממשלתי במשרד האוצר לבחון את האפשרות לדרוש מחברות פרטיות הניגשות למכרזים ממשלתיים הצהרה מטעמן בדבר עמידה בדרישות החוק למניעת הטרדה מינית לגבי תקנון מותאם ומינוי אחראית</w:t>
      </w:r>
      <w:r w:rsidRPr="00C43F1B">
        <w:rPr>
          <w:rFonts w:hint="cs"/>
          <w:rtl/>
        </w:rPr>
        <w:t>.</w:t>
      </w:r>
    </w:p>
    <w:p w14:paraId="5D1FBF5E" w14:textId="69BBAB27" w:rsidR="00417266" w:rsidRDefault="00417266" w:rsidP="00515C82">
      <w:pPr>
        <w:pStyle w:val="100"/>
        <w:rPr>
          <w:rtl/>
        </w:rPr>
      </w:pPr>
      <w:r>
        <w:rPr>
          <w:rFonts w:hint="cs"/>
          <w:rtl/>
        </w:rPr>
        <w:t>משרד העבודה ציין בתשובתו כי בעקבות הערת מבקר המדינה יטמיע נהלים שלפיהם בכל מקום עבודה שמועסקים בו יותר מ-25 עובדים יימסר למעסיק מכתב הסבר על חשיבות מניעת הטרדה</w:t>
      </w:r>
      <w:r w:rsidR="00515C82">
        <w:rPr>
          <w:rFonts w:hint="cs"/>
          <w:rtl/>
        </w:rPr>
        <w:t xml:space="preserve"> </w:t>
      </w:r>
      <w:r>
        <w:rPr>
          <w:rFonts w:hint="cs"/>
          <w:rtl/>
        </w:rPr>
        <w:t xml:space="preserve">מינית במקום העבודה ועל החובות המוטלים עליו. </w:t>
      </w:r>
    </w:p>
    <w:p w14:paraId="020C6998" w14:textId="77777777" w:rsidR="00417266" w:rsidRPr="00C43F1B" w:rsidRDefault="00417266" w:rsidP="00863B4F">
      <w:pPr>
        <w:pStyle w:val="100"/>
        <w:rPr>
          <w:rtl/>
        </w:rPr>
      </w:pPr>
      <w:bookmarkStart w:id="22" w:name="_Toc9150792"/>
      <w:r w:rsidRPr="00515C82">
        <w:rPr>
          <w:rFonts w:hint="cs"/>
          <w:b/>
          <w:bCs/>
          <w:color w:val="004E6C"/>
          <w:rtl/>
        </w:rPr>
        <w:t>נציבות שוויון הזדמנויות בעבודה:</w:t>
      </w:r>
      <w:r w:rsidRPr="00515C82">
        <w:rPr>
          <w:rStyle w:val="Heading7Char"/>
          <w:rFonts w:hint="cs"/>
          <w:b/>
          <w:color w:val="004E6C"/>
          <w:sz w:val="24"/>
          <w:rtl/>
        </w:rPr>
        <w:t xml:space="preserve"> </w:t>
      </w:r>
      <w:r w:rsidRPr="00C43F1B">
        <w:rPr>
          <w:rFonts w:hint="cs"/>
          <w:rtl/>
        </w:rPr>
        <w:t>בשנת 1998, עם חקיקת החוק למניעת הטרדה מינית, תוקן חוק שוויון הזדמנויות בעבודה ונוסף בו איסור התנכלות - פגיעה בעובד שמקורה הוא הטרדה מינית על פי החוק למניעת הטרדה מינית או פגיעה בעובד שסייע לעובד אחר בהגשת תלונה או תביעה.</w:t>
      </w:r>
      <w:bookmarkEnd w:id="22"/>
      <w:r w:rsidRPr="00C43F1B">
        <w:rPr>
          <w:rFonts w:hint="cs"/>
          <w:rtl/>
        </w:rPr>
        <w:t xml:space="preserve"> </w:t>
      </w:r>
    </w:p>
    <w:p w14:paraId="04B62A12" w14:textId="77777777" w:rsidR="00863B4F" w:rsidRDefault="00863B4F">
      <w:pPr>
        <w:bidi w:val="0"/>
        <w:spacing w:after="200" w:line="276" w:lineRule="auto"/>
        <w:rPr>
          <w:rFonts w:ascii="Tahoma" w:hAnsi="Tahoma" w:cs="Tahoma"/>
          <w:szCs w:val="20"/>
          <w:rtl/>
        </w:rPr>
      </w:pPr>
      <w:r>
        <w:rPr>
          <w:rtl/>
        </w:rPr>
        <w:br w:type="page"/>
      </w:r>
    </w:p>
    <w:p w14:paraId="593ECC42" w14:textId="1A4E9D15" w:rsidR="00417266" w:rsidRPr="00C43F1B" w:rsidRDefault="00417266" w:rsidP="00863B4F">
      <w:pPr>
        <w:pStyle w:val="100"/>
        <w:rPr>
          <w:rtl/>
        </w:rPr>
      </w:pPr>
      <w:r w:rsidRPr="00C43F1B">
        <w:rPr>
          <w:rFonts w:hint="cs"/>
          <w:rtl/>
        </w:rPr>
        <w:lastRenderedPageBreak/>
        <w:t>נציבות שוויון הזדמנויות בעבודה שבמשרד העבודה (להלן - נציבות השוויון) הוקמה בשנת 2008, כ-</w:t>
      </w:r>
      <w:r w:rsidR="004B2958">
        <w:rPr>
          <w:rFonts w:hint="cs"/>
          <w:rtl/>
        </w:rPr>
        <w:t>10</w:t>
      </w:r>
      <w:r w:rsidRPr="00C43F1B">
        <w:rPr>
          <w:rFonts w:hint="cs"/>
          <w:rtl/>
        </w:rPr>
        <w:t xml:space="preserve"> שנים לאחר חקיקת חוק שוויון הזדמנויות בעבודה. </w:t>
      </w:r>
      <w:r>
        <w:rPr>
          <w:rFonts w:hint="cs"/>
          <w:rtl/>
        </w:rPr>
        <w:t>ה</w:t>
      </w:r>
      <w:r w:rsidRPr="00C43F1B">
        <w:rPr>
          <w:rFonts w:hint="cs"/>
          <w:rtl/>
        </w:rPr>
        <w:t>נציבות</w:t>
      </w:r>
      <w:r>
        <w:rPr>
          <w:rFonts w:hint="cs"/>
          <w:rtl/>
        </w:rPr>
        <w:t xml:space="preserve"> </w:t>
      </w:r>
      <w:r w:rsidRPr="00C43F1B">
        <w:rPr>
          <w:rFonts w:hint="cs"/>
          <w:rtl/>
        </w:rPr>
        <w:t xml:space="preserve">הוקמה </w:t>
      </w:r>
      <w:r>
        <w:rPr>
          <w:rFonts w:hint="cs"/>
          <w:rtl/>
        </w:rPr>
        <w:t xml:space="preserve">במטרה להגביר </w:t>
      </w:r>
      <w:r w:rsidRPr="00C43F1B">
        <w:rPr>
          <w:rFonts w:hint="cs"/>
          <w:rtl/>
        </w:rPr>
        <w:t xml:space="preserve">את </w:t>
      </w:r>
      <w:r>
        <w:rPr>
          <w:rFonts w:hint="cs"/>
          <w:rtl/>
        </w:rPr>
        <w:t xml:space="preserve">אכיפת </w:t>
      </w:r>
      <w:r w:rsidRPr="00C43F1B">
        <w:rPr>
          <w:rFonts w:hint="cs"/>
          <w:rtl/>
        </w:rPr>
        <w:t>הוראות חוק שוויון הזדמנויות בעבודה, שהמציאות לימדה ש</w:t>
      </w:r>
      <w:r>
        <w:rPr>
          <w:rFonts w:hint="cs"/>
          <w:rtl/>
        </w:rPr>
        <w:t>עד אותה העת היו קשיים באכיפתו</w:t>
      </w:r>
      <w:r w:rsidRPr="00C43F1B">
        <w:rPr>
          <w:rFonts w:hint="cs"/>
          <w:rtl/>
        </w:rPr>
        <w:t xml:space="preserve">. </w:t>
      </w:r>
    </w:p>
    <w:p w14:paraId="75D9F36C" w14:textId="77777777" w:rsidR="00417266" w:rsidRDefault="00417266" w:rsidP="00863B4F">
      <w:pPr>
        <w:pStyle w:val="af3"/>
        <w:rPr>
          <w:rtl/>
        </w:rPr>
      </w:pPr>
      <w:r w:rsidRPr="00C43F1B">
        <w:rPr>
          <w:rFonts w:hint="eastAsia"/>
          <w:rtl/>
        </w:rPr>
        <w:t>יוצא</w:t>
      </w:r>
      <w:r w:rsidRPr="00C43F1B">
        <w:rPr>
          <w:rtl/>
        </w:rPr>
        <w:t xml:space="preserve"> אפוא </w:t>
      </w:r>
      <w:r w:rsidRPr="00C43F1B">
        <w:rPr>
          <w:rFonts w:hint="eastAsia"/>
          <w:rtl/>
        </w:rPr>
        <w:t>ש</w:t>
      </w:r>
      <w:r w:rsidRPr="00C43F1B">
        <w:rPr>
          <w:rFonts w:hint="cs"/>
          <w:rtl/>
        </w:rPr>
        <w:t>נציבות השוויון מוסמכת לטפל באפליה אסורה על בסיס הטרדה מינית</w:t>
      </w:r>
      <w:r w:rsidRPr="00C43F1B">
        <w:rPr>
          <w:rtl/>
        </w:rPr>
        <w:t xml:space="preserve">. </w:t>
      </w:r>
      <w:r w:rsidRPr="00C43F1B">
        <w:rPr>
          <w:rFonts w:hint="eastAsia"/>
          <w:rtl/>
        </w:rPr>
        <w:t>נוסף</w:t>
      </w:r>
      <w:r w:rsidRPr="00C43F1B">
        <w:rPr>
          <w:rtl/>
        </w:rPr>
        <w:t xml:space="preserve"> </w:t>
      </w:r>
      <w:r w:rsidRPr="00C43F1B">
        <w:rPr>
          <w:rFonts w:hint="cs"/>
          <w:rtl/>
        </w:rPr>
        <w:t>ע</w:t>
      </w:r>
      <w:r w:rsidRPr="00C43F1B">
        <w:rPr>
          <w:rFonts w:hint="eastAsia"/>
          <w:rtl/>
        </w:rPr>
        <w:t>ל</w:t>
      </w:r>
      <w:r w:rsidRPr="00C43F1B">
        <w:rPr>
          <w:rFonts w:hint="cs"/>
          <w:rtl/>
        </w:rPr>
        <w:t xml:space="preserve"> </w:t>
      </w:r>
      <w:r w:rsidRPr="00C43F1B">
        <w:rPr>
          <w:rFonts w:hint="eastAsia"/>
          <w:rtl/>
        </w:rPr>
        <w:t>כך</w:t>
      </w:r>
      <w:r w:rsidRPr="00C43F1B">
        <w:rPr>
          <w:rtl/>
        </w:rPr>
        <w:t xml:space="preserve">, </w:t>
      </w:r>
      <w:r w:rsidRPr="00C43F1B">
        <w:rPr>
          <w:rFonts w:hint="eastAsia"/>
          <w:rtl/>
        </w:rPr>
        <w:t>החוק</w:t>
      </w:r>
      <w:r w:rsidRPr="00C43F1B">
        <w:rPr>
          <w:rtl/>
        </w:rPr>
        <w:t xml:space="preserve"> </w:t>
      </w:r>
      <w:r w:rsidRPr="00C43F1B">
        <w:rPr>
          <w:rFonts w:hint="eastAsia"/>
          <w:rtl/>
        </w:rPr>
        <w:t>למניעת</w:t>
      </w:r>
      <w:r w:rsidRPr="00C43F1B">
        <w:rPr>
          <w:rtl/>
        </w:rPr>
        <w:t xml:space="preserve"> </w:t>
      </w:r>
      <w:r w:rsidRPr="00C43F1B">
        <w:rPr>
          <w:rFonts w:hint="eastAsia"/>
          <w:rtl/>
        </w:rPr>
        <w:t>הטרדה</w:t>
      </w:r>
      <w:r w:rsidRPr="00C43F1B">
        <w:rPr>
          <w:rtl/>
        </w:rPr>
        <w:t xml:space="preserve"> </w:t>
      </w:r>
      <w:r w:rsidRPr="00C43F1B">
        <w:rPr>
          <w:rFonts w:hint="eastAsia"/>
          <w:rtl/>
        </w:rPr>
        <w:t>מינית</w:t>
      </w:r>
      <w:r w:rsidRPr="00C43F1B">
        <w:rPr>
          <w:rtl/>
        </w:rPr>
        <w:t xml:space="preserve"> </w:t>
      </w:r>
      <w:r w:rsidRPr="00C43F1B">
        <w:rPr>
          <w:rFonts w:hint="eastAsia"/>
          <w:rtl/>
        </w:rPr>
        <w:t>הוא</w:t>
      </w:r>
      <w:r w:rsidRPr="00C43F1B">
        <w:rPr>
          <w:rtl/>
        </w:rPr>
        <w:t xml:space="preserve"> </w:t>
      </w:r>
      <w:r w:rsidRPr="00C43F1B">
        <w:rPr>
          <w:rFonts w:hint="eastAsia"/>
          <w:rtl/>
        </w:rPr>
        <w:t>אחד</w:t>
      </w:r>
      <w:r w:rsidRPr="00C43F1B">
        <w:rPr>
          <w:rtl/>
        </w:rPr>
        <w:t xml:space="preserve"> </w:t>
      </w:r>
      <w:r w:rsidRPr="00C43F1B">
        <w:rPr>
          <w:rFonts w:hint="eastAsia"/>
          <w:rtl/>
        </w:rPr>
        <w:t>החוקים</w:t>
      </w:r>
      <w:r w:rsidRPr="00C43F1B">
        <w:rPr>
          <w:rtl/>
        </w:rPr>
        <w:t xml:space="preserve"> </w:t>
      </w:r>
      <w:r w:rsidRPr="00C43F1B">
        <w:rPr>
          <w:rFonts w:hint="eastAsia"/>
          <w:rtl/>
        </w:rPr>
        <w:t>שבגי</w:t>
      </w:r>
      <w:r>
        <w:rPr>
          <w:rFonts w:hint="cs"/>
          <w:rtl/>
        </w:rPr>
        <w:t>ן הפרת הוראותיו</w:t>
      </w:r>
      <w:r w:rsidRPr="00C43F1B">
        <w:rPr>
          <w:rtl/>
        </w:rPr>
        <w:t xml:space="preserve"> </w:t>
      </w:r>
      <w:r w:rsidRPr="00C43F1B">
        <w:rPr>
          <w:rFonts w:hint="eastAsia"/>
          <w:rtl/>
        </w:rPr>
        <w:t>מוסמכת</w:t>
      </w:r>
      <w:r w:rsidRPr="00C43F1B">
        <w:rPr>
          <w:rtl/>
        </w:rPr>
        <w:t xml:space="preserve"> </w:t>
      </w:r>
      <w:r w:rsidRPr="00C43F1B">
        <w:rPr>
          <w:rFonts w:hint="eastAsia"/>
          <w:rtl/>
        </w:rPr>
        <w:t>נציבות</w:t>
      </w:r>
      <w:r>
        <w:rPr>
          <w:rFonts w:hint="cs"/>
          <w:rtl/>
        </w:rPr>
        <w:t xml:space="preserve"> השוויון</w:t>
      </w:r>
      <w:r w:rsidRPr="00C43F1B">
        <w:rPr>
          <w:rtl/>
        </w:rPr>
        <w:t xml:space="preserve"> </w:t>
      </w:r>
      <w:r w:rsidRPr="00C43F1B">
        <w:rPr>
          <w:rFonts w:hint="eastAsia"/>
          <w:rtl/>
        </w:rPr>
        <w:t>להגיש</w:t>
      </w:r>
      <w:r w:rsidRPr="00C43F1B">
        <w:rPr>
          <w:rtl/>
        </w:rPr>
        <w:t xml:space="preserve"> </w:t>
      </w:r>
      <w:r w:rsidRPr="00C43F1B">
        <w:rPr>
          <w:rFonts w:hint="eastAsia"/>
          <w:rtl/>
        </w:rPr>
        <w:t>תביעות</w:t>
      </w:r>
      <w:r w:rsidRPr="00C43F1B">
        <w:rPr>
          <w:rtl/>
        </w:rPr>
        <w:t xml:space="preserve"> </w:t>
      </w:r>
      <w:r w:rsidRPr="00C43F1B">
        <w:rPr>
          <w:rFonts w:hint="eastAsia"/>
          <w:rtl/>
        </w:rPr>
        <w:t>אזרחיות</w:t>
      </w:r>
      <w:r w:rsidRPr="00C43F1B">
        <w:rPr>
          <w:rtl/>
        </w:rPr>
        <w:t xml:space="preserve"> </w:t>
      </w:r>
      <w:r w:rsidRPr="00C43F1B">
        <w:rPr>
          <w:rFonts w:hint="eastAsia"/>
          <w:rtl/>
        </w:rPr>
        <w:t>לבית</w:t>
      </w:r>
      <w:r w:rsidRPr="00C43F1B">
        <w:rPr>
          <w:rtl/>
        </w:rPr>
        <w:t xml:space="preserve"> </w:t>
      </w:r>
      <w:r w:rsidRPr="00C43F1B">
        <w:rPr>
          <w:rFonts w:hint="eastAsia"/>
          <w:rtl/>
        </w:rPr>
        <w:t>הדין</w:t>
      </w:r>
      <w:r w:rsidRPr="00C43F1B">
        <w:rPr>
          <w:rtl/>
        </w:rPr>
        <w:t xml:space="preserve"> </w:t>
      </w:r>
      <w:r w:rsidRPr="00C43F1B">
        <w:rPr>
          <w:rFonts w:hint="eastAsia"/>
          <w:rtl/>
        </w:rPr>
        <w:t>לעבודה</w:t>
      </w:r>
      <w:r w:rsidRPr="00C43F1B">
        <w:rPr>
          <w:rFonts w:hint="cs"/>
          <w:rtl/>
        </w:rPr>
        <w:t xml:space="preserve"> או לערכאה אחרת המוסמכת לדון בהן</w:t>
      </w:r>
      <w:r w:rsidRPr="00C43F1B">
        <w:rPr>
          <w:rtl/>
        </w:rPr>
        <w:t>.</w:t>
      </w:r>
      <w:r w:rsidRPr="00C43F1B">
        <w:rPr>
          <w:rFonts w:hint="cs"/>
          <w:rtl/>
        </w:rPr>
        <w:t xml:space="preserve"> ואולם נציבות</w:t>
      </w:r>
      <w:r>
        <w:rPr>
          <w:rFonts w:hint="cs"/>
          <w:rtl/>
        </w:rPr>
        <w:t xml:space="preserve"> השוויון</w:t>
      </w:r>
      <w:r w:rsidRPr="00C43F1B">
        <w:rPr>
          <w:rFonts w:hint="cs"/>
          <w:rtl/>
        </w:rPr>
        <w:t xml:space="preserve"> אינה יוזמת בקרות במקומות העבודה ואינה תובעת בגין עילה זו, אלא רק מטפלת בתלונות </w:t>
      </w:r>
      <w:r>
        <w:rPr>
          <w:rFonts w:hint="cs"/>
          <w:rtl/>
        </w:rPr>
        <w:t>שהוגשו לה</w:t>
      </w:r>
      <w:r w:rsidRPr="00C43F1B">
        <w:rPr>
          <w:rFonts w:hint="cs"/>
          <w:rtl/>
        </w:rPr>
        <w:t>.</w:t>
      </w:r>
    </w:p>
    <w:p w14:paraId="667F7409" w14:textId="77777777" w:rsidR="00417266" w:rsidRPr="00C43F1B" w:rsidRDefault="00417266" w:rsidP="00863B4F">
      <w:pPr>
        <w:pStyle w:val="100"/>
        <w:rPr>
          <w:rtl/>
        </w:rPr>
      </w:pPr>
      <w:r w:rsidRPr="00C43F1B">
        <w:rPr>
          <w:rFonts w:hint="cs"/>
          <w:rtl/>
        </w:rPr>
        <w:t>מהדוח השנתי של נציבות השוויון לשנת 2016 עולה כי כ-3.5% מהפניות אל</w:t>
      </w:r>
      <w:r>
        <w:rPr>
          <w:rFonts w:hint="cs"/>
          <w:rtl/>
        </w:rPr>
        <w:t>יה עסקו</w:t>
      </w:r>
      <w:r w:rsidRPr="00C43F1B">
        <w:rPr>
          <w:rFonts w:hint="cs"/>
          <w:rtl/>
        </w:rPr>
        <w:t xml:space="preserve"> </w:t>
      </w:r>
      <w:r>
        <w:rPr>
          <w:rFonts w:hint="cs"/>
          <w:rtl/>
        </w:rPr>
        <w:t>ב</w:t>
      </w:r>
      <w:r w:rsidRPr="00C43F1B">
        <w:rPr>
          <w:rFonts w:hint="cs"/>
          <w:rtl/>
        </w:rPr>
        <w:t>הטרדה מינית (</w:t>
      </w:r>
      <w:r>
        <w:rPr>
          <w:rFonts w:hint="cs"/>
          <w:rtl/>
        </w:rPr>
        <w:t xml:space="preserve">כ-1.7% </w:t>
      </w:r>
      <w:r w:rsidRPr="00C43F1B">
        <w:rPr>
          <w:rFonts w:hint="cs"/>
          <w:rtl/>
        </w:rPr>
        <w:t>במגזר הציבורי וכ-4.1% במגזר הפרטי).</w:t>
      </w:r>
      <w:r w:rsidRPr="00C43F1B">
        <w:t xml:space="preserve"> </w:t>
      </w:r>
      <w:r w:rsidRPr="00C43F1B">
        <w:rPr>
          <w:rFonts w:hint="cs"/>
          <w:rtl/>
        </w:rPr>
        <w:t xml:space="preserve">בסיכום הדוח נכתב כי חל גידול ניכר במספר הפניות </w:t>
      </w:r>
      <w:r>
        <w:rPr>
          <w:rFonts w:hint="cs"/>
          <w:rtl/>
        </w:rPr>
        <w:t xml:space="preserve">בנושא זה </w:t>
      </w:r>
      <w:r w:rsidRPr="00C43F1B">
        <w:rPr>
          <w:rFonts w:hint="cs"/>
          <w:rtl/>
        </w:rPr>
        <w:t xml:space="preserve">(מ-3 פניות בשנת 2015 ל-25 </w:t>
      </w:r>
      <w:r>
        <w:rPr>
          <w:rFonts w:hint="cs"/>
          <w:rtl/>
        </w:rPr>
        <w:t xml:space="preserve">פניות </w:t>
      </w:r>
      <w:r w:rsidRPr="00C43F1B">
        <w:rPr>
          <w:rFonts w:hint="cs"/>
          <w:rtl/>
        </w:rPr>
        <w:t>בשנת 2016).</w:t>
      </w:r>
      <w:r w:rsidRPr="00C43F1B">
        <w:t xml:space="preserve"> </w:t>
      </w:r>
      <w:r w:rsidRPr="00C43F1B">
        <w:rPr>
          <w:rFonts w:hint="cs"/>
          <w:rtl/>
        </w:rPr>
        <w:t>נציבות</w:t>
      </w:r>
      <w:r>
        <w:rPr>
          <w:rFonts w:hint="cs"/>
          <w:rtl/>
        </w:rPr>
        <w:t xml:space="preserve"> השוויון</w:t>
      </w:r>
      <w:r w:rsidRPr="00C43F1B">
        <w:rPr>
          <w:rFonts w:hint="cs"/>
          <w:rtl/>
        </w:rPr>
        <w:t xml:space="preserve"> מסרה כי היא מקיימת הדרכות על החוק אצל מעסיקים המבקשים זאת.</w:t>
      </w:r>
    </w:p>
    <w:p w14:paraId="2BDD43B0" w14:textId="77777777" w:rsidR="00417266" w:rsidRPr="00C43F1B" w:rsidRDefault="00417266" w:rsidP="00863B4F">
      <w:pPr>
        <w:pStyle w:val="100"/>
        <w:rPr>
          <w:rtl/>
        </w:rPr>
      </w:pPr>
      <w:r w:rsidRPr="00C43F1B">
        <w:rPr>
          <w:rFonts w:hint="cs"/>
          <w:rtl/>
        </w:rPr>
        <w:t xml:space="preserve">בישיבת ועדת הכנסת לקידום מעמד האישה ב-8.5.18 מסרה נציגת נציבות השוויון כי </w:t>
      </w:r>
      <w:r>
        <w:rPr>
          <w:rFonts w:hint="cs"/>
          <w:rtl/>
        </w:rPr>
        <w:t xml:space="preserve">34 מ-776 הפניות שבהן עסקה הנציבות </w:t>
      </w:r>
      <w:r w:rsidRPr="00C43F1B">
        <w:rPr>
          <w:rFonts w:hint="cs"/>
          <w:rtl/>
        </w:rPr>
        <w:t xml:space="preserve">בשנה החולפת </w:t>
      </w:r>
      <w:r>
        <w:rPr>
          <w:rFonts w:hint="cs"/>
          <w:rtl/>
        </w:rPr>
        <w:t xml:space="preserve">היו </w:t>
      </w:r>
      <w:r w:rsidRPr="00C43F1B">
        <w:rPr>
          <w:rFonts w:hint="cs"/>
          <w:rtl/>
        </w:rPr>
        <w:t>בנושא הטרדה מינית. 8 מ</w:t>
      </w:r>
      <w:r>
        <w:rPr>
          <w:rFonts w:hint="cs"/>
          <w:rtl/>
        </w:rPr>
        <w:t>הן</w:t>
      </w:r>
      <w:r w:rsidRPr="00C43F1B">
        <w:rPr>
          <w:rFonts w:hint="cs"/>
          <w:rtl/>
        </w:rPr>
        <w:t xml:space="preserve"> היו בקשות לקבלת </w:t>
      </w:r>
      <w:r>
        <w:rPr>
          <w:rFonts w:hint="cs"/>
          <w:rtl/>
        </w:rPr>
        <w:t>ה</w:t>
      </w:r>
      <w:r w:rsidRPr="00C43F1B">
        <w:rPr>
          <w:rFonts w:hint="cs"/>
          <w:rtl/>
        </w:rPr>
        <w:t xml:space="preserve">תקנון או מידע מחקרי או לקבלת הדרכה בעניין הטרדה מינית. 23 פניות נועדו להתייעצויות משפטיות בעניינים שונים, והטיפול ב-14 מהן הסתיים בשיחת הטלפון הראשונה. בעקבות 3 פניות התבקשה חוות דעת מטעם </w:t>
      </w:r>
      <w:r>
        <w:rPr>
          <w:rFonts w:hint="cs"/>
          <w:rtl/>
        </w:rPr>
        <w:t>נציבות השוויון</w:t>
      </w:r>
      <w:r w:rsidRPr="00C43F1B">
        <w:rPr>
          <w:rFonts w:hint="cs"/>
          <w:rtl/>
        </w:rPr>
        <w:t xml:space="preserve"> כידיד בית המשפט</w:t>
      </w:r>
      <w:r w:rsidRPr="00C43F1B">
        <w:rPr>
          <w:rStyle w:val="FootnoteReference"/>
          <w:rtl/>
        </w:rPr>
        <w:footnoteReference w:id="63"/>
      </w:r>
      <w:r w:rsidRPr="00C43F1B">
        <w:rPr>
          <w:rFonts w:hint="cs"/>
          <w:rtl/>
        </w:rPr>
        <w:t xml:space="preserve">. </w:t>
      </w:r>
    </w:p>
    <w:p w14:paraId="0FC999BB" w14:textId="77777777" w:rsidR="00417266" w:rsidRDefault="00417266" w:rsidP="00863B4F">
      <w:pPr>
        <w:pStyle w:val="100"/>
        <w:rPr>
          <w:rtl/>
        </w:rPr>
      </w:pPr>
      <w:r>
        <w:rPr>
          <w:rFonts w:hint="cs"/>
          <w:rtl/>
        </w:rPr>
        <w:t>משרד העבודה מסר בתשובתו כי לנוכח רוחב תחומי עיסוקה של נציבות השוויון ועקב משאביה המוגבלים - 13 עובדים בלבד - ויכולותיה המעשיות הנגזרות מכך, הביקורת על קיום חובות המעסיקים על פי החוק או הפרתן נעשית רק במסגרת בירור תלונות או בעקבות פניות המובאות לפתחה של הנציבות. נציבות השוויון מפרסמת באתר המרשתת שלה מידע רב והנחיות לעובדים ולמעסיקים בעניין חקיקת השוויון בעבודה ובכלל זה בנושא ההטרדות המיניות. נוסף על כך, הנציבות מקיימת הרצאות והדרכות שונות לעובדים ולמעסיקים, שחלקן מייחדות פרק לחוק למניעת הטרדה מינית.</w:t>
      </w:r>
    </w:p>
    <w:p w14:paraId="68A70C47" w14:textId="77777777" w:rsidR="00417266" w:rsidRPr="00407EB7" w:rsidRDefault="00417266" w:rsidP="00863B4F">
      <w:pPr>
        <w:pStyle w:val="af3"/>
        <w:rPr>
          <w:rtl/>
        </w:rPr>
      </w:pPr>
      <w:r>
        <w:rPr>
          <w:rFonts w:hint="cs"/>
          <w:rtl/>
        </w:rPr>
        <w:lastRenderedPageBreak/>
        <w:t>מן הראוי ש</w:t>
      </w:r>
      <w:r w:rsidRPr="00407EB7">
        <w:rPr>
          <w:rFonts w:hint="eastAsia"/>
          <w:rtl/>
        </w:rPr>
        <w:t>נציבות</w:t>
      </w:r>
      <w:r w:rsidRPr="00407EB7">
        <w:rPr>
          <w:rtl/>
        </w:rPr>
        <w:t xml:space="preserve"> </w:t>
      </w:r>
      <w:r w:rsidRPr="00407EB7">
        <w:rPr>
          <w:rFonts w:hint="eastAsia"/>
          <w:rtl/>
        </w:rPr>
        <w:t>שוויון</w:t>
      </w:r>
      <w:r w:rsidRPr="00407EB7">
        <w:rPr>
          <w:rtl/>
        </w:rPr>
        <w:t xml:space="preserve"> </w:t>
      </w:r>
      <w:r w:rsidRPr="00407EB7">
        <w:rPr>
          <w:rFonts w:hint="eastAsia"/>
          <w:rtl/>
        </w:rPr>
        <w:t>הזדמנויות</w:t>
      </w:r>
      <w:r w:rsidRPr="00407EB7">
        <w:rPr>
          <w:rtl/>
        </w:rPr>
        <w:t xml:space="preserve"> </w:t>
      </w:r>
      <w:r w:rsidRPr="00407EB7">
        <w:rPr>
          <w:rFonts w:hint="eastAsia"/>
          <w:rtl/>
        </w:rPr>
        <w:t>בעבודה</w:t>
      </w:r>
      <w:r w:rsidRPr="00407EB7">
        <w:rPr>
          <w:rtl/>
        </w:rPr>
        <w:t xml:space="preserve"> </w:t>
      </w:r>
      <w:r>
        <w:rPr>
          <w:rFonts w:hint="cs"/>
          <w:rtl/>
        </w:rPr>
        <w:t>ת</w:t>
      </w:r>
      <w:r w:rsidRPr="00407EB7">
        <w:rPr>
          <w:rtl/>
        </w:rPr>
        <w:t>יידע מעסיקים</w:t>
      </w:r>
      <w:r>
        <w:rPr>
          <w:rFonts w:hint="cs"/>
          <w:rtl/>
        </w:rPr>
        <w:t xml:space="preserve"> בדבר האפשרות לפנות אליה בעניין הטרדות מיניות, אם באמצעות פנייה לארגוני מעסיקים ועובדים ואם בדרך אחרת, ותמסד</w:t>
      </w:r>
      <w:r w:rsidRPr="00407EB7">
        <w:rPr>
          <w:rtl/>
        </w:rPr>
        <w:t xml:space="preserve"> את דר</w:t>
      </w:r>
      <w:r>
        <w:rPr>
          <w:rFonts w:hint="cs"/>
          <w:rtl/>
        </w:rPr>
        <w:t>כי</w:t>
      </w:r>
      <w:r w:rsidRPr="00407EB7">
        <w:rPr>
          <w:rtl/>
        </w:rPr>
        <w:t xml:space="preserve"> הפני</w:t>
      </w:r>
      <w:r>
        <w:rPr>
          <w:rFonts w:hint="cs"/>
          <w:rtl/>
        </w:rPr>
        <w:t>יה</w:t>
      </w:r>
      <w:r w:rsidRPr="00407EB7">
        <w:rPr>
          <w:rtl/>
        </w:rPr>
        <w:t xml:space="preserve"> אליה כאמור</w:t>
      </w:r>
      <w:r>
        <w:rPr>
          <w:rFonts w:hint="cs"/>
          <w:rtl/>
        </w:rPr>
        <w:t xml:space="preserve">. </w:t>
      </w:r>
      <w:r w:rsidRPr="00C43F1B">
        <w:rPr>
          <w:rFonts w:hint="cs"/>
          <w:rtl/>
        </w:rPr>
        <w:t xml:space="preserve">על </w:t>
      </w:r>
      <w:r>
        <w:rPr>
          <w:rFonts w:hint="cs"/>
          <w:rtl/>
        </w:rPr>
        <w:t xml:space="preserve">הנציבות </w:t>
      </w:r>
      <w:r w:rsidRPr="00C43F1B">
        <w:rPr>
          <w:rFonts w:hint="cs"/>
          <w:rtl/>
        </w:rPr>
        <w:t>להבהיר למעסיקים כי אפשר לפנות אליה לקבלת הדרכה על החוק ולהציע למעסיקים שירות נרחב מזה שהיא מציעה היום ובכך לשפר את אופן היישום של החוק למניעת הטרדה מינית במגזר הפרטי.</w:t>
      </w:r>
      <w:r>
        <w:rPr>
          <w:rFonts w:hint="cs"/>
          <w:rtl/>
        </w:rPr>
        <w:t xml:space="preserve"> </w:t>
      </w:r>
      <w:r w:rsidRPr="00407EB7">
        <w:rPr>
          <w:rFonts w:hint="eastAsia"/>
          <w:rtl/>
        </w:rPr>
        <w:t>פרסום</w:t>
      </w:r>
      <w:r w:rsidRPr="00407EB7">
        <w:rPr>
          <w:rtl/>
        </w:rPr>
        <w:t xml:space="preserve"> </w:t>
      </w:r>
      <w:r>
        <w:rPr>
          <w:rFonts w:hint="cs"/>
          <w:rtl/>
        </w:rPr>
        <w:t xml:space="preserve">אפשרות </w:t>
      </w:r>
      <w:r w:rsidRPr="00407EB7">
        <w:rPr>
          <w:rFonts w:hint="eastAsia"/>
          <w:rtl/>
        </w:rPr>
        <w:t>הפני</w:t>
      </w:r>
      <w:r>
        <w:rPr>
          <w:rFonts w:hint="cs"/>
          <w:rtl/>
        </w:rPr>
        <w:t>יה</w:t>
      </w:r>
      <w:r w:rsidRPr="00407EB7">
        <w:rPr>
          <w:rtl/>
        </w:rPr>
        <w:t xml:space="preserve"> </w:t>
      </w:r>
      <w:r w:rsidRPr="00407EB7">
        <w:rPr>
          <w:rFonts w:hint="eastAsia"/>
          <w:rtl/>
        </w:rPr>
        <w:t>לנציבות</w:t>
      </w:r>
      <w:r w:rsidRPr="00407EB7">
        <w:rPr>
          <w:rtl/>
        </w:rPr>
        <w:t xml:space="preserve"> </w:t>
      </w:r>
      <w:r w:rsidRPr="00407EB7">
        <w:rPr>
          <w:rFonts w:hint="eastAsia"/>
          <w:rtl/>
        </w:rPr>
        <w:t>יכול</w:t>
      </w:r>
      <w:r w:rsidRPr="00407EB7">
        <w:rPr>
          <w:rtl/>
        </w:rPr>
        <w:t xml:space="preserve"> </w:t>
      </w:r>
      <w:r w:rsidRPr="00407EB7">
        <w:rPr>
          <w:rFonts w:hint="eastAsia"/>
          <w:rtl/>
        </w:rPr>
        <w:t>להיעשות</w:t>
      </w:r>
      <w:r w:rsidRPr="00407EB7">
        <w:rPr>
          <w:rtl/>
        </w:rPr>
        <w:t xml:space="preserve"> </w:t>
      </w:r>
      <w:r w:rsidRPr="00407EB7">
        <w:rPr>
          <w:rFonts w:hint="eastAsia"/>
          <w:rtl/>
        </w:rPr>
        <w:t>בשיתוף</w:t>
      </w:r>
      <w:r w:rsidRPr="00407EB7">
        <w:rPr>
          <w:rtl/>
        </w:rPr>
        <w:t xml:space="preserve"> </w:t>
      </w:r>
      <w:r w:rsidRPr="00407EB7">
        <w:rPr>
          <w:rFonts w:hint="eastAsia"/>
          <w:rtl/>
        </w:rPr>
        <w:t>פעולה</w:t>
      </w:r>
      <w:r w:rsidRPr="00407EB7">
        <w:rPr>
          <w:rtl/>
        </w:rPr>
        <w:t xml:space="preserve"> </w:t>
      </w:r>
      <w:r w:rsidRPr="00407EB7">
        <w:rPr>
          <w:rFonts w:hint="eastAsia"/>
          <w:rtl/>
        </w:rPr>
        <w:t>עם</w:t>
      </w:r>
      <w:r w:rsidRPr="00407EB7">
        <w:rPr>
          <w:rtl/>
        </w:rPr>
        <w:t xml:space="preserve"> </w:t>
      </w:r>
      <w:r w:rsidRPr="00407EB7">
        <w:rPr>
          <w:rFonts w:hint="eastAsia"/>
          <w:rtl/>
        </w:rPr>
        <w:t>הרשות</w:t>
      </w:r>
      <w:r w:rsidRPr="00407EB7">
        <w:rPr>
          <w:rtl/>
        </w:rPr>
        <w:t xml:space="preserve"> </w:t>
      </w:r>
      <w:r w:rsidRPr="00407EB7">
        <w:rPr>
          <w:rFonts w:hint="eastAsia"/>
          <w:rtl/>
        </w:rPr>
        <w:t>לקידום</w:t>
      </w:r>
      <w:r w:rsidRPr="00407EB7">
        <w:rPr>
          <w:rtl/>
        </w:rPr>
        <w:t xml:space="preserve"> </w:t>
      </w:r>
      <w:r w:rsidRPr="00407EB7">
        <w:rPr>
          <w:rFonts w:hint="eastAsia"/>
          <w:rtl/>
        </w:rPr>
        <w:t>מעמד</w:t>
      </w:r>
      <w:r w:rsidRPr="00407EB7">
        <w:rPr>
          <w:rtl/>
        </w:rPr>
        <w:t xml:space="preserve"> </w:t>
      </w:r>
      <w:r w:rsidRPr="00407EB7">
        <w:rPr>
          <w:rFonts w:hint="eastAsia"/>
          <w:rtl/>
        </w:rPr>
        <w:t>האישה</w:t>
      </w:r>
      <w:r w:rsidRPr="00407EB7">
        <w:rPr>
          <w:rtl/>
        </w:rPr>
        <w:t xml:space="preserve">, </w:t>
      </w:r>
      <w:r w:rsidRPr="00407EB7">
        <w:rPr>
          <w:rFonts w:hint="eastAsia"/>
          <w:rtl/>
        </w:rPr>
        <w:t>בהתאם</w:t>
      </w:r>
      <w:r w:rsidRPr="00407EB7">
        <w:rPr>
          <w:rtl/>
        </w:rPr>
        <w:t xml:space="preserve"> </w:t>
      </w:r>
      <w:r>
        <w:rPr>
          <w:rFonts w:hint="cs"/>
          <w:rtl/>
        </w:rPr>
        <w:t>ל</w:t>
      </w:r>
      <w:r w:rsidRPr="00407EB7">
        <w:rPr>
          <w:rFonts w:hint="eastAsia"/>
          <w:rtl/>
        </w:rPr>
        <w:t>המלצות</w:t>
      </w:r>
      <w:r w:rsidRPr="00407EB7">
        <w:rPr>
          <w:rtl/>
        </w:rPr>
        <w:t xml:space="preserve"> </w:t>
      </w:r>
      <w:r>
        <w:rPr>
          <w:rFonts w:hint="cs"/>
          <w:rtl/>
        </w:rPr>
        <w:t xml:space="preserve">שפרסמה הרשות לקידום מעמד האישה (ראו להלן) </w:t>
      </w:r>
      <w:r w:rsidRPr="00407EB7">
        <w:rPr>
          <w:rFonts w:hint="eastAsia"/>
          <w:rtl/>
        </w:rPr>
        <w:t>לגבי</w:t>
      </w:r>
      <w:r w:rsidRPr="00407EB7">
        <w:rPr>
          <w:rtl/>
        </w:rPr>
        <w:t xml:space="preserve"> </w:t>
      </w:r>
      <w:r w:rsidRPr="00407EB7">
        <w:rPr>
          <w:rFonts w:hint="eastAsia"/>
          <w:rtl/>
        </w:rPr>
        <w:t>הפקת</w:t>
      </w:r>
      <w:r w:rsidRPr="00407EB7">
        <w:rPr>
          <w:rtl/>
        </w:rPr>
        <w:t xml:space="preserve"> </w:t>
      </w:r>
      <w:r>
        <w:rPr>
          <w:rFonts w:hint="cs"/>
          <w:rtl/>
        </w:rPr>
        <w:t>מסע פרסום</w:t>
      </w:r>
      <w:r w:rsidRPr="00407EB7">
        <w:rPr>
          <w:rtl/>
        </w:rPr>
        <w:t xml:space="preserve"> </w:t>
      </w:r>
      <w:r w:rsidRPr="00407EB7">
        <w:rPr>
          <w:rFonts w:hint="eastAsia"/>
          <w:rtl/>
        </w:rPr>
        <w:t>בנושא</w:t>
      </w:r>
      <w:r w:rsidRPr="00407EB7">
        <w:rPr>
          <w:rtl/>
        </w:rPr>
        <w:t xml:space="preserve"> </w:t>
      </w:r>
      <w:r w:rsidRPr="00407EB7">
        <w:rPr>
          <w:rFonts w:hint="eastAsia"/>
          <w:rtl/>
        </w:rPr>
        <w:t>מניעת</w:t>
      </w:r>
      <w:r w:rsidRPr="00407EB7">
        <w:rPr>
          <w:rtl/>
        </w:rPr>
        <w:t xml:space="preserve"> </w:t>
      </w:r>
      <w:r w:rsidRPr="00407EB7">
        <w:rPr>
          <w:rFonts w:hint="eastAsia"/>
          <w:rtl/>
        </w:rPr>
        <w:t>הטרדה</w:t>
      </w:r>
      <w:r w:rsidRPr="00407EB7">
        <w:rPr>
          <w:rtl/>
        </w:rPr>
        <w:t xml:space="preserve"> </w:t>
      </w:r>
      <w:r w:rsidRPr="00407EB7">
        <w:rPr>
          <w:rFonts w:hint="eastAsia"/>
          <w:rtl/>
        </w:rPr>
        <w:t>מינית</w:t>
      </w:r>
      <w:r w:rsidRPr="00407EB7">
        <w:rPr>
          <w:rtl/>
        </w:rPr>
        <w:t>.</w:t>
      </w:r>
    </w:p>
    <w:p w14:paraId="64C3D08D" w14:textId="77777777" w:rsidR="00417266" w:rsidRPr="00820603" w:rsidRDefault="00417266" w:rsidP="00820603">
      <w:pPr>
        <w:pStyle w:val="100"/>
        <w:rPr>
          <w:rtl/>
        </w:rPr>
      </w:pPr>
      <w:bookmarkStart w:id="23" w:name="_Toc9150793"/>
      <w:r w:rsidRPr="00D56D40">
        <w:rPr>
          <w:rStyle w:val="Heading7Char"/>
          <w:rFonts w:eastAsiaTheme="minorHAnsi" w:hint="eastAsia"/>
          <w:b/>
          <w:color w:val="004E6C"/>
          <w:spacing w:val="0"/>
          <w:rtl/>
        </w:rPr>
        <w:t>הרשות</w:t>
      </w:r>
      <w:r w:rsidRPr="00D56D40">
        <w:rPr>
          <w:rStyle w:val="Heading7Char"/>
          <w:rFonts w:eastAsiaTheme="minorHAnsi"/>
          <w:b/>
          <w:color w:val="004E6C"/>
          <w:spacing w:val="0"/>
          <w:rtl/>
        </w:rPr>
        <w:t xml:space="preserve"> </w:t>
      </w:r>
      <w:r w:rsidRPr="00D56D40">
        <w:rPr>
          <w:rStyle w:val="Heading7Char"/>
          <w:rFonts w:eastAsiaTheme="minorHAnsi" w:hint="eastAsia"/>
          <w:b/>
          <w:color w:val="004E6C"/>
          <w:spacing w:val="0"/>
          <w:rtl/>
        </w:rPr>
        <w:t>לקידום</w:t>
      </w:r>
      <w:r w:rsidRPr="00D56D40">
        <w:rPr>
          <w:rStyle w:val="Heading7Char"/>
          <w:rFonts w:eastAsiaTheme="minorHAnsi"/>
          <w:b/>
          <w:color w:val="004E6C"/>
          <w:spacing w:val="0"/>
          <w:rtl/>
        </w:rPr>
        <w:t xml:space="preserve"> </w:t>
      </w:r>
      <w:r w:rsidRPr="00D56D40">
        <w:rPr>
          <w:rStyle w:val="Heading7Char"/>
          <w:rFonts w:eastAsiaTheme="minorHAnsi" w:hint="eastAsia"/>
          <w:b/>
          <w:color w:val="004E6C"/>
          <w:spacing w:val="0"/>
          <w:rtl/>
        </w:rPr>
        <w:t>מעמד</w:t>
      </w:r>
      <w:r w:rsidRPr="00D56D40">
        <w:rPr>
          <w:rStyle w:val="Heading7Char"/>
          <w:rFonts w:eastAsiaTheme="minorHAnsi"/>
          <w:b/>
          <w:color w:val="004E6C"/>
          <w:spacing w:val="0"/>
          <w:rtl/>
        </w:rPr>
        <w:t xml:space="preserve"> </w:t>
      </w:r>
      <w:r w:rsidRPr="00D56D40">
        <w:rPr>
          <w:rStyle w:val="Heading7Char"/>
          <w:rFonts w:eastAsiaTheme="minorHAnsi" w:hint="eastAsia"/>
          <w:b/>
          <w:color w:val="004E6C"/>
          <w:spacing w:val="0"/>
          <w:rtl/>
        </w:rPr>
        <w:t>האישה</w:t>
      </w:r>
      <w:r w:rsidRPr="00D56D40">
        <w:rPr>
          <w:rStyle w:val="Heading7Char"/>
          <w:rFonts w:eastAsiaTheme="minorHAnsi" w:hint="cs"/>
          <w:b/>
          <w:color w:val="004E6C"/>
          <w:spacing w:val="0"/>
          <w:rtl/>
        </w:rPr>
        <w:t>:</w:t>
      </w:r>
      <w:r w:rsidRPr="00D56D40">
        <w:rPr>
          <w:rStyle w:val="Heading7Char"/>
          <w:rFonts w:eastAsiaTheme="minorHAnsi"/>
          <w:bCs w:val="0"/>
          <w:color w:val="004E6C"/>
          <w:spacing w:val="0"/>
          <w:rtl/>
        </w:rPr>
        <w:t xml:space="preserve"> </w:t>
      </w:r>
      <w:bookmarkEnd w:id="23"/>
      <w:r w:rsidRPr="00820603">
        <w:rPr>
          <w:rFonts w:hint="eastAsia"/>
          <w:rtl/>
        </w:rPr>
        <w:t>הרשות</w:t>
      </w:r>
      <w:r w:rsidRPr="00820603">
        <w:rPr>
          <w:rFonts w:hint="cs"/>
          <w:rtl/>
        </w:rPr>
        <w:t xml:space="preserve"> לקידום מעמד האישה (להלן - הרשות) היא גוף סטטוטורי שהוקם בשנת 1998. </w:t>
      </w:r>
      <w:r w:rsidRPr="00820603">
        <w:rPr>
          <w:rtl/>
        </w:rPr>
        <w:t>חוק הרשות לקידום מעמד הא</w:t>
      </w:r>
      <w:r w:rsidRPr="00820603">
        <w:rPr>
          <w:rFonts w:hint="cs"/>
          <w:rtl/>
        </w:rPr>
        <w:t>י</w:t>
      </w:r>
      <w:r w:rsidRPr="00820603">
        <w:rPr>
          <w:rtl/>
        </w:rPr>
        <w:t xml:space="preserve">שה, </w:t>
      </w:r>
      <w:r w:rsidRPr="00820603">
        <w:rPr>
          <w:rFonts w:hint="cs"/>
          <w:rtl/>
        </w:rPr>
        <w:t>ה</w:t>
      </w:r>
      <w:r w:rsidRPr="00820603">
        <w:rPr>
          <w:rtl/>
        </w:rPr>
        <w:t>תשנ"ח-1998</w:t>
      </w:r>
      <w:r w:rsidRPr="00820603">
        <w:rPr>
          <w:rFonts w:hint="cs"/>
          <w:rtl/>
        </w:rPr>
        <w:t>, מגדיר את מטרותיה וסמכויותיה כדלהלן: "לקדם את השוויון בין נשים לגברים בישראל, להביא לתיאום בין הגופים המטפלים במעמד האישה בישראל, לקדם את</w:t>
      </w:r>
      <w:r w:rsidRPr="00820603">
        <w:rPr>
          <w:rtl/>
        </w:rPr>
        <w:t xml:space="preserve"> החינוך, החקיקה והאכיפה בתחומים אלה, להבטיח כי בהליכי החקיקה ייבחנו השלכות החקיקה המוצעת על השוויון בין נשים לגברים, </w:t>
      </w:r>
      <w:r w:rsidRPr="00820603">
        <w:rPr>
          <w:rFonts w:hint="eastAsia"/>
          <w:rtl/>
        </w:rPr>
        <w:t>לקדם</w:t>
      </w:r>
      <w:r w:rsidRPr="00820603">
        <w:rPr>
          <w:rtl/>
        </w:rPr>
        <w:t xml:space="preserve"> פעילות למניעת אלימות נגד נש</w:t>
      </w:r>
      <w:r w:rsidRPr="00820603">
        <w:rPr>
          <w:rFonts w:hint="eastAsia"/>
          <w:rtl/>
        </w:rPr>
        <w:t>ים</w:t>
      </w:r>
      <w:r w:rsidRPr="00820603">
        <w:rPr>
          <w:rtl/>
        </w:rPr>
        <w:t xml:space="preserve">, </w:t>
      </w:r>
      <w:r w:rsidRPr="00820603">
        <w:rPr>
          <w:rFonts w:hint="eastAsia"/>
          <w:rtl/>
        </w:rPr>
        <w:t>להעמיד</w:t>
      </w:r>
      <w:r w:rsidRPr="00820603">
        <w:rPr>
          <w:rtl/>
        </w:rPr>
        <w:t xml:space="preserve"> </w:t>
      </w:r>
      <w:r w:rsidRPr="00820603">
        <w:rPr>
          <w:rFonts w:hint="eastAsia"/>
          <w:rtl/>
        </w:rPr>
        <w:t>לרשות</w:t>
      </w:r>
      <w:r w:rsidRPr="00820603">
        <w:rPr>
          <w:rtl/>
        </w:rPr>
        <w:t xml:space="preserve"> </w:t>
      </w:r>
      <w:r w:rsidRPr="00820603">
        <w:rPr>
          <w:rFonts w:hint="eastAsia"/>
          <w:rtl/>
        </w:rPr>
        <w:t>הממשלה</w:t>
      </w:r>
      <w:r w:rsidRPr="00820603">
        <w:rPr>
          <w:rFonts w:hint="cs"/>
          <w:rtl/>
        </w:rPr>
        <w:t xml:space="preserve"> את הכלים והמידע הנדרשים להשגת המטרות האמורות". לפי חוק זה </w:t>
      </w:r>
      <w:r w:rsidRPr="00820603">
        <w:rPr>
          <w:rtl/>
        </w:rPr>
        <w:t>ה</w:t>
      </w:r>
      <w:r w:rsidRPr="00820603">
        <w:rPr>
          <w:rFonts w:hint="cs"/>
          <w:rtl/>
        </w:rPr>
        <w:t xml:space="preserve">רשות "תגבש, תקדם ותעודד מדיניות ופעילות לקידום מעמד האישה, </w:t>
      </w:r>
      <w:r w:rsidRPr="00820603">
        <w:rPr>
          <w:rtl/>
        </w:rPr>
        <w:t>ל</w:t>
      </w:r>
      <w:r w:rsidRPr="00820603">
        <w:rPr>
          <w:rFonts w:hint="cs"/>
          <w:rtl/>
        </w:rPr>
        <w:t xml:space="preserve">קידום השוויון בין המינים, </w:t>
      </w:r>
      <w:r w:rsidRPr="00820603">
        <w:rPr>
          <w:rFonts w:hint="eastAsia"/>
          <w:rtl/>
        </w:rPr>
        <w:t>לביעור</w:t>
      </w:r>
      <w:r w:rsidRPr="00820603">
        <w:rPr>
          <w:rFonts w:hint="cs"/>
          <w:rtl/>
        </w:rPr>
        <w:t xml:space="preserve"> </w:t>
      </w:r>
      <w:r w:rsidRPr="00820603">
        <w:rPr>
          <w:rFonts w:hint="eastAsia"/>
          <w:rtl/>
        </w:rPr>
        <w:t>ההפליה</w:t>
      </w:r>
      <w:r w:rsidRPr="00820603">
        <w:rPr>
          <w:rtl/>
        </w:rPr>
        <w:t xml:space="preserve"> </w:t>
      </w:r>
      <w:r w:rsidRPr="00820603">
        <w:rPr>
          <w:rFonts w:hint="eastAsia"/>
          <w:rtl/>
        </w:rPr>
        <w:t>נגד</w:t>
      </w:r>
      <w:r w:rsidRPr="00820603">
        <w:rPr>
          <w:rtl/>
        </w:rPr>
        <w:t xml:space="preserve"> </w:t>
      </w:r>
      <w:r w:rsidRPr="00820603">
        <w:rPr>
          <w:rFonts w:hint="eastAsia"/>
          <w:rtl/>
        </w:rPr>
        <w:t>נשים</w:t>
      </w:r>
      <w:r w:rsidRPr="00820603">
        <w:rPr>
          <w:rtl/>
        </w:rPr>
        <w:t xml:space="preserve"> </w:t>
      </w:r>
      <w:r w:rsidRPr="00820603">
        <w:rPr>
          <w:rFonts w:hint="eastAsia"/>
          <w:rtl/>
        </w:rPr>
        <w:t>ובכלל</w:t>
      </w:r>
      <w:r w:rsidRPr="00820603">
        <w:rPr>
          <w:rtl/>
        </w:rPr>
        <w:t xml:space="preserve"> </w:t>
      </w:r>
      <w:r w:rsidRPr="00820603">
        <w:rPr>
          <w:rFonts w:hint="eastAsia"/>
          <w:rtl/>
        </w:rPr>
        <w:t>זה</w:t>
      </w:r>
      <w:r w:rsidRPr="00820603">
        <w:rPr>
          <w:rtl/>
        </w:rPr>
        <w:t xml:space="preserve"> </w:t>
      </w:r>
      <w:r w:rsidRPr="00820603">
        <w:rPr>
          <w:rFonts w:hint="eastAsia"/>
          <w:rtl/>
        </w:rPr>
        <w:t>למניעת</w:t>
      </w:r>
      <w:r w:rsidRPr="00820603">
        <w:rPr>
          <w:rtl/>
        </w:rPr>
        <w:t xml:space="preserve"> </w:t>
      </w:r>
      <w:r w:rsidRPr="00820603">
        <w:rPr>
          <w:rFonts w:hint="eastAsia"/>
          <w:rtl/>
        </w:rPr>
        <w:t>אלימות</w:t>
      </w:r>
      <w:r w:rsidRPr="00820603">
        <w:rPr>
          <w:rtl/>
        </w:rPr>
        <w:t xml:space="preserve"> </w:t>
      </w:r>
      <w:r w:rsidRPr="00820603">
        <w:rPr>
          <w:rFonts w:hint="eastAsia"/>
          <w:rtl/>
        </w:rPr>
        <w:t>נגד</w:t>
      </w:r>
      <w:r w:rsidRPr="00820603">
        <w:rPr>
          <w:rtl/>
        </w:rPr>
        <w:t xml:space="preserve"> </w:t>
      </w:r>
      <w:r w:rsidRPr="00820603">
        <w:rPr>
          <w:rFonts w:hint="eastAsia"/>
          <w:rtl/>
        </w:rPr>
        <w:t>נשים</w:t>
      </w:r>
      <w:r w:rsidRPr="00820603">
        <w:rPr>
          <w:rFonts w:hint="cs"/>
          <w:rtl/>
        </w:rPr>
        <w:t>"</w:t>
      </w:r>
      <w:r w:rsidRPr="00820603">
        <w:rPr>
          <w:rtl/>
        </w:rPr>
        <w:t>.</w:t>
      </w:r>
      <w:r w:rsidRPr="00820603">
        <w:rPr>
          <w:rFonts w:hint="cs"/>
          <w:rtl/>
        </w:rPr>
        <w:t xml:space="preserve"> </w:t>
      </w:r>
    </w:p>
    <w:p w14:paraId="654FF8EC" w14:textId="77777777" w:rsidR="00417266" w:rsidRPr="00C43F1B" w:rsidRDefault="00417266" w:rsidP="00F10ECA">
      <w:pPr>
        <w:pStyle w:val="a0"/>
        <w:numPr>
          <w:ilvl w:val="0"/>
          <w:numId w:val="25"/>
        </w:numPr>
      </w:pPr>
      <w:r w:rsidRPr="00C43F1B">
        <w:rPr>
          <w:rFonts w:hint="cs"/>
          <w:rtl/>
        </w:rPr>
        <w:t xml:space="preserve">הרשות לקידום מעמד האישה עסקה לאורך השנים בנושא ההטרדות המיניות במגוון אפיקים: בין היתר היא הגישה חווֹת דעת על הצעות חוק פרטיות הנוגעות לחוק למניעת הטרדה מינית; היא קידמה מסעי פרסום הנוגעים להטרדות מיניות, כגון מסע פרסום להעלאת המודעות להטרדות מיניות בתחבורה הציבורית, והיא </w:t>
      </w:r>
      <w:r w:rsidRPr="00C43F1B">
        <w:rPr>
          <w:rFonts w:hint="eastAsia"/>
          <w:rtl/>
        </w:rPr>
        <w:t>קיבלה</w:t>
      </w:r>
      <w:r w:rsidRPr="00C43F1B">
        <w:rPr>
          <w:rFonts w:hint="cs"/>
          <w:rtl/>
        </w:rPr>
        <w:t xml:space="preserve"> את הדיווחים השנתיים של מוסדות ההשכלה </w:t>
      </w:r>
      <w:r>
        <w:rPr>
          <w:rFonts w:hint="cs"/>
          <w:rtl/>
        </w:rPr>
        <w:t>ה</w:t>
      </w:r>
      <w:r w:rsidRPr="00C43F1B">
        <w:rPr>
          <w:rFonts w:hint="cs"/>
          <w:rtl/>
        </w:rPr>
        <w:t>גבוהה על פעולותיהם לטיפול בתלונות ו</w:t>
      </w:r>
      <w:r>
        <w:rPr>
          <w:rFonts w:hint="cs"/>
          <w:rtl/>
        </w:rPr>
        <w:t>ל</w:t>
      </w:r>
      <w:r w:rsidRPr="00C43F1B">
        <w:rPr>
          <w:rFonts w:hint="cs"/>
          <w:rtl/>
        </w:rPr>
        <w:t xml:space="preserve">מניעת הטרדות מיניות. </w:t>
      </w:r>
    </w:p>
    <w:p w14:paraId="469D936E" w14:textId="77777777" w:rsidR="00417266" w:rsidRPr="00C43F1B" w:rsidRDefault="00417266" w:rsidP="00E16E4C">
      <w:pPr>
        <w:pStyle w:val="af2"/>
        <w:rPr>
          <w:rtl/>
        </w:rPr>
      </w:pPr>
      <w:r w:rsidRPr="00C43F1B">
        <w:rPr>
          <w:rFonts w:hint="cs"/>
          <w:rtl/>
        </w:rPr>
        <w:t>כמו כן פעלה הרשות במגוון אפיקים למניעת הטרדות מיניות במגזר העבודה הפרטי: הרשות ריכזה מידע על האחראיות למניעת הטרד</w:t>
      </w:r>
      <w:r>
        <w:rPr>
          <w:rFonts w:hint="cs"/>
          <w:rtl/>
        </w:rPr>
        <w:t>ה</w:t>
      </w:r>
      <w:r w:rsidRPr="00C43F1B">
        <w:rPr>
          <w:rFonts w:hint="cs"/>
          <w:rtl/>
        </w:rPr>
        <w:t xml:space="preserve"> מיניות בשלל מקומות עבודה; הדפיסה את התקנון לדוגמה הקבוע בחוק </w:t>
      </w:r>
      <w:r>
        <w:rPr>
          <w:rFonts w:hint="cs"/>
          <w:rtl/>
        </w:rPr>
        <w:t xml:space="preserve">והפיצה אותו </w:t>
      </w:r>
      <w:r w:rsidRPr="00C43F1B">
        <w:rPr>
          <w:rFonts w:hint="cs"/>
          <w:rtl/>
        </w:rPr>
        <w:t xml:space="preserve">במקומות עבודה שונים במגזר הפרטי; שימשה מרכז מידע שסיפק מענה לשאלות של האחראיות; הפיצה ערכת הסברה למניעת הטרדה מינית שבה מודגמים מצבים שונים של הטרדה מינית, כדי ללמד איך לזהותם ולטפל בהם כראוי, ופרסמה רשימת גופים מקצועיים להכשרת </w:t>
      </w:r>
      <w:r w:rsidRPr="006217BB">
        <w:rPr>
          <w:rFonts w:hint="eastAsia"/>
          <w:rtl/>
        </w:rPr>
        <w:t>אחראים</w:t>
      </w:r>
      <w:r w:rsidRPr="00C43F1B">
        <w:rPr>
          <w:rFonts w:hint="cs"/>
          <w:rtl/>
        </w:rPr>
        <w:t xml:space="preserve"> על פי החוק.</w:t>
      </w:r>
    </w:p>
    <w:p w14:paraId="4354DA48" w14:textId="77777777" w:rsidR="00417266" w:rsidRDefault="00417266" w:rsidP="00E16E4C">
      <w:pPr>
        <w:pStyle w:val="af2"/>
        <w:rPr>
          <w:rtl/>
        </w:rPr>
      </w:pPr>
      <w:r w:rsidRPr="00C43F1B">
        <w:rPr>
          <w:rFonts w:hint="cs"/>
          <w:rtl/>
        </w:rPr>
        <w:t>בינואר 2016 סיימה את תפקידה ראשת הרשות דאז, וביולי 2017 החליטה הממשלה למנות ראשת רשות חדשה, וזו החלה את עבודתה באוקטובר 2017. בתקופה שבה לא כיהנה ראשת רשות פסקה הרשות, הלכה למעשה, מפעילות. באוקטובר 2017 חזרה הרשות להפיץ כרזות של עיקרי התקנון, וכן חידשה את הדרישה לקבלת הדוחות השנתיים של מוסדות ההשכלה הגבוהה.</w:t>
      </w:r>
    </w:p>
    <w:p w14:paraId="1FFF0D1E" w14:textId="77777777" w:rsidR="00417266" w:rsidRPr="00C43F1B" w:rsidRDefault="00417266" w:rsidP="00E16E4C">
      <w:pPr>
        <w:pStyle w:val="ac"/>
        <w:rPr>
          <w:rtl/>
        </w:rPr>
      </w:pPr>
      <w:r>
        <w:rPr>
          <w:rFonts w:hint="cs"/>
          <w:rtl/>
        </w:rPr>
        <w:t>בידי ה</w:t>
      </w:r>
      <w:r w:rsidRPr="00C43F1B">
        <w:rPr>
          <w:rFonts w:hint="cs"/>
          <w:rtl/>
        </w:rPr>
        <w:t>רשות מידע רב</w:t>
      </w:r>
      <w:r>
        <w:rPr>
          <w:rFonts w:hint="cs"/>
          <w:rtl/>
        </w:rPr>
        <w:t xml:space="preserve"> שנאסף לאורך השנים</w:t>
      </w:r>
      <w:r w:rsidRPr="00C43F1B">
        <w:rPr>
          <w:rFonts w:hint="cs"/>
          <w:rtl/>
        </w:rPr>
        <w:t xml:space="preserve"> </w:t>
      </w:r>
      <w:r>
        <w:rPr>
          <w:rFonts w:hint="cs"/>
          <w:rtl/>
        </w:rPr>
        <w:t>בנוגע למניעת</w:t>
      </w:r>
      <w:r w:rsidRPr="00C43F1B">
        <w:rPr>
          <w:rFonts w:hint="cs"/>
          <w:rtl/>
        </w:rPr>
        <w:t xml:space="preserve"> ההטרדות המיניות</w:t>
      </w:r>
      <w:r>
        <w:rPr>
          <w:rFonts w:hint="cs"/>
          <w:rtl/>
        </w:rPr>
        <w:t xml:space="preserve"> והטיפול בהן. מוצע ל</w:t>
      </w:r>
      <w:r w:rsidRPr="00C43F1B">
        <w:rPr>
          <w:rFonts w:hint="cs"/>
          <w:rtl/>
        </w:rPr>
        <w:t xml:space="preserve">רשות </w:t>
      </w:r>
      <w:r>
        <w:rPr>
          <w:rFonts w:hint="cs"/>
          <w:rtl/>
        </w:rPr>
        <w:t>ל</w:t>
      </w:r>
      <w:r w:rsidRPr="00C43F1B">
        <w:rPr>
          <w:rFonts w:hint="cs"/>
          <w:rtl/>
        </w:rPr>
        <w:t xml:space="preserve">שוב </w:t>
      </w:r>
      <w:r>
        <w:rPr>
          <w:rFonts w:hint="cs"/>
          <w:rtl/>
        </w:rPr>
        <w:t>ו</w:t>
      </w:r>
      <w:r w:rsidRPr="00C43F1B">
        <w:rPr>
          <w:rFonts w:hint="cs"/>
          <w:rtl/>
        </w:rPr>
        <w:t>לפעול</w:t>
      </w:r>
      <w:r>
        <w:rPr>
          <w:rFonts w:hint="cs"/>
          <w:rtl/>
        </w:rPr>
        <w:t xml:space="preserve"> גם</w:t>
      </w:r>
      <w:r w:rsidRPr="00C43F1B">
        <w:rPr>
          <w:rFonts w:hint="cs"/>
          <w:rtl/>
        </w:rPr>
        <w:t xml:space="preserve"> באפיקים הקודמים שבהם פעלה. </w:t>
      </w:r>
    </w:p>
    <w:p w14:paraId="1FE7EDC9" w14:textId="77777777" w:rsidR="00417266" w:rsidRDefault="00417266" w:rsidP="00E16E4C">
      <w:pPr>
        <w:pStyle w:val="a0"/>
      </w:pPr>
      <w:r w:rsidRPr="00C43F1B">
        <w:rPr>
          <w:rFonts w:hint="cs"/>
          <w:rtl/>
        </w:rPr>
        <w:lastRenderedPageBreak/>
        <w:t>בנובמבר 2017 החליטה הממשלה להקים ועדה למאבק בהטרדות המיניות. הוועדה, בראשותה של ראשת הרשות לקידום מעמד האישה, אף קיבלה תקציב בסך 10 מיליון ש"ח מתקציב המשרד לשוויון חברתי</w:t>
      </w:r>
      <w:r w:rsidRPr="00C43F1B">
        <w:rPr>
          <w:rStyle w:val="FootnoteReference"/>
        </w:rPr>
        <w:footnoteReference w:id="64"/>
      </w:r>
      <w:r w:rsidRPr="00C43F1B">
        <w:rPr>
          <w:rFonts w:hint="cs"/>
          <w:rtl/>
        </w:rPr>
        <w:t xml:space="preserve">. חברי הוועדה הם נציגים </w:t>
      </w:r>
      <w:r>
        <w:rPr>
          <w:rFonts w:hint="cs"/>
          <w:rtl/>
        </w:rPr>
        <w:t xml:space="preserve">של </w:t>
      </w:r>
      <w:r w:rsidRPr="00C43F1B">
        <w:rPr>
          <w:rFonts w:hint="cs"/>
          <w:rtl/>
        </w:rPr>
        <w:t>גופי מדינה שונים</w:t>
      </w:r>
      <w:r>
        <w:rPr>
          <w:rFonts w:hint="cs"/>
          <w:rtl/>
        </w:rPr>
        <w:t>,</w:t>
      </w:r>
      <w:r w:rsidRPr="00C43F1B">
        <w:rPr>
          <w:rFonts w:hint="cs"/>
          <w:rtl/>
        </w:rPr>
        <w:t xml:space="preserve"> ובהם משרד החינוך, המשרד לשוויון חברתי, משרד המשפטים, משרד האוצר, המשטרה וצה"ל</w:t>
      </w:r>
      <w:r>
        <w:rPr>
          <w:rFonts w:hint="cs"/>
          <w:rtl/>
        </w:rPr>
        <w:t>,</w:t>
      </w:r>
      <w:r w:rsidRPr="00C43F1B">
        <w:rPr>
          <w:rFonts w:hint="cs"/>
          <w:rtl/>
        </w:rPr>
        <w:t xml:space="preserve"> ומנכ"לית איגוד מרכזי הסיוע. בוועדה אין נציגים ממגזר העבודה הפרטי</w:t>
      </w:r>
      <w:r>
        <w:rPr>
          <w:rFonts w:hint="cs"/>
          <w:rtl/>
        </w:rPr>
        <w:t>. הוועדה קיימה חמישה מפגשים של שיתוף הציבור כדי להתרשם במישרין מהיקפי התופעה של הטרדות מיניות.</w:t>
      </w:r>
    </w:p>
    <w:p w14:paraId="727E4FAE" w14:textId="77777777" w:rsidR="00417266" w:rsidRPr="00367DED" w:rsidRDefault="00417266" w:rsidP="00750F58">
      <w:pPr>
        <w:pStyle w:val="af2"/>
      </w:pPr>
      <w:r>
        <w:rPr>
          <w:rFonts w:hint="cs"/>
          <w:rtl/>
        </w:rPr>
        <w:t>בינואר 2019 פורסמו המלצות הוועדה, ובהן המליצה כיצד לחלק את התקציב שניתן לרשות למניעת הטרדה מינית. עוד המליצה, בין היתר, על השקת מסע פרסום שמטרתו העלאת המודעות וחינוך של הציבור הרחב לשינוי תפיסות ונורמות חברתיות בנוגע לתופעת ההטרדות המיניות; הקמת זירה דיגיטלית למאבק בהטרדות מיניות במקומות עבודה המהווה מרחב להנגשת ידע וחומרי הסברה, ולשיתוף והיוועצות לשימושם של עובדים, מעסיקים וממונות על מניעת הטרדה מינית; מתן תמיכות ממשלתיות למוסדות הפועלים למאבק בהטרדות מיניות במקומות עבודה; ביצוע ניסוי (פיילוט) שבו יוטמע במשרד ממשלתי שייבחר כלי דיווח דיגיטלי שיאפשר לעובדים להגיש תלונה על הטרדה מינית באופן מקוון; הקמת מאגר פרטי אחראיות למניעת הטרדה מינית בשוק העבודה הפרטי ועוד. ההמלצות עתידות להיות מיושמות בשנים 2019 - 2021 (כל המלצה על פי המועד הקבוע לה).</w:t>
      </w:r>
      <w:r>
        <w:rPr>
          <w:rFonts w:hint="cs"/>
          <w:vanish/>
          <w:rtl/>
        </w:rPr>
        <w:t>החליטאחר תיקון בפרק עצמו</w:t>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p>
    <w:p w14:paraId="5AA2ADA2" w14:textId="77777777" w:rsidR="00417266" w:rsidRPr="00C43F1B" w:rsidRDefault="00417266" w:rsidP="00750F58">
      <w:pPr>
        <w:pStyle w:val="ac"/>
        <w:rPr>
          <w:rtl/>
        </w:rPr>
      </w:pPr>
      <w:r w:rsidRPr="00C43F1B">
        <w:rPr>
          <w:rFonts w:hint="cs"/>
          <w:rtl/>
        </w:rPr>
        <w:t xml:space="preserve">משרד מבקר המדינה </w:t>
      </w:r>
      <w:r>
        <w:rPr>
          <w:rFonts w:hint="cs"/>
          <w:rtl/>
        </w:rPr>
        <w:t>רואה בחיוב את המלצות הוועדה, ומקווה כי פעולותיה יקדמו שינוי תודעתי, שבעקבותיו תצטמצם תופעת ההטרדות המיניות במידה ניכרת. הקמת מאגר פרטי אחראיות יכולה לשמש שלב ראשון בהסדרת הכשרתן כאמור לעיל. עם זאת, כדי להוביל לשינוי במגזר העבודה הפרטי מוצע לרשות לפנות אל קהל המעסיקים ולשתף אותם במהלכים המתוכננים ליישום המלצות הוועדה.</w:t>
      </w:r>
    </w:p>
    <w:p w14:paraId="546EA396" w14:textId="77777777" w:rsidR="00417266" w:rsidRPr="00750F58" w:rsidRDefault="00417266" w:rsidP="00750F58">
      <w:pPr>
        <w:pStyle w:val="316"/>
        <w:rPr>
          <w:rtl/>
        </w:rPr>
      </w:pPr>
      <w:bookmarkStart w:id="24" w:name="_Toc9150794"/>
      <w:r w:rsidRPr="00750F58">
        <w:rPr>
          <w:rStyle w:val="316Char"/>
          <w:rFonts w:hint="cs"/>
          <w:u w:val="none"/>
          <w:rtl/>
        </w:rPr>
        <w:t>יוזמות</w:t>
      </w:r>
      <w:r w:rsidRPr="00750F58">
        <w:rPr>
          <w:rFonts w:hint="cs"/>
          <w:rtl/>
        </w:rPr>
        <w:t xml:space="preserve"> לאסדרה במגזר הפרטי</w:t>
      </w:r>
      <w:bookmarkEnd w:id="24"/>
    </w:p>
    <w:p w14:paraId="4F22A4F1" w14:textId="77777777" w:rsidR="00417266" w:rsidRPr="00C43F1B" w:rsidRDefault="00417266" w:rsidP="00750F58">
      <w:pPr>
        <w:pStyle w:val="af3"/>
        <w:rPr>
          <w:rtl/>
        </w:rPr>
      </w:pPr>
      <w:r w:rsidRPr="00C43F1B">
        <w:rPr>
          <w:rFonts w:hint="cs"/>
          <w:rtl/>
        </w:rPr>
        <w:t xml:space="preserve">יישומו של החוק למניעת הטרדה מינית במגזר העבודה הפרטי הוא אתגר גדול. </w:t>
      </w:r>
      <w:r w:rsidRPr="00FB5D77">
        <w:rPr>
          <w:rFonts w:hint="eastAsia"/>
          <w:rtl/>
        </w:rPr>
        <w:t>מינהל</w:t>
      </w:r>
      <w:r w:rsidRPr="00FB5D77">
        <w:rPr>
          <w:rtl/>
        </w:rPr>
        <w:t xml:space="preserve"> הסדרה ואכיפה </w:t>
      </w:r>
      <w:r w:rsidRPr="00FB5D77">
        <w:rPr>
          <w:rFonts w:hint="eastAsia"/>
          <w:rtl/>
        </w:rPr>
        <w:t>הוא</w:t>
      </w:r>
      <w:r w:rsidRPr="00FB5D77">
        <w:rPr>
          <w:rtl/>
        </w:rPr>
        <w:t xml:space="preserve"> הגוף הממשלתי היחיד המחזיק בסמכות אכיפה - </w:t>
      </w:r>
      <w:r w:rsidRPr="00FB5D77">
        <w:rPr>
          <w:rFonts w:hint="eastAsia"/>
          <w:rtl/>
        </w:rPr>
        <w:t>ביכולתו</w:t>
      </w:r>
      <w:r w:rsidRPr="00FB5D77">
        <w:rPr>
          <w:rtl/>
        </w:rPr>
        <w:t xml:space="preserve"> </w:t>
      </w:r>
      <w:r w:rsidRPr="00FB5D77">
        <w:rPr>
          <w:rFonts w:hint="eastAsia"/>
          <w:rtl/>
        </w:rPr>
        <w:t>להטיל</w:t>
      </w:r>
      <w:r w:rsidRPr="00FB5D77">
        <w:rPr>
          <w:rtl/>
        </w:rPr>
        <w:t xml:space="preserve"> </w:t>
      </w:r>
      <w:r w:rsidRPr="00FB5D77">
        <w:rPr>
          <w:rFonts w:hint="eastAsia"/>
          <w:rtl/>
        </w:rPr>
        <w:t>עיצום</w:t>
      </w:r>
      <w:r w:rsidRPr="00FB5D77">
        <w:rPr>
          <w:rtl/>
        </w:rPr>
        <w:t xml:space="preserve"> </w:t>
      </w:r>
      <w:r w:rsidRPr="00FB5D77">
        <w:rPr>
          <w:rFonts w:hint="eastAsia"/>
          <w:rtl/>
        </w:rPr>
        <w:t>כספי</w:t>
      </w:r>
      <w:r w:rsidRPr="00FB5D77">
        <w:rPr>
          <w:rtl/>
        </w:rPr>
        <w:t xml:space="preserve"> </w:t>
      </w:r>
      <w:r w:rsidRPr="00FB5D77">
        <w:rPr>
          <w:rFonts w:hint="eastAsia"/>
          <w:rtl/>
        </w:rPr>
        <w:t>על</w:t>
      </w:r>
      <w:r w:rsidRPr="00FB5D77">
        <w:rPr>
          <w:rtl/>
        </w:rPr>
        <w:t xml:space="preserve"> </w:t>
      </w:r>
      <w:r w:rsidRPr="00FB5D77">
        <w:rPr>
          <w:rFonts w:hint="eastAsia"/>
          <w:rtl/>
        </w:rPr>
        <w:t>מעסיק</w:t>
      </w:r>
      <w:r w:rsidRPr="00FB5D77">
        <w:rPr>
          <w:rtl/>
        </w:rPr>
        <w:t xml:space="preserve"> </w:t>
      </w:r>
      <w:r w:rsidRPr="00FB5D77">
        <w:rPr>
          <w:rFonts w:hint="eastAsia"/>
          <w:rtl/>
        </w:rPr>
        <w:t>של</w:t>
      </w:r>
      <w:r w:rsidRPr="00FB5D77">
        <w:rPr>
          <w:rtl/>
        </w:rPr>
        <w:t xml:space="preserve"> </w:t>
      </w:r>
      <w:r>
        <w:rPr>
          <w:rFonts w:hint="cs"/>
          <w:rtl/>
        </w:rPr>
        <w:t>יותר</w:t>
      </w:r>
      <w:r w:rsidRPr="00FB5D77">
        <w:rPr>
          <w:rtl/>
        </w:rPr>
        <w:t xml:space="preserve"> </w:t>
      </w:r>
      <w:r w:rsidRPr="00FB5D77">
        <w:rPr>
          <w:rFonts w:hint="eastAsia"/>
          <w:rtl/>
        </w:rPr>
        <w:t>מ</w:t>
      </w:r>
      <w:r w:rsidRPr="00FB5D77">
        <w:rPr>
          <w:rtl/>
        </w:rPr>
        <w:t xml:space="preserve">-25 </w:t>
      </w:r>
      <w:r w:rsidRPr="00FB5D77">
        <w:rPr>
          <w:rFonts w:hint="eastAsia"/>
          <w:rtl/>
        </w:rPr>
        <w:t>עובדים</w:t>
      </w:r>
      <w:r w:rsidRPr="00FB5D77">
        <w:rPr>
          <w:rtl/>
        </w:rPr>
        <w:t xml:space="preserve"> </w:t>
      </w:r>
      <w:r w:rsidRPr="00FB5D77">
        <w:rPr>
          <w:rFonts w:hint="eastAsia"/>
          <w:rtl/>
        </w:rPr>
        <w:t>שלא</w:t>
      </w:r>
      <w:r w:rsidRPr="00FB5D77">
        <w:rPr>
          <w:rtl/>
        </w:rPr>
        <w:t xml:space="preserve"> </w:t>
      </w:r>
      <w:r w:rsidRPr="00FB5D77">
        <w:rPr>
          <w:rFonts w:hint="eastAsia"/>
          <w:rtl/>
        </w:rPr>
        <w:t>קבע</w:t>
      </w:r>
      <w:r w:rsidRPr="00FB5D77">
        <w:rPr>
          <w:rtl/>
        </w:rPr>
        <w:t xml:space="preserve"> </w:t>
      </w:r>
      <w:r w:rsidRPr="00FB5D77">
        <w:rPr>
          <w:rFonts w:hint="eastAsia"/>
          <w:rtl/>
        </w:rPr>
        <w:t>תקנון</w:t>
      </w:r>
      <w:r>
        <w:rPr>
          <w:rFonts w:hint="cs"/>
          <w:rtl/>
        </w:rPr>
        <w:t xml:space="preserve"> מותאם</w:t>
      </w:r>
      <w:r w:rsidRPr="008E3B5E">
        <w:rPr>
          <w:rFonts w:hint="cs"/>
          <w:sz w:val="24"/>
          <w:rtl/>
        </w:rPr>
        <w:t>.</w:t>
      </w:r>
      <w:r w:rsidRPr="00C43F1B">
        <w:rPr>
          <w:rFonts w:hint="cs"/>
          <w:sz w:val="24"/>
          <w:rtl/>
        </w:rPr>
        <w:t xml:space="preserve"> </w:t>
      </w:r>
      <w:r w:rsidRPr="00C43F1B">
        <w:rPr>
          <w:rtl/>
        </w:rPr>
        <w:t xml:space="preserve">להלן יוצגו </w:t>
      </w:r>
      <w:r w:rsidRPr="00C43F1B">
        <w:rPr>
          <w:rFonts w:hint="cs"/>
          <w:rtl/>
        </w:rPr>
        <w:t xml:space="preserve">כמה </w:t>
      </w:r>
      <w:r w:rsidRPr="00C43F1B">
        <w:rPr>
          <w:rtl/>
        </w:rPr>
        <w:t>יוזמות לאכיפת החוק למניעת הטרדה מינית במגזר העבודה הפרטי.</w:t>
      </w:r>
    </w:p>
    <w:p w14:paraId="5351BBEE" w14:textId="77777777" w:rsidR="00417266" w:rsidRPr="00C43F1B" w:rsidRDefault="00417266" w:rsidP="00F10ECA">
      <w:pPr>
        <w:pStyle w:val="a0"/>
        <w:numPr>
          <w:ilvl w:val="0"/>
          <w:numId w:val="26"/>
        </w:numPr>
      </w:pPr>
      <w:r w:rsidRPr="00C43F1B">
        <w:rPr>
          <w:rFonts w:hint="cs"/>
          <w:rtl/>
        </w:rPr>
        <w:t xml:space="preserve">יוזמה שהחלה במגזר הפרטי היא הקוד הוולונטרי למניעת הטרדה מינית במקומות עבודה. </w:t>
      </w:r>
      <w:r w:rsidRPr="00F10ECA">
        <w:rPr>
          <w:rFonts w:hint="cs"/>
          <w:rtl/>
        </w:rPr>
        <w:t>משרד</w:t>
      </w:r>
      <w:r w:rsidRPr="00C43F1B">
        <w:rPr>
          <w:rFonts w:hint="cs"/>
          <w:rtl/>
        </w:rPr>
        <w:t xml:space="preserve"> העבודה תומך בעמותות לפי סעיף 3א לחוק יסודות התקציב, התשמ"ה-1985. התמיכה יכולה להינתן בין היתר למוסדות ציבור הפועלים לקידום קוד מרצון בתחום דיני </w:t>
      </w:r>
      <w:r w:rsidRPr="00C43F1B">
        <w:rPr>
          <w:rFonts w:hint="cs"/>
          <w:rtl/>
        </w:rPr>
        <w:lastRenderedPageBreak/>
        <w:t>העבודה שמטרתו להוסיף על הקיים בחוק ולקבוע נורמות חדשות במטרה שיאומצו בידי חברות וענפים מובילים במשק</w:t>
      </w:r>
      <w:r w:rsidRPr="00C43F1B">
        <w:rPr>
          <w:rStyle w:val="FootnoteReference"/>
          <w:rtl/>
        </w:rPr>
        <w:footnoteReference w:id="65"/>
      </w:r>
      <w:r w:rsidRPr="00C43F1B">
        <w:rPr>
          <w:rFonts w:hint="cs"/>
          <w:rtl/>
        </w:rPr>
        <w:t xml:space="preserve">. </w:t>
      </w:r>
    </w:p>
    <w:p w14:paraId="75772F0F" w14:textId="77777777" w:rsidR="00417266" w:rsidRPr="00F10ECA" w:rsidRDefault="00417266" w:rsidP="00F10ECA">
      <w:pPr>
        <w:pStyle w:val="af2"/>
        <w:rPr>
          <w:rtl/>
        </w:rPr>
      </w:pPr>
      <w:r w:rsidRPr="00F10ECA">
        <w:rPr>
          <w:rFonts w:hint="cs"/>
          <w:rtl/>
        </w:rPr>
        <w:t xml:space="preserve">בשנת 2014 קיבלו איגוד מרכזי הסיוע ומכון התקנים הישראלי (להלן - מכון התקנים) תמיכה בסך 100,000 ש"ח לפיתוח מפרט: קוד וולונטרי למניעת הטרדה מינית במקומות עבודה. </w:t>
      </w:r>
    </w:p>
    <w:p w14:paraId="784B9C40" w14:textId="77777777" w:rsidR="00417266" w:rsidRPr="00F10ECA" w:rsidRDefault="00417266" w:rsidP="00F10ECA">
      <w:pPr>
        <w:pStyle w:val="af2"/>
        <w:rPr>
          <w:rtl/>
        </w:rPr>
      </w:pPr>
      <w:r w:rsidRPr="00F10ECA">
        <w:rPr>
          <w:rFonts w:hint="cs"/>
          <w:rtl/>
        </w:rPr>
        <w:t>הקוד פורסם בפברואר 2016, ומטרתו "להתוות למעסיקים את הדרך ליצירת סביבת עבודה בטוחה בלא הטרדות מיניות. הקוד מספק למעסיקים עקרונות מנחים לצד פעולות קונקרטיות וישימות, שהטמעתן תסייע לארגון בהתמודדות עם תופעת ההטרדה המינית". יצוין כי תהליך הפיתוח של הקוד הוולונטרי כלל התייעצות עם מומחים לדיני עבודה ועם נציגי מגזרים שונים בעולם העבודה, כדי ללבן סוגיות שהיו במחלוקת.</w:t>
      </w:r>
    </w:p>
    <w:p w14:paraId="73FC2544" w14:textId="77777777" w:rsidR="00417266" w:rsidRPr="00F10ECA" w:rsidRDefault="00417266" w:rsidP="00F10ECA">
      <w:pPr>
        <w:pStyle w:val="af2"/>
        <w:rPr>
          <w:rtl/>
        </w:rPr>
      </w:pPr>
      <w:r w:rsidRPr="00F10ECA">
        <w:rPr>
          <w:rFonts w:hint="cs"/>
          <w:rtl/>
        </w:rPr>
        <w:t xml:space="preserve">הקוד מפרט ומסביר את הוראות החוק ואף מרחיב אותן, קובע כי יש למנות בעלי תפקידים שונים (נאמנת, אחראית למניעת הטרדה מינית וצוות עבודה להטמעת הקוד) ולהקצות תקציב שנתי למניעת הטרדות מיניות ולטיפול בהן. כמו כן נקבע בקוד כי אחת לשנה יתקיים בארגון דיון בנושא הטרדה מינית בהשתתפות חברי צוות העבודה, המנכ"ל או הסמנכ"ל, האחראית, גורם מתחום הייעוץ המשפטי ומנהל משאבי אנוש. </w:t>
      </w:r>
    </w:p>
    <w:p w14:paraId="3781AD8B" w14:textId="77777777" w:rsidR="00417266" w:rsidRPr="00F10ECA" w:rsidRDefault="00417266" w:rsidP="00F10ECA">
      <w:pPr>
        <w:pStyle w:val="af2"/>
        <w:rPr>
          <w:rtl/>
        </w:rPr>
      </w:pPr>
      <w:r w:rsidRPr="00F10ECA">
        <w:rPr>
          <w:rFonts w:hint="cs"/>
          <w:rtl/>
        </w:rPr>
        <w:t>הקוד מציע מנגנון בירור תלונה הכולל רשימת משימות ברורה: ככלל, הליך הבירור ייעשה בתוך שבועיים, ולאחריו תגיש האחראית למעסיק בתוך שלושה ימים דוח המסכם את העדויות עם מסקנותיה. על המעסיק להחליט על המשך הטיפול בתוך שבעה ימים (כפי שנקבע גם בתקנות). הקוד גם נותן מענה לשאלות ניהוליות ומשפטיות שיכולות לעלות במהלך בירור התלונה.</w:t>
      </w:r>
    </w:p>
    <w:p w14:paraId="5929F1A1" w14:textId="77777777" w:rsidR="00417266" w:rsidRPr="00C43F1B" w:rsidRDefault="00417266" w:rsidP="00F10ECA">
      <w:pPr>
        <w:pStyle w:val="af2"/>
        <w:rPr>
          <w:rtl/>
        </w:rPr>
      </w:pPr>
      <w:r w:rsidRPr="00F10ECA">
        <w:rPr>
          <w:rFonts w:hint="cs"/>
          <w:rtl/>
        </w:rPr>
        <w:t>ארגון החפץ להציג את עמידתו בתנאי מִפרָט הקוד יוכל לפנות לאגף איכות והסמכה במכון התקנים לצורך</w:t>
      </w:r>
      <w:r w:rsidRPr="00C43F1B">
        <w:rPr>
          <w:rFonts w:hint="cs"/>
          <w:rtl/>
        </w:rPr>
        <w:t xml:space="preserve"> בדיקת הדבר. הארגון יידרש להציג מערכת ניהול מרכזית</w:t>
      </w:r>
      <w:r w:rsidRPr="00C43F1B">
        <w:rPr>
          <w:rStyle w:val="FootnoteReference"/>
          <w:rtl/>
        </w:rPr>
        <w:footnoteReference w:id="66"/>
      </w:r>
      <w:r w:rsidRPr="00C43F1B">
        <w:rPr>
          <w:rFonts w:hint="cs"/>
          <w:rtl/>
        </w:rPr>
        <w:t>, ייערך בארגון מבדק, ואם יימצא שהוא עומד בתנאי המפרט</w:t>
      </w:r>
      <w:r>
        <w:rPr>
          <w:rFonts w:hint="cs"/>
          <w:rtl/>
        </w:rPr>
        <w:t xml:space="preserve"> -</w:t>
      </w:r>
      <w:r w:rsidRPr="00C43F1B">
        <w:rPr>
          <w:rFonts w:hint="cs"/>
          <w:rtl/>
        </w:rPr>
        <w:t xml:space="preserve"> תינתן לו תעודה המעידה על עמידתו בהם בשנה החולפת. על הארגון להתחייב לביצוע מבדקים פעם בשנתיים. </w:t>
      </w:r>
    </w:p>
    <w:p w14:paraId="408D2480" w14:textId="77777777" w:rsidR="00417266" w:rsidRPr="00C43F1B" w:rsidRDefault="00417266" w:rsidP="00F10ECA">
      <w:pPr>
        <w:pStyle w:val="ac"/>
        <w:rPr>
          <w:rtl/>
        </w:rPr>
      </w:pPr>
      <w:r>
        <w:rPr>
          <w:rFonts w:hint="cs"/>
          <w:rtl/>
        </w:rPr>
        <w:t>נמצא כי מתוך מאות אלפי החברות והמעסיקים הפוטנציאליים עד נובמבר 2019 רק חמיש</w:t>
      </w:r>
      <w:r w:rsidRPr="00C43F1B">
        <w:rPr>
          <w:rFonts w:hint="cs"/>
          <w:rtl/>
        </w:rPr>
        <w:t>ה גופים</w:t>
      </w:r>
      <w:r>
        <w:rPr>
          <w:rFonts w:hint="cs"/>
          <w:rtl/>
        </w:rPr>
        <w:t xml:space="preserve"> </w:t>
      </w:r>
      <w:r w:rsidRPr="00C43F1B">
        <w:rPr>
          <w:rFonts w:hint="cs"/>
          <w:rtl/>
        </w:rPr>
        <w:t>הטמיעו את הקוד הוולונטרי - שתי עיריות</w:t>
      </w:r>
      <w:r>
        <w:rPr>
          <w:rFonts w:hint="cs"/>
          <w:rtl/>
        </w:rPr>
        <w:t>, בנק ושתי חברות פרטיות</w:t>
      </w:r>
      <w:r w:rsidRPr="00C43F1B">
        <w:rPr>
          <w:rFonts w:hint="cs"/>
          <w:rtl/>
        </w:rPr>
        <w:t>. גופים ספורים נוספים מצויים בהליכי אימוץ הקוד.</w:t>
      </w:r>
    </w:p>
    <w:p w14:paraId="76859970" w14:textId="77777777" w:rsidR="00417266" w:rsidRPr="00C43F1B" w:rsidRDefault="00417266" w:rsidP="00F10ECA">
      <w:pPr>
        <w:pStyle w:val="af2"/>
        <w:rPr>
          <w:rtl/>
        </w:rPr>
      </w:pPr>
      <w:r w:rsidRPr="00C43F1B">
        <w:rPr>
          <w:rFonts w:hint="cs"/>
          <w:rtl/>
        </w:rPr>
        <w:t xml:space="preserve">אחת מקרנות הון הסיכון אימצה את </w:t>
      </w:r>
      <w:r>
        <w:rPr>
          <w:rFonts w:hint="cs"/>
          <w:rtl/>
        </w:rPr>
        <w:t xml:space="preserve">עקרונות </w:t>
      </w:r>
      <w:r w:rsidRPr="00C43F1B">
        <w:rPr>
          <w:rFonts w:hint="cs"/>
          <w:rtl/>
        </w:rPr>
        <w:t xml:space="preserve">הקוד הוולונטרי והציעה לחברות שהיא משקיעה בהן לאמצו גם הן. </w:t>
      </w:r>
      <w:r>
        <w:rPr>
          <w:rFonts w:hint="cs"/>
          <w:rtl/>
        </w:rPr>
        <w:t>ה</w:t>
      </w:r>
      <w:r w:rsidRPr="00C43F1B">
        <w:rPr>
          <w:rFonts w:hint="cs"/>
          <w:rtl/>
        </w:rPr>
        <w:t>קרן גם פרסמה כללים מנחים למניעת הטרדה מינית ואפליה והפיצה אותם בקרב אותן חברות. נוסף על כך, היא הציעה לחברות המעסיקות פחות מעשרה עובדים לשאת עבורן בעלות של בירור חיצוני של תלונות על הטרדה מינית, כדי להבטיח שתלונות יטופלו ביעילות, וששיקול כלכלי לא יגרום לטיפול לא מספק.</w:t>
      </w:r>
    </w:p>
    <w:p w14:paraId="35A25E13" w14:textId="77777777" w:rsidR="00417266" w:rsidRPr="00C43F1B" w:rsidRDefault="00417266" w:rsidP="0036568B">
      <w:pPr>
        <w:pStyle w:val="ac"/>
        <w:rPr>
          <w:rtl/>
        </w:rPr>
      </w:pPr>
      <w:r>
        <w:rPr>
          <w:rFonts w:hint="cs"/>
          <w:rtl/>
        </w:rPr>
        <w:lastRenderedPageBreak/>
        <w:t xml:space="preserve">לא נמצא כי </w:t>
      </w:r>
      <w:r w:rsidRPr="00C43F1B">
        <w:rPr>
          <w:rFonts w:hint="eastAsia"/>
          <w:rtl/>
        </w:rPr>
        <w:t>משרד</w:t>
      </w:r>
      <w:r w:rsidRPr="00C43F1B">
        <w:rPr>
          <w:rtl/>
        </w:rPr>
        <w:t xml:space="preserve"> העבודה </w:t>
      </w:r>
      <w:r w:rsidRPr="00C43F1B">
        <w:rPr>
          <w:rFonts w:hint="eastAsia"/>
          <w:rtl/>
        </w:rPr>
        <w:t>פעל</w:t>
      </w:r>
      <w:r w:rsidRPr="00C43F1B">
        <w:rPr>
          <w:rtl/>
        </w:rPr>
        <w:t xml:space="preserve"> לפרסו</w:t>
      </w:r>
      <w:r w:rsidRPr="00C43F1B">
        <w:rPr>
          <w:rFonts w:hint="eastAsia"/>
          <w:rtl/>
        </w:rPr>
        <w:t>ם</w:t>
      </w:r>
      <w:r w:rsidRPr="00C43F1B">
        <w:rPr>
          <w:rtl/>
        </w:rPr>
        <w:t xml:space="preserve"> </w:t>
      </w:r>
      <w:r w:rsidRPr="00C43F1B">
        <w:rPr>
          <w:rFonts w:hint="eastAsia"/>
          <w:rtl/>
        </w:rPr>
        <w:t>ולהטמע</w:t>
      </w:r>
      <w:r w:rsidRPr="00C43F1B">
        <w:rPr>
          <w:rFonts w:hint="cs"/>
          <w:rtl/>
        </w:rPr>
        <w:t>ה של</w:t>
      </w:r>
      <w:r w:rsidRPr="00C43F1B">
        <w:rPr>
          <w:rtl/>
        </w:rPr>
        <w:t xml:space="preserve"> הקוד הוולונטרי </w:t>
      </w:r>
      <w:r w:rsidRPr="00C43F1B">
        <w:rPr>
          <w:rFonts w:hint="eastAsia"/>
          <w:rtl/>
        </w:rPr>
        <w:t>בקרב</w:t>
      </w:r>
      <w:r w:rsidRPr="00C43F1B">
        <w:rPr>
          <w:rtl/>
        </w:rPr>
        <w:t xml:space="preserve"> מעסיקים במגזר הפרטי. </w:t>
      </w:r>
    </w:p>
    <w:p w14:paraId="60C652BB" w14:textId="77777777" w:rsidR="00417266" w:rsidRDefault="00417266" w:rsidP="0036568B">
      <w:pPr>
        <w:pStyle w:val="af2"/>
        <w:rPr>
          <w:rtl/>
        </w:rPr>
      </w:pPr>
      <w:r>
        <w:rPr>
          <w:rFonts w:hint="cs"/>
          <w:rtl/>
        </w:rPr>
        <w:t>נציבות שוויון הזדמנויות בעבודה מסרה בתשובתה כי היא נכונה לפרסם את הקוד הוולונטרי באתר המרשתת שלה, אלא אם כן ייקבע שיש מניעה לכך. משרד העבודה השיב כי מתן תמיכה לגופים</w:t>
      </w:r>
      <w:r w:rsidRPr="00923E84">
        <w:rPr>
          <w:rFonts w:hint="cs"/>
          <w:rtl/>
        </w:rPr>
        <w:t xml:space="preserve"> </w:t>
      </w:r>
      <w:r>
        <w:rPr>
          <w:rFonts w:hint="cs"/>
          <w:rtl/>
        </w:rPr>
        <w:t xml:space="preserve">כדי שיפתחו </w:t>
      </w:r>
      <w:r w:rsidRPr="00C43F1B">
        <w:rPr>
          <w:rFonts w:hint="cs"/>
          <w:rtl/>
        </w:rPr>
        <w:t>קוד מרצון בתחום דיני העבודה</w:t>
      </w:r>
      <w:r>
        <w:rPr>
          <w:rFonts w:hint="cs"/>
          <w:rtl/>
        </w:rPr>
        <w:t xml:space="preserve"> אין פירושה שניתנת חסות ממשלתית לתוכן הקוד שפיתחו ולפעילות להפצת הקוד בקרב מעסיקים. מטרת התמיכה לעודד ניסוח קודים מרצון ראויים כדי לשפר את מצב זכויות העובדים בישראל בכלים של אכיפה עצמית.</w:t>
      </w:r>
    </w:p>
    <w:p w14:paraId="22406210" w14:textId="77777777" w:rsidR="00417266" w:rsidRPr="00C43F1B" w:rsidRDefault="00417266" w:rsidP="0036568B">
      <w:pPr>
        <w:pStyle w:val="af2"/>
        <w:rPr>
          <w:rtl/>
        </w:rPr>
      </w:pPr>
      <w:r w:rsidRPr="00C43F1B">
        <w:rPr>
          <w:rFonts w:hint="cs"/>
          <w:rtl/>
        </w:rPr>
        <w:t xml:space="preserve">על חשיבות הקוד הוולונטרי </w:t>
      </w:r>
      <w:r>
        <w:rPr>
          <w:rFonts w:hint="cs"/>
          <w:rtl/>
        </w:rPr>
        <w:t>יכולים ללמד</w:t>
      </w:r>
      <w:r w:rsidRPr="00C43F1B">
        <w:rPr>
          <w:rFonts w:hint="cs"/>
          <w:rtl/>
        </w:rPr>
        <w:t xml:space="preserve"> דבריה של סמנכ"לית משאבי אנוש בחברה שהטמיעה את הקוד. לדבריה, לאחר תהליך ההטמעה חל שיפור של ממש בטיפול בהטרדות מיניות ובמניעתן. הקוד הותאם לאופי הפעילות של החברה ושל עובדיה. התקנון הותאם לחברה, וההדרכה הותאמה לדוברי רוסית, וכן לעובדים עם מוגבלות. כל עובד חדש מקבל הדרכה, וכל העובדים עוברים מעין מבחן כחודש לאחר שקיבלו הכשרה. למנהלים הוכנה הכשרה ייעודית. השיפור ניכר בכך שרמת המודעות עלתה </w:t>
      </w:r>
      <w:r>
        <w:rPr>
          <w:rFonts w:hint="cs"/>
          <w:rtl/>
        </w:rPr>
        <w:t>ו</w:t>
      </w:r>
      <w:r w:rsidRPr="00C43F1B">
        <w:rPr>
          <w:rFonts w:hint="cs"/>
          <w:rtl/>
        </w:rPr>
        <w:t>מספר התלונות גדל, אך חומרתן פחתה. פעם בשנה העובדים מקבלים עדכון בכמה תלונות טיפלה החברה - וההבנה כי ההנהלה רואה זאת בחומרה מחד גיסא ומטפלת בתלונות בדיסקרטיות מאידך גיסא מחלחלת בקרב העובדים.</w:t>
      </w:r>
    </w:p>
    <w:p w14:paraId="39927FA6" w14:textId="77777777" w:rsidR="00417266" w:rsidRPr="00BF1C9D" w:rsidRDefault="00417266" w:rsidP="0036568B">
      <w:pPr>
        <w:pStyle w:val="ac"/>
        <w:rPr>
          <w:rtl/>
        </w:rPr>
      </w:pPr>
      <w:r>
        <w:rPr>
          <w:rFonts w:hint="cs"/>
          <w:rtl/>
        </w:rPr>
        <w:t xml:space="preserve">מוצע כי </w:t>
      </w:r>
      <w:r w:rsidRPr="00C43F1B">
        <w:rPr>
          <w:rFonts w:hint="cs"/>
          <w:rtl/>
        </w:rPr>
        <w:t>משרד העבודה</w:t>
      </w:r>
      <w:r>
        <w:rPr>
          <w:rFonts w:hint="cs"/>
          <w:rtl/>
        </w:rPr>
        <w:t>, שכאמור תמך</w:t>
      </w:r>
      <w:r w:rsidRPr="00C43F1B">
        <w:rPr>
          <w:rFonts w:hint="cs"/>
          <w:rtl/>
        </w:rPr>
        <w:t xml:space="preserve"> </w:t>
      </w:r>
      <w:r w:rsidRPr="00C43F1B">
        <w:rPr>
          <w:rFonts w:hint="eastAsia"/>
          <w:rtl/>
        </w:rPr>
        <w:t>בהכנת</w:t>
      </w:r>
      <w:r w:rsidRPr="00C43F1B">
        <w:rPr>
          <w:rtl/>
        </w:rPr>
        <w:t xml:space="preserve"> </w:t>
      </w:r>
      <w:r>
        <w:rPr>
          <w:rFonts w:hint="cs"/>
          <w:rtl/>
        </w:rPr>
        <w:t>ה</w:t>
      </w:r>
      <w:r w:rsidRPr="00C43F1B">
        <w:rPr>
          <w:rFonts w:hint="cs"/>
          <w:rtl/>
        </w:rPr>
        <w:t xml:space="preserve">קוד </w:t>
      </w:r>
      <w:r>
        <w:rPr>
          <w:rFonts w:hint="cs"/>
          <w:rtl/>
        </w:rPr>
        <w:t>ה</w:t>
      </w:r>
      <w:r w:rsidRPr="00C43F1B">
        <w:rPr>
          <w:rtl/>
        </w:rPr>
        <w:t>וולונטרי</w:t>
      </w:r>
      <w:r>
        <w:rPr>
          <w:rFonts w:hint="cs"/>
          <w:rtl/>
        </w:rPr>
        <w:t>, יפעל לעידוד מעסיקים להטמיעו</w:t>
      </w:r>
      <w:r w:rsidRPr="00C43F1B">
        <w:rPr>
          <w:rFonts w:hint="cs"/>
          <w:rtl/>
        </w:rPr>
        <w:t xml:space="preserve"> במקומות העבודה הפרטיים</w:t>
      </w:r>
      <w:r w:rsidRPr="00BF1C9D">
        <w:rPr>
          <w:rtl/>
        </w:rPr>
        <w:t>. כמו כן, מו</w:t>
      </w:r>
      <w:r w:rsidRPr="00BF1C9D">
        <w:rPr>
          <w:rFonts w:hint="eastAsia"/>
          <w:rtl/>
        </w:rPr>
        <w:t>מלץ</w:t>
      </w:r>
      <w:r w:rsidRPr="00BF1C9D">
        <w:rPr>
          <w:rtl/>
        </w:rPr>
        <w:t xml:space="preserve"> כי הרשות לקידום מעמד האישה תבחן את </w:t>
      </w:r>
      <w:r w:rsidRPr="00BF1C9D">
        <w:rPr>
          <w:rFonts w:hint="eastAsia"/>
          <w:rtl/>
        </w:rPr>
        <w:t>הצורך</w:t>
      </w:r>
      <w:r w:rsidRPr="00BF1C9D">
        <w:rPr>
          <w:rtl/>
        </w:rPr>
        <w:t xml:space="preserve"> </w:t>
      </w:r>
      <w:r>
        <w:rPr>
          <w:rFonts w:hint="cs"/>
          <w:rtl/>
        </w:rPr>
        <w:t>ב</w:t>
      </w:r>
      <w:r w:rsidRPr="00BF1C9D">
        <w:rPr>
          <w:rFonts w:hint="eastAsia"/>
          <w:rtl/>
        </w:rPr>
        <w:t>תרגום</w:t>
      </w:r>
      <w:r w:rsidRPr="00BF1C9D">
        <w:rPr>
          <w:rtl/>
        </w:rPr>
        <w:t xml:space="preserve"> </w:t>
      </w:r>
      <w:r w:rsidRPr="00BF1C9D">
        <w:rPr>
          <w:rFonts w:hint="eastAsia"/>
          <w:rtl/>
        </w:rPr>
        <w:t>הקוד</w:t>
      </w:r>
      <w:r w:rsidRPr="00BF1C9D">
        <w:rPr>
          <w:rtl/>
        </w:rPr>
        <w:t xml:space="preserve"> </w:t>
      </w:r>
      <w:r w:rsidRPr="00BF1C9D">
        <w:rPr>
          <w:rFonts w:hint="eastAsia"/>
          <w:rtl/>
        </w:rPr>
        <w:t>לשפות</w:t>
      </w:r>
      <w:r w:rsidRPr="00BF1C9D">
        <w:rPr>
          <w:rtl/>
        </w:rPr>
        <w:t xml:space="preserve"> </w:t>
      </w:r>
      <w:r>
        <w:rPr>
          <w:rFonts w:hint="cs"/>
          <w:rtl/>
        </w:rPr>
        <w:t>אחרות</w:t>
      </w:r>
      <w:r w:rsidRPr="00BF1C9D">
        <w:rPr>
          <w:rtl/>
        </w:rPr>
        <w:t xml:space="preserve"> </w:t>
      </w:r>
      <w:r w:rsidRPr="00BF1C9D">
        <w:rPr>
          <w:rFonts w:hint="eastAsia"/>
          <w:rtl/>
        </w:rPr>
        <w:t>ואת</w:t>
      </w:r>
      <w:r w:rsidRPr="00BF1C9D">
        <w:rPr>
          <w:rtl/>
        </w:rPr>
        <w:t xml:space="preserve"> </w:t>
      </w:r>
      <w:r>
        <w:rPr>
          <w:rFonts w:hint="cs"/>
          <w:rtl/>
        </w:rPr>
        <w:t xml:space="preserve">יכולתה </w:t>
      </w:r>
      <w:r w:rsidRPr="00BF1C9D">
        <w:rPr>
          <w:rFonts w:hint="eastAsia"/>
          <w:rtl/>
        </w:rPr>
        <w:t>לסייע</w:t>
      </w:r>
      <w:r w:rsidRPr="00BF1C9D">
        <w:rPr>
          <w:rtl/>
        </w:rPr>
        <w:t xml:space="preserve"> </w:t>
      </w:r>
      <w:r w:rsidRPr="00BF1C9D">
        <w:rPr>
          <w:rFonts w:hint="eastAsia"/>
          <w:rtl/>
        </w:rPr>
        <w:t>בהפצת</w:t>
      </w:r>
      <w:r>
        <w:rPr>
          <w:rFonts w:hint="cs"/>
          <w:rtl/>
        </w:rPr>
        <w:t>ו</w:t>
      </w:r>
      <w:r w:rsidRPr="00BF1C9D">
        <w:rPr>
          <w:rtl/>
        </w:rPr>
        <w:t xml:space="preserve"> </w:t>
      </w:r>
      <w:r w:rsidRPr="00BF1C9D">
        <w:rPr>
          <w:rFonts w:hint="eastAsia"/>
          <w:rtl/>
        </w:rPr>
        <w:t>בקרב</w:t>
      </w:r>
      <w:r w:rsidRPr="00BF1C9D">
        <w:rPr>
          <w:rtl/>
        </w:rPr>
        <w:t xml:space="preserve"> </w:t>
      </w:r>
      <w:r w:rsidRPr="00BF1C9D">
        <w:rPr>
          <w:rFonts w:hint="eastAsia"/>
          <w:rtl/>
        </w:rPr>
        <w:t>מעסיקים</w:t>
      </w:r>
      <w:r w:rsidRPr="00BF1C9D">
        <w:rPr>
          <w:rtl/>
        </w:rPr>
        <w:t>.</w:t>
      </w:r>
    </w:p>
    <w:p w14:paraId="2CE114FD" w14:textId="77777777" w:rsidR="00417266" w:rsidRPr="00C43F1B" w:rsidRDefault="00417266" w:rsidP="0036568B">
      <w:pPr>
        <w:pStyle w:val="a0"/>
        <w:rPr>
          <w:rtl/>
        </w:rPr>
      </w:pPr>
      <w:r w:rsidRPr="00C43F1B">
        <w:rPr>
          <w:rFonts w:hint="cs"/>
          <w:rtl/>
        </w:rPr>
        <w:t xml:space="preserve">בשנת 2015 פנה איגוד מרכזי הסיוע למכון התקנים בבקשה </w:t>
      </w:r>
      <w:r>
        <w:rPr>
          <w:rFonts w:hint="cs"/>
          <w:rtl/>
        </w:rPr>
        <w:t>לתיקון</w:t>
      </w:r>
      <w:r w:rsidRPr="00C43F1B">
        <w:rPr>
          <w:rFonts w:hint="cs"/>
          <w:rtl/>
        </w:rPr>
        <w:t xml:space="preserve"> תקן שאינו מחייב</w:t>
      </w:r>
      <w:r>
        <w:rPr>
          <w:rFonts w:hint="cs"/>
          <w:rtl/>
        </w:rPr>
        <w:t xml:space="preserve"> למניעת הטרדה מינית</w:t>
      </w:r>
      <w:r w:rsidRPr="00C43F1B">
        <w:rPr>
          <w:rFonts w:hint="cs"/>
          <w:rtl/>
        </w:rPr>
        <w:t>,</w:t>
      </w:r>
      <w:r>
        <w:rPr>
          <w:rFonts w:hint="cs"/>
          <w:rtl/>
        </w:rPr>
        <w:t xml:space="preserve"> במטרה לעודד מעסיקים לעמוד בכללי התקן וכך לקבל תו תקן,</w:t>
      </w:r>
      <w:r w:rsidRPr="00C43F1B">
        <w:rPr>
          <w:rFonts w:hint="cs"/>
          <w:rtl/>
        </w:rPr>
        <w:t xml:space="preserve"> בדומה לתקן מערכת ניהול למניעת שוחד ולתקן מערכת ניהול אחריות חברתית</w:t>
      </w:r>
      <w:r w:rsidRPr="00C43F1B">
        <w:rPr>
          <w:rStyle w:val="FootnoteReference"/>
          <w:rtl/>
        </w:rPr>
        <w:footnoteReference w:id="67"/>
      </w:r>
      <w:r w:rsidRPr="00C43F1B">
        <w:rPr>
          <w:rFonts w:hint="cs"/>
          <w:rtl/>
        </w:rPr>
        <w:t>. בשנת 2017 החל מכון התקנים להכין טיוטה לתקן חדש</w:t>
      </w:r>
      <w:r w:rsidRPr="00C43F1B">
        <w:rPr>
          <w:rStyle w:val="FootnoteReference"/>
          <w:rtl/>
        </w:rPr>
        <w:footnoteReference w:id="68"/>
      </w:r>
      <w:r w:rsidRPr="00C43F1B">
        <w:rPr>
          <w:rFonts w:hint="cs"/>
          <w:rtl/>
        </w:rPr>
        <w:t xml:space="preserve">: </w:t>
      </w:r>
      <w:r w:rsidRPr="00C43F1B">
        <w:rPr>
          <w:rtl/>
        </w:rPr>
        <w:t xml:space="preserve">מערכות ניהול </w:t>
      </w:r>
      <w:r w:rsidRPr="00C43F1B">
        <w:rPr>
          <w:rFonts w:hint="cs"/>
          <w:rtl/>
        </w:rPr>
        <w:t xml:space="preserve">- </w:t>
      </w:r>
      <w:r w:rsidRPr="00C43F1B">
        <w:rPr>
          <w:rtl/>
        </w:rPr>
        <w:t>מניעת הטרדה מינית והתנכלות במקומות עבודה</w:t>
      </w:r>
      <w:r w:rsidRPr="00C43F1B">
        <w:rPr>
          <w:rFonts w:hint="cs"/>
          <w:rtl/>
        </w:rPr>
        <w:t xml:space="preserve"> </w:t>
      </w:r>
      <w:r w:rsidRPr="00C43F1B">
        <w:rPr>
          <w:rtl/>
        </w:rPr>
        <w:t>- דרישות ומידע מעשי מסייע</w:t>
      </w:r>
      <w:r w:rsidRPr="00C43F1B">
        <w:rPr>
          <w:rFonts w:hint="cs"/>
          <w:rtl/>
        </w:rPr>
        <w:t>.</w:t>
      </w:r>
      <w:r>
        <w:rPr>
          <w:rFonts w:hint="cs"/>
          <w:rtl/>
        </w:rPr>
        <w:t xml:space="preserve"> </w:t>
      </w:r>
    </w:p>
    <w:p w14:paraId="56406E01" w14:textId="77777777" w:rsidR="00417266" w:rsidRDefault="00417266" w:rsidP="0036568B">
      <w:pPr>
        <w:pStyle w:val="af2"/>
        <w:rPr>
          <w:rtl/>
        </w:rPr>
      </w:pPr>
      <w:r w:rsidRPr="00C43F1B">
        <w:rPr>
          <w:rFonts w:hint="cs"/>
          <w:rtl/>
        </w:rPr>
        <w:t>ב-16.1.18 התקבלה במכון התקנים חוות דעת משפטית ולפיה יש צורך "בתקן מקורי שיעסוק בניהול נכון של מקום העבודה בכל הנוגע לנושא ההטרדה המינית וכיצד ניתן להימנע מכך, היינו, תקן ניהולי שיספק שיטות ליישום החוקים, התקנות והדרישות בעניין"</w:t>
      </w:r>
      <w:r>
        <w:rPr>
          <w:rFonts w:hint="cs"/>
          <w:rtl/>
        </w:rPr>
        <w:t>.</w:t>
      </w:r>
      <w:r w:rsidRPr="00C43F1B">
        <w:rPr>
          <w:rFonts w:hint="cs"/>
          <w:rtl/>
        </w:rPr>
        <w:t xml:space="preserve"> לשאלה אם כתיבת תקן ניהול מעין זה היא בסמכות מכון התקנים ניתנה בחוות הדעת תשובה חיובית. </w:t>
      </w:r>
    </w:p>
    <w:p w14:paraId="39B0CE05" w14:textId="77777777" w:rsidR="00417266" w:rsidRDefault="00417266" w:rsidP="0036568B">
      <w:pPr>
        <w:pStyle w:val="af2"/>
        <w:rPr>
          <w:rtl/>
        </w:rPr>
      </w:pPr>
      <w:r w:rsidRPr="00C43F1B">
        <w:rPr>
          <w:rFonts w:hint="cs"/>
          <w:rtl/>
        </w:rPr>
        <w:lastRenderedPageBreak/>
        <w:t xml:space="preserve">ב-23.1.18 הודיע המשנה ליועץ המשפטי לממשלה (כלכלי) ליועצת המשפטית של משרד הכלכלה </w:t>
      </w:r>
      <w:r>
        <w:rPr>
          <w:rFonts w:hint="cs"/>
          <w:rtl/>
        </w:rPr>
        <w:t xml:space="preserve">כי </w:t>
      </w:r>
      <w:r w:rsidRPr="00C43F1B">
        <w:rPr>
          <w:rFonts w:hint="cs"/>
          <w:rtl/>
        </w:rPr>
        <w:t xml:space="preserve">משרד המשפטים בודק שאלות המשפטיות המתעוררות לפני קביעת התקן. בעקבות זאת ביקשה היועצת המשפטית של משרד הכלכלה מהיועץ המשפטי של מכון התקנים שהמכון לא יתקדם בקביעת התקן. בעקבות השגות משפטיות שהעלה משרד המשפטים הוסיפו מכון התקנים ומשרד הכלכלה לדון בשאלת סמכות מכון התקנים לכתוב תקן מקורי (שאינו קיים בתקנים הבין-לאומיים). ב-9.4.18 הודיעה היועצת המשפטית של משרד הכלכלה ליועץ המשפטי של מכון התקנים: "לא השתכנעתי כי קיימת למכון סמכות לקבוע תו תקן מקורי בתחום מניעת ההטרדות המיניות, מקום בו לא קיים תקן בינלאומי כזה." ביום 12.6.18 השיב היועץ המשפטי למכון התקנים כי חוק התקנים איננו </w:t>
      </w:r>
      <w:r>
        <w:rPr>
          <w:rFonts w:hint="cs"/>
          <w:rtl/>
        </w:rPr>
        <w:t xml:space="preserve">מגביל את </w:t>
      </w:r>
      <w:r w:rsidRPr="00C43F1B">
        <w:rPr>
          <w:rFonts w:hint="cs"/>
          <w:rtl/>
        </w:rPr>
        <w:t>סמכותו של מכון התקנים ליצור תקן מקורי. במועד סיום הביקורת העבודה על התקן הייתה מוקפאת.</w:t>
      </w:r>
    </w:p>
    <w:p w14:paraId="773919BF" w14:textId="77777777" w:rsidR="00417266" w:rsidRPr="00F00907" w:rsidRDefault="00417266" w:rsidP="0036568B">
      <w:pPr>
        <w:pStyle w:val="af2"/>
        <w:rPr>
          <w:rtl/>
        </w:rPr>
      </w:pPr>
      <w:r>
        <w:rPr>
          <w:rFonts w:hint="cs"/>
          <w:rtl/>
        </w:rPr>
        <w:t>משרד המשפטים בתשובתו הביע חשש כי הוספת תקן כאשר קיים חוק המסדיר התנהגות עלולה ליצור בלבול ואי-ודאות משפטית.</w:t>
      </w:r>
    </w:p>
    <w:p w14:paraId="0E62B66B" w14:textId="77777777" w:rsidR="00417266" w:rsidRPr="00C43F1B" w:rsidRDefault="00417266" w:rsidP="0036568B">
      <w:pPr>
        <w:pStyle w:val="ac"/>
        <w:rPr>
          <w:rtl/>
        </w:rPr>
      </w:pPr>
      <w:r w:rsidRPr="00C43F1B">
        <w:rPr>
          <w:rFonts w:hint="cs"/>
          <w:rtl/>
        </w:rPr>
        <w:t>ה</w:t>
      </w:r>
      <w:r w:rsidRPr="00C43F1B">
        <w:rPr>
          <w:rtl/>
        </w:rPr>
        <w:t xml:space="preserve">תקן </w:t>
      </w:r>
      <w:r>
        <w:rPr>
          <w:rFonts w:hint="cs"/>
          <w:rtl/>
        </w:rPr>
        <w:t>הוא</w:t>
      </w:r>
      <w:r w:rsidRPr="00C43F1B">
        <w:rPr>
          <w:rtl/>
        </w:rPr>
        <w:t xml:space="preserve"> מפרט טכני </w:t>
      </w:r>
      <w:r w:rsidRPr="00C43F1B">
        <w:rPr>
          <w:rFonts w:hint="cs"/>
          <w:rtl/>
        </w:rPr>
        <w:t xml:space="preserve">המוסיף על הוראות החוק </w:t>
      </w:r>
      <w:r>
        <w:rPr>
          <w:rFonts w:hint="cs"/>
          <w:rtl/>
        </w:rPr>
        <w:t xml:space="preserve">והתקנות </w:t>
      </w:r>
      <w:r w:rsidRPr="00C43F1B">
        <w:rPr>
          <w:rFonts w:hint="cs"/>
          <w:rtl/>
        </w:rPr>
        <w:t>כללי "עשה" וקובע מהי מערכת הניהול הנכונה ומה הן הפעולות שיש לעשות כדי למנוע הטרדה מינית בעבודה</w:t>
      </w:r>
      <w:r>
        <w:rPr>
          <w:rFonts w:hint="cs"/>
          <w:rtl/>
        </w:rPr>
        <w:t>, בדומה לתקן למניעת שוחד, המסדיר כללי התנהגות למעסיקים הנוספים על איסור השוחד הקבוע בחוק העונשין. התקן</w:t>
      </w:r>
      <w:r w:rsidRPr="00C43F1B">
        <w:rPr>
          <w:rFonts w:hint="cs"/>
          <w:rtl/>
        </w:rPr>
        <w:t xml:space="preserve"> קובע מה הם האמצעים הסבירים שעל מעסיק לנקוט כדי למנוע הטרדה מינית או התנכלות ומקנה למעסיקים כלים מעשיים למניעתן.</w:t>
      </w:r>
      <w:r>
        <w:rPr>
          <w:rFonts w:hint="cs"/>
          <w:rtl/>
        </w:rPr>
        <w:t xml:space="preserve"> </w:t>
      </w:r>
      <w:r w:rsidRPr="00C43F1B">
        <w:rPr>
          <w:rFonts w:hint="cs"/>
          <w:rtl/>
        </w:rPr>
        <w:t xml:space="preserve">לאור החשיבות שבקידומו של תקן למניעת הטרדה מינית במקומות עבודה </w:t>
      </w:r>
      <w:r>
        <w:rPr>
          <w:rFonts w:hint="cs"/>
          <w:rtl/>
        </w:rPr>
        <w:t>מומלץ כי</w:t>
      </w:r>
      <w:r w:rsidRPr="00C43F1B">
        <w:rPr>
          <w:rFonts w:hint="cs"/>
          <w:rtl/>
        </w:rPr>
        <w:t xml:space="preserve"> משרד המשפטים, משרד הכלכלה ומכון התקנים </w:t>
      </w:r>
      <w:r>
        <w:rPr>
          <w:rFonts w:hint="cs"/>
          <w:rtl/>
        </w:rPr>
        <w:t>יבחנו את קידום יוזמת התקן, שנועדה לחזק את האכיפה ולהבטיח ודאות בקרב מעסיקים לגבי חובותיהם ואחריותם</w:t>
      </w:r>
      <w:r w:rsidRPr="00C43F1B">
        <w:rPr>
          <w:rFonts w:hint="cs"/>
          <w:rtl/>
        </w:rPr>
        <w:t>.</w:t>
      </w:r>
    </w:p>
    <w:p w14:paraId="31BE1290" w14:textId="77777777" w:rsidR="00417266" w:rsidRPr="00C43F1B" w:rsidRDefault="00417266" w:rsidP="0036568B">
      <w:pPr>
        <w:pStyle w:val="a0"/>
      </w:pPr>
      <w:r w:rsidRPr="00C43F1B">
        <w:rPr>
          <w:rFonts w:hint="cs"/>
          <w:rtl/>
        </w:rPr>
        <w:t>יש יוזמות פרטיות נוספות לטיפול בהטרדות מיניות במגזר הפרטי. להלן דוגמאות.</w:t>
      </w:r>
    </w:p>
    <w:p w14:paraId="392361CB" w14:textId="176625E1" w:rsidR="00417266" w:rsidRPr="00C43F1B" w:rsidRDefault="00417266" w:rsidP="00BA4357">
      <w:pPr>
        <w:pStyle w:val="a"/>
        <w:rPr>
          <w:rtl/>
        </w:rPr>
      </w:pPr>
      <w:r w:rsidRPr="00C43F1B">
        <w:rPr>
          <w:rFonts w:hint="cs"/>
          <w:rtl/>
        </w:rPr>
        <w:t xml:space="preserve">קרנות הון סיכון וחברות נוספות מממנות העסקת בודקת חיצונית לבירור תלונה על הטרדה מינית. </w:t>
      </w:r>
    </w:p>
    <w:p w14:paraId="1D6B7C12" w14:textId="07CF6ACC" w:rsidR="00417266" w:rsidRPr="00C43F1B" w:rsidRDefault="00417266" w:rsidP="00BA4357">
      <w:pPr>
        <w:pStyle w:val="a"/>
        <w:numPr>
          <w:ilvl w:val="1"/>
          <w:numId w:val="27"/>
        </w:numPr>
      </w:pPr>
      <w:r>
        <w:rPr>
          <w:rFonts w:hint="cs"/>
          <w:rtl/>
        </w:rPr>
        <w:t xml:space="preserve">חברת הזנק (סטארט אפ) ישראלית של פעילים חברתיים פיתחה </w:t>
      </w:r>
      <w:r w:rsidRPr="00C43F1B">
        <w:rPr>
          <w:rFonts w:hint="cs"/>
          <w:rtl/>
        </w:rPr>
        <w:t>מערכת ממוחשבת ה</w:t>
      </w:r>
      <w:r w:rsidRPr="00C43F1B">
        <w:rPr>
          <w:rtl/>
        </w:rPr>
        <w:t>מאפשר</w:t>
      </w:r>
      <w:r w:rsidRPr="00C43F1B">
        <w:rPr>
          <w:rFonts w:hint="cs"/>
          <w:rtl/>
        </w:rPr>
        <w:t>ת</w:t>
      </w:r>
      <w:r w:rsidRPr="00C43F1B">
        <w:rPr>
          <w:rtl/>
        </w:rPr>
        <w:t xml:space="preserve"> לעובדות ולעובדים להתייעץ ב</w:t>
      </w:r>
      <w:r w:rsidRPr="00C43F1B">
        <w:rPr>
          <w:rFonts w:hint="cs"/>
          <w:rtl/>
        </w:rPr>
        <w:t>אורח</w:t>
      </w:r>
      <w:r w:rsidRPr="00C43F1B">
        <w:rPr>
          <w:rtl/>
        </w:rPr>
        <w:t xml:space="preserve"> אנונימי עם ה</w:t>
      </w:r>
      <w:r w:rsidRPr="00C43F1B">
        <w:rPr>
          <w:rFonts w:hint="cs"/>
          <w:rtl/>
        </w:rPr>
        <w:t>אחראית</w:t>
      </w:r>
      <w:r w:rsidRPr="00C43F1B">
        <w:rPr>
          <w:rtl/>
        </w:rPr>
        <w:t xml:space="preserve"> ל</w:t>
      </w:r>
      <w:r w:rsidRPr="00C43F1B">
        <w:rPr>
          <w:rFonts w:hint="cs"/>
          <w:rtl/>
        </w:rPr>
        <w:t xml:space="preserve">מניעת </w:t>
      </w:r>
      <w:r w:rsidRPr="00C43F1B">
        <w:rPr>
          <w:rtl/>
        </w:rPr>
        <w:t>הטרד</w:t>
      </w:r>
      <w:r>
        <w:rPr>
          <w:rFonts w:hint="cs"/>
          <w:rtl/>
        </w:rPr>
        <w:t>ה</w:t>
      </w:r>
      <w:r w:rsidRPr="00C43F1B">
        <w:rPr>
          <w:rtl/>
        </w:rPr>
        <w:t xml:space="preserve"> מינית בארגון באופן דיסקרטי לחלוטין. </w:t>
      </w:r>
    </w:p>
    <w:p w14:paraId="30A2D629" w14:textId="77777777" w:rsidR="00417266" w:rsidRPr="00C43F1B" w:rsidRDefault="00417266" w:rsidP="00A775D5">
      <w:pPr>
        <w:pStyle w:val="af3"/>
        <w:rPr>
          <w:rtl/>
        </w:rPr>
      </w:pPr>
      <w:r w:rsidRPr="00C43F1B">
        <w:rPr>
          <w:rFonts w:hint="cs"/>
          <w:rtl/>
        </w:rPr>
        <w:t xml:space="preserve">החוק למניעת הטרדה מינית חולל שינויים תהליכיים ותודעתיים רבים, אולם מגזר העבודה הפרטי נותר ללא פיקוח </w:t>
      </w:r>
      <w:r>
        <w:rPr>
          <w:rFonts w:hint="cs"/>
          <w:rtl/>
        </w:rPr>
        <w:t>ו</w:t>
      </w:r>
      <w:r w:rsidRPr="00C43F1B">
        <w:rPr>
          <w:rFonts w:hint="cs"/>
          <w:rtl/>
        </w:rPr>
        <w:t xml:space="preserve">ללא אכיפה, </w:t>
      </w:r>
      <w:r>
        <w:rPr>
          <w:rFonts w:hint="cs"/>
          <w:rtl/>
        </w:rPr>
        <w:t>ובפועל לא מוגשות מספר רב של תלונות על הטרדה מינית במגזר זה</w:t>
      </w:r>
      <w:r w:rsidRPr="00C43F1B">
        <w:rPr>
          <w:rFonts w:hint="cs"/>
          <w:rtl/>
        </w:rPr>
        <w:t>. האמור לעיל מלמד שמשרד העבודה, האמון על אכיפת דיני עבודה ועל הפיקוח על מקומות עבודה, אינו ממצה את סמכויותיו לאכיפת החוק. יוזמות פרטיות לטיפול בנושא, אף שיש לברך עליהן, הן עדיין מעטות מאוד ולא הביאו לשינוי המיוחל.</w:t>
      </w:r>
      <w:r w:rsidRPr="00C43F1B" w:rsidDel="0051599D">
        <w:rPr>
          <w:rFonts w:hint="cs"/>
          <w:rtl/>
        </w:rPr>
        <w:t xml:space="preserve"> </w:t>
      </w:r>
      <w:r w:rsidRPr="00C43F1B">
        <w:rPr>
          <w:rFonts w:hint="cs"/>
          <w:rtl/>
        </w:rPr>
        <w:t>בפועל מעסיקים ואחראיות</w:t>
      </w:r>
      <w:r w:rsidRPr="009537F5">
        <w:rPr>
          <w:rFonts w:hint="cs"/>
          <w:rtl/>
        </w:rPr>
        <w:t xml:space="preserve"> למניעת הטרדה מינית</w:t>
      </w:r>
      <w:r w:rsidRPr="00C43F1B">
        <w:rPr>
          <w:rFonts w:hint="cs"/>
          <w:rtl/>
        </w:rPr>
        <w:t xml:space="preserve"> במגזר הפרטי נאלצים להתמודד לבד עם תופעת ההטרדה המינית, בהיעדר גוף רשמי המנחה, מייעץ ומרכז את הטיפול במניעתה. </w:t>
      </w:r>
    </w:p>
    <w:p w14:paraId="71FEB6E3" w14:textId="2D924A4B" w:rsidR="00417266" w:rsidRPr="00C43F1B" w:rsidRDefault="00417266" w:rsidP="00417266">
      <w:pPr>
        <w:spacing w:line="269" w:lineRule="auto"/>
        <w:rPr>
          <w:rtl/>
        </w:rPr>
      </w:pPr>
    </w:p>
    <w:p w14:paraId="53BB140E" w14:textId="77777777" w:rsidR="00417266" w:rsidRPr="00C43F1B" w:rsidRDefault="00417266" w:rsidP="00A775D5">
      <w:pPr>
        <w:pStyle w:val="af3"/>
        <w:rPr>
          <w:rtl/>
        </w:rPr>
      </w:pPr>
      <w:r w:rsidRPr="00C43F1B">
        <w:rPr>
          <w:rFonts w:hint="cs"/>
          <w:rtl/>
        </w:rPr>
        <w:t>קיימים אמצעים שונים לטיפול בהטרדות ולאכיפת הוראות החוק במגזר העבודה הפרטי, ובהם קידום תיקון חקיקה שיטיל חובות פיקוח ואכיפה מפורטות על משרדי ממשלה שונים, בחינת הקמת נציבות ייעודית</w:t>
      </w:r>
      <w:r>
        <w:rPr>
          <w:rFonts w:hint="cs"/>
          <w:rtl/>
        </w:rPr>
        <w:t xml:space="preserve"> לטיפול בתלונות על הטרדה מינית במקום העבודה</w:t>
      </w:r>
      <w:r w:rsidRPr="00C43F1B">
        <w:rPr>
          <w:rFonts w:hint="cs"/>
          <w:rtl/>
        </w:rPr>
        <w:t xml:space="preserve"> ועידוד יוזמות אחרות לאסדרה וולונטרית, דוגמת הקוד הוולונטרי ותו התקן למניעת הטרדה מינית. </w:t>
      </w:r>
    </w:p>
    <w:p w14:paraId="714D5B74" w14:textId="77777777" w:rsidR="00417266" w:rsidRPr="00C43F1B" w:rsidRDefault="00417266" w:rsidP="00A775D5">
      <w:pPr>
        <w:pStyle w:val="af3"/>
        <w:rPr>
          <w:rtl/>
        </w:rPr>
      </w:pPr>
      <w:r>
        <w:rPr>
          <w:rFonts w:hint="cs"/>
          <w:rtl/>
        </w:rPr>
        <w:t xml:space="preserve">מומלץ כי </w:t>
      </w:r>
      <w:r w:rsidRPr="00C43F1B">
        <w:rPr>
          <w:rFonts w:hint="cs"/>
          <w:rtl/>
        </w:rPr>
        <w:t>משרד המשפטים, האמון על ביצוע החוק למניעת הטרדה מינית</w:t>
      </w:r>
      <w:r w:rsidRPr="00C43F1B">
        <w:rPr>
          <w:rStyle w:val="FootnoteReference"/>
          <w:b/>
          <w:bCs/>
          <w:rtl/>
        </w:rPr>
        <w:footnoteReference w:id="69"/>
      </w:r>
      <w:r w:rsidRPr="00C43F1B">
        <w:rPr>
          <w:rFonts w:hint="cs"/>
          <w:rtl/>
        </w:rPr>
        <w:t xml:space="preserve">, </w:t>
      </w:r>
      <w:r>
        <w:rPr>
          <w:rFonts w:hint="cs"/>
          <w:rtl/>
        </w:rPr>
        <w:t>יבחן</w:t>
      </w:r>
      <w:r w:rsidRPr="00C43F1B">
        <w:rPr>
          <w:rFonts w:hint="cs"/>
          <w:rtl/>
        </w:rPr>
        <w:t xml:space="preserve"> עם הגורמים הנוגעים בדבר במשרד העבודה ועם הרשות לקידום מעמד האישה את </w:t>
      </w:r>
      <w:r>
        <w:rPr>
          <w:rFonts w:hint="cs"/>
          <w:rtl/>
        </w:rPr>
        <w:t>האתגרים</w:t>
      </w:r>
      <w:r w:rsidRPr="00C43F1B">
        <w:rPr>
          <w:rFonts w:hint="cs"/>
          <w:rtl/>
        </w:rPr>
        <w:t xml:space="preserve"> הייחודיים בטיפול בהטרדה מינית במגזר העבודה הפרטי ובמניעתה.</w:t>
      </w:r>
      <w:r w:rsidRPr="005B7D3B">
        <w:rPr>
          <w:rtl/>
        </w:rPr>
        <w:t xml:space="preserve"> </w:t>
      </w:r>
      <w:r w:rsidRPr="00C43F1B">
        <w:rPr>
          <w:rFonts w:hint="cs"/>
          <w:rtl/>
        </w:rPr>
        <w:t>בעת שקילת האפשרויות הכרוכות בעלויות כספיות,</w:t>
      </w:r>
      <w:r>
        <w:rPr>
          <w:rFonts w:hint="cs"/>
          <w:rtl/>
        </w:rPr>
        <w:t xml:space="preserve"> </w:t>
      </w:r>
      <w:r w:rsidRPr="00C43F1B">
        <w:rPr>
          <w:rFonts w:hint="cs"/>
          <w:rtl/>
        </w:rPr>
        <w:t xml:space="preserve">ראוי שתיבחן האפשרות לבצע תהליך </w:t>
      </w:r>
      <w:r w:rsidRPr="0088414B">
        <w:t>RIA</w:t>
      </w:r>
      <w:r w:rsidRPr="0088414B">
        <w:rPr>
          <w:rFonts w:hint="cs"/>
          <w:rtl/>
        </w:rPr>
        <w:t xml:space="preserve"> -</w:t>
      </w:r>
      <w:r w:rsidRPr="00367C69">
        <w:rPr>
          <w:rFonts w:hint="cs"/>
          <w:sz w:val="22"/>
          <w:szCs w:val="22"/>
          <w:rtl/>
        </w:rPr>
        <w:t xml:space="preserve"> </w:t>
      </w:r>
      <w:r w:rsidRPr="0088414B">
        <w:t>Regulator Impact Assessment</w:t>
      </w:r>
      <w:r w:rsidRPr="0088414B">
        <w:rPr>
          <w:rStyle w:val="FootnoteReference"/>
          <w:sz w:val="24"/>
          <w:rtl/>
        </w:rPr>
        <w:footnoteReference w:id="70"/>
      </w:r>
      <w:r w:rsidRPr="00C43F1B">
        <w:rPr>
          <w:rFonts w:hint="cs"/>
          <w:rtl/>
        </w:rPr>
        <w:t xml:space="preserve"> - ורק לאחריו לקבל החלטה לגבי האפשרות הרצויה. </w:t>
      </w:r>
    </w:p>
    <w:p w14:paraId="6D6A5C6C" w14:textId="77777777" w:rsidR="00417266" w:rsidRPr="00C43F1B" w:rsidRDefault="00417266" w:rsidP="00A775D5">
      <w:pPr>
        <w:pStyle w:val="316"/>
        <w:rPr>
          <w:rtl/>
        </w:rPr>
      </w:pPr>
      <w:bookmarkStart w:id="25" w:name="_Toc2583650"/>
      <w:bookmarkStart w:id="26" w:name="_Toc2583693"/>
      <w:bookmarkStart w:id="27" w:name="_Toc9150795"/>
      <w:r w:rsidRPr="00C43F1B">
        <w:rPr>
          <w:rFonts w:hint="cs"/>
          <w:rtl/>
        </w:rPr>
        <w:t>פעולות למניעת הטרדות מיניות ולטיפול בהן בשירות הציבורי</w:t>
      </w:r>
      <w:bookmarkEnd w:id="25"/>
      <w:bookmarkEnd w:id="26"/>
      <w:bookmarkEnd w:id="27"/>
    </w:p>
    <w:p w14:paraId="599366B7" w14:textId="77777777" w:rsidR="00417266" w:rsidRPr="00C43F1B" w:rsidRDefault="00417266" w:rsidP="00A775D5">
      <w:pPr>
        <w:pStyle w:val="100"/>
        <w:rPr>
          <w:rtl/>
        </w:rPr>
      </w:pPr>
      <w:r w:rsidRPr="00C43F1B">
        <w:rPr>
          <w:rtl/>
        </w:rPr>
        <w:t xml:space="preserve">השירות הציבורי כולל </w:t>
      </w:r>
      <w:r w:rsidRPr="00C43F1B">
        <w:rPr>
          <w:rFonts w:hint="cs"/>
          <w:rtl/>
        </w:rPr>
        <w:t xml:space="preserve">את </w:t>
      </w:r>
      <w:r w:rsidRPr="00C43F1B">
        <w:rPr>
          <w:rtl/>
        </w:rPr>
        <w:t xml:space="preserve">משרדי הממשלה ויחידות הסמך שלהם </w:t>
      </w:r>
      <w:r w:rsidRPr="00C43F1B">
        <w:rPr>
          <w:rFonts w:hint="cs"/>
          <w:rtl/>
        </w:rPr>
        <w:t>ו</w:t>
      </w:r>
      <w:r w:rsidRPr="00C43F1B">
        <w:rPr>
          <w:rtl/>
        </w:rPr>
        <w:t>גופים</w:t>
      </w:r>
      <w:r w:rsidRPr="00C43F1B">
        <w:rPr>
          <w:rFonts w:hint="cs"/>
          <w:rtl/>
        </w:rPr>
        <w:t xml:space="preserve"> נוספים. אגף ה</w:t>
      </w:r>
      <w:r>
        <w:rPr>
          <w:rFonts w:hint="cs"/>
          <w:rtl/>
        </w:rPr>
        <w:t xml:space="preserve">משמעת בנש"ם </w:t>
      </w:r>
      <w:r w:rsidRPr="00C43F1B">
        <w:rPr>
          <w:rFonts w:hint="cs"/>
          <w:rtl/>
        </w:rPr>
        <w:t xml:space="preserve">אחראי להסדרת תחום המשמעת </w:t>
      </w:r>
      <w:r>
        <w:rPr>
          <w:rFonts w:hint="cs"/>
          <w:rtl/>
        </w:rPr>
        <w:t>בשירות הציבורי</w:t>
      </w:r>
      <w:r w:rsidRPr="00C43F1B">
        <w:rPr>
          <w:rtl/>
        </w:rPr>
        <w:t xml:space="preserve">. </w:t>
      </w:r>
      <w:r w:rsidRPr="00C43F1B">
        <w:rPr>
          <w:rFonts w:hint="cs"/>
          <w:rtl/>
        </w:rPr>
        <w:t xml:space="preserve">הטיפול של נש"ם בתחום המשמעת נעשה בהתאם להוראות </w:t>
      </w:r>
      <w:r w:rsidRPr="00C43F1B">
        <w:rPr>
          <w:rtl/>
        </w:rPr>
        <w:t>חוק המשמעת והתקנות שהותקנו מכוחו. החוק</w:t>
      </w:r>
      <w:r w:rsidRPr="00C43F1B">
        <w:rPr>
          <w:rFonts w:hint="cs"/>
          <w:rtl/>
        </w:rPr>
        <w:t xml:space="preserve"> הוחל</w:t>
      </w:r>
      <w:r w:rsidRPr="00C43F1B">
        <w:rPr>
          <w:rtl/>
        </w:rPr>
        <w:t xml:space="preserve"> על עובדי המדינה המתמנים ל</w:t>
      </w:r>
      <w:r>
        <w:rPr>
          <w:rFonts w:hint="cs"/>
          <w:rtl/>
        </w:rPr>
        <w:t xml:space="preserve">פי </w:t>
      </w:r>
      <w:r w:rsidRPr="00C43F1B">
        <w:rPr>
          <w:rtl/>
        </w:rPr>
        <w:t>חוק שירות המדינה (מינויים), התשי"ט-1959</w:t>
      </w:r>
      <w:r w:rsidRPr="00C43F1B">
        <w:rPr>
          <w:rFonts w:hint="cs"/>
          <w:rtl/>
        </w:rPr>
        <w:t>.</w:t>
      </w:r>
      <w:r w:rsidRPr="00C43F1B">
        <w:rPr>
          <w:rtl/>
        </w:rPr>
        <w:t xml:space="preserve"> במהלך השנים הוחל החוק, ל</w:t>
      </w:r>
      <w:r>
        <w:rPr>
          <w:rFonts w:hint="cs"/>
          <w:rtl/>
        </w:rPr>
        <w:t xml:space="preserve">פי </w:t>
      </w:r>
      <w:r w:rsidRPr="00C43F1B">
        <w:rPr>
          <w:rtl/>
        </w:rPr>
        <w:t xml:space="preserve">החלטות ממשלה </w:t>
      </w:r>
      <w:r w:rsidRPr="00C43F1B">
        <w:rPr>
          <w:rFonts w:hint="eastAsia"/>
          <w:rtl/>
        </w:rPr>
        <w:t>או</w:t>
      </w:r>
      <w:r w:rsidRPr="00C43F1B">
        <w:rPr>
          <w:rtl/>
        </w:rPr>
        <w:t xml:space="preserve"> </w:t>
      </w:r>
      <w:r w:rsidRPr="00C43F1B">
        <w:rPr>
          <w:rFonts w:hint="eastAsia"/>
          <w:rtl/>
        </w:rPr>
        <w:t>ל</w:t>
      </w:r>
      <w:r>
        <w:rPr>
          <w:rFonts w:hint="cs"/>
          <w:rtl/>
        </w:rPr>
        <w:t xml:space="preserve">פי </w:t>
      </w:r>
      <w:r w:rsidRPr="00C43F1B">
        <w:rPr>
          <w:rFonts w:hint="eastAsia"/>
          <w:rtl/>
        </w:rPr>
        <w:t>חוקים</w:t>
      </w:r>
      <w:r w:rsidRPr="00C43F1B">
        <w:rPr>
          <w:rtl/>
        </w:rPr>
        <w:t xml:space="preserve"> </w:t>
      </w:r>
      <w:r w:rsidRPr="00C43F1B">
        <w:rPr>
          <w:rFonts w:hint="eastAsia"/>
          <w:rtl/>
        </w:rPr>
        <w:t>ייעודיים</w:t>
      </w:r>
      <w:r w:rsidRPr="00C43F1B">
        <w:rPr>
          <w:rtl/>
        </w:rPr>
        <w:t xml:space="preserve">, </w:t>
      </w:r>
      <w:r w:rsidRPr="00C43F1B">
        <w:rPr>
          <w:rFonts w:hint="eastAsia"/>
          <w:rtl/>
        </w:rPr>
        <w:t>על</w:t>
      </w:r>
      <w:r w:rsidRPr="00C43F1B">
        <w:rPr>
          <w:rtl/>
        </w:rPr>
        <w:t xml:space="preserve"> </w:t>
      </w:r>
      <w:r w:rsidRPr="00C43F1B">
        <w:rPr>
          <w:rFonts w:hint="eastAsia"/>
          <w:rtl/>
        </w:rPr>
        <w:t>קבוצות</w:t>
      </w:r>
      <w:r w:rsidRPr="00C43F1B">
        <w:rPr>
          <w:rtl/>
        </w:rPr>
        <w:t xml:space="preserve"> </w:t>
      </w:r>
      <w:r w:rsidRPr="00C43F1B">
        <w:rPr>
          <w:rFonts w:hint="eastAsia"/>
          <w:rtl/>
        </w:rPr>
        <w:t>נוספות</w:t>
      </w:r>
      <w:r w:rsidRPr="00C43F1B">
        <w:rPr>
          <w:rtl/>
        </w:rPr>
        <w:t xml:space="preserve"> </w:t>
      </w:r>
      <w:r w:rsidRPr="00C43F1B">
        <w:rPr>
          <w:rFonts w:hint="eastAsia"/>
          <w:rtl/>
        </w:rPr>
        <w:t>של</w:t>
      </w:r>
      <w:r w:rsidRPr="00C43F1B">
        <w:rPr>
          <w:rtl/>
        </w:rPr>
        <w:t xml:space="preserve"> </w:t>
      </w:r>
      <w:r w:rsidRPr="00C43F1B">
        <w:rPr>
          <w:rFonts w:hint="eastAsia"/>
          <w:rtl/>
        </w:rPr>
        <w:t>עובדי</w:t>
      </w:r>
      <w:r w:rsidRPr="00C43F1B">
        <w:rPr>
          <w:rtl/>
        </w:rPr>
        <w:t xml:space="preserve"> </w:t>
      </w:r>
      <w:r w:rsidRPr="00C43F1B">
        <w:rPr>
          <w:rFonts w:hint="eastAsia"/>
          <w:rtl/>
        </w:rPr>
        <w:t>ציבור</w:t>
      </w:r>
      <w:r w:rsidRPr="00C43F1B">
        <w:rPr>
          <w:rtl/>
        </w:rPr>
        <w:t xml:space="preserve"> - </w:t>
      </w:r>
      <w:r w:rsidRPr="00C43F1B">
        <w:rPr>
          <w:rFonts w:hint="eastAsia"/>
          <w:rtl/>
        </w:rPr>
        <w:t>עובדי</w:t>
      </w:r>
      <w:r w:rsidRPr="00C43F1B">
        <w:rPr>
          <w:rtl/>
        </w:rPr>
        <w:t xml:space="preserve"> </w:t>
      </w:r>
      <w:r w:rsidRPr="00C43F1B">
        <w:rPr>
          <w:rFonts w:hint="eastAsia"/>
          <w:rtl/>
        </w:rPr>
        <w:t>המועצות</w:t>
      </w:r>
      <w:r w:rsidRPr="00C43F1B">
        <w:rPr>
          <w:rtl/>
        </w:rPr>
        <w:t xml:space="preserve"> </w:t>
      </w:r>
      <w:r w:rsidRPr="00C43F1B">
        <w:rPr>
          <w:rFonts w:hint="eastAsia"/>
          <w:rtl/>
        </w:rPr>
        <w:t>הדתיות</w:t>
      </w:r>
      <w:r w:rsidRPr="00C43F1B">
        <w:rPr>
          <w:rtl/>
        </w:rPr>
        <w:t xml:space="preserve"> </w:t>
      </w:r>
      <w:r w:rsidRPr="00C43F1B">
        <w:rPr>
          <w:rFonts w:hint="eastAsia"/>
          <w:rtl/>
        </w:rPr>
        <w:t>ועובדים</w:t>
      </w:r>
      <w:r w:rsidRPr="00C43F1B">
        <w:rPr>
          <w:rtl/>
        </w:rPr>
        <w:t xml:space="preserve"> </w:t>
      </w:r>
      <w:r w:rsidRPr="00C43F1B">
        <w:rPr>
          <w:rFonts w:hint="eastAsia"/>
          <w:rtl/>
        </w:rPr>
        <w:t>בחלק</w:t>
      </w:r>
      <w:r w:rsidRPr="00C43F1B">
        <w:rPr>
          <w:rtl/>
        </w:rPr>
        <w:t xml:space="preserve"> </w:t>
      </w:r>
      <w:r w:rsidRPr="00C43F1B">
        <w:rPr>
          <w:rFonts w:hint="eastAsia"/>
          <w:rtl/>
        </w:rPr>
        <w:t>מהתאגידים</w:t>
      </w:r>
      <w:r w:rsidRPr="00C43F1B">
        <w:rPr>
          <w:rtl/>
        </w:rPr>
        <w:t xml:space="preserve"> </w:t>
      </w:r>
      <w:r w:rsidRPr="00C43F1B">
        <w:rPr>
          <w:rFonts w:hint="eastAsia"/>
          <w:rtl/>
        </w:rPr>
        <w:t>הציבוריים</w:t>
      </w:r>
      <w:r w:rsidRPr="00C43F1B">
        <w:rPr>
          <w:rtl/>
        </w:rPr>
        <w:t xml:space="preserve">. </w:t>
      </w:r>
      <w:r w:rsidRPr="00C43F1B">
        <w:rPr>
          <w:rFonts w:hint="eastAsia"/>
          <w:rtl/>
        </w:rPr>
        <w:t>בשנת</w:t>
      </w:r>
      <w:r w:rsidRPr="00C43F1B">
        <w:rPr>
          <w:rtl/>
        </w:rPr>
        <w:t xml:space="preserve"> 2016 </w:t>
      </w:r>
      <w:r w:rsidRPr="00C43F1B">
        <w:rPr>
          <w:rFonts w:hint="eastAsia"/>
          <w:rtl/>
        </w:rPr>
        <w:t>חל</w:t>
      </w:r>
      <w:r w:rsidRPr="00C43F1B">
        <w:rPr>
          <w:rtl/>
        </w:rPr>
        <w:t xml:space="preserve"> </w:t>
      </w:r>
      <w:r w:rsidRPr="00C43F1B">
        <w:rPr>
          <w:rFonts w:hint="eastAsia"/>
          <w:rtl/>
        </w:rPr>
        <w:t>החוק</w:t>
      </w:r>
      <w:r w:rsidRPr="00C43F1B">
        <w:rPr>
          <w:rtl/>
        </w:rPr>
        <w:t xml:space="preserve"> </w:t>
      </w:r>
      <w:r w:rsidRPr="00C43F1B">
        <w:rPr>
          <w:rFonts w:hint="eastAsia"/>
          <w:rtl/>
        </w:rPr>
        <w:t>על</w:t>
      </w:r>
      <w:r w:rsidRPr="00C43F1B">
        <w:rPr>
          <w:rtl/>
        </w:rPr>
        <w:t xml:space="preserve"> </w:t>
      </w:r>
      <w:r w:rsidRPr="00C43F1B">
        <w:rPr>
          <w:rFonts w:hint="eastAsia"/>
          <w:rtl/>
        </w:rPr>
        <w:t>כ</w:t>
      </w:r>
      <w:r w:rsidRPr="00C43F1B">
        <w:rPr>
          <w:rtl/>
        </w:rPr>
        <w:t xml:space="preserve">-229,500 </w:t>
      </w:r>
      <w:r w:rsidRPr="00C43F1B">
        <w:rPr>
          <w:rFonts w:hint="eastAsia"/>
          <w:rtl/>
        </w:rPr>
        <w:t>עובדים</w:t>
      </w:r>
      <w:r w:rsidRPr="00C43F1B">
        <w:rPr>
          <w:rFonts w:hint="cs"/>
          <w:rtl/>
        </w:rPr>
        <w:t>:</w:t>
      </w:r>
      <w:r w:rsidRPr="00C43F1B">
        <w:rPr>
          <w:rtl/>
        </w:rPr>
        <w:t xml:space="preserve"> כ-76,500 עובדי מדינה</w:t>
      </w:r>
      <w:r w:rsidRPr="00C43F1B">
        <w:rPr>
          <w:rFonts w:hint="cs"/>
          <w:rtl/>
        </w:rPr>
        <w:t>,</w:t>
      </w:r>
      <w:r w:rsidRPr="00C43F1B">
        <w:rPr>
          <w:rtl/>
        </w:rPr>
        <w:t xml:space="preserve"> כ-131,000 עובדי הוראה שהם עובדי מדינה</w:t>
      </w:r>
      <w:r w:rsidRPr="00C43F1B">
        <w:rPr>
          <w:rFonts w:hint="cs"/>
          <w:rtl/>
        </w:rPr>
        <w:t>,</w:t>
      </w:r>
      <w:r w:rsidRPr="00C43F1B">
        <w:rPr>
          <w:rtl/>
        </w:rPr>
        <w:t xml:space="preserve"> כ-19,000 עובדי תאגידים ציבוריים וכ-3,000 עובדי מועצות דתיות</w:t>
      </w:r>
      <w:r w:rsidRPr="00C43F1B">
        <w:rPr>
          <w:rStyle w:val="FootnoteReference"/>
          <w:rFonts w:ascii="Arial" w:hAnsi="Arial"/>
          <w:sz w:val="24"/>
          <w:rtl/>
        </w:rPr>
        <w:footnoteReference w:id="71"/>
      </w:r>
      <w:r w:rsidRPr="00C43F1B">
        <w:rPr>
          <w:rFonts w:ascii="Arial" w:hAnsi="Arial"/>
          <w:sz w:val="24"/>
          <w:rtl/>
        </w:rPr>
        <w:t xml:space="preserve">. </w:t>
      </w:r>
    </w:p>
    <w:p w14:paraId="364CA6C3" w14:textId="77777777" w:rsidR="00417266" w:rsidRPr="00C43F1B" w:rsidRDefault="00417266" w:rsidP="00A775D5">
      <w:pPr>
        <w:pStyle w:val="100"/>
        <w:rPr>
          <w:rtl/>
        </w:rPr>
      </w:pPr>
      <w:r w:rsidRPr="00C43F1B">
        <w:rPr>
          <w:rFonts w:hint="cs"/>
          <w:rtl/>
        </w:rPr>
        <w:t>הטרדה מינית הוגדרה עבירת משמעת חמורה בפרק 42 לת</w:t>
      </w:r>
      <w:r>
        <w:rPr>
          <w:rFonts w:hint="cs"/>
          <w:rtl/>
        </w:rPr>
        <w:t>קנון שירות המדינה (להלן - ת</w:t>
      </w:r>
      <w:r w:rsidRPr="00C43F1B">
        <w:rPr>
          <w:rFonts w:hint="cs"/>
          <w:rtl/>
        </w:rPr>
        <w:t>קשי"ר</w:t>
      </w:r>
      <w:r>
        <w:rPr>
          <w:rFonts w:hint="cs"/>
          <w:rtl/>
        </w:rPr>
        <w:t>)</w:t>
      </w:r>
      <w:r w:rsidRPr="00C43F1B">
        <w:rPr>
          <w:rFonts w:hint="cs"/>
          <w:rtl/>
        </w:rPr>
        <w:t>, הכולל את ההוראות לטיפול בהטרדה מינית בשירות המדינה. אגף המשמעת פועל כאחראי למניעת הטרדה מינית בהתאם לחוק, והוא מברר את התלונות על הטרדה מינית בכל המשרדים והגופים שחוק המשמעת חל עליהם. האגף בוחן את התלונות ומעביר חלק מהן, לפי נסיבות העניין, לאגף חקירות משמעת בנש</w:t>
      </w:r>
      <w:r w:rsidRPr="00C43F1B">
        <w:rPr>
          <w:rtl/>
        </w:rPr>
        <w:t>"</w:t>
      </w:r>
      <w:r w:rsidRPr="00C43F1B">
        <w:rPr>
          <w:rFonts w:hint="cs"/>
          <w:rtl/>
        </w:rPr>
        <w:t xml:space="preserve">ם להשלמת בירורן. לאחר בירור התלונה אגף </w:t>
      </w:r>
      <w:r>
        <w:rPr>
          <w:rFonts w:hint="cs"/>
          <w:rtl/>
        </w:rPr>
        <w:t>ה</w:t>
      </w:r>
      <w:r w:rsidRPr="00C43F1B">
        <w:rPr>
          <w:rFonts w:hint="cs"/>
          <w:rtl/>
        </w:rPr>
        <w:t xml:space="preserve">משמעת </w:t>
      </w:r>
      <w:r>
        <w:rPr>
          <w:rFonts w:hint="cs"/>
          <w:rtl/>
        </w:rPr>
        <w:t xml:space="preserve">בנש"ם </w:t>
      </w:r>
      <w:r w:rsidRPr="00C43F1B">
        <w:rPr>
          <w:rFonts w:hint="cs"/>
          <w:rtl/>
        </w:rPr>
        <w:t xml:space="preserve">בוחר באחת משתי דרכי טיפול - האחת, הגשת תובענה משמעתית נגד המטריד, שתידון בבית הדין המשמעתי. השנייה, השבת התלונה לאחראי למשמעת במשרד בצירוף המלצה </w:t>
      </w:r>
      <w:r>
        <w:rPr>
          <w:rFonts w:hint="cs"/>
          <w:rtl/>
        </w:rPr>
        <w:t>ע</w:t>
      </w:r>
      <w:r w:rsidRPr="00C43F1B">
        <w:rPr>
          <w:rFonts w:hint="cs"/>
          <w:rtl/>
        </w:rPr>
        <w:t>ל</w:t>
      </w:r>
      <w:r>
        <w:rPr>
          <w:rFonts w:hint="cs"/>
          <w:rtl/>
        </w:rPr>
        <w:t xml:space="preserve"> ה</w:t>
      </w:r>
      <w:r w:rsidRPr="00C43F1B">
        <w:rPr>
          <w:rFonts w:hint="cs"/>
          <w:rtl/>
        </w:rPr>
        <w:t xml:space="preserve">הליך המשמעתי הנדרש. לפי הוראות התקשי"ר, שר ומנכ"ל רשאים לנקוט סנקציה של התראה </w:t>
      </w:r>
      <w:r w:rsidRPr="00C43F1B">
        <w:rPr>
          <w:rFonts w:hint="cs"/>
          <w:rtl/>
        </w:rPr>
        <w:lastRenderedPageBreak/>
        <w:t xml:space="preserve">או נזיפה כלפי עובד שעבר עבירת משמעת. אגף </w:t>
      </w:r>
      <w:r>
        <w:rPr>
          <w:rFonts w:hint="cs"/>
          <w:rtl/>
        </w:rPr>
        <w:t>ה</w:t>
      </w:r>
      <w:r w:rsidRPr="00C43F1B">
        <w:rPr>
          <w:rFonts w:hint="cs"/>
          <w:rtl/>
        </w:rPr>
        <w:t xml:space="preserve">משמעת הצהיר כי הוא פועל לפי נוהל זכות היידוע וזכות הערר בתיקי הטרדה מינית ומעדכן את הנפגעות על מהלך הטיפול בתלונה ועל זכותן להגיש ערר על ההחלטה לסגור את תיק התלונה. </w:t>
      </w:r>
    </w:p>
    <w:p w14:paraId="47CCC7EE" w14:textId="77777777" w:rsidR="00417266" w:rsidRPr="00C43F1B" w:rsidRDefault="00417266" w:rsidP="00D74A6E">
      <w:pPr>
        <w:pStyle w:val="414"/>
        <w:rPr>
          <w:rtl/>
        </w:rPr>
      </w:pPr>
      <w:bookmarkStart w:id="28" w:name="_Toc9150796"/>
      <w:r w:rsidRPr="00C43F1B">
        <w:rPr>
          <w:rFonts w:hint="cs"/>
          <w:rtl/>
        </w:rPr>
        <w:t>התאמת התקנון בגופים הממשלתיים</w:t>
      </w:r>
      <w:bookmarkEnd w:id="28"/>
    </w:p>
    <w:p w14:paraId="3796280D" w14:textId="4163EBED" w:rsidR="00417266" w:rsidRPr="00C43F1B" w:rsidRDefault="00417266" w:rsidP="00D74A6E">
      <w:pPr>
        <w:pStyle w:val="100"/>
        <w:rPr>
          <w:rtl/>
        </w:rPr>
      </w:pPr>
      <w:r w:rsidRPr="00C43F1B">
        <w:rPr>
          <w:rFonts w:hint="cs"/>
          <w:rtl/>
        </w:rPr>
        <w:t>נש"ם פעלה לתיקון תקנון למניעת הטרדה מינית אחיד לכל הגופים הכפופים לה. כאמור, התקנות קובעות כי מי שמעסיק יותר מ-25 עובדים חייב לערוך תקנון מותאם, המביא לידי ביטוי את המאפיינים הייחודיים של מקום העבודה מבחינת הסדרי העבודה וקשרי העבודה הקיימים בו.</w:t>
      </w:r>
    </w:p>
    <w:p w14:paraId="77666A71" w14:textId="77777777" w:rsidR="00417266" w:rsidRPr="00C43F1B" w:rsidRDefault="00417266" w:rsidP="00D74A6E">
      <w:pPr>
        <w:pStyle w:val="af3"/>
        <w:rPr>
          <w:rtl/>
        </w:rPr>
      </w:pPr>
      <w:r w:rsidRPr="00C43F1B">
        <w:rPr>
          <w:rFonts w:hint="eastAsia"/>
          <w:rtl/>
        </w:rPr>
        <w:t>נמצא</w:t>
      </w:r>
      <w:r w:rsidRPr="00C43F1B">
        <w:rPr>
          <w:rtl/>
        </w:rPr>
        <w:t xml:space="preserve"> כי </w:t>
      </w:r>
      <w:r w:rsidRPr="00C43F1B">
        <w:rPr>
          <w:rFonts w:hint="cs"/>
          <w:rtl/>
        </w:rPr>
        <w:t>אף</w:t>
      </w:r>
      <w:r w:rsidRPr="00C43F1B">
        <w:rPr>
          <w:rtl/>
        </w:rPr>
        <w:t xml:space="preserve"> שבכל משרדי הממשלה יש </w:t>
      </w:r>
      <w:r w:rsidRPr="00C43F1B">
        <w:rPr>
          <w:rFonts w:hint="cs"/>
          <w:rtl/>
        </w:rPr>
        <w:t xml:space="preserve">יותר </w:t>
      </w:r>
      <w:r w:rsidRPr="00C43F1B">
        <w:rPr>
          <w:rtl/>
        </w:rPr>
        <w:t>מ-25 עובדים</w:t>
      </w:r>
      <w:r w:rsidRPr="00C43F1B">
        <w:rPr>
          <w:rFonts w:hint="cs"/>
          <w:rtl/>
        </w:rPr>
        <w:t>,</w:t>
      </w:r>
      <w:r w:rsidRPr="00C43F1B">
        <w:rPr>
          <w:rtl/>
        </w:rPr>
        <w:t xml:space="preserve"> אגף המשמעת לא </w:t>
      </w:r>
      <w:r>
        <w:rPr>
          <w:rFonts w:hint="cs"/>
          <w:rtl/>
        </w:rPr>
        <w:t>דרש מ</w:t>
      </w:r>
      <w:r w:rsidRPr="00C43F1B">
        <w:rPr>
          <w:rtl/>
        </w:rPr>
        <w:t xml:space="preserve">המשרדים להכין תקנון </w:t>
      </w:r>
      <w:r w:rsidRPr="00C43F1B">
        <w:rPr>
          <w:rFonts w:hint="cs"/>
          <w:rtl/>
        </w:rPr>
        <w:t>ה</w:t>
      </w:r>
      <w:r w:rsidRPr="00C43F1B">
        <w:rPr>
          <w:rtl/>
        </w:rPr>
        <w:t xml:space="preserve">מותאם </w:t>
      </w:r>
      <w:r w:rsidRPr="00C43F1B">
        <w:rPr>
          <w:rFonts w:hint="cs"/>
          <w:rtl/>
        </w:rPr>
        <w:t>למאפייניהם</w:t>
      </w:r>
      <w:r w:rsidRPr="00C43F1B">
        <w:rPr>
          <w:rtl/>
        </w:rPr>
        <w:t xml:space="preserve">. </w:t>
      </w:r>
    </w:p>
    <w:p w14:paraId="57D3BFAB" w14:textId="77777777" w:rsidR="00417266" w:rsidRDefault="00417266" w:rsidP="00D74A6E">
      <w:pPr>
        <w:pStyle w:val="af3"/>
        <w:rPr>
          <w:rtl/>
        </w:rPr>
      </w:pPr>
      <w:r w:rsidRPr="00C43F1B">
        <w:rPr>
          <w:rFonts w:hint="eastAsia"/>
          <w:rtl/>
        </w:rPr>
        <w:t>התקנון</w:t>
      </w:r>
      <w:r w:rsidRPr="00C43F1B">
        <w:rPr>
          <w:rtl/>
        </w:rPr>
        <w:t xml:space="preserve"> האחיד של נש"ם נעדר התייחסות לעובדי קבלן ו</w:t>
      </w:r>
      <w:r w:rsidRPr="00C43F1B">
        <w:rPr>
          <w:rFonts w:hint="eastAsia"/>
          <w:rtl/>
        </w:rPr>
        <w:t>למתנדבות</w:t>
      </w:r>
      <w:r w:rsidRPr="00C43F1B">
        <w:rPr>
          <w:rtl/>
        </w:rPr>
        <w:t xml:space="preserve"> </w:t>
      </w:r>
      <w:r w:rsidRPr="00C43F1B">
        <w:rPr>
          <w:rFonts w:hint="eastAsia"/>
          <w:rtl/>
        </w:rPr>
        <w:t>השירות</w:t>
      </w:r>
      <w:r w:rsidRPr="00C43F1B">
        <w:rPr>
          <w:rtl/>
        </w:rPr>
        <w:t xml:space="preserve"> </w:t>
      </w:r>
      <w:r w:rsidRPr="00C43F1B">
        <w:rPr>
          <w:rFonts w:hint="eastAsia"/>
          <w:rtl/>
        </w:rPr>
        <w:t>הלאומי</w:t>
      </w:r>
      <w:r w:rsidRPr="00C43F1B">
        <w:rPr>
          <w:rFonts w:hint="cs"/>
          <w:rtl/>
        </w:rPr>
        <w:t>,</w:t>
      </w:r>
      <w:r w:rsidRPr="00C43F1B">
        <w:rPr>
          <w:rtl/>
        </w:rPr>
        <w:t xml:space="preserve"> </w:t>
      </w:r>
      <w:r w:rsidRPr="00C43F1B">
        <w:rPr>
          <w:rFonts w:hint="eastAsia"/>
          <w:rtl/>
        </w:rPr>
        <w:t>שהם</w:t>
      </w:r>
      <w:r w:rsidRPr="00C43F1B">
        <w:rPr>
          <w:rtl/>
        </w:rPr>
        <w:t xml:space="preserve"> </w:t>
      </w:r>
      <w:r w:rsidRPr="00C43F1B">
        <w:rPr>
          <w:rFonts w:hint="eastAsia"/>
          <w:rtl/>
        </w:rPr>
        <w:t>חלק</w:t>
      </w:r>
      <w:r w:rsidRPr="00C43F1B">
        <w:rPr>
          <w:rtl/>
        </w:rPr>
        <w:t xml:space="preserve"> </w:t>
      </w:r>
      <w:r w:rsidRPr="00C43F1B">
        <w:rPr>
          <w:rFonts w:hint="eastAsia"/>
          <w:rtl/>
        </w:rPr>
        <w:t>בלתי</w:t>
      </w:r>
      <w:r w:rsidRPr="00C43F1B">
        <w:rPr>
          <w:rtl/>
        </w:rPr>
        <w:t xml:space="preserve"> </w:t>
      </w:r>
      <w:r w:rsidRPr="00C43F1B">
        <w:rPr>
          <w:rFonts w:hint="eastAsia"/>
          <w:rtl/>
        </w:rPr>
        <w:t>נפרד</w:t>
      </w:r>
      <w:r w:rsidRPr="00C43F1B">
        <w:rPr>
          <w:rtl/>
        </w:rPr>
        <w:t xml:space="preserve"> </w:t>
      </w:r>
      <w:r w:rsidRPr="00C43F1B">
        <w:rPr>
          <w:rFonts w:hint="eastAsia"/>
          <w:rtl/>
        </w:rPr>
        <w:t>מעובדי</w:t>
      </w:r>
      <w:r w:rsidRPr="00C43F1B">
        <w:rPr>
          <w:rtl/>
        </w:rPr>
        <w:t xml:space="preserve"> </w:t>
      </w:r>
      <w:r w:rsidRPr="00C43F1B">
        <w:rPr>
          <w:rFonts w:hint="eastAsia"/>
          <w:rtl/>
        </w:rPr>
        <w:t>המשרדים</w:t>
      </w:r>
      <w:r w:rsidRPr="00C43F1B">
        <w:rPr>
          <w:rtl/>
        </w:rPr>
        <w:t xml:space="preserve"> </w:t>
      </w:r>
      <w:r w:rsidRPr="00C43F1B">
        <w:rPr>
          <w:rFonts w:hint="eastAsia"/>
          <w:rtl/>
        </w:rPr>
        <w:t>הממשלתיים</w:t>
      </w:r>
      <w:r w:rsidRPr="00C43F1B">
        <w:rPr>
          <w:rtl/>
        </w:rPr>
        <w:t xml:space="preserve">. </w:t>
      </w:r>
      <w:r w:rsidRPr="00C43F1B">
        <w:rPr>
          <w:rFonts w:hint="eastAsia"/>
          <w:rtl/>
        </w:rPr>
        <w:t>הוא</w:t>
      </w:r>
      <w:r w:rsidRPr="00C43F1B">
        <w:rPr>
          <w:rtl/>
        </w:rPr>
        <w:t xml:space="preserve"> אינו מותאם למשרדים </w:t>
      </w:r>
      <w:r w:rsidRPr="00C43F1B">
        <w:rPr>
          <w:rFonts w:hint="eastAsia"/>
          <w:rtl/>
        </w:rPr>
        <w:t>גדולים</w:t>
      </w:r>
      <w:r w:rsidRPr="00C43F1B">
        <w:rPr>
          <w:rtl/>
        </w:rPr>
        <w:t xml:space="preserve"> </w:t>
      </w:r>
      <w:r w:rsidRPr="00C43F1B">
        <w:rPr>
          <w:rFonts w:hint="eastAsia"/>
          <w:rtl/>
        </w:rPr>
        <w:t>שמעניקים</w:t>
      </w:r>
      <w:r w:rsidRPr="00C43F1B">
        <w:rPr>
          <w:rtl/>
        </w:rPr>
        <w:t xml:space="preserve"> שירות לאוכלוסייה אזרחית </w:t>
      </w:r>
      <w:r w:rsidRPr="00C43F1B">
        <w:rPr>
          <w:rFonts w:hint="eastAsia"/>
          <w:rtl/>
        </w:rPr>
        <w:t>גדולה</w:t>
      </w:r>
      <w:r w:rsidRPr="00C43F1B">
        <w:rPr>
          <w:rtl/>
        </w:rPr>
        <w:t xml:space="preserve">, שפעילותם </w:t>
      </w:r>
      <w:r w:rsidRPr="00C43F1B">
        <w:rPr>
          <w:rFonts w:hint="eastAsia"/>
          <w:rtl/>
        </w:rPr>
        <w:t>מבוזרת</w:t>
      </w:r>
      <w:r w:rsidRPr="00C43F1B">
        <w:rPr>
          <w:rtl/>
        </w:rPr>
        <w:t xml:space="preserve"> ברחבי הארץ, </w:t>
      </w:r>
      <w:r w:rsidRPr="00C43F1B">
        <w:rPr>
          <w:rFonts w:hint="eastAsia"/>
          <w:rtl/>
        </w:rPr>
        <w:t>ש</w:t>
      </w:r>
      <w:r w:rsidRPr="00C43F1B">
        <w:rPr>
          <w:rFonts w:hint="cs"/>
          <w:rtl/>
        </w:rPr>
        <w:t xml:space="preserve">יש </w:t>
      </w:r>
      <w:r w:rsidRPr="00C43F1B">
        <w:rPr>
          <w:rFonts w:hint="eastAsia"/>
          <w:rtl/>
        </w:rPr>
        <w:t>להם</w:t>
      </w:r>
      <w:r w:rsidRPr="00C43F1B">
        <w:rPr>
          <w:rtl/>
        </w:rPr>
        <w:t xml:space="preserve"> </w:t>
      </w:r>
      <w:r w:rsidRPr="00C43F1B">
        <w:rPr>
          <w:rFonts w:hint="eastAsia"/>
          <w:rtl/>
        </w:rPr>
        <w:t>הרבה</w:t>
      </w:r>
      <w:r w:rsidRPr="00C43F1B">
        <w:rPr>
          <w:rtl/>
        </w:rPr>
        <w:t xml:space="preserve"> </w:t>
      </w:r>
      <w:r w:rsidRPr="00C43F1B">
        <w:rPr>
          <w:rFonts w:hint="eastAsia"/>
          <w:rtl/>
        </w:rPr>
        <w:t>יחידות</w:t>
      </w:r>
      <w:r w:rsidRPr="00C43F1B">
        <w:rPr>
          <w:rtl/>
        </w:rPr>
        <w:t xml:space="preserve"> </w:t>
      </w:r>
      <w:r w:rsidRPr="00C43F1B">
        <w:rPr>
          <w:rFonts w:hint="eastAsia"/>
          <w:rtl/>
        </w:rPr>
        <w:t>סמך</w:t>
      </w:r>
      <w:r w:rsidRPr="00C43F1B">
        <w:rPr>
          <w:rtl/>
        </w:rPr>
        <w:t xml:space="preserve"> </w:t>
      </w:r>
      <w:r w:rsidRPr="00C43F1B">
        <w:rPr>
          <w:rFonts w:hint="eastAsia"/>
          <w:rtl/>
        </w:rPr>
        <w:t>ויחידות</w:t>
      </w:r>
      <w:r w:rsidRPr="00C43F1B">
        <w:rPr>
          <w:rtl/>
        </w:rPr>
        <w:t xml:space="preserve"> עצמאיות </w:t>
      </w:r>
      <w:r w:rsidRPr="00C43F1B">
        <w:rPr>
          <w:rFonts w:hint="cs"/>
          <w:rtl/>
        </w:rPr>
        <w:t xml:space="preserve">שהם מנחים </w:t>
      </w:r>
      <w:r w:rsidRPr="00C43F1B">
        <w:rPr>
          <w:rtl/>
        </w:rPr>
        <w:t>מקצועית</w:t>
      </w:r>
      <w:r>
        <w:rPr>
          <w:rFonts w:hint="cs"/>
          <w:rtl/>
        </w:rPr>
        <w:t>,</w:t>
      </w:r>
      <w:r w:rsidRPr="00C43F1B">
        <w:rPr>
          <w:rtl/>
        </w:rPr>
        <w:t xml:space="preserve"> וש</w:t>
      </w:r>
      <w:r w:rsidRPr="00C43F1B">
        <w:rPr>
          <w:rFonts w:hint="cs"/>
          <w:rtl/>
        </w:rPr>
        <w:t>יש ב</w:t>
      </w:r>
      <w:r w:rsidRPr="00C43F1B">
        <w:rPr>
          <w:rtl/>
        </w:rPr>
        <w:t xml:space="preserve">הם </w:t>
      </w:r>
      <w:r w:rsidRPr="00C43F1B">
        <w:rPr>
          <w:rFonts w:hint="cs"/>
          <w:rtl/>
        </w:rPr>
        <w:t xml:space="preserve">קשרי עבודה ומתן שירות </w:t>
      </w:r>
      <w:r w:rsidRPr="00C43F1B">
        <w:rPr>
          <w:rFonts w:hint="eastAsia"/>
          <w:rtl/>
        </w:rPr>
        <w:t>ייחודי</w:t>
      </w:r>
      <w:r w:rsidRPr="00C43F1B">
        <w:rPr>
          <w:rFonts w:hint="cs"/>
          <w:rtl/>
        </w:rPr>
        <w:t>ים</w:t>
      </w:r>
      <w:r w:rsidRPr="00C43F1B">
        <w:rPr>
          <w:rtl/>
        </w:rPr>
        <w:t xml:space="preserve"> </w:t>
      </w:r>
      <w:r w:rsidRPr="00C43F1B">
        <w:rPr>
          <w:rFonts w:hint="eastAsia"/>
          <w:rtl/>
        </w:rPr>
        <w:t>המרחיב</w:t>
      </w:r>
      <w:r w:rsidRPr="00C43F1B">
        <w:rPr>
          <w:rFonts w:hint="cs"/>
          <w:rtl/>
        </w:rPr>
        <w:t>ים</w:t>
      </w:r>
      <w:r w:rsidRPr="00C43F1B">
        <w:rPr>
          <w:rtl/>
        </w:rPr>
        <w:t xml:space="preserve"> </w:t>
      </w:r>
      <w:r w:rsidRPr="00C43F1B">
        <w:rPr>
          <w:rFonts w:hint="eastAsia"/>
          <w:rtl/>
        </w:rPr>
        <w:t>את</w:t>
      </w:r>
      <w:r w:rsidRPr="00C43F1B">
        <w:rPr>
          <w:rtl/>
        </w:rPr>
        <w:t xml:space="preserve"> </w:t>
      </w:r>
      <w:r w:rsidRPr="00C43F1B">
        <w:rPr>
          <w:rFonts w:hint="eastAsia"/>
          <w:rtl/>
        </w:rPr>
        <w:t>אירועי</w:t>
      </w:r>
      <w:r w:rsidRPr="00C43F1B">
        <w:rPr>
          <w:rtl/>
        </w:rPr>
        <w:t xml:space="preserve"> </w:t>
      </w:r>
      <w:r w:rsidRPr="00C43F1B">
        <w:rPr>
          <w:rFonts w:hint="eastAsia"/>
          <w:rtl/>
        </w:rPr>
        <w:t>ההטרדה</w:t>
      </w:r>
      <w:r w:rsidRPr="00C43F1B">
        <w:rPr>
          <w:rtl/>
        </w:rPr>
        <w:t xml:space="preserve"> </w:t>
      </w:r>
      <w:r w:rsidRPr="00C43F1B">
        <w:rPr>
          <w:rFonts w:hint="eastAsia"/>
          <w:rtl/>
        </w:rPr>
        <w:t>המינית</w:t>
      </w:r>
      <w:r w:rsidRPr="00C43F1B">
        <w:rPr>
          <w:rtl/>
        </w:rPr>
        <w:t xml:space="preserve"> </w:t>
      </w:r>
      <w:r w:rsidRPr="00C43F1B">
        <w:rPr>
          <w:rFonts w:hint="cs"/>
          <w:rtl/>
        </w:rPr>
        <w:t xml:space="preserve">האפשריים </w:t>
      </w:r>
      <w:r>
        <w:rPr>
          <w:rFonts w:hint="cs"/>
          <w:rtl/>
        </w:rPr>
        <w:t xml:space="preserve">אל </w:t>
      </w:r>
      <w:r w:rsidRPr="00C43F1B">
        <w:rPr>
          <w:rFonts w:hint="eastAsia"/>
          <w:rtl/>
        </w:rPr>
        <w:t>מעבר</w:t>
      </w:r>
      <w:r w:rsidRPr="00C43F1B">
        <w:rPr>
          <w:rtl/>
        </w:rPr>
        <w:t xml:space="preserve"> </w:t>
      </w:r>
      <w:r w:rsidRPr="00C43F1B">
        <w:rPr>
          <w:rFonts w:hint="eastAsia"/>
          <w:rtl/>
        </w:rPr>
        <w:t>למישור</w:t>
      </w:r>
      <w:r w:rsidRPr="00C43F1B">
        <w:rPr>
          <w:rtl/>
        </w:rPr>
        <w:t xml:space="preserve"> </w:t>
      </w:r>
      <w:r w:rsidRPr="00C43F1B">
        <w:rPr>
          <w:rFonts w:hint="eastAsia"/>
          <w:rtl/>
        </w:rPr>
        <w:t>יחסי</w:t>
      </w:r>
      <w:r w:rsidRPr="00C43F1B">
        <w:rPr>
          <w:rtl/>
        </w:rPr>
        <w:t xml:space="preserve"> </w:t>
      </w:r>
      <w:r w:rsidRPr="00C43F1B">
        <w:rPr>
          <w:rFonts w:hint="eastAsia"/>
          <w:rtl/>
        </w:rPr>
        <w:t>העבודה</w:t>
      </w:r>
      <w:r w:rsidRPr="00C43F1B">
        <w:rPr>
          <w:rtl/>
        </w:rPr>
        <w:t xml:space="preserve"> </w:t>
      </w:r>
      <w:r w:rsidRPr="00C43F1B">
        <w:rPr>
          <w:rFonts w:hint="eastAsia"/>
          <w:rtl/>
        </w:rPr>
        <w:t>שבין</w:t>
      </w:r>
      <w:r w:rsidRPr="00C43F1B">
        <w:rPr>
          <w:rtl/>
        </w:rPr>
        <w:t xml:space="preserve"> </w:t>
      </w:r>
      <w:r w:rsidRPr="00C43F1B">
        <w:rPr>
          <w:rFonts w:hint="eastAsia"/>
          <w:rtl/>
        </w:rPr>
        <w:t>עובדי</w:t>
      </w:r>
      <w:r w:rsidRPr="00C43F1B">
        <w:rPr>
          <w:rtl/>
        </w:rPr>
        <w:t xml:space="preserve"> </w:t>
      </w:r>
      <w:r w:rsidRPr="00C43F1B">
        <w:rPr>
          <w:rFonts w:hint="eastAsia"/>
          <w:rtl/>
        </w:rPr>
        <w:t>המדינה</w:t>
      </w:r>
      <w:r w:rsidRPr="00C43F1B">
        <w:rPr>
          <w:rtl/>
        </w:rPr>
        <w:t xml:space="preserve"> </w:t>
      </w:r>
      <w:r w:rsidRPr="00C43F1B">
        <w:rPr>
          <w:rFonts w:hint="eastAsia"/>
          <w:rtl/>
        </w:rPr>
        <w:t>עצמם</w:t>
      </w:r>
      <w:r w:rsidRPr="005118B9">
        <w:rPr>
          <w:rStyle w:val="FootnoteReference"/>
          <w:rtl/>
        </w:rPr>
        <w:footnoteReference w:id="72"/>
      </w:r>
      <w:r w:rsidRPr="005118B9">
        <w:rPr>
          <w:rtl/>
        </w:rPr>
        <w:t>.</w:t>
      </w:r>
      <w:r w:rsidRPr="00C43F1B">
        <w:rPr>
          <w:rtl/>
        </w:rPr>
        <w:t xml:space="preserve"> </w:t>
      </w:r>
    </w:p>
    <w:p w14:paraId="789C3894" w14:textId="77777777" w:rsidR="00417266" w:rsidRPr="00E85D58" w:rsidRDefault="00417266" w:rsidP="00D74A6E">
      <w:pPr>
        <w:pStyle w:val="100"/>
        <w:rPr>
          <w:rtl/>
        </w:rPr>
      </w:pPr>
      <w:r>
        <w:rPr>
          <w:rFonts w:hint="cs"/>
          <w:rtl/>
        </w:rPr>
        <w:t>נש"ם מסרה בתשובתה מדצמבר 2019 כי לדעתה אין צורך בתקנון נפרד, שונה וייחודי לכל משרד ממשלתי, אלא באופן עקרוני התקנון מתאים ומספק מענה לכל הגופים הממשלתיים.</w:t>
      </w:r>
    </w:p>
    <w:p w14:paraId="7F5C9033" w14:textId="77777777" w:rsidR="00417266" w:rsidRPr="00C43F1B" w:rsidRDefault="00417266" w:rsidP="00D74A6E">
      <w:pPr>
        <w:pStyle w:val="af3"/>
        <w:rPr>
          <w:rtl/>
        </w:rPr>
      </w:pPr>
      <w:r>
        <w:rPr>
          <w:rFonts w:hint="cs"/>
          <w:rtl/>
        </w:rPr>
        <w:t xml:space="preserve">מאחר שיש משרדים ממשלתיים שבאים במגע עם הציבור במצבים שונים, מומלץ כי </w:t>
      </w:r>
      <w:r w:rsidRPr="00C43F1B">
        <w:rPr>
          <w:rFonts w:hint="cs"/>
          <w:rtl/>
        </w:rPr>
        <w:t>נש</w:t>
      </w:r>
      <w:r w:rsidRPr="00C43F1B">
        <w:rPr>
          <w:rtl/>
        </w:rPr>
        <w:t>"</w:t>
      </w:r>
      <w:r w:rsidRPr="00C43F1B">
        <w:rPr>
          <w:rFonts w:hint="cs"/>
          <w:rtl/>
        </w:rPr>
        <w:t xml:space="preserve">ם </w:t>
      </w:r>
      <w:r>
        <w:rPr>
          <w:rFonts w:hint="cs"/>
          <w:rtl/>
        </w:rPr>
        <w:t>תבחן את הצורך בתיקונים ועדכונים לאור</w:t>
      </w:r>
      <w:r w:rsidRPr="00C43F1B">
        <w:rPr>
          <w:rFonts w:hint="cs"/>
          <w:rtl/>
        </w:rPr>
        <w:t xml:space="preserve"> מאפייני</w:t>
      </w:r>
      <w:r>
        <w:rPr>
          <w:rFonts w:hint="cs"/>
          <w:rtl/>
        </w:rPr>
        <w:t>הם</w:t>
      </w:r>
      <w:r w:rsidRPr="00C43F1B">
        <w:rPr>
          <w:rFonts w:hint="cs"/>
          <w:rtl/>
        </w:rPr>
        <w:t xml:space="preserve"> הייחודיים</w:t>
      </w:r>
      <w:r>
        <w:rPr>
          <w:rFonts w:hint="cs"/>
          <w:rtl/>
        </w:rPr>
        <w:t xml:space="preserve"> של המשרדים</w:t>
      </w:r>
      <w:r w:rsidRPr="00C43F1B">
        <w:rPr>
          <w:rFonts w:hint="cs"/>
          <w:rtl/>
        </w:rPr>
        <w:t xml:space="preserve">, </w:t>
      </w:r>
      <w:r>
        <w:rPr>
          <w:rFonts w:hint="cs"/>
          <w:rtl/>
        </w:rPr>
        <w:t>ובהתאם יגובשו תקנים מותאמים. עוד מוצע לבחון את האפשרות לכלול בתקנוני הגופים הוראות הנוגעות לעובדי הקבלן, לבנות שירות לאומי ולמקבלי השירותים</w:t>
      </w:r>
      <w:r w:rsidRPr="00C43F1B">
        <w:rPr>
          <w:rFonts w:hint="cs"/>
          <w:rtl/>
        </w:rPr>
        <w:t xml:space="preserve">. </w:t>
      </w:r>
    </w:p>
    <w:p w14:paraId="47C6DE10" w14:textId="77777777" w:rsidR="00417266" w:rsidRPr="00C43F1B" w:rsidRDefault="00417266" w:rsidP="00D74A6E">
      <w:pPr>
        <w:pStyle w:val="414"/>
        <w:rPr>
          <w:rtl/>
        </w:rPr>
      </w:pPr>
      <w:bookmarkStart w:id="29" w:name="_Toc9150797"/>
      <w:r w:rsidRPr="00C43F1B">
        <w:rPr>
          <w:rFonts w:hint="cs"/>
          <w:rtl/>
        </w:rPr>
        <w:t>אגף המשמעת ו</w:t>
      </w:r>
      <w:r w:rsidRPr="00C43F1B">
        <w:rPr>
          <w:rFonts w:hint="eastAsia"/>
          <w:rtl/>
        </w:rPr>
        <w:t>הממונ</w:t>
      </w:r>
      <w:r w:rsidRPr="00C43F1B">
        <w:rPr>
          <w:rFonts w:hint="cs"/>
          <w:rtl/>
        </w:rPr>
        <w:t>ות</w:t>
      </w:r>
      <w:r w:rsidRPr="00C43F1B">
        <w:rPr>
          <w:rtl/>
        </w:rPr>
        <w:t xml:space="preserve"> </w:t>
      </w:r>
      <w:r w:rsidRPr="00C43F1B">
        <w:rPr>
          <w:rFonts w:hint="eastAsia"/>
          <w:rtl/>
        </w:rPr>
        <w:t>על</w:t>
      </w:r>
      <w:r w:rsidRPr="00C43F1B">
        <w:rPr>
          <w:rtl/>
        </w:rPr>
        <w:t xml:space="preserve"> </w:t>
      </w:r>
      <w:r w:rsidRPr="00C43F1B">
        <w:rPr>
          <w:rFonts w:hint="eastAsia"/>
          <w:rtl/>
        </w:rPr>
        <w:t>מניעת</w:t>
      </w:r>
      <w:r w:rsidRPr="00C43F1B">
        <w:rPr>
          <w:rtl/>
        </w:rPr>
        <w:t xml:space="preserve"> </w:t>
      </w:r>
      <w:r w:rsidRPr="00C43F1B">
        <w:rPr>
          <w:rFonts w:hint="eastAsia"/>
          <w:rtl/>
        </w:rPr>
        <w:t>הטרדה</w:t>
      </w:r>
      <w:r w:rsidRPr="00C43F1B">
        <w:rPr>
          <w:rtl/>
        </w:rPr>
        <w:t xml:space="preserve"> </w:t>
      </w:r>
      <w:r w:rsidRPr="00C43F1B">
        <w:rPr>
          <w:rFonts w:hint="eastAsia"/>
          <w:rtl/>
        </w:rPr>
        <w:t>מינית</w:t>
      </w:r>
      <w:r w:rsidRPr="00C43F1B">
        <w:rPr>
          <w:rFonts w:hint="cs"/>
          <w:rtl/>
        </w:rPr>
        <w:t xml:space="preserve"> במשרדי הממשלה</w:t>
      </w:r>
      <w:bookmarkEnd w:id="29"/>
    </w:p>
    <w:p w14:paraId="023F2767" w14:textId="77777777" w:rsidR="00417266" w:rsidRDefault="00417266" w:rsidP="00D74A6E">
      <w:pPr>
        <w:pStyle w:val="100"/>
        <w:rPr>
          <w:rtl/>
        </w:rPr>
      </w:pPr>
      <w:r w:rsidRPr="00C43F1B">
        <w:rPr>
          <w:rFonts w:hint="cs"/>
          <w:rtl/>
        </w:rPr>
        <w:t>בכל משרד או גוף ממשלתי מונתה הממונה על שוויון מגדרי גם לממונה על מניעת הטרדה מינית. כיום מכהנות בתפקיד זה כ-90 ממונות</w:t>
      </w:r>
      <w:r>
        <w:rPr>
          <w:rFonts w:hint="cs"/>
          <w:rtl/>
        </w:rPr>
        <w:t>, ועל פי הוראות התקשי"ר הן מקבלות דרגה אישית לשם מילוי תפקידן</w:t>
      </w:r>
      <w:r w:rsidRPr="00C43F1B">
        <w:rPr>
          <w:rFonts w:hint="cs"/>
          <w:rtl/>
        </w:rPr>
        <w:t>. הממונות כפופות מהבחינה המקצועית למנהלת האגף לשוויון מגדרי בנש</w:t>
      </w:r>
      <w:r w:rsidRPr="00C43F1B">
        <w:rPr>
          <w:rtl/>
        </w:rPr>
        <w:t>"</w:t>
      </w:r>
      <w:r w:rsidRPr="00C43F1B">
        <w:rPr>
          <w:rFonts w:hint="cs"/>
          <w:rtl/>
        </w:rPr>
        <w:t xml:space="preserve">ם. מנהלת האגף לשוויון מגדרי עורכת קורס הכשרה לממונות חדשות, והן מתייעצות, לפי הצורך, עם אגף המשמעת בנש"ם על תלונות על הטרדה מינית שקיבלו. </w:t>
      </w:r>
    </w:p>
    <w:p w14:paraId="1FFEE2E8" w14:textId="77777777" w:rsidR="00417266" w:rsidRPr="007E188A" w:rsidRDefault="00417266" w:rsidP="00D74A6E">
      <w:pPr>
        <w:pStyle w:val="af3"/>
        <w:rPr>
          <w:rtl/>
        </w:rPr>
      </w:pPr>
      <w:r w:rsidRPr="00BF1C9D">
        <w:rPr>
          <w:rFonts w:hint="eastAsia"/>
          <w:rtl/>
        </w:rPr>
        <w:lastRenderedPageBreak/>
        <w:t>מוצע</w:t>
      </w:r>
      <w:r w:rsidRPr="00BF1C9D">
        <w:rPr>
          <w:rtl/>
        </w:rPr>
        <w:t xml:space="preserve"> לבחון מתן דרגה אישית </w:t>
      </w:r>
      <w:r w:rsidRPr="00BF1C9D">
        <w:rPr>
          <w:rFonts w:hint="eastAsia"/>
          <w:rtl/>
        </w:rPr>
        <w:t>או</w:t>
      </w:r>
      <w:r w:rsidRPr="00BF1C9D">
        <w:rPr>
          <w:rtl/>
        </w:rPr>
        <w:t xml:space="preserve"> תגמול כספי </w:t>
      </w:r>
      <w:r w:rsidRPr="00BF1C9D">
        <w:rPr>
          <w:rFonts w:hint="eastAsia"/>
          <w:rtl/>
        </w:rPr>
        <w:t>לממונות</w:t>
      </w:r>
      <w:r w:rsidRPr="00BF1C9D">
        <w:rPr>
          <w:rtl/>
        </w:rPr>
        <w:t xml:space="preserve"> </w:t>
      </w:r>
      <w:r>
        <w:rPr>
          <w:rFonts w:hint="cs"/>
          <w:rtl/>
        </w:rPr>
        <w:t xml:space="preserve">על מניעת הטרדה מינית </w:t>
      </w:r>
      <w:r w:rsidRPr="00BF1C9D">
        <w:rPr>
          <w:rFonts w:hint="eastAsia"/>
          <w:rtl/>
        </w:rPr>
        <w:t>גם</w:t>
      </w:r>
      <w:r w:rsidRPr="00BF1C9D">
        <w:rPr>
          <w:rtl/>
        </w:rPr>
        <w:t xml:space="preserve"> </w:t>
      </w:r>
      <w:r w:rsidRPr="00BF1C9D">
        <w:rPr>
          <w:rFonts w:hint="eastAsia"/>
          <w:rtl/>
        </w:rPr>
        <w:t>בגופים</w:t>
      </w:r>
      <w:r w:rsidRPr="00BF1C9D">
        <w:rPr>
          <w:rtl/>
        </w:rPr>
        <w:t xml:space="preserve"> </w:t>
      </w:r>
      <w:r w:rsidRPr="00BF1C9D">
        <w:rPr>
          <w:rFonts w:hint="eastAsia"/>
          <w:rtl/>
        </w:rPr>
        <w:t>ציבוריים</w:t>
      </w:r>
      <w:r w:rsidRPr="00BF1C9D">
        <w:rPr>
          <w:rtl/>
        </w:rPr>
        <w:t xml:space="preserve"> </w:t>
      </w:r>
      <w:r w:rsidRPr="00BF1C9D">
        <w:rPr>
          <w:rFonts w:hint="eastAsia"/>
          <w:rtl/>
        </w:rPr>
        <w:t>שהתקשי</w:t>
      </w:r>
      <w:r w:rsidRPr="00BF1C9D">
        <w:rPr>
          <w:rtl/>
        </w:rPr>
        <w:t xml:space="preserve">"ר </w:t>
      </w:r>
      <w:r>
        <w:rPr>
          <w:rFonts w:hint="cs"/>
          <w:rtl/>
        </w:rPr>
        <w:t>אינו</w:t>
      </w:r>
      <w:r w:rsidRPr="00BF1C9D">
        <w:rPr>
          <w:rtl/>
        </w:rPr>
        <w:t xml:space="preserve"> </w:t>
      </w:r>
      <w:r w:rsidRPr="00BF1C9D">
        <w:rPr>
          <w:rFonts w:hint="eastAsia"/>
          <w:rtl/>
        </w:rPr>
        <w:t>חל</w:t>
      </w:r>
      <w:r w:rsidRPr="00BF1C9D">
        <w:rPr>
          <w:rtl/>
        </w:rPr>
        <w:t xml:space="preserve"> </w:t>
      </w:r>
      <w:r w:rsidRPr="00BF1C9D">
        <w:rPr>
          <w:rFonts w:hint="eastAsia"/>
          <w:rtl/>
        </w:rPr>
        <w:t>עליהם</w:t>
      </w:r>
      <w:r>
        <w:rPr>
          <w:rFonts w:hint="cs"/>
          <w:rtl/>
        </w:rPr>
        <w:t>.</w:t>
      </w:r>
    </w:p>
    <w:p w14:paraId="75F69880" w14:textId="77777777" w:rsidR="00417266" w:rsidRDefault="00417266" w:rsidP="00D74A6E">
      <w:pPr>
        <w:pStyle w:val="100"/>
        <w:rPr>
          <w:rtl/>
        </w:rPr>
      </w:pPr>
      <w:r>
        <w:rPr>
          <w:rFonts w:hint="cs"/>
          <w:rtl/>
        </w:rPr>
        <w:t xml:space="preserve">לפי התקשי"ר, </w:t>
      </w:r>
      <w:r w:rsidRPr="00C43F1B">
        <w:rPr>
          <w:rFonts w:hint="cs"/>
          <w:rtl/>
        </w:rPr>
        <w:t>ממונ</w:t>
      </w:r>
      <w:r>
        <w:rPr>
          <w:rFonts w:hint="cs"/>
          <w:rtl/>
        </w:rPr>
        <w:t>ָ</w:t>
      </w:r>
      <w:r w:rsidRPr="00C43F1B">
        <w:rPr>
          <w:rFonts w:hint="cs"/>
          <w:rtl/>
        </w:rPr>
        <w:t xml:space="preserve">ה שהגיע אליה מידע המעלה חשד להטרדה מינית מחויבת למסור את כל המידע שברשותה </w:t>
      </w:r>
      <w:r>
        <w:rPr>
          <w:rFonts w:hint="cs"/>
          <w:rtl/>
        </w:rPr>
        <w:t>ל</w:t>
      </w:r>
      <w:r w:rsidRPr="00C43F1B">
        <w:rPr>
          <w:rFonts w:hint="cs"/>
          <w:rtl/>
        </w:rPr>
        <w:t>אגף החקירות</w:t>
      </w:r>
      <w:r>
        <w:rPr>
          <w:rFonts w:hint="cs"/>
          <w:rtl/>
        </w:rPr>
        <w:t xml:space="preserve"> בנש"ם</w:t>
      </w:r>
      <w:r w:rsidRPr="00C43F1B">
        <w:rPr>
          <w:rFonts w:hint="cs"/>
          <w:rtl/>
        </w:rPr>
        <w:t>. חובת דיווח זו חלה גם על כל מנהל בשירות המדינה. הממונה נדרשת ל</w:t>
      </w:r>
      <w:r>
        <w:rPr>
          <w:rFonts w:hint="cs"/>
          <w:rtl/>
        </w:rPr>
        <w:t>ִ</w:t>
      </w:r>
      <w:r w:rsidRPr="00C43F1B">
        <w:rPr>
          <w:rFonts w:hint="cs"/>
          <w:rtl/>
        </w:rPr>
        <w:t>גב</w:t>
      </w:r>
      <w:r>
        <w:rPr>
          <w:rFonts w:hint="cs"/>
          <w:rtl/>
        </w:rPr>
        <w:t>ּ</w:t>
      </w:r>
      <w:r w:rsidRPr="00C43F1B">
        <w:rPr>
          <w:rFonts w:hint="cs"/>
          <w:rtl/>
        </w:rPr>
        <w:t>ות את התלונה בטופס ייעודי, להודיע למתלוננת כי התלונה תועבר לבירור בנש"ם ולעדכנ</w:t>
      </w:r>
      <w:r>
        <w:rPr>
          <w:rFonts w:hint="cs"/>
          <w:rtl/>
        </w:rPr>
        <w:t>ה</w:t>
      </w:r>
      <w:r w:rsidRPr="00C43F1B">
        <w:rPr>
          <w:rFonts w:hint="cs"/>
          <w:rtl/>
        </w:rPr>
        <w:t xml:space="preserve"> על המשך ההליך. יובהר כי הממונה בגו</w:t>
      </w:r>
      <w:r>
        <w:rPr>
          <w:rFonts w:hint="cs"/>
          <w:rtl/>
        </w:rPr>
        <w:t>ף</w:t>
      </w:r>
      <w:r w:rsidRPr="00C43F1B">
        <w:rPr>
          <w:rFonts w:hint="cs"/>
          <w:rtl/>
        </w:rPr>
        <w:t xml:space="preserve"> הכפו</w:t>
      </w:r>
      <w:r>
        <w:rPr>
          <w:rFonts w:hint="cs"/>
          <w:rtl/>
        </w:rPr>
        <w:t>ף</w:t>
      </w:r>
      <w:r w:rsidRPr="00C43F1B">
        <w:rPr>
          <w:rFonts w:hint="cs"/>
          <w:rtl/>
        </w:rPr>
        <w:t xml:space="preserve"> לחוק המשמעת אינה מבררת את התלונה אלא רק מעבירה אותה לגופים שיטפלו בה. זאת בשונה מהאחראיות למניעת הטרדה מינית במקומות עבודה פרטיים, שתפקיד בירור התלונה מוטל עליהן לפי התקנות.</w:t>
      </w:r>
    </w:p>
    <w:p w14:paraId="3C22DB6E" w14:textId="77777777" w:rsidR="00BA3293" w:rsidRDefault="00417266" w:rsidP="00BA3293">
      <w:pPr>
        <w:pStyle w:val="af3"/>
        <w:rPr>
          <w:rtl/>
        </w:rPr>
      </w:pPr>
      <w:r w:rsidRPr="00C43F1B">
        <w:rPr>
          <w:rFonts w:hint="eastAsia"/>
          <w:rtl/>
        </w:rPr>
        <w:t>משרד</w:t>
      </w:r>
      <w:r w:rsidRPr="00C43F1B">
        <w:rPr>
          <w:rtl/>
        </w:rPr>
        <w:t xml:space="preserve"> מבקר המדינה בחן כמה היבטים הקשורים לעבודת </w:t>
      </w:r>
      <w:r w:rsidRPr="00C43F1B">
        <w:rPr>
          <w:rFonts w:hint="cs"/>
          <w:rtl/>
        </w:rPr>
        <w:t>אגף המשמעת ו</w:t>
      </w:r>
      <w:r w:rsidRPr="00C43F1B">
        <w:rPr>
          <w:rtl/>
        </w:rPr>
        <w:t xml:space="preserve">הממונות </w:t>
      </w:r>
      <w:r w:rsidRPr="00C43F1B">
        <w:rPr>
          <w:rFonts w:hint="eastAsia"/>
          <w:rtl/>
        </w:rPr>
        <w:t>ו</w:t>
      </w:r>
      <w:r w:rsidRPr="00C43F1B">
        <w:rPr>
          <w:rFonts w:hint="cs"/>
          <w:rtl/>
        </w:rPr>
        <w:t>ל</w:t>
      </w:r>
      <w:r w:rsidRPr="00C43F1B">
        <w:rPr>
          <w:rFonts w:hint="eastAsia"/>
          <w:rtl/>
        </w:rPr>
        <w:t>קשרי</w:t>
      </w:r>
      <w:r w:rsidRPr="00C43F1B">
        <w:rPr>
          <w:rtl/>
        </w:rPr>
        <w:t xml:space="preserve"> העבודה </w:t>
      </w:r>
      <w:r w:rsidRPr="00C43F1B">
        <w:rPr>
          <w:rFonts w:hint="cs"/>
          <w:rtl/>
        </w:rPr>
        <w:t>ביניהם</w:t>
      </w:r>
      <w:r w:rsidRPr="00C43F1B">
        <w:rPr>
          <w:rtl/>
        </w:rPr>
        <w:t xml:space="preserve"> </w:t>
      </w:r>
      <w:r w:rsidRPr="00C43F1B">
        <w:rPr>
          <w:rFonts w:hint="cs"/>
          <w:rtl/>
        </w:rPr>
        <w:t>והעלה את הליקויים האלה:</w:t>
      </w:r>
    </w:p>
    <w:p w14:paraId="7ADD4084" w14:textId="314195F6" w:rsidR="00417266" w:rsidRPr="00C43F1B" w:rsidRDefault="00417266" w:rsidP="00011DF7">
      <w:pPr>
        <w:pStyle w:val="a0"/>
        <w:numPr>
          <w:ilvl w:val="0"/>
          <w:numId w:val="30"/>
        </w:numPr>
      </w:pPr>
      <w:r w:rsidRPr="00C43F1B">
        <w:rPr>
          <w:rFonts w:hint="cs"/>
          <w:rtl/>
        </w:rPr>
        <w:t xml:space="preserve">אגף </w:t>
      </w:r>
      <w:r>
        <w:rPr>
          <w:rFonts w:hint="cs"/>
          <w:rtl/>
        </w:rPr>
        <w:t>ה</w:t>
      </w:r>
      <w:r w:rsidRPr="00C43F1B">
        <w:rPr>
          <w:rFonts w:hint="cs"/>
          <w:rtl/>
        </w:rPr>
        <w:t>משמעת טיפל בשנת 2015 ב-134 תלונות על הטרדות מיניות, בשנת 2016 ב-</w:t>
      </w:r>
      <w:r>
        <w:rPr>
          <w:rFonts w:hint="cs"/>
          <w:rtl/>
        </w:rPr>
        <w:t>109</w:t>
      </w:r>
      <w:r w:rsidRPr="00C43F1B">
        <w:rPr>
          <w:rFonts w:hint="cs"/>
          <w:rtl/>
        </w:rPr>
        <w:t xml:space="preserve"> תלונות, בשנת 2017 ב-168 תלונות ובשנת 2018 - ב-184 תלונות. </w:t>
      </w:r>
      <w:r>
        <w:rPr>
          <w:rFonts w:hint="cs"/>
          <w:rtl/>
        </w:rPr>
        <w:t>לנוכח מספר העובדים הכפופים לחוק המשמעת, מספר התלונות עשוי ללמד ש</w:t>
      </w:r>
      <w:r w:rsidRPr="00C43F1B">
        <w:rPr>
          <w:rFonts w:hint="cs"/>
          <w:rtl/>
        </w:rPr>
        <w:t>עדיין יש תת-דיווח ב</w:t>
      </w:r>
      <w:r w:rsidRPr="00C43F1B">
        <w:rPr>
          <w:rtl/>
        </w:rPr>
        <w:t xml:space="preserve">נושא ההטרדה המינית. </w:t>
      </w:r>
    </w:p>
    <w:p w14:paraId="6138B402" w14:textId="77777777" w:rsidR="00417266" w:rsidRDefault="00417266" w:rsidP="00F76D11">
      <w:pPr>
        <w:pStyle w:val="af2"/>
        <w:rPr>
          <w:rtl/>
        </w:rPr>
      </w:pPr>
      <w:r w:rsidRPr="00C43F1B">
        <w:rPr>
          <w:rFonts w:hint="cs"/>
          <w:rtl/>
        </w:rPr>
        <w:t xml:space="preserve">בחודשים יולי-אוקטובר 2018 שלח משרד מבקר המדינה שאלון ל-90 הממונות על </w:t>
      </w:r>
      <w:r>
        <w:rPr>
          <w:rFonts w:hint="cs"/>
          <w:rtl/>
        </w:rPr>
        <w:t xml:space="preserve">מניעת </w:t>
      </w:r>
      <w:r w:rsidRPr="00C43F1B">
        <w:rPr>
          <w:rFonts w:hint="cs"/>
          <w:rtl/>
        </w:rPr>
        <w:t>הטרד</w:t>
      </w:r>
      <w:r>
        <w:rPr>
          <w:rFonts w:hint="cs"/>
          <w:rtl/>
        </w:rPr>
        <w:t>ה</w:t>
      </w:r>
      <w:r w:rsidRPr="00C43F1B">
        <w:rPr>
          <w:rFonts w:hint="cs"/>
          <w:rtl/>
        </w:rPr>
        <w:t xml:space="preserve"> מינית, ובו התבקשו בין היתר לתאר קשיים הקשורים להליך בירור התלונה על הטרדה מינית. </w:t>
      </w:r>
      <w:r>
        <w:rPr>
          <w:rFonts w:hint="cs"/>
          <w:rtl/>
        </w:rPr>
        <w:t>38</w:t>
      </w:r>
      <w:r w:rsidRPr="00C43F1B">
        <w:rPr>
          <w:rFonts w:hint="cs"/>
          <w:rtl/>
        </w:rPr>
        <w:t xml:space="preserve"> ממונות השיבו </w:t>
      </w:r>
      <w:r>
        <w:rPr>
          <w:rFonts w:hint="cs"/>
          <w:rtl/>
        </w:rPr>
        <w:t>ע</w:t>
      </w:r>
      <w:r w:rsidRPr="00C43F1B">
        <w:rPr>
          <w:rFonts w:hint="cs"/>
          <w:rtl/>
        </w:rPr>
        <w:t>ל</w:t>
      </w:r>
      <w:r>
        <w:rPr>
          <w:rFonts w:hint="cs"/>
          <w:rtl/>
        </w:rPr>
        <w:t xml:space="preserve"> ה</w:t>
      </w:r>
      <w:r w:rsidRPr="00C43F1B">
        <w:rPr>
          <w:rFonts w:hint="cs"/>
          <w:rtl/>
        </w:rPr>
        <w:t xml:space="preserve">שאלון. </w:t>
      </w:r>
      <w:r>
        <w:rPr>
          <w:rFonts w:hint="cs"/>
          <w:rtl/>
        </w:rPr>
        <w:t>אלו עיקרי תשובותיהן:</w:t>
      </w:r>
    </w:p>
    <w:p w14:paraId="617248C9" w14:textId="77777777" w:rsidR="00417266" w:rsidRPr="00EE6579" w:rsidRDefault="00417266" w:rsidP="00436B37">
      <w:pPr>
        <w:pStyle w:val="a8"/>
        <w:rPr>
          <w:rtl/>
        </w:rPr>
      </w:pPr>
      <w:r w:rsidRPr="008B24A4">
        <w:rPr>
          <w:rFonts w:hint="eastAsia"/>
          <w:sz w:val="24"/>
          <w:rtl/>
        </w:rPr>
        <w:t>תרשים</w:t>
      </w:r>
      <w:r w:rsidRPr="00EE6579">
        <w:rPr>
          <w:rtl/>
        </w:rPr>
        <w:t xml:space="preserve"> </w:t>
      </w:r>
      <w:r>
        <w:rPr>
          <w:rFonts w:hint="cs"/>
          <w:rtl/>
        </w:rPr>
        <w:t>15</w:t>
      </w:r>
      <w:r w:rsidRPr="00EE6579">
        <w:rPr>
          <w:rtl/>
        </w:rPr>
        <w:t xml:space="preserve">: </w:t>
      </w:r>
      <w:r w:rsidRPr="00436B37">
        <w:rPr>
          <w:rFonts w:hint="cs"/>
          <w:b/>
          <w:bCs/>
          <w:rtl/>
        </w:rPr>
        <w:t>תשובות הממונות על מניעת הטרדה מינית מטעם נש"ם</w:t>
      </w:r>
      <w:r>
        <w:rPr>
          <w:rFonts w:hint="cs"/>
          <w:rtl/>
        </w:rPr>
        <w:t xml:space="preserve"> </w:t>
      </w:r>
    </w:p>
    <w:p w14:paraId="769BB126" w14:textId="77777777" w:rsidR="00417266" w:rsidRPr="00412017" w:rsidRDefault="00417266" w:rsidP="00417266">
      <w:pPr>
        <w:spacing w:line="269" w:lineRule="auto"/>
        <w:ind w:left="312"/>
        <w:rPr>
          <w:rtl/>
        </w:rPr>
      </w:pPr>
      <w:r w:rsidRPr="008B24A4">
        <w:rPr>
          <w:noProof/>
          <w:sz w:val="14"/>
          <w:szCs w:val="18"/>
          <w:rtl/>
        </w:rPr>
        <w:drawing>
          <wp:inline distT="0" distB="0" distL="0" distR="0" wp14:anchorId="603BAF78" wp14:editId="48DB6F15">
            <wp:extent cx="5020310" cy="3045460"/>
            <wp:effectExtent l="0" t="0" r="8890" b="2540"/>
            <wp:docPr id="211" name="תרשים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DE7F305" w14:textId="77777777" w:rsidR="00417266" w:rsidRPr="00DE04E4" w:rsidRDefault="00417266" w:rsidP="00436B37">
      <w:pPr>
        <w:pStyle w:val="aa"/>
        <w:rPr>
          <w:rtl/>
        </w:rPr>
      </w:pPr>
      <w:r w:rsidRPr="00DE04E4">
        <w:rPr>
          <w:rFonts w:hint="cs"/>
          <w:rtl/>
        </w:rPr>
        <w:t>על פי תשובות ממונות לשאלון בעיבוד משרד מבקר המדינה.</w:t>
      </w:r>
    </w:p>
    <w:p w14:paraId="345C4DA5" w14:textId="77777777" w:rsidR="00DF4978" w:rsidRDefault="00DF4978" w:rsidP="00011DF7">
      <w:pPr>
        <w:pStyle w:val="af2"/>
        <w:rPr>
          <w:rtl/>
        </w:rPr>
      </w:pPr>
    </w:p>
    <w:p w14:paraId="28BEF0CF" w14:textId="17ABC975" w:rsidR="00417266" w:rsidRPr="00C43F1B" w:rsidRDefault="00417266" w:rsidP="00011DF7">
      <w:pPr>
        <w:pStyle w:val="af2"/>
        <w:rPr>
          <w:rtl/>
        </w:rPr>
      </w:pPr>
      <w:r w:rsidRPr="00C43F1B">
        <w:rPr>
          <w:rFonts w:hint="cs"/>
          <w:rtl/>
        </w:rPr>
        <w:t>הממונות העלו בעיות שהן נתקלות בהן במהלך עבודתן. בין היתר ציינו כי לא תמיד נמסר להן ולמתלוננות על סיום הבירור בנש"ם, וכי אין להן מעמד מוסדר בהליך המשמעתי הפנימי שמתנהל במשרד אף על פי שפעילותן נעשית על פי חוק. לדבריהן, אי-שיתופן בהליכים המתקיימים בנש"ם ובמשרד מקשה עליהן לתת מענה ותמיכה למתלוננת. עוד ציינו כי אין די הדרכה לממונות והדרכות לכלל העובדים (ימי עיון, הרצאות) לשם הגברת המודעות לנושא.</w:t>
      </w:r>
    </w:p>
    <w:p w14:paraId="025B0280" w14:textId="77777777" w:rsidR="00417266" w:rsidRDefault="00417266" w:rsidP="00011DF7">
      <w:pPr>
        <w:pStyle w:val="af2"/>
        <w:rPr>
          <w:rtl/>
        </w:rPr>
      </w:pPr>
      <w:r w:rsidRPr="00C43F1B">
        <w:rPr>
          <w:rFonts w:hint="cs"/>
          <w:sz w:val="24"/>
          <w:rtl/>
        </w:rPr>
        <w:t xml:space="preserve">הממונות ציינו גם כי </w:t>
      </w:r>
      <w:r w:rsidRPr="00C43F1B">
        <w:rPr>
          <w:rFonts w:hint="cs"/>
          <w:rtl/>
        </w:rPr>
        <w:t xml:space="preserve">בירור התלונות בידי גורם חיצוני - אגף </w:t>
      </w:r>
      <w:r>
        <w:rPr>
          <w:rFonts w:hint="cs"/>
          <w:rtl/>
        </w:rPr>
        <w:t>ה</w:t>
      </w:r>
      <w:r w:rsidRPr="00C43F1B">
        <w:rPr>
          <w:rFonts w:hint="cs"/>
          <w:rtl/>
        </w:rPr>
        <w:t xml:space="preserve">משמעת בנש"ם - מרתיע חלק מהנפגעות והן נמנעות מלכתחילה מהגשת התלונה. חסם זה נוסף </w:t>
      </w:r>
      <w:r w:rsidRPr="00C43F1B">
        <w:rPr>
          <w:rFonts w:hint="cs"/>
          <w:sz w:val="24"/>
          <w:rtl/>
        </w:rPr>
        <w:t xml:space="preserve">על חסמים אחרים המונעים הגשת תלונות על הטרדה במקומות העבודה, ובהם: חשש מהתנכלות למתלוננות, מיחס שלילי ואף פיטורין; חשש שהארגון לא יראה הגשת תלונות בעין יפה, מאחר שהטרדה מינית בעבודה משפיעה גם על הארגון מבחינות רבות, כגון תחלופת עובדים גבוהה, ריבוי היעדרויות, פגיעה באיכות העבודה והצורך בהחזר הוצאות רפואיות ובתשלום פיצויים. </w:t>
      </w:r>
    </w:p>
    <w:p w14:paraId="3624B9A3" w14:textId="77777777" w:rsidR="00417266" w:rsidRPr="00C43F1B" w:rsidRDefault="00417266" w:rsidP="00011DF7">
      <w:pPr>
        <w:pStyle w:val="af2"/>
        <w:rPr>
          <w:rtl/>
        </w:rPr>
      </w:pPr>
      <w:r>
        <w:rPr>
          <w:rFonts w:hint="cs"/>
          <w:rtl/>
        </w:rPr>
        <w:t xml:space="preserve">נש"ם מסרה בתשובתה כי אכן זוהה קושי בקשרי העבודה עם הממונות במשרדי הממשלה, ועל כן עמל אגף המשמעת בנש"ם על חיזוק קשרים אלה, באמצעות הרצאות וסדנאות לממונות וכן קשר יומיומי ותדיר של התובעת הממונה על תחום ההטרדות המיניות באגף המשמעת בנש"ם עם הממונות בכל המשרדים. כמו כן, אגף המשמעת והאגף לשוויון מגדרי הסדירו דרכי עבודה משותפות, וכיום יש שיתוף פעולה מלא בין שני האגפים בהיבטים של קשיים שעולים בעבודת הממונות. </w:t>
      </w:r>
    </w:p>
    <w:p w14:paraId="26433A1F" w14:textId="77777777" w:rsidR="00417266" w:rsidRDefault="00417266" w:rsidP="00DF4978">
      <w:pPr>
        <w:pStyle w:val="ac"/>
        <w:rPr>
          <w:rtl/>
        </w:rPr>
      </w:pPr>
      <w:r w:rsidRPr="00C43F1B">
        <w:rPr>
          <w:rFonts w:hint="eastAsia"/>
          <w:rtl/>
        </w:rPr>
        <w:t>משרד</w:t>
      </w:r>
      <w:r w:rsidRPr="00C43F1B">
        <w:rPr>
          <w:rtl/>
        </w:rPr>
        <w:t xml:space="preserve"> מבקר המדינה מ</w:t>
      </w:r>
      <w:r>
        <w:rPr>
          <w:rFonts w:hint="cs"/>
          <w:rtl/>
        </w:rPr>
        <w:t>מליץ</w:t>
      </w:r>
      <w:r w:rsidRPr="00C43F1B">
        <w:rPr>
          <w:rtl/>
        </w:rPr>
        <w:t xml:space="preserve"> </w:t>
      </w:r>
      <w:r w:rsidRPr="00C43F1B">
        <w:rPr>
          <w:rFonts w:hint="eastAsia"/>
          <w:rtl/>
        </w:rPr>
        <w:t>ל</w:t>
      </w:r>
      <w:r w:rsidRPr="00C43F1B">
        <w:rPr>
          <w:rFonts w:hint="cs"/>
          <w:rtl/>
        </w:rPr>
        <w:t>נש"ם</w:t>
      </w:r>
      <w:r>
        <w:rPr>
          <w:rFonts w:hint="cs"/>
          <w:rtl/>
        </w:rPr>
        <w:t xml:space="preserve"> להמשיך ו</w:t>
      </w:r>
      <w:r w:rsidRPr="00C43F1B">
        <w:rPr>
          <w:rFonts w:hint="cs"/>
          <w:rtl/>
        </w:rPr>
        <w:t xml:space="preserve">לפעול </w:t>
      </w:r>
      <w:r w:rsidRPr="00C43F1B">
        <w:rPr>
          <w:rtl/>
        </w:rPr>
        <w:t>לח</w:t>
      </w:r>
      <w:r w:rsidRPr="00C43F1B">
        <w:rPr>
          <w:rFonts w:hint="cs"/>
          <w:rtl/>
        </w:rPr>
        <w:t>י</w:t>
      </w:r>
      <w:r w:rsidRPr="00C43F1B">
        <w:rPr>
          <w:rtl/>
        </w:rPr>
        <w:t>ז</w:t>
      </w:r>
      <w:r w:rsidRPr="00C43F1B">
        <w:rPr>
          <w:rFonts w:hint="cs"/>
          <w:rtl/>
        </w:rPr>
        <w:t>ו</w:t>
      </w:r>
      <w:r w:rsidRPr="00C43F1B">
        <w:rPr>
          <w:rtl/>
        </w:rPr>
        <w:t>ק הקשר ע</w:t>
      </w:r>
      <w:r w:rsidRPr="00C43F1B">
        <w:rPr>
          <w:rFonts w:hint="eastAsia"/>
          <w:rtl/>
        </w:rPr>
        <w:t>ם</w:t>
      </w:r>
      <w:r w:rsidRPr="00C43F1B">
        <w:rPr>
          <w:rtl/>
        </w:rPr>
        <w:t xml:space="preserve"> </w:t>
      </w:r>
      <w:r w:rsidRPr="00C43F1B">
        <w:rPr>
          <w:rFonts w:hint="eastAsia"/>
          <w:rtl/>
        </w:rPr>
        <w:t>הממונות</w:t>
      </w:r>
      <w:r w:rsidRPr="00C43F1B">
        <w:rPr>
          <w:rFonts w:hint="cs"/>
          <w:rtl/>
        </w:rPr>
        <w:t xml:space="preserve"> בין היתר באמצעות הגברת</w:t>
      </w:r>
      <w:r w:rsidRPr="00C43F1B">
        <w:rPr>
          <w:rtl/>
        </w:rPr>
        <w:t xml:space="preserve"> ההדרכות הייעודיות,</w:t>
      </w:r>
      <w:r>
        <w:rPr>
          <w:rFonts w:hint="cs"/>
          <w:rtl/>
        </w:rPr>
        <w:t xml:space="preserve"> מיסוד הליך חפיפה בין ממונה ותיקה לממונה חדשה</w:t>
      </w:r>
      <w:r w:rsidRPr="00C43F1B">
        <w:rPr>
          <w:rtl/>
        </w:rPr>
        <w:t xml:space="preserve"> </w:t>
      </w:r>
      <w:r w:rsidRPr="00C43F1B">
        <w:rPr>
          <w:rFonts w:hint="cs"/>
          <w:rtl/>
        </w:rPr>
        <w:t xml:space="preserve">והפצת </w:t>
      </w:r>
      <w:r>
        <w:rPr>
          <w:rFonts w:hint="cs"/>
          <w:rtl/>
        </w:rPr>
        <w:t>תיקוני</w:t>
      </w:r>
      <w:r w:rsidRPr="00C43F1B">
        <w:rPr>
          <w:rtl/>
        </w:rPr>
        <w:t xml:space="preserve"> חקיקה רלוונטיים</w:t>
      </w:r>
      <w:r w:rsidRPr="00C43F1B">
        <w:rPr>
          <w:rFonts w:hint="cs"/>
          <w:rtl/>
        </w:rPr>
        <w:t xml:space="preserve">. כן עליו להגביר את שיתופן </w:t>
      </w:r>
      <w:r>
        <w:rPr>
          <w:rFonts w:hint="cs"/>
          <w:rtl/>
        </w:rPr>
        <w:t xml:space="preserve">של הממונות </w:t>
      </w:r>
      <w:r w:rsidRPr="00C43F1B">
        <w:rPr>
          <w:rFonts w:hint="cs"/>
          <w:rtl/>
        </w:rPr>
        <w:t>בהליך הטיפול בתלונות ולעדכנן על שלבי הטיפול. עליו</w:t>
      </w:r>
      <w:r w:rsidRPr="00C43F1B">
        <w:rPr>
          <w:rtl/>
        </w:rPr>
        <w:t xml:space="preserve"> </w:t>
      </w:r>
      <w:r w:rsidRPr="00C43F1B">
        <w:rPr>
          <w:rFonts w:hint="cs"/>
          <w:rtl/>
        </w:rPr>
        <w:t xml:space="preserve">גם </w:t>
      </w:r>
      <w:r w:rsidRPr="00C43F1B">
        <w:rPr>
          <w:rFonts w:hint="eastAsia"/>
          <w:rtl/>
        </w:rPr>
        <w:t>ללמוד</w:t>
      </w:r>
      <w:r w:rsidRPr="00C43F1B">
        <w:rPr>
          <w:rtl/>
        </w:rPr>
        <w:t xml:space="preserve"> על הקשיים </w:t>
      </w:r>
      <w:r w:rsidRPr="00C43F1B">
        <w:rPr>
          <w:rFonts w:hint="eastAsia"/>
          <w:rtl/>
        </w:rPr>
        <w:t>והבעיות</w:t>
      </w:r>
      <w:r w:rsidRPr="00C43F1B">
        <w:rPr>
          <w:rtl/>
        </w:rPr>
        <w:t xml:space="preserve"> </w:t>
      </w:r>
      <w:r w:rsidRPr="00C43F1B">
        <w:rPr>
          <w:rFonts w:hint="cs"/>
          <w:rtl/>
        </w:rPr>
        <w:t>ש</w:t>
      </w:r>
      <w:r w:rsidRPr="00C43F1B">
        <w:rPr>
          <w:rtl/>
        </w:rPr>
        <w:t xml:space="preserve">הן נתקלות </w:t>
      </w:r>
      <w:r w:rsidRPr="00C43F1B">
        <w:rPr>
          <w:rFonts w:hint="cs"/>
          <w:rtl/>
        </w:rPr>
        <w:t xml:space="preserve">בהם </w:t>
      </w:r>
      <w:r w:rsidRPr="00C43F1B">
        <w:rPr>
          <w:rFonts w:hint="eastAsia"/>
          <w:rtl/>
        </w:rPr>
        <w:t>בעבודתן</w:t>
      </w:r>
      <w:r w:rsidRPr="00C43F1B">
        <w:rPr>
          <w:rtl/>
        </w:rPr>
        <w:t xml:space="preserve"> </w:t>
      </w:r>
      <w:r w:rsidRPr="00C43F1B">
        <w:rPr>
          <w:rFonts w:hint="cs"/>
          <w:rtl/>
        </w:rPr>
        <w:t xml:space="preserve">ועל החסמים המונעים מן הנפגעות להגיש תלונה - </w:t>
      </w:r>
      <w:r>
        <w:rPr>
          <w:rFonts w:hint="cs"/>
          <w:rtl/>
        </w:rPr>
        <w:t>ולהתייחס</w:t>
      </w:r>
      <w:r w:rsidRPr="00C43F1B">
        <w:rPr>
          <w:rFonts w:hint="cs"/>
          <w:rtl/>
        </w:rPr>
        <w:t xml:space="preserve"> לכל אלה במסגרת</w:t>
      </w:r>
      <w:r w:rsidRPr="00C43F1B">
        <w:rPr>
          <w:rtl/>
        </w:rPr>
        <w:t xml:space="preserve"> הדרכות </w:t>
      </w:r>
      <w:r w:rsidRPr="00C43F1B">
        <w:rPr>
          <w:rFonts w:hint="cs"/>
          <w:rtl/>
        </w:rPr>
        <w:t xml:space="preserve">שיינתנו </w:t>
      </w:r>
      <w:r w:rsidRPr="00C43F1B">
        <w:rPr>
          <w:rtl/>
        </w:rPr>
        <w:t>לכלל העובדים במשרדי הממשלה.</w:t>
      </w:r>
      <w:r>
        <w:rPr>
          <w:rFonts w:hint="cs"/>
          <w:rtl/>
        </w:rPr>
        <w:t xml:space="preserve"> כמו כן, מומלץ לבחון קביעת דרכי טיפול בתלונות אנונימיות.</w:t>
      </w:r>
    </w:p>
    <w:p w14:paraId="7A9E7299" w14:textId="77777777" w:rsidR="00417266" w:rsidRPr="00777FC4" w:rsidRDefault="00417266" w:rsidP="00C21175">
      <w:pPr>
        <w:pStyle w:val="af2"/>
        <w:rPr>
          <w:rtl/>
        </w:rPr>
      </w:pPr>
      <w:r>
        <w:rPr>
          <w:rFonts w:hint="cs"/>
          <w:rtl/>
        </w:rPr>
        <w:t>אגף המשמעת בנש"ם מסר בתשובתו כי ייקח לתשומת ליבו את הערת משרד מבקר המדינה ובמידת האפשר יגביר את עדכון הממונות על אודות ההליכים המתנהלים באגף.</w:t>
      </w:r>
    </w:p>
    <w:p w14:paraId="1B1A0A38" w14:textId="77777777" w:rsidR="00417266" w:rsidRDefault="00417266" w:rsidP="00C21175">
      <w:pPr>
        <w:pStyle w:val="a0"/>
      </w:pPr>
      <w:r w:rsidRPr="00C43F1B">
        <w:rPr>
          <w:rFonts w:hint="cs"/>
          <w:rtl/>
        </w:rPr>
        <w:t xml:space="preserve">גם במסגרת המסלול המשמעתי, בדומה למסלול הפלילי, התפתחו עם השנים הליכים חלופיים של יישוב סכסוכים. אחד מהם הוא הליך של </w:t>
      </w:r>
      <w:r w:rsidRPr="00C43F1B">
        <w:rPr>
          <w:rtl/>
        </w:rPr>
        <w:t xml:space="preserve">"צדק </w:t>
      </w:r>
      <w:r w:rsidRPr="00C43F1B">
        <w:rPr>
          <w:rFonts w:hint="cs"/>
          <w:rtl/>
        </w:rPr>
        <w:t>מאחה</w:t>
      </w:r>
      <w:r w:rsidRPr="00C43F1B">
        <w:rPr>
          <w:rtl/>
        </w:rPr>
        <w:t>"</w:t>
      </w:r>
      <w:r w:rsidRPr="00C43F1B">
        <w:rPr>
          <w:vertAlign w:val="superscript"/>
          <w:rtl/>
        </w:rPr>
        <w:footnoteReference w:id="73"/>
      </w:r>
      <w:r w:rsidRPr="00C43F1B">
        <w:rPr>
          <w:rFonts w:hint="cs"/>
          <w:rtl/>
        </w:rPr>
        <w:t>. פעמים רבות המתלוננת מעוניינת רק בהכרה בפגיעתה או פשוט שהפגיעה תיפסק</w:t>
      </w:r>
      <w:r>
        <w:rPr>
          <w:rFonts w:hint="cs"/>
          <w:rtl/>
        </w:rPr>
        <w:t>,</w:t>
      </w:r>
      <w:r w:rsidRPr="00C43F1B">
        <w:rPr>
          <w:rFonts w:hint="cs"/>
          <w:rtl/>
        </w:rPr>
        <w:t xml:space="preserve"> והליכי צדק מאחה יכולים לגשר בין שני הצדדים על ידי הסכמות שהם מגיעים אליהן באמצעות הממונה. </w:t>
      </w:r>
    </w:p>
    <w:p w14:paraId="096426DA" w14:textId="77777777" w:rsidR="00417266" w:rsidRPr="0091408F" w:rsidRDefault="00417266" w:rsidP="00C21175">
      <w:pPr>
        <w:pStyle w:val="af2"/>
        <w:rPr>
          <w:rtl/>
        </w:rPr>
      </w:pPr>
      <w:r>
        <w:rPr>
          <w:rFonts w:hint="cs"/>
          <w:rtl/>
        </w:rPr>
        <w:lastRenderedPageBreak/>
        <w:t>אגף המשמעת בנש"ם מסר בתשובתו כי המחויבות של נש"ם היא קודם כול לברר את החשד בדבר הטרדה מינית, ואם החשד מתאמת - לטפל במטריד באופן שיבטיח את אמון הציבור בשירות הציבורי ויספק סביבת עבודה בטוחה ומוגנת לכלל העובדים.</w:t>
      </w:r>
    </w:p>
    <w:p w14:paraId="6361D055" w14:textId="77777777" w:rsidR="00417266" w:rsidRPr="00C43F1B" w:rsidRDefault="00417266" w:rsidP="00C21175">
      <w:pPr>
        <w:pStyle w:val="ac"/>
        <w:rPr>
          <w:rtl/>
        </w:rPr>
      </w:pPr>
      <w:r>
        <w:rPr>
          <w:rFonts w:hint="cs"/>
          <w:rtl/>
        </w:rPr>
        <w:t xml:space="preserve">החוק למניעת הטרדה מינית העניק למתלוננת את הכוח לנווט את הטיפול בתלונה, ולכן, המחויבות היא בראש ובראשונה כלפי המתלוננת. כאמור לעיל, הליך צדק מאחה מרחיב את דרכי הפעולה של המתלוננת, וייתכן שהגברת השימוש בהליך זה תדרבן מתלוננות שחששו עד כה להגיש תלונה רשמית להגיש תלונה בכל זאת. מטעם זה </w:t>
      </w:r>
      <w:r w:rsidRPr="00C43F1B">
        <w:rPr>
          <w:rFonts w:hint="cs"/>
          <w:rtl/>
        </w:rPr>
        <w:t xml:space="preserve">מוצע כי נש"ם תבחן </w:t>
      </w:r>
      <w:r>
        <w:rPr>
          <w:rFonts w:hint="cs"/>
          <w:rtl/>
        </w:rPr>
        <w:t>עם היחידה לנפגעי עבירה בפרקליטות את קידום השימוש ב</w:t>
      </w:r>
      <w:r w:rsidRPr="00C43F1B">
        <w:rPr>
          <w:rFonts w:hint="eastAsia"/>
          <w:rtl/>
        </w:rPr>
        <w:t>הליך</w:t>
      </w:r>
      <w:r w:rsidRPr="00C43F1B">
        <w:rPr>
          <w:rtl/>
        </w:rPr>
        <w:t xml:space="preserve"> </w:t>
      </w:r>
      <w:r w:rsidRPr="00C43F1B">
        <w:rPr>
          <w:rFonts w:hint="eastAsia"/>
          <w:rtl/>
        </w:rPr>
        <w:t>צדק</w:t>
      </w:r>
      <w:r w:rsidRPr="00C43F1B">
        <w:rPr>
          <w:rtl/>
        </w:rPr>
        <w:t xml:space="preserve"> </w:t>
      </w:r>
      <w:r w:rsidRPr="00C43F1B">
        <w:rPr>
          <w:rFonts w:hint="eastAsia"/>
          <w:rtl/>
        </w:rPr>
        <w:t>מאחה</w:t>
      </w:r>
      <w:r w:rsidRPr="00C43F1B">
        <w:rPr>
          <w:rtl/>
        </w:rPr>
        <w:t xml:space="preserve"> </w:t>
      </w:r>
      <w:r w:rsidRPr="00C43F1B">
        <w:rPr>
          <w:rFonts w:hint="eastAsia"/>
          <w:rtl/>
        </w:rPr>
        <w:t>במקרים</w:t>
      </w:r>
      <w:r w:rsidRPr="00C43F1B">
        <w:rPr>
          <w:rtl/>
        </w:rPr>
        <w:t xml:space="preserve"> </w:t>
      </w:r>
      <w:r w:rsidRPr="00C43F1B">
        <w:rPr>
          <w:rFonts w:hint="eastAsia"/>
          <w:rtl/>
        </w:rPr>
        <w:t>של</w:t>
      </w:r>
      <w:r w:rsidRPr="00C43F1B">
        <w:rPr>
          <w:rtl/>
        </w:rPr>
        <w:t xml:space="preserve"> </w:t>
      </w:r>
      <w:r w:rsidRPr="00C43F1B">
        <w:rPr>
          <w:rFonts w:hint="eastAsia"/>
          <w:rtl/>
        </w:rPr>
        <w:t>הטרדות</w:t>
      </w:r>
      <w:r w:rsidRPr="00C43F1B">
        <w:rPr>
          <w:rtl/>
        </w:rPr>
        <w:t xml:space="preserve"> </w:t>
      </w:r>
      <w:r w:rsidRPr="00C43F1B">
        <w:rPr>
          <w:rFonts w:hint="eastAsia"/>
          <w:rtl/>
        </w:rPr>
        <w:t>מיניות</w:t>
      </w:r>
      <w:r w:rsidRPr="00C43F1B">
        <w:rPr>
          <w:rFonts w:hint="cs"/>
          <w:rtl/>
        </w:rPr>
        <w:t>,</w:t>
      </w:r>
      <w:r w:rsidRPr="00C43F1B">
        <w:rPr>
          <w:rtl/>
        </w:rPr>
        <w:t xml:space="preserve"> </w:t>
      </w:r>
      <w:r>
        <w:rPr>
          <w:rFonts w:hint="cs"/>
          <w:rtl/>
        </w:rPr>
        <w:t>בכלל זה תיקים ש</w:t>
      </w:r>
      <w:r w:rsidRPr="00C43F1B">
        <w:rPr>
          <w:rFonts w:hint="cs"/>
          <w:rtl/>
        </w:rPr>
        <w:t xml:space="preserve">החזירה </w:t>
      </w:r>
      <w:r>
        <w:rPr>
          <w:rFonts w:hint="cs"/>
          <w:rtl/>
        </w:rPr>
        <w:t xml:space="preserve">למשרד הרלוונטי </w:t>
      </w:r>
      <w:r w:rsidRPr="00C43F1B">
        <w:rPr>
          <w:rFonts w:hint="eastAsia"/>
          <w:rtl/>
        </w:rPr>
        <w:t>לטיפול</w:t>
      </w:r>
      <w:r w:rsidRPr="00C43F1B">
        <w:rPr>
          <w:rtl/>
        </w:rPr>
        <w:t xml:space="preserve"> </w:t>
      </w:r>
      <w:r w:rsidRPr="00C43F1B">
        <w:rPr>
          <w:rFonts w:hint="eastAsia"/>
          <w:rtl/>
        </w:rPr>
        <w:t>משמעתי</w:t>
      </w:r>
      <w:r w:rsidRPr="00C43F1B">
        <w:rPr>
          <w:rtl/>
        </w:rPr>
        <w:t xml:space="preserve"> </w:t>
      </w:r>
      <w:r w:rsidRPr="00C43F1B">
        <w:rPr>
          <w:rFonts w:hint="eastAsia"/>
          <w:rtl/>
        </w:rPr>
        <w:t>פנים</w:t>
      </w:r>
      <w:r w:rsidRPr="00C43F1B">
        <w:rPr>
          <w:rtl/>
        </w:rPr>
        <w:t xml:space="preserve">-משרדי. </w:t>
      </w:r>
    </w:p>
    <w:p w14:paraId="2F6A4321" w14:textId="77777777" w:rsidR="00417266" w:rsidRPr="00FC59C2" w:rsidRDefault="00417266" w:rsidP="00C21175">
      <w:pPr>
        <w:pStyle w:val="af2"/>
        <w:rPr>
          <w:rtl/>
        </w:rPr>
      </w:pPr>
      <w:r w:rsidRPr="00B34E87">
        <w:rPr>
          <w:rFonts w:hint="eastAsia"/>
          <w:rtl/>
        </w:rPr>
        <w:t>משרד</w:t>
      </w:r>
      <w:r w:rsidRPr="00B34E87">
        <w:rPr>
          <w:rtl/>
        </w:rPr>
        <w:t xml:space="preserve"> המשפטים מסר בתשובתו כי בסוף מאי 2019 ערכה מנכ"לית </w:t>
      </w:r>
      <w:r>
        <w:rPr>
          <w:rFonts w:hint="cs"/>
          <w:rtl/>
        </w:rPr>
        <w:t>ה</w:t>
      </w:r>
      <w:r w:rsidRPr="00B34E87">
        <w:rPr>
          <w:rtl/>
        </w:rPr>
        <w:t xml:space="preserve">משרד </w:t>
      </w:r>
      <w:r>
        <w:rPr>
          <w:rFonts w:hint="cs"/>
          <w:rtl/>
        </w:rPr>
        <w:t>ד</w:t>
      </w:r>
      <w:r w:rsidRPr="00B34E87">
        <w:rPr>
          <w:rtl/>
        </w:rPr>
        <w:t xml:space="preserve">אז ישיבה עם נציגי אגף המשמעת </w:t>
      </w:r>
      <w:r>
        <w:rPr>
          <w:rFonts w:hint="cs"/>
          <w:rtl/>
        </w:rPr>
        <w:t>בנש"ם, ובה</w:t>
      </w:r>
      <w:r w:rsidRPr="00B34E87">
        <w:rPr>
          <w:rtl/>
        </w:rPr>
        <w:t xml:space="preserve"> הוצגו קשיים הנוגעים להיקף הדיווח הנדרש ולמרחב שיקול הדעת של הממונות במשרדי הממשלה. </w:t>
      </w:r>
      <w:r w:rsidRPr="00B34E87">
        <w:rPr>
          <w:rFonts w:hint="eastAsia"/>
          <w:rtl/>
        </w:rPr>
        <w:t>אגף</w:t>
      </w:r>
      <w:r w:rsidRPr="00B34E87">
        <w:rPr>
          <w:rtl/>
        </w:rPr>
        <w:t xml:space="preserve"> המשמעת התבקש לערוך חשיבה מחודשת לגבי ההנחיות הניתנות לממונות </w:t>
      </w:r>
      <w:r>
        <w:rPr>
          <w:rFonts w:hint="cs"/>
          <w:rtl/>
        </w:rPr>
        <w:t>ב</w:t>
      </w:r>
      <w:r w:rsidRPr="00B34E87">
        <w:rPr>
          <w:rtl/>
        </w:rPr>
        <w:t xml:space="preserve">עניין הדיווחים </w:t>
      </w:r>
      <w:r w:rsidRPr="00E37771">
        <w:rPr>
          <w:rtl/>
        </w:rPr>
        <w:t xml:space="preserve">לאגף </w:t>
      </w:r>
      <w:r>
        <w:rPr>
          <w:rFonts w:hint="cs"/>
          <w:rtl/>
        </w:rPr>
        <w:t>ה</w:t>
      </w:r>
      <w:r w:rsidRPr="00E37771">
        <w:rPr>
          <w:rtl/>
        </w:rPr>
        <w:t xml:space="preserve">משמעת על הטרדות מיניות. </w:t>
      </w:r>
      <w:r w:rsidRPr="00E37771">
        <w:rPr>
          <w:rFonts w:hint="eastAsia"/>
          <w:rtl/>
        </w:rPr>
        <w:t>נוסף</w:t>
      </w:r>
      <w:r w:rsidRPr="00E37771">
        <w:rPr>
          <w:rtl/>
        </w:rPr>
        <w:t xml:space="preserve"> על כך התבקשה מנהלת האגף לשוויון מגדרי </w:t>
      </w:r>
      <w:r w:rsidRPr="00E37771">
        <w:rPr>
          <w:rFonts w:hint="eastAsia"/>
          <w:rtl/>
        </w:rPr>
        <w:t>בנש</w:t>
      </w:r>
      <w:r w:rsidRPr="00E37771">
        <w:rPr>
          <w:rtl/>
        </w:rPr>
        <w:t xml:space="preserve">"ם </w:t>
      </w:r>
      <w:r>
        <w:rPr>
          <w:rFonts w:hint="cs"/>
          <w:rtl/>
        </w:rPr>
        <w:t xml:space="preserve">למפות את </w:t>
      </w:r>
      <w:r w:rsidRPr="00E37771">
        <w:rPr>
          <w:rtl/>
        </w:rPr>
        <w:t xml:space="preserve">האתגרים העומדים </w:t>
      </w:r>
      <w:r>
        <w:rPr>
          <w:rFonts w:hint="cs"/>
          <w:rtl/>
        </w:rPr>
        <w:t>ל</w:t>
      </w:r>
      <w:r w:rsidRPr="00E37771">
        <w:rPr>
          <w:rtl/>
        </w:rPr>
        <w:t xml:space="preserve">פני משרדי הממשלה במהלך הטיפול בתלונות על הטרדה מינית מול אגף </w:t>
      </w:r>
      <w:r>
        <w:rPr>
          <w:rFonts w:hint="cs"/>
          <w:rtl/>
        </w:rPr>
        <w:t>ה</w:t>
      </w:r>
      <w:r w:rsidRPr="00E37771">
        <w:rPr>
          <w:rtl/>
        </w:rPr>
        <w:t>משמעת.</w:t>
      </w:r>
      <w:r>
        <w:rPr>
          <w:rFonts w:hint="cs"/>
          <w:rtl/>
        </w:rPr>
        <w:t xml:space="preserve"> </w:t>
      </w:r>
    </w:p>
    <w:p w14:paraId="3B190553" w14:textId="1F2E6E75" w:rsidR="00417266" w:rsidRDefault="00417266" w:rsidP="00C21175">
      <w:pPr>
        <w:pStyle w:val="ac"/>
        <w:rPr>
          <w:rtl/>
        </w:rPr>
      </w:pPr>
      <w:r w:rsidRPr="00C43F1B">
        <w:rPr>
          <w:rFonts w:hint="cs"/>
          <w:rtl/>
        </w:rPr>
        <w:t>לנוכח מ</w:t>
      </w:r>
      <w:r>
        <w:rPr>
          <w:rFonts w:hint="cs"/>
          <w:rtl/>
        </w:rPr>
        <w:t>ספר</w:t>
      </w:r>
      <w:r w:rsidRPr="00C43F1B">
        <w:rPr>
          <w:rFonts w:hint="cs"/>
          <w:rtl/>
        </w:rPr>
        <w:t xml:space="preserve"> התלונות</w:t>
      </w:r>
      <w:r>
        <w:rPr>
          <w:rFonts w:hint="cs"/>
          <w:rtl/>
        </w:rPr>
        <w:t>, המלמד ככל הנראה על תת-דיווח,</w:t>
      </w:r>
      <w:r w:rsidRPr="00C43F1B">
        <w:rPr>
          <w:rFonts w:hint="cs"/>
          <w:rtl/>
        </w:rPr>
        <w:t xml:space="preserve"> </w:t>
      </w:r>
      <w:r>
        <w:rPr>
          <w:rFonts w:hint="cs"/>
          <w:rtl/>
        </w:rPr>
        <w:t>על</w:t>
      </w:r>
      <w:r w:rsidRPr="00C43F1B">
        <w:rPr>
          <w:rFonts w:hint="cs"/>
          <w:rtl/>
        </w:rPr>
        <w:t xml:space="preserve"> </w:t>
      </w:r>
      <w:r>
        <w:rPr>
          <w:rFonts w:hint="cs"/>
          <w:rtl/>
        </w:rPr>
        <w:t>נש"ם לבחון</w:t>
      </w:r>
      <w:r w:rsidRPr="00C43F1B">
        <w:rPr>
          <w:rFonts w:hint="cs"/>
          <w:rtl/>
        </w:rPr>
        <w:t xml:space="preserve">, בשיתוף יחידת נפגעי עבירה בפרקליטות המדינה, את השימוש במסלולי הטיפול החלופיים להליך המשמעתי כדי לפרוץ </w:t>
      </w:r>
      <w:r>
        <w:rPr>
          <w:rFonts w:hint="cs"/>
          <w:rtl/>
        </w:rPr>
        <w:t>דרכים חדשות</w:t>
      </w:r>
      <w:r w:rsidRPr="00C43F1B">
        <w:rPr>
          <w:rFonts w:hint="cs"/>
          <w:rtl/>
        </w:rPr>
        <w:t xml:space="preserve"> לטיפול בהטרדות ולהרחיב את מבחר הכלים העומדים לפני הנפגעות. כן </w:t>
      </w:r>
      <w:r>
        <w:rPr>
          <w:rFonts w:hint="cs"/>
          <w:rtl/>
        </w:rPr>
        <w:t>עליה</w:t>
      </w:r>
      <w:r w:rsidRPr="00C43F1B">
        <w:rPr>
          <w:rFonts w:hint="cs"/>
          <w:rtl/>
        </w:rPr>
        <w:t xml:space="preserve"> </w:t>
      </w:r>
      <w:r w:rsidRPr="00C43F1B">
        <w:rPr>
          <w:rFonts w:hint="eastAsia"/>
          <w:rtl/>
        </w:rPr>
        <w:t>לבחון</w:t>
      </w:r>
      <w:r w:rsidRPr="00C43F1B">
        <w:rPr>
          <w:rtl/>
        </w:rPr>
        <w:t xml:space="preserve"> </w:t>
      </w:r>
      <w:r w:rsidRPr="00C43F1B">
        <w:rPr>
          <w:rFonts w:hint="cs"/>
          <w:rtl/>
        </w:rPr>
        <w:t xml:space="preserve">בשיתוף </w:t>
      </w:r>
      <w:r w:rsidRPr="00C43F1B">
        <w:rPr>
          <w:rtl/>
        </w:rPr>
        <w:t xml:space="preserve">בעלי מקצוע </w:t>
      </w:r>
      <w:r w:rsidRPr="00C43F1B">
        <w:rPr>
          <w:rFonts w:hint="eastAsia"/>
          <w:rtl/>
        </w:rPr>
        <w:t>מתחומי</w:t>
      </w:r>
      <w:r w:rsidRPr="00C43F1B">
        <w:rPr>
          <w:rFonts w:hint="cs"/>
          <w:rtl/>
        </w:rPr>
        <w:t xml:space="preserve"> ידע </w:t>
      </w:r>
      <w:r>
        <w:rPr>
          <w:rFonts w:hint="cs"/>
          <w:rtl/>
        </w:rPr>
        <w:t>אחרים</w:t>
      </w:r>
      <w:r w:rsidRPr="00C43F1B">
        <w:rPr>
          <w:rFonts w:hint="eastAsia"/>
          <w:rtl/>
        </w:rPr>
        <w:t xml:space="preserve"> את</w:t>
      </w:r>
      <w:r w:rsidRPr="00C43F1B">
        <w:rPr>
          <w:rtl/>
        </w:rPr>
        <w:t xml:space="preserve"> </w:t>
      </w:r>
      <w:r w:rsidRPr="00C43F1B">
        <w:rPr>
          <w:rFonts w:hint="eastAsia"/>
          <w:rtl/>
        </w:rPr>
        <w:t>הדרכים</w:t>
      </w:r>
      <w:r w:rsidRPr="00C43F1B">
        <w:rPr>
          <w:rtl/>
        </w:rPr>
        <w:t xml:space="preserve"> </w:t>
      </w:r>
      <w:r w:rsidRPr="00C43F1B">
        <w:rPr>
          <w:rFonts w:hint="eastAsia"/>
          <w:rtl/>
        </w:rPr>
        <w:t>להסרת</w:t>
      </w:r>
      <w:r w:rsidRPr="00C43F1B">
        <w:rPr>
          <w:rtl/>
        </w:rPr>
        <w:t xml:space="preserve"> </w:t>
      </w:r>
      <w:r w:rsidRPr="00C43F1B">
        <w:rPr>
          <w:rFonts w:hint="eastAsia"/>
          <w:rtl/>
        </w:rPr>
        <w:t>החסמים</w:t>
      </w:r>
      <w:r w:rsidRPr="00C43F1B">
        <w:rPr>
          <w:rtl/>
        </w:rPr>
        <w:t xml:space="preserve"> המונעים </w:t>
      </w:r>
      <w:r w:rsidRPr="00C43F1B">
        <w:rPr>
          <w:rFonts w:hint="eastAsia"/>
          <w:rtl/>
        </w:rPr>
        <w:t>הגשת</w:t>
      </w:r>
      <w:r w:rsidRPr="00C43F1B">
        <w:rPr>
          <w:rtl/>
        </w:rPr>
        <w:t xml:space="preserve"> </w:t>
      </w:r>
      <w:r w:rsidRPr="00C43F1B">
        <w:rPr>
          <w:rFonts w:hint="eastAsia"/>
          <w:rtl/>
        </w:rPr>
        <w:t>תלונות</w:t>
      </w:r>
      <w:r w:rsidRPr="00C43F1B">
        <w:rPr>
          <w:rFonts w:hint="cs"/>
          <w:rtl/>
        </w:rPr>
        <w:t xml:space="preserve">, לחזק את מעמדן של </w:t>
      </w:r>
      <w:r w:rsidRPr="00C43F1B">
        <w:rPr>
          <w:rFonts w:hint="eastAsia"/>
          <w:rtl/>
        </w:rPr>
        <w:t>הממונות</w:t>
      </w:r>
      <w:r w:rsidRPr="00C43F1B">
        <w:rPr>
          <w:rtl/>
        </w:rPr>
        <w:t xml:space="preserve"> </w:t>
      </w:r>
      <w:r w:rsidRPr="00C43F1B">
        <w:rPr>
          <w:rFonts w:hint="cs"/>
          <w:rtl/>
        </w:rPr>
        <w:t xml:space="preserve">ולהקנות להן כלים חדשים להתמודדות עם </w:t>
      </w:r>
      <w:r w:rsidRPr="00C43F1B">
        <w:rPr>
          <w:rFonts w:hint="eastAsia"/>
          <w:rtl/>
        </w:rPr>
        <w:t>הקשיים</w:t>
      </w:r>
      <w:r w:rsidRPr="00C43F1B">
        <w:rPr>
          <w:rtl/>
        </w:rPr>
        <w:t xml:space="preserve"> </w:t>
      </w:r>
      <w:r w:rsidRPr="00C43F1B">
        <w:rPr>
          <w:rFonts w:hint="cs"/>
          <w:rtl/>
        </w:rPr>
        <w:t>ש</w:t>
      </w:r>
      <w:r w:rsidRPr="00C43F1B">
        <w:rPr>
          <w:rFonts w:hint="eastAsia"/>
          <w:rtl/>
        </w:rPr>
        <w:t>הן</w:t>
      </w:r>
      <w:r w:rsidRPr="00C43F1B">
        <w:rPr>
          <w:rtl/>
        </w:rPr>
        <w:t xml:space="preserve"> </w:t>
      </w:r>
      <w:r w:rsidRPr="00C43F1B">
        <w:rPr>
          <w:rFonts w:hint="eastAsia"/>
          <w:rtl/>
        </w:rPr>
        <w:t>נתקלות</w:t>
      </w:r>
      <w:r w:rsidRPr="00C43F1B">
        <w:rPr>
          <w:rFonts w:hint="cs"/>
          <w:rtl/>
        </w:rPr>
        <w:t xml:space="preserve"> בהם. </w:t>
      </w:r>
    </w:p>
    <w:p w14:paraId="163BA299" w14:textId="3BEAB43E" w:rsidR="00417266" w:rsidRPr="00C43F1B" w:rsidRDefault="00417266" w:rsidP="00651A21">
      <w:pPr>
        <w:pStyle w:val="316"/>
        <w:rPr>
          <w:rtl/>
        </w:rPr>
      </w:pPr>
      <w:bookmarkStart w:id="30" w:name="_Toc9150798"/>
      <w:r w:rsidRPr="00C43F1B">
        <w:rPr>
          <w:rFonts w:hint="cs"/>
          <w:rtl/>
        </w:rPr>
        <w:t>פעולות נוספות למניעת הטרדה מינית במגזר הציבורי</w:t>
      </w:r>
      <w:bookmarkEnd w:id="30"/>
    </w:p>
    <w:p w14:paraId="1BB73016" w14:textId="77777777" w:rsidR="00417266" w:rsidRDefault="00417266" w:rsidP="00651A21">
      <w:pPr>
        <w:pStyle w:val="100"/>
        <w:rPr>
          <w:rtl/>
        </w:rPr>
      </w:pPr>
      <w:r w:rsidRPr="00C43F1B">
        <w:rPr>
          <w:rFonts w:hint="cs"/>
          <w:rtl/>
        </w:rPr>
        <w:t>מאז מחקר העשור</w:t>
      </w:r>
      <w:r>
        <w:rPr>
          <w:rFonts w:hint="cs"/>
          <w:rtl/>
        </w:rPr>
        <w:t xml:space="preserve"> (ראו לעיל)</w:t>
      </w:r>
      <w:r w:rsidRPr="00C43F1B">
        <w:rPr>
          <w:rFonts w:hint="cs"/>
          <w:rtl/>
        </w:rPr>
        <w:t xml:space="preserve">, שבו עלה ששיעור התלונות הגדול ביותר במגזר הציבורי היה בגופי הצבא והביטחון, חלו שינויים בהתנהלות גופים אלה. גופי הביטחון הגדולים - צה"ל, המשטרה </w:t>
      </w:r>
      <w:r>
        <w:rPr>
          <w:rFonts w:hint="cs"/>
          <w:rtl/>
        </w:rPr>
        <w:t>ושב"ס</w:t>
      </w:r>
      <w:r w:rsidRPr="00C43F1B">
        <w:rPr>
          <w:rFonts w:hint="cs"/>
          <w:rtl/>
        </w:rPr>
        <w:t xml:space="preserve"> - מאופיינים </w:t>
      </w:r>
      <w:r>
        <w:rPr>
          <w:rFonts w:hint="cs"/>
          <w:rtl/>
        </w:rPr>
        <w:t>בהיותם</w:t>
      </w:r>
      <w:r w:rsidRPr="00C43F1B">
        <w:rPr>
          <w:rFonts w:hint="cs"/>
          <w:rtl/>
        </w:rPr>
        <w:t xml:space="preserve"> ארגונים סגורים המפוזרים ברחבי הארץ, מעסיקים מספר גדול של אנשים ויש בהם היררכיה ברורה. למרות המורכבות הזאת הם פעלו לשינוי התרבות הארגונית ולמניעת הטרדות מיניות בקרב העובדים. </w:t>
      </w:r>
    </w:p>
    <w:p w14:paraId="24E4340A" w14:textId="77777777" w:rsidR="00417266" w:rsidRPr="00C43F1B" w:rsidRDefault="00417266" w:rsidP="00651A21">
      <w:pPr>
        <w:pStyle w:val="af3"/>
        <w:rPr>
          <w:rtl/>
        </w:rPr>
      </w:pPr>
      <w:r w:rsidRPr="00C43F1B">
        <w:rPr>
          <w:rFonts w:hint="eastAsia"/>
          <w:rtl/>
        </w:rPr>
        <w:t>משרד</w:t>
      </w:r>
      <w:r w:rsidRPr="00C43F1B">
        <w:rPr>
          <w:rtl/>
        </w:rPr>
        <w:t xml:space="preserve"> </w:t>
      </w:r>
      <w:r w:rsidRPr="00C43F1B">
        <w:rPr>
          <w:rFonts w:hint="eastAsia"/>
          <w:rtl/>
        </w:rPr>
        <w:t>מבקר</w:t>
      </w:r>
      <w:r w:rsidRPr="00C43F1B">
        <w:rPr>
          <w:rtl/>
        </w:rPr>
        <w:t xml:space="preserve"> </w:t>
      </w:r>
      <w:r w:rsidRPr="00C43F1B">
        <w:rPr>
          <w:rFonts w:hint="eastAsia"/>
          <w:rtl/>
        </w:rPr>
        <w:t>המדינה</w:t>
      </w:r>
      <w:r w:rsidRPr="00C43F1B">
        <w:rPr>
          <w:rtl/>
        </w:rPr>
        <w:t xml:space="preserve"> </w:t>
      </w:r>
      <w:r>
        <w:rPr>
          <w:rFonts w:hint="cs"/>
          <w:rtl/>
        </w:rPr>
        <w:t>ממליץ</w:t>
      </w:r>
      <w:r w:rsidRPr="00C43F1B">
        <w:rPr>
          <w:rtl/>
        </w:rPr>
        <w:t xml:space="preserve"> </w:t>
      </w:r>
      <w:r w:rsidRPr="00C43F1B">
        <w:rPr>
          <w:rFonts w:hint="eastAsia"/>
          <w:rtl/>
        </w:rPr>
        <w:t>לנש</w:t>
      </w:r>
      <w:r w:rsidRPr="00C43F1B">
        <w:rPr>
          <w:rtl/>
        </w:rPr>
        <w:t xml:space="preserve">"ם לבחון את השינויים </w:t>
      </w:r>
      <w:r w:rsidRPr="00C43F1B">
        <w:rPr>
          <w:rFonts w:hint="eastAsia"/>
          <w:rtl/>
        </w:rPr>
        <w:t>בטיפול</w:t>
      </w:r>
      <w:r w:rsidRPr="00C43F1B">
        <w:rPr>
          <w:rtl/>
        </w:rPr>
        <w:t xml:space="preserve"> בהטרדות מיניות </w:t>
      </w:r>
      <w:r w:rsidRPr="00C43F1B">
        <w:rPr>
          <w:rFonts w:hint="eastAsia"/>
          <w:rtl/>
        </w:rPr>
        <w:t>שנעשו</w:t>
      </w:r>
      <w:r w:rsidRPr="00C43F1B">
        <w:rPr>
          <w:rtl/>
        </w:rPr>
        <w:t xml:space="preserve"> </w:t>
      </w:r>
      <w:r w:rsidRPr="00C43F1B">
        <w:rPr>
          <w:rFonts w:hint="cs"/>
          <w:rtl/>
        </w:rPr>
        <w:t>ב</w:t>
      </w:r>
      <w:r w:rsidRPr="00C43F1B">
        <w:rPr>
          <w:rtl/>
        </w:rPr>
        <w:t xml:space="preserve">צה"ל, </w:t>
      </w:r>
      <w:r w:rsidRPr="00C43F1B">
        <w:rPr>
          <w:rFonts w:hint="cs"/>
          <w:rtl/>
        </w:rPr>
        <w:t>ב</w:t>
      </w:r>
      <w:r w:rsidRPr="00C43F1B">
        <w:rPr>
          <w:rtl/>
        </w:rPr>
        <w:t>משטר</w:t>
      </w:r>
      <w:r w:rsidRPr="00C43F1B">
        <w:rPr>
          <w:rFonts w:hint="cs"/>
          <w:rtl/>
        </w:rPr>
        <w:t>ה</w:t>
      </w:r>
      <w:r w:rsidRPr="00C43F1B">
        <w:rPr>
          <w:rtl/>
        </w:rPr>
        <w:t xml:space="preserve"> ו</w:t>
      </w:r>
      <w:r w:rsidRPr="00C43F1B">
        <w:rPr>
          <w:rFonts w:hint="cs"/>
          <w:rtl/>
        </w:rPr>
        <w:t>ב</w:t>
      </w:r>
      <w:r w:rsidRPr="00C43F1B">
        <w:rPr>
          <w:rtl/>
        </w:rPr>
        <w:t xml:space="preserve">שב"ס </w:t>
      </w:r>
      <w:r w:rsidRPr="00C43F1B">
        <w:rPr>
          <w:rFonts w:hint="eastAsia"/>
          <w:rtl/>
        </w:rPr>
        <w:t>ולבחון</w:t>
      </w:r>
      <w:r w:rsidRPr="00C43F1B">
        <w:rPr>
          <w:rtl/>
        </w:rPr>
        <w:t xml:space="preserve"> </w:t>
      </w:r>
      <w:r w:rsidRPr="00C43F1B">
        <w:rPr>
          <w:rFonts w:hint="cs"/>
          <w:rtl/>
        </w:rPr>
        <w:t xml:space="preserve">אילו מהם </w:t>
      </w:r>
      <w:r w:rsidRPr="00C43F1B">
        <w:rPr>
          <w:rFonts w:hint="eastAsia"/>
          <w:rtl/>
        </w:rPr>
        <w:t>ניתן</w:t>
      </w:r>
      <w:r w:rsidRPr="00C43F1B">
        <w:rPr>
          <w:rtl/>
        </w:rPr>
        <w:t xml:space="preserve"> ליישם </w:t>
      </w:r>
      <w:r w:rsidRPr="00C43F1B">
        <w:rPr>
          <w:rFonts w:hint="eastAsia"/>
          <w:rtl/>
        </w:rPr>
        <w:t>גם</w:t>
      </w:r>
      <w:r w:rsidRPr="00C43F1B">
        <w:rPr>
          <w:rtl/>
        </w:rPr>
        <w:t xml:space="preserve"> </w:t>
      </w:r>
      <w:r w:rsidRPr="00C43F1B">
        <w:rPr>
          <w:rFonts w:hint="eastAsia"/>
          <w:rtl/>
        </w:rPr>
        <w:t>בגופים</w:t>
      </w:r>
      <w:r w:rsidRPr="00C43F1B">
        <w:rPr>
          <w:rtl/>
        </w:rPr>
        <w:t xml:space="preserve"> </w:t>
      </w:r>
      <w:r w:rsidRPr="00C43F1B">
        <w:rPr>
          <w:rFonts w:hint="cs"/>
          <w:rtl/>
        </w:rPr>
        <w:t>ש</w:t>
      </w:r>
      <w:r w:rsidRPr="00C43F1B">
        <w:rPr>
          <w:rtl/>
        </w:rPr>
        <w:t xml:space="preserve">באחריותו. להלן פרטים על </w:t>
      </w:r>
      <w:r w:rsidRPr="00C43F1B">
        <w:rPr>
          <w:rFonts w:hint="eastAsia"/>
          <w:rtl/>
        </w:rPr>
        <w:t>כמה</w:t>
      </w:r>
      <w:r w:rsidRPr="00C43F1B">
        <w:rPr>
          <w:rtl/>
        </w:rPr>
        <w:t xml:space="preserve"> </w:t>
      </w:r>
      <w:r w:rsidRPr="00C43F1B">
        <w:rPr>
          <w:rFonts w:hint="eastAsia"/>
          <w:rtl/>
        </w:rPr>
        <w:t>מהפעולות</w:t>
      </w:r>
      <w:r w:rsidRPr="00C43F1B">
        <w:rPr>
          <w:rtl/>
        </w:rPr>
        <w:t xml:space="preserve"> </w:t>
      </w:r>
      <w:r w:rsidRPr="00C43F1B">
        <w:rPr>
          <w:rFonts w:hint="eastAsia"/>
          <w:rtl/>
        </w:rPr>
        <w:t>שנקטו</w:t>
      </w:r>
      <w:r w:rsidRPr="00C43F1B">
        <w:rPr>
          <w:rtl/>
        </w:rPr>
        <w:t xml:space="preserve"> </w:t>
      </w:r>
      <w:r w:rsidRPr="00C43F1B">
        <w:rPr>
          <w:rFonts w:hint="cs"/>
          <w:rtl/>
        </w:rPr>
        <w:t xml:space="preserve">גופים אלה ואשר </w:t>
      </w:r>
      <w:r w:rsidRPr="00C43F1B">
        <w:rPr>
          <w:rFonts w:hint="eastAsia"/>
          <w:rtl/>
        </w:rPr>
        <w:t>הביאו</w:t>
      </w:r>
      <w:r w:rsidRPr="00C43F1B">
        <w:rPr>
          <w:rtl/>
        </w:rPr>
        <w:t xml:space="preserve"> </w:t>
      </w:r>
      <w:r w:rsidRPr="00C43F1B">
        <w:rPr>
          <w:rFonts w:hint="eastAsia"/>
          <w:rtl/>
        </w:rPr>
        <w:t>לשינוי</w:t>
      </w:r>
      <w:r w:rsidRPr="00C43F1B">
        <w:rPr>
          <w:rtl/>
        </w:rPr>
        <w:t>.</w:t>
      </w:r>
    </w:p>
    <w:p w14:paraId="49CC4E4A" w14:textId="0FB99141" w:rsidR="00417266" w:rsidRPr="008714DB" w:rsidRDefault="00417266" w:rsidP="008714DB">
      <w:pPr>
        <w:pStyle w:val="100"/>
        <w:rPr>
          <w:rtl/>
        </w:rPr>
      </w:pPr>
      <w:bookmarkStart w:id="31" w:name="_Toc9150799"/>
      <w:r w:rsidRPr="00557A6C">
        <w:rPr>
          <w:rStyle w:val="Heading5Char"/>
          <w:rFonts w:eastAsiaTheme="minorHAnsi" w:hint="eastAsia"/>
          <w:bCs w:val="0"/>
          <w:color w:val="387026"/>
          <w:spacing w:val="0"/>
          <w:sz w:val="23"/>
          <w:szCs w:val="23"/>
          <w:rtl/>
        </w:rPr>
        <w:lastRenderedPageBreak/>
        <w:t>תקנון</w:t>
      </w:r>
      <w:r w:rsidRPr="00557A6C">
        <w:rPr>
          <w:rStyle w:val="Heading5Char"/>
          <w:rFonts w:eastAsiaTheme="minorHAnsi"/>
          <w:bCs w:val="0"/>
          <w:color w:val="387026"/>
          <w:spacing w:val="0"/>
          <w:sz w:val="23"/>
          <w:szCs w:val="23"/>
          <w:rtl/>
        </w:rPr>
        <w:t xml:space="preserve"> </w:t>
      </w:r>
      <w:r w:rsidRPr="00557A6C">
        <w:rPr>
          <w:rStyle w:val="Heading5Char"/>
          <w:rFonts w:eastAsiaTheme="minorHAnsi" w:hint="eastAsia"/>
          <w:bCs w:val="0"/>
          <w:color w:val="387026"/>
          <w:spacing w:val="0"/>
          <w:sz w:val="23"/>
          <w:szCs w:val="23"/>
          <w:rtl/>
        </w:rPr>
        <w:t>מותאם</w:t>
      </w:r>
      <w:r w:rsidRPr="00557A6C">
        <w:rPr>
          <w:rStyle w:val="Heading5Char"/>
          <w:rFonts w:eastAsiaTheme="minorHAnsi" w:hint="cs"/>
          <w:bCs w:val="0"/>
          <w:color w:val="387026"/>
          <w:spacing w:val="0"/>
          <w:sz w:val="23"/>
          <w:szCs w:val="23"/>
          <w:rtl/>
        </w:rPr>
        <w:t>:</w:t>
      </w:r>
      <w:bookmarkEnd w:id="31"/>
      <w:r w:rsidRPr="008714DB">
        <w:rPr>
          <w:color w:val="387026"/>
          <w:rtl/>
        </w:rPr>
        <w:t xml:space="preserve"> </w:t>
      </w:r>
      <w:r w:rsidRPr="008714DB">
        <w:rPr>
          <w:rFonts w:hint="eastAsia"/>
          <w:rtl/>
        </w:rPr>
        <w:t>פקודת</w:t>
      </w:r>
      <w:r w:rsidRPr="008714DB">
        <w:rPr>
          <w:rtl/>
        </w:rPr>
        <w:t xml:space="preserve"> </w:t>
      </w:r>
      <w:r w:rsidRPr="008714DB">
        <w:rPr>
          <w:rFonts w:hint="cs"/>
          <w:rtl/>
        </w:rPr>
        <w:t>ה</w:t>
      </w:r>
      <w:r w:rsidRPr="008714DB">
        <w:rPr>
          <w:rFonts w:hint="eastAsia"/>
          <w:rtl/>
        </w:rPr>
        <w:t>מטכ</w:t>
      </w:r>
      <w:r w:rsidRPr="008714DB">
        <w:rPr>
          <w:rtl/>
        </w:rPr>
        <w:t xml:space="preserve">"ל </w:t>
      </w:r>
      <w:r w:rsidRPr="008714DB">
        <w:rPr>
          <w:rFonts w:hint="cs"/>
          <w:rtl/>
        </w:rPr>
        <w:t>בנושא "</w:t>
      </w:r>
      <w:r w:rsidRPr="008714DB">
        <w:rPr>
          <w:rFonts w:hint="eastAsia"/>
          <w:rtl/>
        </w:rPr>
        <w:t>איסור</w:t>
      </w:r>
      <w:r w:rsidRPr="008714DB">
        <w:rPr>
          <w:rtl/>
        </w:rPr>
        <w:t xml:space="preserve"> </w:t>
      </w:r>
      <w:r w:rsidRPr="008714DB">
        <w:rPr>
          <w:rFonts w:hint="eastAsia"/>
          <w:rtl/>
        </w:rPr>
        <w:t>פגיעה</w:t>
      </w:r>
      <w:r w:rsidRPr="008714DB">
        <w:rPr>
          <w:rtl/>
        </w:rPr>
        <w:t xml:space="preserve"> </w:t>
      </w:r>
      <w:r w:rsidRPr="008714DB">
        <w:rPr>
          <w:rFonts w:hint="eastAsia"/>
          <w:rtl/>
        </w:rPr>
        <w:t>על</w:t>
      </w:r>
      <w:r w:rsidRPr="008714DB">
        <w:rPr>
          <w:rtl/>
        </w:rPr>
        <w:t xml:space="preserve"> </w:t>
      </w:r>
      <w:r w:rsidRPr="008714DB">
        <w:rPr>
          <w:rFonts w:hint="eastAsia"/>
          <w:rtl/>
        </w:rPr>
        <w:t>רקע</w:t>
      </w:r>
      <w:r w:rsidRPr="008714DB">
        <w:rPr>
          <w:rtl/>
        </w:rPr>
        <w:t xml:space="preserve"> </w:t>
      </w:r>
      <w:r w:rsidRPr="008714DB">
        <w:rPr>
          <w:rFonts w:hint="eastAsia"/>
          <w:rtl/>
        </w:rPr>
        <w:t>מיני</w:t>
      </w:r>
      <w:r w:rsidRPr="008714DB">
        <w:rPr>
          <w:rFonts w:hint="cs"/>
          <w:rtl/>
        </w:rPr>
        <w:t>"</w:t>
      </w:r>
      <w:r w:rsidRPr="008714DB">
        <w:rPr>
          <w:rtl/>
        </w:rPr>
        <w:t xml:space="preserve"> </w:t>
      </w:r>
      <w:r w:rsidRPr="008714DB">
        <w:rPr>
          <w:rFonts w:hint="cs"/>
          <w:rtl/>
        </w:rPr>
        <w:t xml:space="preserve">משנת 1979 </w:t>
      </w:r>
      <w:r w:rsidRPr="008714DB">
        <w:rPr>
          <w:rFonts w:hint="eastAsia"/>
          <w:rtl/>
        </w:rPr>
        <w:t>עוסקת</w:t>
      </w:r>
      <w:r w:rsidRPr="008714DB">
        <w:rPr>
          <w:rtl/>
        </w:rPr>
        <w:t xml:space="preserve"> </w:t>
      </w:r>
      <w:r w:rsidRPr="008714DB">
        <w:rPr>
          <w:rFonts w:hint="eastAsia"/>
          <w:rtl/>
        </w:rPr>
        <w:t>בטיפול</w:t>
      </w:r>
      <w:r w:rsidRPr="008714DB">
        <w:rPr>
          <w:rtl/>
        </w:rPr>
        <w:t xml:space="preserve"> </w:t>
      </w:r>
      <w:r w:rsidRPr="008714DB">
        <w:rPr>
          <w:rFonts w:hint="eastAsia"/>
          <w:rtl/>
        </w:rPr>
        <w:t>בהטרדות</w:t>
      </w:r>
      <w:r w:rsidRPr="008714DB">
        <w:rPr>
          <w:rtl/>
        </w:rPr>
        <w:t xml:space="preserve"> </w:t>
      </w:r>
      <w:r w:rsidRPr="008714DB">
        <w:rPr>
          <w:rFonts w:hint="eastAsia"/>
          <w:rtl/>
        </w:rPr>
        <w:t>מיניות</w:t>
      </w:r>
      <w:r w:rsidRPr="008714DB">
        <w:rPr>
          <w:rtl/>
        </w:rPr>
        <w:t xml:space="preserve"> </w:t>
      </w:r>
      <w:r w:rsidRPr="008714DB">
        <w:rPr>
          <w:rFonts w:hint="cs"/>
          <w:rtl/>
        </w:rPr>
        <w:t xml:space="preserve">ומניעתן </w:t>
      </w:r>
      <w:r w:rsidRPr="008714DB">
        <w:rPr>
          <w:rFonts w:hint="eastAsia"/>
          <w:rtl/>
        </w:rPr>
        <w:t>בצה</w:t>
      </w:r>
      <w:r w:rsidRPr="008714DB">
        <w:rPr>
          <w:rtl/>
        </w:rPr>
        <w:t>"ל</w:t>
      </w:r>
      <w:r w:rsidRPr="008714DB">
        <w:rPr>
          <w:rFonts w:hint="cs"/>
          <w:rtl/>
        </w:rPr>
        <w:t>.</w:t>
      </w:r>
      <w:r w:rsidRPr="008714DB">
        <w:rPr>
          <w:rtl/>
        </w:rPr>
        <w:t xml:space="preserve"> </w:t>
      </w:r>
      <w:r w:rsidRPr="008714DB">
        <w:rPr>
          <w:rFonts w:hint="cs"/>
          <w:rtl/>
        </w:rPr>
        <w:t>הפקודה למעשה היא תקנון למניעת הטרדה מינית המותאם לאוכלוסיית החיילים ולמאפיינים הייחודים של השירות הצבאי. במהלך השנים עודכנה הפקודה מפעם לפעם ונעשו שינויים ב</w:t>
      </w:r>
      <w:r w:rsidRPr="008714DB">
        <w:rPr>
          <w:rtl/>
        </w:rPr>
        <w:t>תקנון למניעת הטרדה מינית</w:t>
      </w:r>
      <w:r w:rsidRPr="008714DB">
        <w:rPr>
          <w:rFonts w:hint="cs"/>
          <w:rtl/>
        </w:rPr>
        <w:t>. המשטרה פרסמה בשנת 2015 את "</w:t>
      </w:r>
      <w:r w:rsidRPr="008714DB">
        <w:rPr>
          <w:rFonts w:hint="eastAsia"/>
          <w:rtl/>
        </w:rPr>
        <w:t>פקוד</w:t>
      </w:r>
      <w:r w:rsidRPr="008714DB">
        <w:rPr>
          <w:rFonts w:hint="cs"/>
          <w:rtl/>
        </w:rPr>
        <w:t>ת</w:t>
      </w:r>
      <w:r w:rsidRPr="008714DB">
        <w:rPr>
          <w:rtl/>
        </w:rPr>
        <w:t xml:space="preserve"> איסור הטרדה מינית, פגיעה מינית והתנכלות במשטרה, מניעה ודרכי טיפול</w:t>
      </w:r>
      <w:r w:rsidRPr="008714DB">
        <w:rPr>
          <w:rFonts w:hint="cs"/>
          <w:rtl/>
        </w:rPr>
        <w:t>". הפקודה מגדירה באופן מפורש מהם "יחסי מרות" במשטרה</w:t>
      </w:r>
      <w:r w:rsidRPr="008714DB">
        <w:rPr>
          <w:rStyle w:val="FootnoteReference"/>
          <w:rtl/>
        </w:rPr>
        <w:footnoteReference w:id="74"/>
      </w:r>
      <w:r w:rsidRPr="008714DB">
        <w:rPr>
          <w:rFonts w:hint="cs"/>
          <w:rtl/>
        </w:rPr>
        <w:t>, היא מפרטת את הגורמים שאפשר להגיש להם תלונה על הטרדה מינית וקובעת חובה ייחודית של דיווח על הטרדה מינית</w:t>
      </w:r>
      <w:r w:rsidRPr="00DF1261">
        <w:rPr>
          <w:rStyle w:val="FootnoteReference"/>
          <w:rtl/>
        </w:rPr>
        <w:footnoteReference w:id="75"/>
      </w:r>
      <w:r w:rsidRPr="00DF1261">
        <w:rPr>
          <w:rFonts w:hint="cs"/>
          <w:vertAlign w:val="superscript"/>
          <w:rtl/>
        </w:rPr>
        <w:t xml:space="preserve"> </w:t>
      </w:r>
      <w:r w:rsidR="00DF1261">
        <w:rPr>
          <w:rFonts w:hint="cs"/>
          <w:vertAlign w:val="superscript"/>
          <w:rtl/>
        </w:rPr>
        <w:t xml:space="preserve"> </w:t>
      </w:r>
      <w:r w:rsidRPr="008714DB">
        <w:rPr>
          <w:rFonts w:hint="cs"/>
          <w:rtl/>
        </w:rPr>
        <w:t>ואת הפעולות שנדרשת הממונה לבצע לאחר קבלת תלונה בעניין זה. שב"ס הוסיף בשנת 2008 את עבירת ההטרדה המינית לרשימת עבירות המשמעת המפורטות בפקודת בתי הסוהר</w:t>
      </w:r>
      <w:r w:rsidRPr="008714DB">
        <w:rPr>
          <w:rStyle w:val="FootnoteReference"/>
          <w:rtl/>
        </w:rPr>
        <w:footnoteReference w:id="76"/>
      </w:r>
      <w:r w:rsidRPr="008714DB">
        <w:rPr>
          <w:rFonts w:hint="cs"/>
          <w:rtl/>
        </w:rPr>
        <w:t xml:space="preserve">. </w:t>
      </w:r>
    </w:p>
    <w:p w14:paraId="7AD8A919" w14:textId="77777777" w:rsidR="00417266" w:rsidRPr="00C43F1B" w:rsidRDefault="00417266" w:rsidP="00FF5E85">
      <w:pPr>
        <w:pStyle w:val="af3"/>
        <w:rPr>
          <w:rtl/>
        </w:rPr>
      </w:pPr>
      <w:r w:rsidRPr="00C43F1B">
        <w:rPr>
          <w:rFonts w:hint="eastAsia"/>
          <w:rtl/>
        </w:rPr>
        <w:t>התאמת</w:t>
      </w:r>
      <w:r w:rsidRPr="00C43F1B">
        <w:rPr>
          <w:rtl/>
        </w:rPr>
        <w:t xml:space="preserve"> תקנונים לאופי המיוחד של כל גוף מסייע</w:t>
      </w:r>
      <w:r w:rsidRPr="00C43F1B">
        <w:rPr>
          <w:rFonts w:hint="cs"/>
          <w:rtl/>
        </w:rPr>
        <w:t>ת</w:t>
      </w:r>
      <w:r w:rsidRPr="00C43F1B">
        <w:rPr>
          <w:rtl/>
        </w:rPr>
        <w:t xml:space="preserve"> להקטין את </w:t>
      </w:r>
      <w:r w:rsidRPr="00C43F1B">
        <w:rPr>
          <w:rFonts w:hint="eastAsia"/>
          <w:rtl/>
        </w:rPr>
        <w:t>מספר</w:t>
      </w:r>
      <w:r w:rsidRPr="00C43F1B">
        <w:rPr>
          <w:rtl/>
        </w:rPr>
        <w:t xml:space="preserve"> </w:t>
      </w:r>
      <w:r w:rsidRPr="00C43F1B">
        <w:rPr>
          <w:rFonts w:hint="eastAsia"/>
          <w:rtl/>
        </w:rPr>
        <w:t>ההטרדות</w:t>
      </w:r>
      <w:r w:rsidRPr="00C43F1B">
        <w:rPr>
          <w:rtl/>
        </w:rPr>
        <w:t xml:space="preserve"> המיניות. כאמור </w:t>
      </w:r>
      <w:r>
        <w:rPr>
          <w:rFonts w:hint="cs"/>
          <w:rtl/>
        </w:rPr>
        <w:t>מומלץ כי</w:t>
      </w:r>
      <w:r w:rsidRPr="00C43F1B">
        <w:rPr>
          <w:rtl/>
        </w:rPr>
        <w:t xml:space="preserve"> נש"ם </w:t>
      </w:r>
      <w:r w:rsidRPr="00C43F1B">
        <w:rPr>
          <w:rFonts w:hint="cs"/>
          <w:rtl/>
        </w:rPr>
        <w:t>ת</w:t>
      </w:r>
      <w:r w:rsidRPr="00C43F1B">
        <w:rPr>
          <w:rtl/>
        </w:rPr>
        <w:t xml:space="preserve">בחן את הצורך </w:t>
      </w:r>
      <w:r>
        <w:rPr>
          <w:rFonts w:hint="cs"/>
          <w:rtl/>
        </w:rPr>
        <w:t>בתקנונים מותאמים</w:t>
      </w:r>
      <w:r w:rsidRPr="00C43F1B">
        <w:rPr>
          <w:rFonts w:hint="cs"/>
          <w:rtl/>
        </w:rPr>
        <w:t xml:space="preserve"> </w:t>
      </w:r>
      <w:r w:rsidRPr="00C43F1B">
        <w:rPr>
          <w:rtl/>
        </w:rPr>
        <w:t xml:space="preserve">בעיקר בגופים </w:t>
      </w:r>
      <w:r w:rsidRPr="00C43F1B">
        <w:rPr>
          <w:rFonts w:hint="eastAsia"/>
          <w:rtl/>
        </w:rPr>
        <w:t>ובמשרדים</w:t>
      </w:r>
      <w:r w:rsidRPr="00C43F1B">
        <w:rPr>
          <w:rtl/>
        </w:rPr>
        <w:t xml:space="preserve"> </w:t>
      </w:r>
      <w:r w:rsidRPr="00C43F1B">
        <w:rPr>
          <w:rFonts w:hint="eastAsia"/>
          <w:rtl/>
        </w:rPr>
        <w:t>גדולים</w:t>
      </w:r>
      <w:r w:rsidRPr="00C43F1B">
        <w:rPr>
          <w:rtl/>
        </w:rPr>
        <w:t xml:space="preserve"> </w:t>
      </w:r>
      <w:r w:rsidRPr="00C43F1B">
        <w:rPr>
          <w:rFonts w:hint="eastAsia"/>
          <w:rtl/>
        </w:rPr>
        <w:t>ש</w:t>
      </w:r>
      <w:r w:rsidRPr="00C43F1B">
        <w:rPr>
          <w:rFonts w:hint="cs"/>
          <w:rtl/>
        </w:rPr>
        <w:t xml:space="preserve">יש </w:t>
      </w:r>
      <w:r w:rsidRPr="00C43F1B">
        <w:rPr>
          <w:rFonts w:hint="eastAsia"/>
          <w:rtl/>
        </w:rPr>
        <w:t>להם</w:t>
      </w:r>
      <w:r w:rsidRPr="00C43F1B">
        <w:rPr>
          <w:rtl/>
        </w:rPr>
        <w:t xml:space="preserve"> </w:t>
      </w:r>
      <w:r w:rsidRPr="00C43F1B">
        <w:rPr>
          <w:rFonts w:hint="eastAsia"/>
          <w:rtl/>
        </w:rPr>
        <w:t>מאפיינים</w:t>
      </w:r>
      <w:r w:rsidRPr="00C43F1B">
        <w:rPr>
          <w:rtl/>
        </w:rPr>
        <w:t xml:space="preserve"> </w:t>
      </w:r>
      <w:r w:rsidRPr="00C43F1B">
        <w:rPr>
          <w:rFonts w:hint="eastAsia"/>
          <w:rtl/>
        </w:rPr>
        <w:t>ייחודיים</w:t>
      </w:r>
      <w:r w:rsidRPr="00C43F1B">
        <w:rPr>
          <w:rtl/>
        </w:rPr>
        <w:t xml:space="preserve">. </w:t>
      </w:r>
    </w:p>
    <w:p w14:paraId="6BBC5E06" w14:textId="1F620DD6" w:rsidR="00417266" w:rsidRPr="00FF5E85" w:rsidRDefault="00417266" w:rsidP="00FF5E85">
      <w:pPr>
        <w:pStyle w:val="100"/>
        <w:rPr>
          <w:rtl/>
        </w:rPr>
      </w:pPr>
      <w:bookmarkStart w:id="32" w:name="_Toc9150800"/>
      <w:r w:rsidRPr="002F7C75">
        <w:rPr>
          <w:rStyle w:val="Heading5Char"/>
          <w:rFonts w:eastAsiaTheme="minorHAnsi" w:hint="eastAsia"/>
          <w:bCs w:val="0"/>
          <w:color w:val="387026"/>
          <w:spacing w:val="0"/>
          <w:sz w:val="23"/>
          <w:szCs w:val="23"/>
          <w:rtl/>
        </w:rPr>
        <w:t>ליווי</w:t>
      </w:r>
      <w:r w:rsidRPr="002F7C75">
        <w:rPr>
          <w:rStyle w:val="Heading5Char"/>
          <w:rFonts w:eastAsiaTheme="minorHAnsi" w:hint="cs"/>
          <w:bCs w:val="0"/>
          <w:color w:val="387026"/>
          <w:spacing w:val="0"/>
          <w:sz w:val="23"/>
          <w:szCs w:val="23"/>
          <w:rtl/>
        </w:rPr>
        <w:t>,</w:t>
      </w:r>
      <w:r w:rsidRPr="002F7C75">
        <w:rPr>
          <w:rStyle w:val="Heading5Char"/>
          <w:rFonts w:eastAsiaTheme="minorHAnsi"/>
          <w:bCs w:val="0"/>
          <w:color w:val="387026"/>
          <w:spacing w:val="0"/>
          <w:sz w:val="23"/>
          <w:szCs w:val="23"/>
          <w:rtl/>
        </w:rPr>
        <w:t xml:space="preserve"> </w:t>
      </w:r>
      <w:r w:rsidRPr="002F7C75">
        <w:rPr>
          <w:rStyle w:val="Heading5Char"/>
          <w:rFonts w:eastAsiaTheme="minorHAnsi" w:hint="eastAsia"/>
          <w:bCs w:val="0"/>
          <w:color w:val="387026"/>
          <w:spacing w:val="0"/>
          <w:sz w:val="23"/>
          <w:szCs w:val="23"/>
          <w:rtl/>
        </w:rPr>
        <w:t>תמיכה</w:t>
      </w:r>
      <w:r w:rsidRPr="002F7C75">
        <w:rPr>
          <w:rStyle w:val="Heading5Char"/>
          <w:rFonts w:eastAsiaTheme="minorHAnsi"/>
          <w:bCs w:val="0"/>
          <w:color w:val="387026"/>
          <w:spacing w:val="0"/>
          <w:sz w:val="23"/>
          <w:szCs w:val="23"/>
          <w:rtl/>
        </w:rPr>
        <w:t xml:space="preserve"> </w:t>
      </w:r>
      <w:r w:rsidRPr="002F7C75">
        <w:rPr>
          <w:rStyle w:val="Heading5Char"/>
          <w:rFonts w:eastAsiaTheme="minorHAnsi" w:hint="eastAsia"/>
          <w:bCs w:val="0"/>
          <w:color w:val="387026"/>
          <w:spacing w:val="0"/>
          <w:sz w:val="23"/>
          <w:szCs w:val="23"/>
          <w:rtl/>
        </w:rPr>
        <w:t>והסרת</w:t>
      </w:r>
      <w:r w:rsidRPr="002F7C75">
        <w:rPr>
          <w:rStyle w:val="Heading5Char"/>
          <w:rFonts w:eastAsiaTheme="minorHAnsi"/>
          <w:bCs w:val="0"/>
          <w:color w:val="387026"/>
          <w:spacing w:val="0"/>
          <w:sz w:val="23"/>
          <w:szCs w:val="23"/>
          <w:rtl/>
        </w:rPr>
        <w:t xml:space="preserve"> </w:t>
      </w:r>
      <w:r w:rsidRPr="002F7C75">
        <w:rPr>
          <w:rStyle w:val="Heading5Char"/>
          <w:rFonts w:eastAsiaTheme="minorHAnsi" w:hint="eastAsia"/>
          <w:bCs w:val="0"/>
          <w:color w:val="387026"/>
          <w:spacing w:val="0"/>
          <w:sz w:val="23"/>
          <w:szCs w:val="23"/>
          <w:rtl/>
        </w:rPr>
        <w:t>חסמים</w:t>
      </w:r>
      <w:r w:rsidRPr="002F7C75">
        <w:rPr>
          <w:rStyle w:val="Heading5Char"/>
          <w:rFonts w:eastAsiaTheme="minorHAnsi" w:hint="cs"/>
          <w:bCs w:val="0"/>
          <w:color w:val="387026"/>
          <w:spacing w:val="0"/>
          <w:sz w:val="23"/>
          <w:szCs w:val="23"/>
          <w:rtl/>
        </w:rPr>
        <w:t>:</w:t>
      </w:r>
      <w:bookmarkEnd w:id="32"/>
      <w:r w:rsidRPr="002F7C75">
        <w:rPr>
          <w:rFonts w:hint="cs"/>
          <w:bCs/>
          <w:color w:val="387026"/>
          <w:sz w:val="23"/>
          <w:szCs w:val="23"/>
          <w:rtl/>
        </w:rPr>
        <w:t xml:space="preserve"> </w:t>
      </w:r>
      <w:r w:rsidRPr="00FF5E85">
        <w:rPr>
          <w:rFonts w:hint="cs"/>
          <w:rtl/>
        </w:rPr>
        <w:t xml:space="preserve">צה"ל הקים בשנת 2012 את מרכז התמודדות ותמיכה (מהו"ת). המרכז נותן </w:t>
      </w:r>
      <w:r w:rsidRPr="00FF5E85">
        <w:rPr>
          <w:rFonts w:hint="eastAsia"/>
          <w:rtl/>
        </w:rPr>
        <w:t>סיוע</w:t>
      </w:r>
      <w:r w:rsidRPr="00FF5E85">
        <w:rPr>
          <w:rtl/>
        </w:rPr>
        <w:t xml:space="preserve"> </w:t>
      </w:r>
      <w:r w:rsidRPr="00FF5E85">
        <w:rPr>
          <w:rFonts w:hint="eastAsia"/>
          <w:rtl/>
        </w:rPr>
        <w:t>וליווי</w:t>
      </w:r>
      <w:r w:rsidRPr="00FF5E85">
        <w:rPr>
          <w:rtl/>
        </w:rPr>
        <w:t xml:space="preserve"> </w:t>
      </w:r>
      <w:r w:rsidRPr="00FF5E85">
        <w:rPr>
          <w:rFonts w:hint="eastAsia"/>
          <w:rtl/>
        </w:rPr>
        <w:t>רגשי</w:t>
      </w:r>
      <w:r w:rsidRPr="00FF5E85">
        <w:rPr>
          <w:rtl/>
        </w:rPr>
        <w:t xml:space="preserve"> </w:t>
      </w:r>
      <w:r w:rsidRPr="00FF5E85">
        <w:rPr>
          <w:rFonts w:hint="eastAsia"/>
          <w:rtl/>
        </w:rPr>
        <w:t>לנפגע</w:t>
      </w:r>
      <w:r w:rsidRPr="00FF5E85">
        <w:rPr>
          <w:rFonts w:hint="cs"/>
          <w:rtl/>
        </w:rPr>
        <w:t>ות</w:t>
      </w:r>
      <w:r w:rsidRPr="00FF5E85">
        <w:rPr>
          <w:rtl/>
        </w:rPr>
        <w:t xml:space="preserve"> </w:t>
      </w:r>
      <w:r w:rsidRPr="00FF5E85">
        <w:rPr>
          <w:rFonts w:hint="eastAsia"/>
          <w:rtl/>
        </w:rPr>
        <w:t>הטרדה</w:t>
      </w:r>
      <w:r w:rsidRPr="00FF5E85">
        <w:rPr>
          <w:rtl/>
        </w:rPr>
        <w:t xml:space="preserve"> </w:t>
      </w:r>
      <w:r w:rsidRPr="00FF5E85">
        <w:rPr>
          <w:rFonts w:hint="eastAsia"/>
          <w:rtl/>
        </w:rPr>
        <w:t>מינית</w:t>
      </w:r>
      <w:r w:rsidRPr="00FF5E85">
        <w:rPr>
          <w:rtl/>
        </w:rPr>
        <w:t xml:space="preserve">, </w:t>
      </w:r>
      <w:r w:rsidRPr="00FF5E85">
        <w:rPr>
          <w:rFonts w:hint="eastAsia"/>
          <w:rtl/>
        </w:rPr>
        <w:t>אלימות</w:t>
      </w:r>
      <w:r w:rsidRPr="00FF5E85">
        <w:rPr>
          <w:rtl/>
        </w:rPr>
        <w:t xml:space="preserve"> </w:t>
      </w:r>
      <w:r w:rsidRPr="00FF5E85">
        <w:rPr>
          <w:rFonts w:hint="eastAsia"/>
          <w:rtl/>
        </w:rPr>
        <w:t>במשפחה</w:t>
      </w:r>
      <w:r w:rsidRPr="00FF5E85">
        <w:rPr>
          <w:rtl/>
        </w:rPr>
        <w:t xml:space="preserve"> </w:t>
      </w:r>
      <w:r w:rsidRPr="00FF5E85">
        <w:rPr>
          <w:rFonts w:hint="eastAsia"/>
          <w:rtl/>
        </w:rPr>
        <w:t>וה</w:t>
      </w:r>
      <w:r w:rsidRPr="00FF5E85">
        <w:rPr>
          <w:rFonts w:hint="cs"/>
          <w:rtl/>
        </w:rPr>
        <w:t>י</w:t>
      </w:r>
      <w:r w:rsidRPr="00FF5E85">
        <w:rPr>
          <w:rFonts w:hint="eastAsia"/>
          <w:rtl/>
        </w:rPr>
        <w:t>ריון</w:t>
      </w:r>
      <w:r w:rsidRPr="00FF5E85">
        <w:rPr>
          <w:rtl/>
        </w:rPr>
        <w:t xml:space="preserve"> </w:t>
      </w:r>
      <w:r w:rsidRPr="00FF5E85">
        <w:rPr>
          <w:rFonts w:hint="eastAsia"/>
          <w:rtl/>
        </w:rPr>
        <w:t>לא</w:t>
      </w:r>
      <w:r w:rsidRPr="00FF5E85">
        <w:rPr>
          <w:rtl/>
        </w:rPr>
        <w:t xml:space="preserve"> </w:t>
      </w:r>
      <w:r w:rsidRPr="00FF5E85">
        <w:rPr>
          <w:rFonts w:hint="eastAsia"/>
          <w:rtl/>
        </w:rPr>
        <w:t>רצוי</w:t>
      </w:r>
      <w:r w:rsidRPr="00FF5E85">
        <w:rPr>
          <w:rFonts w:hint="cs"/>
          <w:rtl/>
        </w:rPr>
        <w:t xml:space="preserve">. המרכז מעניק </w:t>
      </w:r>
      <w:r w:rsidRPr="00FF5E85">
        <w:rPr>
          <w:rFonts w:hint="eastAsia"/>
          <w:rtl/>
        </w:rPr>
        <w:t>תמיכה</w:t>
      </w:r>
      <w:r w:rsidRPr="00FF5E85">
        <w:rPr>
          <w:rtl/>
        </w:rPr>
        <w:t xml:space="preserve"> </w:t>
      </w:r>
      <w:r w:rsidRPr="00FF5E85">
        <w:rPr>
          <w:rFonts w:hint="eastAsia"/>
          <w:rtl/>
        </w:rPr>
        <w:t>נפשית</w:t>
      </w:r>
      <w:r w:rsidRPr="00FF5E85">
        <w:rPr>
          <w:rtl/>
        </w:rPr>
        <w:t xml:space="preserve"> </w:t>
      </w:r>
      <w:r w:rsidRPr="00FF5E85">
        <w:rPr>
          <w:rFonts w:hint="eastAsia"/>
          <w:rtl/>
        </w:rPr>
        <w:t>לנפגע</w:t>
      </w:r>
      <w:r w:rsidRPr="00FF5E85">
        <w:rPr>
          <w:rFonts w:hint="cs"/>
          <w:rtl/>
        </w:rPr>
        <w:t>ת</w:t>
      </w:r>
      <w:r w:rsidRPr="00FF5E85">
        <w:rPr>
          <w:rtl/>
        </w:rPr>
        <w:t xml:space="preserve"> ו</w:t>
      </w:r>
      <w:r w:rsidRPr="00FF5E85">
        <w:rPr>
          <w:rFonts w:hint="cs"/>
          <w:rtl/>
        </w:rPr>
        <w:t>מלווה אותה</w:t>
      </w:r>
      <w:r w:rsidRPr="00FF5E85">
        <w:rPr>
          <w:rtl/>
        </w:rPr>
        <w:t xml:space="preserve"> לכל אורך הליך בירור</w:t>
      </w:r>
      <w:r w:rsidRPr="00FF5E85">
        <w:rPr>
          <w:rFonts w:hint="cs"/>
          <w:rtl/>
        </w:rPr>
        <w:t xml:space="preserve"> התלונה. גם במשטרה קצינת בריאות הנפש מלווה את המתלוננת בכל שלב משלבי הבירור של תלונתה. </w:t>
      </w:r>
      <w:r w:rsidRPr="00FF5E85">
        <w:rPr>
          <w:rFonts w:hint="eastAsia"/>
          <w:rtl/>
        </w:rPr>
        <w:t>יועצת</w:t>
      </w:r>
      <w:r w:rsidRPr="00FF5E85">
        <w:rPr>
          <w:rFonts w:hint="cs"/>
          <w:rtl/>
        </w:rPr>
        <w:t xml:space="preserve"> המפכ"ל לענייני נשים (יוהל"ן) מוסמכת להעניק למתלוננת עשרה ימי מחלה עד לסיום הבירור הראשוני. המתלוננת מקבלת חוברת הדרכה המסבירה את הליך הגשת התלונה ובירורה. יחידת יוהל"ן נותנת מענה מקצועי גם למפקד שביחידתו הוגשה תלונה ומעניקה לו כלים להתמודד עם אירוע ההטרדה. יחידת יוהל"ן מיידעת את המתלוננת על התקדמות ההליכים, דואגת לרווחתה ומסייעת לה אם ברצונה להיות מוצבת במקום אחר.</w:t>
      </w:r>
    </w:p>
    <w:p w14:paraId="476196E6" w14:textId="77777777" w:rsidR="00417266" w:rsidRPr="00FF5E85" w:rsidRDefault="00417266" w:rsidP="00FF5E85">
      <w:pPr>
        <w:pStyle w:val="100"/>
        <w:rPr>
          <w:rtl/>
        </w:rPr>
      </w:pPr>
      <w:r w:rsidRPr="00FF5E85">
        <w:rPr>
          <w:rFonts w:hint="cs"/>
          <w:rtl/>
        </w:rPr>
        <w:t>יצוין כי צה"ל, המשטרה ושב"ס פיתחו פתרונות שונים שיקלו את הגשת התלונות על הטרדה מינית ויסייעו ליחידותיהם למנוע ככל האפשר הטרדות מיניות. שלושת הגופים פעלו להרחבת מערך הממונות על מניעת הטרדה מינית והתאמתו למספר הגדול של היחידות הפזורות בכל רחבי הארץ.</w:t>
      </w:r>
    </w:p>
    <w:p w14:paraId="05A3255B" w14:textId="77777777" w:rsidR="00417266" w:rsidRPr="00FF5E85" w:rsidRDefault="00417266" w:rsidP="00FF5E85">
      <w:pPr>
        <w:pStyle w:val="100"/>
        <w:rPr>
          <w:rtl/>
        </w:rPr>
      </w:pPr>
      <w:r w:rsidRPr="00FF5E85">
        <w:rPr>
          <w:rFonts w:hint="cs"/>
          <w:rtl/>
        </w:rPr>
        <w:t xml:space="preserve">בצה"ל </w:t>
      </w:r>
      <w:r w:rsidRPr="00FF5E85">
        <w:rPr>
          <w:rFonts w:hint="eastAsia"/>
          <w:rtl/>
        </w:rPr>
        <w:t>הוחלט</w:t>
      </w:r>
      <w:r w:rsidRPr="00FF5E85">
        <w:rPr>
          <w:rtl/>
        </w:rPr>
        <w:t xml:space="preserve"> </w:t>
      </w:r>
      <w:r w:rsidRPr="00FF5E85">
        <w:rPr>
          <w:rFonts w:hint="eastAsia"/>
          <w:rtl/>
        </w:rPr>
        <w:t>על</w:t>
      </w:r>
      <w:r w:rsidRPr="00FF5E85">
        <w:rPr>
          <w:rtl/>
        </w:rPr>
        <w:t xml:space="preserve"> </w:t>
      </w:r>
      <w:r w:rsidRPr="00FF5E85">
        <w:rPr>
          <w:rFonts w:hint="cs"/>
          <w:rtl/>
        </w:rPr>
        <w:t>תוכנית ניסיונית</w:t>
      </w:r>
      <w:r w:rsidRPr="00FF5E85">
        <w:rPr>
          <w:rtl/>
        </w:rPr>
        <w:t xml:space="preserve"> </w:t>
      </w:r>
      <w:r w:rsidRPr="00FF5E85">
        <w:rPr>
          <w:rFonts w:hint="eastAsia"/>
          <w:rtl/>
        </w:rPr>
        <w:t>המרחיב</w:t>
      </w:r>
      <w:r w:rsidRPr="00FF5E85">
        <w:rPr>
          <w:rFonts w:hint="cs"/>
          <w:rtl/>
        </w:rPr>
        <w:t>ה</w:t>
      </w:r>
      <w:r w:rsidRPr="00FF5E85">
        <w:rPr>
          <w:rtl/>
        </w:rPr>
        <w:t xml:space="preserve"> </w:t>
      </w:r>
      <w:r w:rsidRPr="00FF5E85">
        <w:rPr>
          <w:rFonts w:hint="eastAsia"/>
          <w:rtl/>
        </w:rPr>
        <w:t>את</w:t>
      </w:r>
      <w:r w:rsidRPr="00FF5E85">
        <w:rPr>
          <w:rtl/>
        </w:rPr>
        <w:t xml:space="preserve"> </w:t>
      </w:r>
      <w:r w:rsidRPr="00FF5E85">
        <w:rPr>
          <w:rFonts w:hint="eastAsia"/>
          <w:rtl/>
        </w:rPr>
        <w:t>כלי</w:t>
      </w:r>
      <w:r w:rsidRPr="00FF5E85">
        <w:rPr>
          <w:rtl/>
        </w:rPr>
        <w:t xml:space="preserve"> </w:t>
      </w:r>
      <w:r w:rsidRPr="00FF5E85">
        <w:rPr>
          <w:rFonts w:hint="eastAsia"/>
          <w:rtl/>
        </w:rPr>
        <w:t>הפעולה</w:t>
      </w:r>
      <w:r w:rsidRPr="00FF5E85">
        <w:rPr>
          <w:rtl/>
        </w:rPr>
        <w:t xml:space="preserve"> </w:t>
      </w:r>
      <w:r w:rsidRPr="00FF5E85">
        <w:rPr>
          <w:rFonts w:hint="eastAsia"/>
          <w:rtl/>
        </w:rPr>
        <w:t>של</w:t>
      </w:r>
      <w:r w:rsidRPr="00FF5E85">
        <w:rPr>
          <w:rtl/>
        </w:rPr>
        <w:t xml:space="preserve"> </w:t>
      </w:r>
      <w:r w:rsidRPr="00FF5E85">
        <w:rPr>
          <w:rFonts w:hint="eastAsia"/>
          <w:rtl/>
        </w:rPr>
        <w:t>הצבא</w:t>
      </w:r>
      <w:r w:rsidRPr="00FF5E85">
        <w:rPr>
          <w:rtl/>
        </w:rPr>
        <w:t xml:space="preserve"> </w:t>
      </w:r>
      <w:r w:rsidRPr="00FF5E85">
        <w:rPr>
          <w:rFonts w:hint="eastAsia"/>
          <w:rtl/>
        </w:rPr>
        <w:t>לצורך</w:t>
      </w:r>
      <w:r w:rsidRPr="00FF5E85">
        <w:rPr>
          <w:rtl/>
        </w:rPr>
        <w:t xml:space="preserve"> </w:t>
      </w:r>
      <w:r w:rsidRPr="00FF5E85">
        <w:rPr>
          <w:rFonts w:hint="cs"/>
          <w:rtl/>
        </w:rPr>
        <w:t xml:space="preserve">בירור תלונות על </w:t>
      </w:r>
      <w:r w:rsidRPr="00FF5E85">
        <w:rPr>
          <w:rFonts w:hint="eastAsia"/>
          <w:rtl/>
        </w:rPr>
        <w:t>הטרד</w:t>
      </w:r>
      <w:r w:rsidRPr="00FF5E85">
        <w:rPr>
          <w:rFonts w:hint="cs"/>
          <w:rtl/>
        </w:rPr>
        <w:t>ה</w:t>
      </w:r>
      <w:r w:rsidRPr="00FF5E85">
        <w:rPr>
          <w:rtl/>
        </w:rPr>
        <w:t xml:space="preserve"> </w:t>
      </w:r>
      <w:r w:rsidRPr="00FF5E85">
        <w:rPr>
          <w:rFonts w:hint="eastAsia"/>
          <w:rtl/>
        </w:rPr>
        <w:t>מינית</w:t>
      </w:r>
      <w:r w:rsidRPr="00FF5E85">
        <w:rPr>
          <w:rFonts w:hint="cs"/>
          <w:rtl/>
        </w:rPr>
        <w:t>, ו</w:t>
      </w:r>
      <w:r w:rsidRPr="00FF5E85">
        <w:rPr>
          <w:rFonts w:hint="eastAsia"/>
          <w:rtl/>
        </w:rPr>
        <w:t>יחידת</w:t>
      </w:r>
      <w:r w:rsidRPr="00FF5E85">
        <w:rPr>
          <w:rtl/>
        </w:rPr>
        <w:t xml:space="preserve"> </w:t>
      </w:r>
      <w:r w:rsidRPr="00FF5E85">
        <w:rPr>
          <w:rFonts w:hint="cs"/>
          <w:rtl/>
        </w:rPr>
        <w:t>יועצת הרמטכ"ל לענייני מגדר (</w:t>
      </w:r>
      <w:r w:rsidRPr="00FF5E85">
        <w:rPr>
          <w:rFonts w:hint="eastAsia"/>
          <w:rtl/>
        </w:rPr>
        <w:t>יוהל</w:t>
      </w:r>
      <w:r w:rsidRPr="00FF5E85">
        <w:rPr>
          <w:rtl/>
        </w:rPr>
        <w:t>"ם</w:t>
      </w:r>
      <w:r w:rsidRPr="00FF5E85">
        <w:rPr>
          <w:rFonts w:hint="cs"/>
          <w:rtl/>
        </w:rPr>
        <w:t>)</w:t>
      </w:r>
      <w:r w:rsidRPr="00FF5E85">
        <w:rPr>
          <w:rtl/>
        </w:rPr>
        <w:t xml:space="preserve"> </w:t>
      </w:r>
      <w:r w:rsidRPr="00FF5E85">
        <w:rPr>
          <w:rFonts w:hint="eastAsia"/>
          <w:rtl/>
        </w:rPr>
        <w:t>מכשירה</w:t>
      </w:r>
      <w:r w:rsidRPr="00FF5E85">
        <w:rPr>
          <w:rtl/>
        </w:rPr>
        <w:t xml:space="preserve"> </w:t>
      </w:r>
      <w:r w:rsidRPr="00FF5E85">
        <w:rPr>
          <w:rFonts w:hint="eastAsia"/>
          <w:rtl/>
        </w:rPr>
        <w:t>קצינים</w:t>
      </w:r>
      <w:r w:rsidRPr="00FF5E85">
        <w:rPr>
          <w:rtl/>
        </w:rPr>
        <w:t xml:space="preserve"> </w:t>
      </w:r>
      <w:r w:rsidRPr="00FF5E85">
        <w:rPr>
          <w:rFonts w:hint="eastAsia"/>
          <w:rtl/>
        </w:rPr>
        <w:t>בודקים</w:t>
      </w:r>
      <w:r w:rsidRPr="00FF5E85">
        <w:rPr>
          <w:rtl/>
        </w:rPr>
        <w:t xml:space="preserve"> </w:t>
      </w:r>
      <w:r w:rsidRPr="00FF5E85">
        <w:rPr>
          <w:rFonts w:hint="eastAsia"/>
          <w:rtl/>
        </w:rPr>
        <w:t>שמתמקצעים</w:t>
      </w:r>
      <w:r w:rsidRPr="00FF5E85">
        <w:rPr>
          <w:rtl/>
        </w:rPr>
        <w:t xml:space="preserve"> </w:t>
      </w:r>
      <w:r w:rsidRPr="00FF5E85">
        <w:rPr>
          <w:rFonts w:hint="eastAsia"/>
          <w:rtl/>
        </w:rPr>
        <w:t>ב</w:t>
      </w:r>
      <w:r w:rsidRPr="00FF5E85">
        <w:rPr>
          <w:rFonts w:hint="cs"/>
          <w:rtl/>
        </w:rPr>
        <w:t>בירור תלונות בתחום זה חלף בירורן ביחידת משטרה צבאית חוקרת (מצ"ח).</w:t>
      </w:r>
      <w:r w:rsidRPr="00FF5E85">
        <w:rPr>
          <w:rtl/>
        </w:rPr>
        <w:t xml:space="preserve"> </w:t>
      </w:r>
      <w:r w:rsidRPr="00FF5E85">
        <w:rPr>
          <w:rFonts w:hint="cs"/>
          <w:rtl/>
        </w:rPr>
        <w:t xml:space="preserve">במשטרה הסתיים הליך כתיבתו של נוהל חדש שיאפשר למתלוננות לקבל ייעוץ וליווי משפטי החל משלב הגשת התלונה. </w:t>
      </w:r>
    </w:p>
    <w:p w14:paraId="555B95E6" w14:textId="77777777" w:rsidR="00417266" w:rsidRPr="00FF5E85" w:rsidRDefault="00417266" w:rsidP="00FF5E85">
      <w:pPr>
        <w:pStyle w:val="100"/>
      </w:pPr>
      <w:r w:rsidRPr="00FF5E85">
        <w:rPr>
          <w:rFonts w:hint="cs"/>
          <w:rtl/>
        </w:rPr>
        <w:lastRenderedPageBreak/>
        <w:t xml:space="preserve">גורם חשוב נוסף המסייע בהסרת החסמים הוא </w:t>
      </w:r>
      <w:r w:rsidRPr="00FF5E85">
        <w:rPr>
          <w:rFonts w:hint="eastAsia"/>
          <w:rtl/>
        </w:rPr>
        <w:t>הירתמות</w:t>
      </w:r>
      <w:r w:rsidRPr="00FF5E85">
        <w:rPr>
          <w:rtl/>
        </w:rPr>
        <w:t xml:space="preserve"> </w:t>
      </w:r>
      <w:r w:rsidRPr="00FF5E85">
        <w:rPr>
          <w:rFonts w:hint="eastAsia"/>
          <w:rtl/>
        </w:rPr>
        <w:t>ראש</w:t>
      </w:r>
      <w:r w:rsidRPr="00FF5E85">
        <w:rPr>
          <w:rtl/>
        </w:rPr>
        <w:t xml:space="preserve"> </w:t>
      </w:r>
      <w:r w:rsidRPr="00FF5E85">
        <w:rPr>
          <w:rFonts w:hint="eastAsia"/>
          <w:rtl/>
        </w:rPr>
        <w:t>המערכת</w:t>
      </w:r>
      <w:r w:rsidRPr="00FF5E85">
        <w:rPr>
          <w:rFonts w:hint="cs"/>
          <w:rtl/>
        </w:rPr>
        <w:t xml:space="preserve"> להוקעת התופעה. כך לדוגמה, </w:t>
      </w:r>
      <w:r w:rsidRPr="00FF5E85">
        <w:rPr>
          <w:rFonts w:hint="eastAsia"/>
          <w:rtl/>
        </w:rPr>
        <w:t>ב</w:t>
      </w:r>
      <w:r w:rsidRPr="00FF5E85">
        <w:rPr>
          <w:rFonts w:hint="cs"/>
          <w:rtl/>
        </w:rPr>
        <w:t>מאי 2015</w:t>
      </w:r>
      <w:r w:rsidRPr="00FF5E85">
        <w:rPr>
          <w:rtl/>
        </w:rPr>
        <w:t xml:space="preserve"> </w:t>
      </w:r>
      <w:r w:rsidRPr="00FF5E85">
        <w:rPr>
          <w:rFonts w:hint="cs"/>
          <w:rtl/>
        </w:rPr>
        <w:t xml:space="preserve">נשלחה לכל קציני הצבא </w:t>
      </w:r>
      <w:r w:rsidRPr="00FF5E85">
        <w:rPr>
          <w:rtl/>
        </w:rPr>
        <w:t xml:space="preserve">איגרת הרמטכ"ל אשר הציבה גבול ברור ומחמיר לגבי מערכות יחסים </w:t>
      </w:r>
      <w:r w:rsidRPr="00FF5E85">
        <w:rPr>
          <w:rFonts w:hint="cs"/>
          <w:rtl/>
        </w:rPr>
        <w:t>בהתקיימם של</w:t>
      </w:r>
      <w:r w:rsidRPr="00FF5E85">
        <w:rPr>
          <w:rtl/>
        </w:rPr>
        <w:t xml:space="preserve"> יחסי מרות</w:t>
      </w:r>
      <w:r w:rsidRPr="00FF5E85">
        <w:rPr>
          <w:rFonts w:hint="cs"/>
          <w:rtl/>
        </w:rPr>
        <w:t xml:space="preserve">. איגרת זו משמשת קריאת כיוון ברורה לכלל חיילי צה"ל, ולפיה המערכת הצבאית לא תהיה סובלנית כלפי כל גילוי של הטרדה מינית ושימוש לרעה בסמכויות הפיקוד. ואכן, </w:t>
      </w:r>
      <w:r w:rsidRPr="00FF5E85">
        <w:rPr>
          <w:rFonts w:hint="eastAsia"/>
          <w:rtl/>
        </w:rPr>
        <w:t>נתוני</w:t>
      </w:r>
      <w:r w:rsidRPr="00FF5E85">
        <w:rPr>
          <w:rtl/>
        </w:rPr>
        <w:t xml:space="preserve"> </w:t>
      </w:r>
      <w:r w:rsidRPr="00FF5E85">
        <w:rPr>
          <w:rFonts w:hint="eastAsia"/>
          <w:rtl/>
        </w:rPr>
        <w:t>אירועי</w:t>
      </w:r>
      <w:r w:rsidRPr="00FF5E85">
        <w:rPr>
          <w:rtl/>
        </w:rPr>
        <w:t xml:space="preserve"> </w:t>
      </w:r>
      <w:r w:rsidRPr="00FF5E85">
        <w:rPr>
          <w:rFonts w:hint="cs"/>
          <w:rtl/>
        </w:rPr>
        <w:t>ה</w:t>
      </w:r>
      <w:r w:rsidRPr="00FF5E85">
        <w:rPr>
          <w:rFonts w:hint="eastAsia"/>
          <w:rtl/>
        </w:rPr>
        <w:t>פגיעה</w:t>
      </w:r>
      <w:r w:rsidRPr="00FF5E85">
        <w:rPr>
          <w:rtl/>
        </w:rPr>
        <w:t xml:space="preserve"> </w:t>
      </w:r>
      <w:r w:rsidRPr="00FF5E85">
        <w:rPr>
          <w:rFonts w:hint="eastAsia"/>
          <w:rtl/>
        </w:rPr>
        <w:t>על</w:t>
      </w:r>
      <w:r w:rsidRPr="00FF5E85">
        <w:rPr>
          <w:rtl/>
        </w:rPr>
        <w:t xml:space="preserve"> </w:t>
      </w:r>
      <w:r w:rsidRPr="00FF5E85">
        <w:rPr>
          <w:rFonts w:hint="eastAsia"/>
          <w:rtl/>
        </w:rPr>
        <w:t>רקע</w:t>
      </w:r>
      <w:r w:rsidRPr="00FF5E85">
        <w:rPr>
          <w:rtl/>
        </w:rPr>
        <w:t xml:space="preserve"> </w:t>
      </w:r>
      <w:r w:rsidRPr="00FF5E85">
        <w:rPr>
          <w:rFonts w:hint="eastAsia"/>
          <w:rtl/>
        </w:rPr>
        <w:t>מיני</w:t>
      </w:r>
      <w:r w:rsidRPr="00FF5E85">
        <w:rPr>
          <w:rtl/>
        </w:rPr>
        <w:t xml:space="preserve"> </w:t>
      </w:r>
      <w:r w:rsidRPr="00FF5E85">
        <w:rPr>
          <w:rFonts w:hint="eastAsia"/>
          <w:rtl/>
        </w:rPr>
        <w:t>שהתפרסמו</w:t>
      </w:r>
      <w:r w:rsidRPr="00FF5E85">
        <w:rPr>
          <w:rtl/>
        </w:rPr>
        <w:t xml:space="preserve"> </w:t>
      </w:r>
      <w:r w:rsidRPr="00FF5E85">
        <w:rPr>
          <w:rFonts w:hint="eastAsia"/>
          <w:rtl/>
        </w:rPr>
        <w:t>ביולי</w:t>
      </w:r>
      <w:r w:rsidRPr="00FF5E85">
        <w:rPr>
          <w:rtl/>
        </w:rPr>
        <w:t xml:space="preserve"> 2018 </w:t>
      </w:r>
      <w:r w:rsidRPr="00FF5E85">
        <w:rPr>
          <w:rFonts w:hint="cs"/>
          <w:rtl/>
        </w:rPr>
        <w:t xml:space="preserve">מלמדים </w:t>
      </w:r>
      <w:r w:rsidRPr="00FF5E85">
        <w:rPr>
          <w:rFonts w:hint="eastAsia"/>
          <w:rtl/>
        </w:rPr>
        <w:t>כי</w:t>
      </w:r>
      <w:r w:rsidRPr="00FF5E85">
        <w:rPr>
          <w:rtl/>
        </w:rPr>
        <w:t xml:space="preserve"> </w:t>
      </w:r>
      <w:r w:rsidRPr="00FF5E85">
        <w:rPr>
          <w:rFonts w:hint="eastAsia"/>
          <w:rtl/>
        </w:rPr>
        <w:t>בשנת</w:t>
      </w:r>
      <w:r w:rsidRPr="00FF5E85">
        <w:rPr>
          <w:rtl/>
        </w:rPr>
        <w:t xml:space="preserve"> 2017 </w:t>
      </w:r>
      <w:r w:rsidRPr="00FF5E85">
        <w:rPr>
          <w:rFonts w:hint="eastAsia"/>
          <w:rtl/>
        </w:rPr>
        <w:t>נרשמו</w:t>
      </w:r>
      <w:r w:rsidRPr="00FF5E85">
        <w:rPr>
          <w:rtl/>
        </w:rPr>
        <w:t xml:space="preserve"> 893 </w:t>
      </w:r>
      <w:r w:rsidRPr="00FF5E85">
        <w:rPr>
          <w:rFonts w:hint="eastAsia"/>
          <w:rtl/>
        </w:rPr>
        <w:t>דיווחים</w:t>
      </w:r>
      <w:r w:rsidRPr="00FF5E85">
        <w:rPr>
          <w:rtl/>
        </w:rPr>
        <w:t xml:space="preserve"> </w:t>
      </w:r>
      <w:r w:rsidRPr="00FF5E85">
        <w:rPr>
          <w:rFonts w:hint="eastAsia"/>
          <w:rtl/>
        </w:rPr>
        <w:t>על</w:t>
      </w:r>
      <w:r w:rsidRPr="00FF5E85">
        <w:rPr>
          <w:rtl/>
        </w:rPr>
        <w:t xml:space="preserve"> </w:t>
      </w:r>
      <w:r w:rsidRPr="00FF5E85">
        <w:rPr>
          <w:rFonts w:hint="eastAsia"/>
          <w:rtl/>
        </w:rPr>
        <w:t>הטרדות</w:t>
      </w:r>
      <w:r w:rsidRPr="00FF5E85">
        <w:rPr>
          <w:rtl/>
        </w:rPr>
        <w:t xml:space="preserve"> </w:t>
      </w:r>
      <w:r w:rsidRPr="00FF5E85">
        <w:rPr>
          <w:rFonts w:hint="eastAsia"/>
          <w:rtl/>
        </w:rPr>
        <w:t>מיניות</w:t>
      </w:r>
      <w:r w:rsidRPr="00FF5E85">
        <w:rPr>
          <w:rtl/>
        </w:rPr>
        <w:t xml:space="preserve"> </w:t>
      </w:r>
      <w:r w:rsidRPr="00FF5E85">
        <w:rPr>
          <w:rFonts w:hint="eastAsia"/>
          <w:rtl/>
        </w:rPr>
        <w:t>בצה</w:t>
      </w:r>
      <w:r w:rsidRPr="00FF5E85">
        <w:rPr>
          <w:rtl/>
        </w:rPr>
        <w:t xml:space="preserve">"ל, </w:t>
      </w:r>
      <w:r w:rsidRPr="00FF5E85">
        <w:rPr>
          <w:rFonts w:hint="eastAsia"/>
          <w:rtl/>
        </w:rPr>
        <w:t>לעומת</w:t>
      </w:r>
      <w:r w:rsidRPr="00FF5E85">
        <w:rPr>
          <w:rtl/>
        </w:rPr>
        <w:t xml:space="preserve"> 802 </w:t>
      </w:r>
      <w:r w:rsidRPr="00FF5E85">
        <w:rPr>
          <w:rFonts w:hint="eastAsia"/>
          <w:rtl/>
        </w:rPr>
        <w:t>דיווחים</w:t>
      </w:r>
      <w:r w:rsidRPr="00FF5E85">
        <w:rPr>
          <w:rtl/>
        </w:rPr>
        <w:t xml:space="preserve"> </w:t>
      </w:r>
      <w:r w:rsidRPr="00FF5E85">
        <w:rPr>
          <w:rFonts w:hint="eastAsia"/>
          <w:rtl/>
        </w:rPr>
        <w:t>בשנת</w:t>
      </w:r>
      <w:r w:rsidRPr="00FF5E85">
        <w:rPr>
          <w:rtl/>
        </w:rPr>
        <w:t xml:space="preserve"> 2016 </w:t>
      </w:r>
      <w:r w:rsidRPr="00FF5E85">
        <w:rPr>
          <w:rFonts w:hint="cs"/>
          <w:rtl/>
        </w:rPr>
        <w:t xml:space="preserve">- עלייה של כ-11%, ולעומת שנת 2015 - עלייה של כ-30%. </w:t>
      </w:r>
    </w:p>
    <w:p w14:paraId="510CDDE7" w14:textId="77777777" w:rsidR="00417266" w:rsidRPr="00FF5E85" w:rsidRDefault="00417266" w:rsidP="00FF5E85">
      <w:pPr>
        <w:pStyle w:val="100"/>
        <w:rPr>
          <w:rtl/>
        </w:rPr>
      </w:pPr>
      <w:r w:rsidRPr="00FF5E85">
        <w:rPr>
          <w:rFonts w:hint="cs"/>
          <w:rtl/>
        </w:rPr>
        <w:t xml:space="preserve">מנגד, </w:t>
      </w:r>
      <w:r w:rsidRPr="00FF5E85">
        <w:rPr>
          <w:rFonts w:hint="eastAsia"/>
          <w:rtl/>
        </w:rPr>
        <w:t>מנתוני</w:t>
      </w:r>
      <w:r w:rsidRPr="00FF5E85">
        <w:rPr>
          <w:rtl/>
        </w:rPr>
        <w:t xml:space="preserve"> </w:t>
      </w:r>
      <w:r w:rsidRPr="00FF5E85">
        <w:rPr>
          <w:rFonts w:hint="eastAsia"/>
          <w:rtl/>
        </w:rPr>
        <w:t>מח</w:t>
      </w:r>
      <w:r w:rsidRPr="00FF5E85">
        <w:rPr>
          <w:rtl/>
        </w:rPr>
        <w:t xml:space="preserve">"ש </w:t>
      </w:r>
      <w:r w:rsidRPr="00FF5E85">
        <w:rPr>
          <w:rFonts w:hint="eastAsia"/>
          <w:rtl/>
        </w:rPr>
        <w:t>שנמסרו</w:t>
      </w:r>
      <w:r w:rsidRPr="00FF5E85">
        <w:rPr>
          <w:rtl/>
        </w:rPr>
        <w:t xml:space="preserve"> </w:t>
      </w:r>
      <w:r w:rsidRPr="00FF5E85">
        <w:rPr>
          <w:rFonts w:hint="eastAsia"/>
          <w:rtl/>
        </w:rPr>
        <w:t>לוועד</w:t>
      </w:r>
      <w:r w:rsidRPr="00FF5E85">
        <w:rPr>
          <w:rFonts w:hint="cs"/>
          <w:rtl/>
        </w:rPr>
        <w:t>ת הכנסת</w:t>
      </w:r>
      <w:r w:rsidRPr="00FF5E85">
        <w:rPr>
          <w:rtl/>
        </w:rPr>
        <w:t xml:space="preserve"> </w:t>
      </w:r>
      <w:r w:rsidRPr="00FF5E85">
        <w:rPr>
          <w:rFonts w:hint="eastAsia"/>
          <w:rtl/>
        </w:rPr>
        <w:t>לקידום</w:t>
      </w:r>
      <w:r w:rsidRPr="00FF5E85">
        <w:rPr>
          <w:rtl/>
        </w:rPr>
        <w:t xml:space="preserve"> </w:t>
      </w:r>
      <w:r w:rsidRPr="00FF5E85">
        <w:rPr>
          <w:rFonts w:hint="eastAsia"/>
          <w:rtl/>
        </w:rPr>
        <w:t>מעמד</w:t>
      </w:r>
      <w:r w:rsidRPr="00FF5E85">
        <w:rPr>
          <w:rtl/>
        </w:rPr>
        <w:t xml:space="preserve"> </w:t>
      </w:r>
      <w:r w:rsidRPr="00FF5E85">
        <w:rPr>
          <w:rFonts w:hint="eastAsia"/>
          <w:rtl/>
        </w:rPr>
        <w:t>האישה</w:t>
      </w:r>
      <w:r w:rsidRPr="00FF5E85">
        <w:rPr>
          <w:rtl/>
        </w:rPr>
        <w:t xml:space="preserve"> </w:t>
      </w:r>
      <w:r w:rsidRPr="00FF5E85">
        <w:rPr>
          <w:rFonts w:hint="eastAsia"/>
          <w:rtl/>
        </w:rPr>
        <w:t>עולה</w:t>
      </w:r>
      <w:r w:rsidRPr="00FF5E85">
        <w:rPr>
          <w:rtl/>
        </w:rPr>
        <w:t xml:space="preserve"> </w:t>
      </w:r>
      <w:r w:rsidRPr="00FF5E85">
        <w:rPr>
          <w:rFonts w:hint="eastAsia"/>
          <w:rtl/>
        </w:rPr>
        <w:t>כי</w:t>
      </w:r>
      <w:r w:rsidRPr="00FF5E85">
        <w:rPr>
          <w:rtl/>
        </w:rPr>
        <w:t xml:space="preserve"> </w:t>
      </w:r>
      <w:r w:rsidRPr="00FF5E85">
        <w:rPr>
          <w:rFonts w:hint="cs"/>
          <w:rtl/>
        </w:rPr>
        <w:t>ב</w:t>
      </w:r>
      <w:r w:rsidRPr="00FF5E85">
        <w:rPr>
          <w:rFonts w:hint="eastAsia"/>
          <w:rtl/>
        </w:rPr>
        <w:t>שנים</w:t>
      </w:r>
      <w:r w:rsidRPr="00FF5E85">
        <w:rPr>
          <w:rtl/>
        </w:rPr>
        <w:t xml:space="preserve"> </w:t>
      </w:r>
      <w:r w:rsidRPr="00FF5E85">
        <w:rPr>
          <w:rFonts w:hint="cs"/>
          <w:rtl/>
        </w:rPr>
        <w:t xml:space="preserve">2013 - 2015 </w:t>
      </w:r>
      <w:r w:rsidRPr="00FF5E85">
        <w:rPr>
          <w:rFonts w:hint="eastAsia"/>
          <w:rtl/>
        </w:rPr>
        <w:t>הייתה</w:t>
      </w:r>
      <w:r w:rsidRPr="00FF5E85">
        <w:rPr>
          <w:rtl/>
        </w:rPr>
        <w:t xml:space="preserve"> </w:t>
      </w:r>
      <w:r w:rsidRPr="00FF5E85">
        <w:rPr>
          <w:rFonts w:hint="eastAsia"/>
          <w:rtl/>
        </w:rPr>
        <w:t>מגמת</w:t>
      </w:r>
      <w:r w:rsidRPr="00FF5E85">
        <w:rPr>
          <w:rtl/>
        </w:rPr>
        <w:t xml:space="preserve"> </w:t>
      </w:r>
      <w:r w:rsidRPr="00FF5E85">
        <w:rPr>
          <w:rFonts w:hint="eastAsia"/>
          <w:rtl/>
        </w:rPr>
        <w:t>עלי</w:t>
      </w:r>
      <w:r w:rsidRPr="00FF5E85">
        <w:rPr>
          <w:rFonts w:hint="cs"/>
          <w:rtl/>
        </w:rPr>
        <w:t>י</w:t>
      </w:r>
      <w:r w:rsidRPr="00FF5E85">
        <w:rPr>
          <w:rFonts w:hint="eastAsia"/>
          <w:rtl/>
        </w:rPr>
        <w:t>ה</w:t>
      </w:r>
      <w:r w:rsidRPr="00FF5E85">
        <w:rPr>
          <w:rtl/>
        </w:rPr>
        <w:t xml:space="preserve"> </w:t>
      </w:r>
      <w:r w:rsidRPr="00FF5E85">
        <w:rPr>
          <w:rFonts w:hint="eastAsia"/>
          <w:rtl/>
        </w:rPr>
        <w:t>ב</w:t>
      </w:r>
      <w:r w:rsidRPr="00FF5E85">
        <w:rPr>
          <w:rFonts w:hint="cs"/>
          <w:rtl/>
        </w:rPr>
        <w:t>מספר ה</w:t>
      </w:r>
      <w:r w:rsidRPr="00FF5E85">
        <w:rPr>
          <w:rFonts w:hint="eastAsia"/>
          <w:rtl/>
        </w:rPr>
        <w:t>תלונות</w:t>
      </w:r>
      <w:r w:rsidRPr="00FF5E85">
        <w:rPr>
          <w:rtl/>
        </w:rPr>
        <w:t xml:space="preserve"> </w:t>
      </w:r>
      <w:r w:rsidRPr="00FF5E85">
        <w:rPr>
          <w:rFonts w:hint="cs"/>
          <w:rtl/>
        </w:rPr>
        <w:t xml:space="preserve">שהגישו </w:t>
      </w:r>
      <w:r w:rsidRPr="00FF5E85">
        <w:rPr>
          <w:rFonts w:hint="eastAsia"/>
          <w:rtl/>
        </w:rPr>
        <w:t>שוטרות</w:t>
      </w:r>
      <w:r w:rsidRPr="00FF5E85">
        <w:rPr>
          <w:rtl/>
        </w:rPr>
        <w:t xml:space="preserve"> </w:t>
      </w:r>
      <w:r w:rsidRPr="00FF5E85">
        <w:rPr>
          <w:rFonts w:hint="eastAsia"/>
          <w:rtl/>
        </w:rPr>
        <w:t>כנגד</w:t>
      </w:r>
      <w:r w:rsidRPr="00FF5E85">
        <w:rPr>
          <w:rtl/>
        </w:rPr>
        <w:t xml:space="preserve"> </w:t>
      </w:r>
      <w:r w:rsidRPr="00FF5E85">
        <w:rPr>
          <w:rFonts w:hint="eastAsia"/>
          <w:rtl/>
        </w:rPr>
        <w:t>שוטרים</w:t>
      </w:r>
      <w:r w:rsidRPr="00FF5E85">
        <w:rPr>
          <w:rtl/>
        </w:rPr>
        <w:t xml:space="preserve">, </w:t>
      </w:r>
      <w:r w:rsidRPr="00FF5E85">
        <w:rPr>
          <w:rFonts w:hint="eastAsia"/>
          <w:rtl/>
        </w:rPr>
        <w:t>ומשנת</w:t>
      </w:r>
      <w:r w:rsidRPr="00FF5E85">
        <w:rPr>
          <w:rtl/>
        </w:rPr>
        <w:t xml:space="preserve"> 2015 </w:t>
      </w:r>
      <w:r w:rsidRPr="00FF5E85">
        <w:rPr>
          <w:rFonts w:hint="eastAsia"/>
          <w:rtl/>
        </w:rPr>
        <w:t>חלה</w:t>
      </w:r>
      <w:r w:rsidRPr="00FF5E85">
        <w:rPr>
          <w:rtl/>
        </w:rPr>
        <w:t xml:space="preserve"> </w:t>
      </w:r>
      <w:r w:rsidRPr="00FF5E85">
        <w:rPr>
          <w:rFonts w:hint="eastAsia"/>
          <w:rtl/>
        </w:rPr>
        <w:t>ירידה</w:t>
      </w:r>
      <w:r w:rsidRPr="00FF5E85">
        <w:rPr>
          <w:rtl/>
        </w:rPr>
        <w:t xml:space="preserve"> </w:t>
      </w:r>
      <w:r w:rsidRPr="00FF5E85">
        <w:rPr>
          <w:rFonts w:hint="cs"/>
          <w:rtl/>
        </w:rPr>
        <w:t>במספרן</w:t>
      </w:r>
      <w:r w:rsidRPr="00FF5E85">
        <w:rPr>
          <w:rtl/>
        </w:rPr>
        <w:t xml:space="preserve">. </w:t>
      </w:r>
      <w:r w:rsidRPr="00FF5E85">
        <w:rPr>
          <w:rFonts w:hint="cs"/>
          <w:rtl/>
        </w:rPr>
        <w:t>הסבר אפשרי לכך הוא ש</w:t>
      </w:r>
      <w:r w:rsidRPr="00FF5E85">
        <w:rPr>
          <w:rFonts w:hint="eastAsia"/>
          <w:rtl/>
        </w:rPr>
        <w:t>המפכ</w:t>
      </w:r>
      <w:r w:rsidRPr="00FF5E85">
        <w:rPr>
          <w:rtl/>
        </w:rPr>
        <w:t xml:space="preserve">"ל </w:t>
      </w:r>
      <w:r w:rsidRPr="00FF5E85">
        <w:rPr>
          <w:rFonts w:hint="eastAsia"/>
          <w:rtl/>
        </w:rPr>
        <w:t>דאז</w:t>
      </w:r>
      <w:r w:rsidRPr="00FF5E85">
        <w:rPr>
          <w:rtl/>
        </w:rPr>
        <w:t xml:space="preserve"> </w:t>
      </w:r>
      <w:r w:rsidRPr="00FF5E85">
        <w:rPr>
          <w:rFonts w:hint="cs"/>
          <w:rtl/>
        </w:rPr>
        <w:t xml:space="preserve">הורה </w:t>
      </w:r>
      <w:r w:rsidRPr="00FF5E85">
        <w:rPr>
          <w:rFonts w:hint="eastAsia"/>
          <w:rtl/>
        </w:rPr>
        <w:t>שלא</w:t>
      </w:r>
      <w:r w:rsidRPr="00FF5E85">
        <w:rPr>
          <w:rtl/>
        </w:rPr>
        <w:t xml:space="preserve"> </w:t>
      </w:r>
      <w:r w:rsidRPr="00FF5E85">
        <w:rPr>
          <w:rFonts w:hint="eastAsia"/>
          <w:rtl/>
        </w:rPr>
        <w:t>לטפל</w:t>
      </w:r>
      <w:r w:rsidRPr="00FF5E85">
        <w:rPr>
          <w:rtl/>
        </w:rPr>
        <w:t xml:space="preserve"> </w:t>
      </w:r>
      <w:r w:rsidRPr="00FF5E85">
        <w:rPr>
          <w:rFonts w:hint="eastAsia"/>
          <w:rtl/>
        </w:rPr>
        <w:t>בתלונות</w:t>
      </w:r>
      <w:r w:rsidRPr="00FF5E85">
        <w:rPr>
          <w:rtl/>
        </w:rPr>
        <w:t xml:space="preserve"> </w:t>
      </w:r>
      <w:r w:rsidRPr="00FF5E85">
        <w:rPr>
          <w:rFonts w:hint="eastAsia"/>
          <w:rtl/>
        </w:rPr>
        <w:t>אנונימי</w:t>
      </w:r>
      <w:r w:rsidRPr="00FF5E85">
        <w:rPr>
          <w:rFonts w:hint="cs"/>
          <w:rtl/>
        </w:rPr>
        <w:t>ות</w:t>
      </w:r>
      <w:r w:rsidRPr="00FF5E85">
        <w:rPr>
          <w:rtl/>
        </w:rPr>
        <w:t xml:space="preserve">. </w:t>
      </w:r>
    </w:p>
    <w:p w14:paraId="0C7A0278" w14:textId="77777777" w:rsidR="00417266" w:rsidRDefault="00417266" w:rsidP="00FF5E85">
      <w:pPr>
        <w:pStyle w:val="100"/>
        <w:rPr>
          <w:rtl/>
        </w:rPr>
      </w:pPr>
      <w:r w:rsidRPr="00FF5E85">
        <w:rPr>
          <w:rFonts w:hint="cs"/>
          <w:rtl/>
        </w:rPr>
        <w:t>אגף המשמעת בנש"ם מסר בתשובתו כי אכן יש צורך בקיומו של גורם טיפולי מתחום העבודה הסוציאלית בכל משרד שיספק מענה רגשי למתלוננת, בין היתר, קודם קבלת ההחלטה בדבר הגשת תלונה לנש"ם וכדי לסייע בהסרת החסמים להגשת תלונה. כמו כן, אגפי נש"ם העוסקים בתחום זה מסכימים</w:t>
      </w:r>
      <w:r>
        <w:rPr>
          <w:rFonts w:hint="cs"/>
          <w:rtl/>
        </w:rPr>
        <w:t xml:space="preserve"> כי יש צורך בהקמת מוקד מקצועי שייתן מענה ותמיכה רגשית ראשונית עבור העובדים והעובדות בשירות המדינה. הקמת מוקד זה כפופה לאישור תקציבי.</w:t>
      </w:r>
    </w:p>
    <w:p w14:paraId="63DE81E5" w14:textId="77777777" w:rsidR="00417266" w:rsidRPr="00AE398E" w:rsidRDefault="00417266" w:rsidP="00DB3A50">
      <w:pPr>
        <w:pStyle w:val="af3"/>
        <w:rPr>
          <w:rtl/>
        </w:rPr>
      </w:pPr>
      <w:r>
        <w:rPr>
          <w:rFonts w:hint="cs"/>
          <w:rtl/>
        </w:rPr>
        <w:t>ה</w:t>
      </w:r>
      <w:r w:rsidRPr="00AE398E">
        <w:rPr>
          <w:rFonts w:hint="eastAsia"/>
          <w:rtl/>
        </w:rPr>
        <w:t>הליכים</w:t>
      </w:r>
      <w:r w:rsidRPr="00AE398E">
        <w:rPr>
          <w:rtl/>
        </w:rPr>
        <w:t xml:space="preserve"> </w:t>
      </w:r>
      <w:r>
        <w:rPr>
          <w:rFonts w:hint="cs"/>
          <w:rtl/>
        </w:rPr>
        <w:t>האמורים</w:t>
      </w:r>
      <w:r w:rsidRPr="00AE398E">
        <w:rPr>
          <w:rFonts w:hint="cs"/>
          <w:rtl/>
        </w:rPr>
        <w:t>,</w:t>
      </w:r>
      <w:r w:rsidRPr="00AE398E">
        <w:rPr>
          <w:rtl/>
        </w:rPr>
        <w:t xml:space="preserve"> </w:t>
      </w:r>
      <w:r w:rsidRPr="00AE398E">
        <w:rPr>
          <w:rFonts w:hint="eastAsia"/>
          <w:rtl/>
        </w:rPr>
        <w:t>הנותנים</w:t>
      </w:r>
      <w:r w:rsidRPr="00AE398E">
        <w:rPr>
          <w:rtl/>
        </w:rPr>
        <w:t xml:space="preserve"> </w:t>
      </w:r>
      <w:r w:rsidRPr="00AE398E">
        <w:rPr>
          <w:rFonts w:hint="eastAsia"/>
          <w:rtl/>
        </w:rPr>
        <w:t>למתלוננת</w:t>
      </w:r>
      <w:r w:rsidRPr="00AE398E">
        <w:rPr>
          <w:rtl/>
        </w:rPr>
        <w:t xml:space="preserve"> </w:t>
      </w:r>
      <w:r w:rsidRPr="00AE398E">
        <w:rPr>
          <w:rFonts w:hint="eastAsia"/>
          <w:rtl/>
        </w:rPr>
        <w:t>מעטפת</w:t>
      </w:r>
      <w:r w:rsidRPr="00AE398E">
        <w:rPr>
          <w:rtl/>
        </w:rPr>
        <w:t xml:space="preserve"> </w:t>
      </w:r>
      <w:r w:rsidRPr="00AE398E">
        <w:rPr>
          <w:rFonts w:hint="eastAsia"/>
          <w:rtl/>
        </w:rPr>
        <w:t>תמיכה</w:t>
      </w:r>
      <w:r w:rsidRPr="00AE398E">
        <w:rPr>
          <w:rFonts w:hint="cs"/>
          <w:rtl/>
        </w:rPr>
        <w:t>,</w:t>
      </w:r>
      <w:r w:rsidRPr="00AE398E">
        <w:rPr>
          <w:rtl/>
        </w:rPr>
        <w:t xml:space="preserve"> </w:t>
      </w:r>
      <w:r w:rsidRPr="00AE398E">
        <w:rPr>
          <w:rFonts w:hint="eastAsia"/>
          <w:rtl/>
        </w:rPr>
        <w:t>מסייע</w:t>
      </w:r>
      <w:r w:rsidRPr="00AE398E">
        <w:rPr>
          <w:rFonts w:hint="cs"/>
          <w:rtl/>
        </w:rPr>
        <w:t>ים</w:t>
      </w:r>
      <w:r w:rsidRPr="00AE398E">
        <w:rPr>
          <w:rtl/>
        </w:rPr>
        <w:t xml:space="preserve"> </w:t>
      </w:r>
      <w:r w:rsidRPr="00AE398E">
        <w:rPr>
          <w:rFonts w:hint="eastAsia"/>
          <w:rtl/>
        </w:rPr>
        <w:t>רבות</w:t>
      </w:r>
      <w:r w:rsidRPr="00AE398E">
        <w:rPr>
          <w:rtl/>
        </w:rPr>
        <w:t xml:space="preserve"> </w:t>
      </w:r>
      <w:r w:rsidRPr="00AE398E">
        <w:rPr>
          <w:rFonts w:hint="cs"/>
          <w:rtl/>
        </w:rPr>
        <w:t xml:space="preserve">בצמצום </w:t>
      </w:r>
      <w:r w:rsidRPr="00AE398E">
        <w:rPr>
          <w:rtl/>
        </w:rPr>
        <w:t xml:space="preserve">החסמים להגשת תלונות. </w:t>
      </w:r>
      <w:r w:rsidRPr="00AE398E">
        <w:rPr>
          <w:rFonts w:hint="eastAsia"/>
          <w:rtl/>
        </w:rPr>
        <w:t>על</w:t>
      </w:r>
      <w:r w:rsidRPr="00AE398E">
        <w:rPr>
          <w:rtl/>
        </w:rPr>
        <w:t xml:space="preserve"> נש"ם לבחון את הסיוע </w:t>
      </w:r>
      <w:r w:rsidRPr="00AE398E">
        <w:rPr>
          <w:rFonts w:hint="cs"/>
          <w:rtl/>
        </w:rPr>
        <w:t xml:space="preserve">הנדרש </w:t>
      </w:r>
      <w:r w:rsidRPr="00AE398E">
        <w:rPr>
          <w:rtl/>
        </w:rPr>
        <w:t xml:space="preserve">לנפגעות כדי </w:t>
      </w:r>
      <w:r w:rsidRPr="00AE398E">
        <w:rPr>
          <w:rFonts w:hint="eastAsia"/>
          <w:rtl/>
        </w:rPr>
        <w:t>לחזק</w:t>
      </w:r>
      <w:r w:rsidRPr="00AE398E">
        <w:rPr>
          <w:rtl/>
        </w:rPr>
        <w:t xml:space="preserve"> </w:t>
      </w:r>
      <w:r w:rsidRPr="00AE398E">
        <w:rPr>
          <w:rFonts w:hint="eastAsia"/>
          <w:rtl/>
        </w:rPr>
        <w:t>את</w:t>
      </w:r>
      <w:r w:rsidRPr="00AE398E">
        <w:rPr>
          <w:rtl/>
        </w:rPr>
        <w:t xml:space="preserve"> </w:t>
      </w:r>
      <w:r w:rsidRPr="00AE398E">
        <w:rPr>
          <w:rFonts w:hint="eastAsia"/>
          <w:rtl/>
        </w:rPr>
        <w:t>ביטחונן</w:t>
      </w:r>
      <w:r w:rsidRPr="00AE398E">
        <w:rPr>
          <w:rtl/>
        </w:rPr>
        <w:t>, להקל עליהן את הליך הגשת התלונה</w:t>
      </w:r>
      <w:r w:rsidRPr="00AE398E">
        <w:rPr>
          <w:rFonts w:hint="cs"/>
          <w:rtl/>
        </w:rPr>
        <w:t xml:space="preserve"> ו</w:t>
      </w:r>
      <w:r w:rsidRPr="00AE398E">
        <w:rPr>
          <w:rtl/>
        </w:rPr>
        <w:t xml:space="preserve">להגביר את תחושת </w:t>
      </w:r>
      <w:r w:rsidRPr="00AE398E">
        <w:rPr>
          <w:rFonts w:hint="eastAsia"/>
          <w:rtl/>
        </w:rPr>
        <w:t>המוגנות</w:t>
      </w:r>
      <w:r w:rsidRPr="00AE398E">
        <w:rPr>
          <w:rtl/>
        </w:rPr>
        <w:t xml:space="preserve"> </w:t>
      </w:r>
      <w:r w:rsidRPr="00AE398E">
        <w:rPr>
          <w:rFonts w:hint="eastAsia"/>
          <w:rtl/>
        </w:rPr>
        <w:t>שלהן</w:t>
      </w:r>
      <w:r w:rsidRPr="00AE398E">
        <w:rPr>
          <w:rFonts w:hint="cs"/>
          <w:rtl/>
        </w:rPr>
        <w:t>, ולצורך כך לגייס את ראשי המערכות למאבק בהטרדות המיניות</w:t>
      </w:r>
      <w:r w:rsidRPr="00AE398E">
        <w:rPr>
          <w:rtl/>
        </w:rPr>
        <w:t>.</w:t>
      </w:r>
    </w:p>
    <w:p w14:paraId="6B6B9697" w14:textId="77777777" w:rsidR="00417266" w:rsidRPr="00DB3A50" w:rsidRDefault="00417266" w:rsidP="00DB3A50">
      <w:pPr>
        <w:pStyle w:val="100"/>
        <w:rPr>
          <w:rtl/>
        </w:rPr>
      </w:pPr>
      <w:bookmarkStart w:id="33" w:name="_Toc9150801"/>
      <w:r w:rsidRPr="005E58A5">
        <w:rPr>
          <w:rStyle w:val="Heading5Char"/>
          <w:rFonts w:eastAsiaTheme="minorHAnsi" w:hint="cs"/>
          <w:bCs w:val="0"/>
          <w:color w:val="387026"/>
          <w:spacing w:val="0"/>
          <w:sz w:val="23"/>
          <w:szCs w:val="23"/>
          <w:rtl/>
        </w:rPr>
        <w:t>פעולות הדרכה והסברה מותאמות:</w:t>
      </w:r>
      <w:bookmarkEnd w:id="33"/>
      <w:r w:rsidRPr="00DB3A50">
        <w:rPr>
          <w:rFonts w:hint="cs"/>
          <w:color w:val="387026"/>
          <w:rtl/>
        </w:rPr>
        <w:t xml:space="preserve"> </w:t>
      </w:r>
      <w:r w:rsidRPr="00DB3A50">
        <w:rPr>
          <w:rFonts w:hint="cs"/>
          <w:rtl/>
        </w:rPr>
        <w:t xml:space="preserve">בצה"ל </w:t>
      </w:r>
      <w:r w:rsidRPr="00DB3A50">
        <w:rPr>
          <w:rFonts w:hint="eastAsia"/>
          <w:rtl/>
        </w:rPr>
        <w:t>מפקדי</w:t>
      </w:r>
      <w:r w:rsidRPr="00DB3A50">
        <w:rPr>
          <w:rtl/>
        </w:rPr>
        <w:t xml:space="preserve"> </w:t>
      </w:r>
      <w:r w:rsidRPr="00DB3A50">
        <w:rPr>
          <w:rFonts w:hint="eastAsia"/>
          <w:rtl/>
        </w:rPr>
        <w:t>היחידות</w:t>
      </w:r>
      <w:r w:rsidRPr="00DB3A50">
        <w:rPr>
          <w:rFonts w:hint="cs"/>
          <w:rtl/>
        </w:rPr>
        <w:t xml:space="preserve"> נדרשים</w:t>
      </w:r>
      <w:r w:rsidRPr="00DB3A50">
        <w:rPr>
          <w:rtl/>
        </w:rPr>
        <w:t xml:space="preserve"> </w:t>
      </w:r>
      <w:r w:rsidRPr="00DB3A50">
        <w:rPr>
          <w:rFonts w:hint="cs"/>
          <w:rtl/>
        </w:rPr>
        <w:t xml:space="preserve">לקיים </w:t>
      </w:r>
      <w:r w:rsidRPr="00DB3A50">
        <w:rPr>
          <w:rFonts w:hint="eastAsia"/>
          <w:rtl/>
        </w:rPr>
        <w:t>פעולות</w:t>
      </w:r>
      <w:r w:rsidRPr="00DB3A50">
        <w:rPr>
          <w:rtl/>
        </w:rPr>
        <w:t xml:space="preserve"> </w:t>
      </w:r>
      <w:r w:rsidRPr="00DB3A50">
        <w:rPr>
          <w:rFonts w:hint="eastAsia"/>
          <w:rtl/>
        </w:rPr>
        <w:t>הסברה</w:t>
      </w:r>
      <w:r w:rsidRPr="00DB3A50">
        <w:rPr>
          <w:rtl/>
        </w:rPr>
        <w:t xml:space="preserve"> </w:t>
      </w:r>
      <w:r w:rsidRPr="00DB3A50">
        <w:rPr>
          <w:rFonts w:hint="eastAsia"/>
          <w:rtl/>
        </w:rPr>
        <w:t>לחיילים</w:t>
      </w:r>
      <w:r w:rsidRPr="00DB3A50">
        <w:rPr>
          <w:rtl/>
        </w:rPr>
        <w:t xml:space="preserve"> </w:t>
      </w:r>
      <w:r w:rsidRPr="00DB3A50">
        <w:rPr>
          <w:rFonts w:hint="eastAsia"/>
          <w:rtl/>
        </w:rPr>
        <w:t>באופן</w:t>
      </w:r>
      <w:r w:rsidRPr="00DB3A50">
        <w:rPr>
          <w:rtl/>
        </w:rPr>
        <w:t xml:space="preserve"> </w:t>
      </w:r>
      <w:r w:rsidRPr="00DB3A50">
        <w:rPr>
          <w:rFonts w:hint="eastAsia"/>
          <w:rtl/>
        </w:rPr>
        <w:t>שוטף</w:t>
      </w:r>
      <w:r w:rsidRPr="00DB3A50">
        <w:rPr>
          <w:rFonts w:hint="cs"/>
          <w:rtl/>
        </w:rPr>
        <w:t xml:space="preserve">, ויחידת יוהל"ם מפקחת על ההדרכות. חיל האוויר מלווה על ידי איגוד מרכזי הסיוע זה יותר משלוש שנים, והאיגוד מעביר הדרכות והכשרות בקביעות. </w:t>
      </w:r>
      <w:r w:rsidRPr="00DB3A50">
        <w:rPr>
          <w:rFonts w:hint="eastAsia"/>
          <w:rtl/>
        </w:rPr>
        <w:t>השופטים</w:t>
      </w:r>
      <w:r w:rsidRPr="00DB3A50">
        <w:rPr>
          <w:rtl/>
        </w:rPr>
        <w:t xml:space="preserve"> </w:t>
      </w:r>
      <w:r w:rsidRPr="00DB3A50">
        <w:rPr>
          <w:rFonts w:hint="eastAsia"/>
          <w:rtl/>
        </w:rPr>
        <w:t>הצבאיים</w:t>
      </w:r>
      <w:r w:rsidRPr="00DB3A50">
        <w:rPr>
          <w:rFonts w:hint="cs"/>
          <w:rtl/>
        </w:rPr>
        <w:t>, הדנים בכתבי האישום שמגישה מצ"ח בעקבות תלונות,</w:t>
      </w:r>
      <w:r w:rsidRPr="00DB3A50">
        <w:rPr>
          <w:rtl/>
        </w:rPr>
        <w:t xml:space="preserve"> </w:t>
      </w:r>
      <w:r w:rsidRPr="00DB3A50">
        <w:rPr>
          <w:rFonts w:hint="cs"/>
          <w:rtl/>
        </w:rPr>
        <w:t>מקבלים</w:t>
      </w:r>
      <w:r w:rsidRPr="00DB3A50">
        <w:rPr>
          <w:rtl/>
        </w:rPr>
        <w:t xml:space="preserve"> </w:t>
      </w:r>
      <w:r w:rsidRPr="00DB3A50">
        <w:rPr>
          <w:rFonts w:hint="eastAsia"/>
          <w:rtl/>
        </w:rPr>
        <w:t>הכשרה</w:t>
      </w:r>
      <w:r w:rsidRPr="00DB3A50">
        <w:rPr>
          <w:rtl/>
        </w:rPr>
        <w:t xml:space="preserve"> </w:t>
      </w:r>
      <w:r w:rsidRPr="00DB3A50">
        <w:rPr>
          <w:rFonts w:hint="eastAsia"/>
          <w:rtl/>
        </w:rPr>
        <w:t>מיוחדת</w:t>
      </w:r>
      <w:r w:rsidRPr="00DB3A50">
        <w:rPr>
          <w:rFonts w:hint="cs"/>
          <w:rtl/>
        </w:rPr>
        <w:t xml:space="preserve">. במשטרה יחידת יוהל"ן יצרה לומדה ממוחשבת שכל שוטר מחויב ללמוד עם גיוסו למשטרה. נוסף על כך נערכות הדרכות מדורגות ומותאמות בכל הקורסים במכללה הלאומית לשוטרים. בשב"ס כל עובד נדרש לעבור שתי הכשרות בשנה. כמו כן הופצו בכל יחידות שב"ס 23 סרטונים המציגים סיטואציות מחיי היומיום של הסוהרים ומסבירים מה ההתנהגות המטרידה האסורה. הסרטונים נגישים באתר השב"ס. נוסף על כך חולקו לכלל הסוהרים פנקסי כיס עם תמצית התקנון למניעת הטרדה מינית וטלפונים לפנייה בשב"ס ומחוצה לו. </w:t>
      </w:r>
    </w:p>
    <w:p w14:paraId="6E8AE64D" w14:textId="77777777" w:rsidR="00417266" w:rsidRDefault="00417266" w:rsidP="00DB3A50">
      <w:pPr>
        <w:pStyle w:val="af3"/>
        <w:rPr>
          <w:rtl/>
        </w:rPr>
      </w:pPr>
      <w:r w:rsidRPr="00C43F1B">
        <w:rPr>
          <w:rFonts w:hint="eastAsia"/>
          <w:rtl/>
        </w:rPr>
        <w:t>גופי</w:t>
      </w:r>
      <w:r w:rsidRPr="00C43F1B">
        <w:rPr>
          <w:rtl/>
        </w:rPr>
        <w:t xml:space="preserve"> הביטחון </w:t>
      </w:r>
      <w:r w:rsidRPr="00C43F1B">
        <w:rPr>
          <w:rFonts w:hint="cs"/>
          <w:rtl/>
        </w:rPr>
        <w:t>הגיעו למסקנה שאין להסתפק בהדרכה חד-פעמית למניעת הטרדה מינית, ו</w:t>
      </w:r>
      <w:r w:rsidRPr="00C43F1B">
        <w:rPr>
          <w:rtl/>
        </w:rPr>
        <w:t xml:space="preserve">ההכשרות </w:t>
      </w:r>
      <w:r w:rsidRPr="00C43F1B">
        <w:rPr>
          <w:rFonts w:hint="cs"/>
          <w:rtl/>
        </w:rPr>
        <w:t xml:space="preserve">בתחום זה </w:t>
      </w:r>
      <w:r w:rsidRPr="00C43F1B">
        <w:rPr>
          <w:rtl/>
        </w:rPr>
        <w:t xml:space="preserve">הפכו לחלק מובנה </w:t>
      </w:r>
      <w:r w:rsidRPr="00C43F1B">
        <w:rPr>
          <w:rFonts w:hint="eastAsia"/>
          <w:rtl/>
        </w:rPr>
        <w:t>בעשייה</w:t>
      </w:r>
      <w:r w:rsidRPr="00C43F1B">
        <w:rPr>
          <w:rtl/>
        </w:rPr>
        <w:t xml:space="preserve"> השנתית. ההדרכות השוטפות </w:t>
      </w:r>
      <w:r w:rsidRPr="00C43F1B">
        <w:rPr>
          <w:rFonts w:hint="eastAsia"/>
          <w:rtl/>
        </w:rPr>
        <w:t>מביא</w:t>
      </w:r>
      <w:r>
        <w:rPr>
          <w:rFonts w:hint="cs"/>
          <w:rtl/>
        </w:rPr>
        <w:t>ות</w:t>
      </w:r>
      <w:r w:rsidRPr="00C43F1B">
        <w:rPr>
          <w:rtl/>
        </w:rPr>
        <w:t xml:space="preserve"> </w:t>
      </w:r>
      <w:r w:rsidRPr="00C43F1B">
        <w:rPr>
          <w:rFonts w:hint="eastAsia"/>
          <w:rtl/>
        </w:rPr>
        <w:t>להגברת</w:t>
      </w:r>
      <w:r w:rsidRPr="00C43F1B">
        <w:rPr>
          <w:rtl/>
        </w:rPr>
        <w:t xml:space="preserve"> </w:t>
      </w:r>
      <w:r w:rsidRPr="00C43F1B">
        <w:rPr>
          <w:rFonts w:hint="eastAsia"/>
          <w:rtl/>
        </w:rPr>
        <w:t>המודעות</w:t>
      </w:r>
      <w:r w:rsidRPr="00C43F1B">
        <w:rPr>
          <w:rtl/>
        </w:rPr>
        <w:t xml:space="preserve"> </w:t>
      </w:r>
      <w:r w:rsidRPr="00C43F1B">
        <w:rPr>
          <w:rFonts w:hint="eastAsia"/>
          <w:rtl/>
        </w:rPr>
        <w:t>ולהפנמה</w:t>
      </w:r>
      <w:r w:rsidRPr="00C43F1B">
        <w:rPr>
          <w:rtl/>
        </w:rPr>
        <w:t xml:space="preserve"> </w:t>
      </w:r>
      <w:r w:rsidRPr="00C43F1B">
        <w:rPr>
          <w:rFonts w:hint="cs"/>
          <w:rtl/>
        </w:rPr>
        <w:t xml:space="preserve">של </w:t>
      </w:r>
      <w:r w:rsidRPr="00C43F1B">
        <w:rPr>
          <w:rtl/>
        </w:rPr>
        <w:t>חוסר הסובלנות לקיומן</w:t>
      </w:r>
      <w:r w:rsidRPr="00C43F1B">
        <w:rPr>
          <w:rFonts w:hint="cs"/>
          <w:rtl/>
        </w:rPr>
        <w:t xml:space="preserve"> של הטרדות מיניות.</w:t>
      </w:r>
    </w:p>
    <w:p w14:paraId="03CA1C8D" w14:textId="77777777" w:rsidR="00417266" w:rsidRPr="00552B11" w:rsidRDefault="00417266" w:rsidP="00DB3A50">
      <w:pPr>
        <w:pStyle w:val="100"/>
        <w:rPr>
          <w:rtl/>
        </w:rPr>
      </w:pPr>
      <w:r>
        <w:rPr>
          <w:rFonts w:hint="cs"/>
          <w:rtl/>
        </w:rPr>
        <w:t>אגף המשמעת בנש"ם מסר בתשובתו כי אכן יש צורך בקיום הדרכות שוטפות להגברת המודעות ולהפנמה של חוסר הסובלנות לקיומן של הטרדות מיניות. לפיכך, אגף המשמעת נענה להזמנות לביצוע הרצאות והדרכות בנושא ואף יוזם הרצאות והדרכות.</w:t>
      </w:r>
    </w:p>
    <w:p w14:paraId="0F73CE25" w14:textId="77777777" w:rsidR="00417266" w:rsidRPr="00DB3A50" w:rsidRDefault="00417266" w:rsidP="00DB3A50">
      <w:pPr>
        <w:pStyle w:val="100"/>
        <w:rPr>
          <w:rtl/>
        </w:rPr>
      </w:pPr>
      <w:bookmarkStart w:id="34" w:name="_Toc9150802"/>
      <w:r w:rsidRPr="007A1E36">
        <w:rPr>
          <w:rStyle w:val="Heading5Char"/>
          <w:rFonts w:eastAsiaTheme="minorHAnsi" w:hint="eastAsia"/>
          <w:bCs w:val="0"/>
          <w:color w:val="387026"/>
          <w:spacing w:val="0"/>
          <w:sz w:val="23"/>
          <w:szCs w:val="23"/>
          <w:rtl/>
        </w:rPr>
        <w:lastRenderedPageBreak/>
        <w:t>איסוף</w:t>
      </w:r>
      <w:r w:rsidRPr="007A1E36">
        <w:rPr>
          <w:rStyle w:val="Heading5Char"/>
          <w:rFonts w:eastAsiaTheme="minorHAnsi"/>
          <w:bCs w:val="0"/>
          <w:color w:val="387026"/>
          <w:spacing w:val="0"/>
          <w:sz w:val="23"/>
          <w:szCs w:val="23"/>
          <w:rtl/>
        </w:rPr>
        <w:t xml:space="preserve"> </w:t>
      </w:r>
      <w:r w:rsidRPr="007A1E36">
        <w:rPr>
          <w:rStyle w:val="Heading5Char"/>
          <w:rFonts w:eastAsiaTheme="minorHAnsi" w:hint="eastAsia"/>
          <w:bCs w:val="0"/>
          <w:color w:val="387026"/>
          <w:spacing w:val="0"/>
          <w:sz w:val="23"/>
          <w:szCs w:val="23"/>
          <w:rtl/>
        </w:rPr>
        <w:t>נתונים</w:t>
      </w:r>
      <w:r w:rsidRPr="007A1E36">
        <w:rPr>
          <w:rStyle w:val="Heading5Char"/>
          <w:rFonts w:eastAsiaTheme="minorHAnsi"/>
          <w:bCs w:val="0"/>
          <w:color w:val="387026"/>
          <w:spacing w:val="0"/>
          <w:sz w:val="23"/>
          <w:szCs w:val="23"/>
          <w:rtl/>
        </w:rPr>
        <w:t xml:space="preserve"> </w:t>
      </w:r>
      <w:r w:rsidRPr="007A1E36">
        <w:rPr>
          <w:rStyle w:val="Heading5Char"/>
          <w:rFonts w:eastAsiaTheme="minorHAnsi" w:hint="eastAsia"/>
          <w:bCs w:val="0"/>
          <w:color w:val="387026"/>
          <w:spacing w:val="0"/>
          <w:sz w:val="23"/>
          <w:szCs w:val="23"/>
          <w:rtl/>
        </w:rPr>
        <w:t>ומיפוי</w:t>
      </w:r>
      <w:r w:rsidRPr="007A1E36">
        <w:rPr>
          <w:rStyle w:val="Heading5Char"/>
          <w:rFonts w:eastAsiaTheme="minorHAnsi"/>
          <w:bCs w:val="0"/>
          <w:color w:val="387026"/>
          <w:spacing w:val="0"/>
          <w:sz w:val="23"/>
          <w:szCs w:val="23"/>
          <w:rtl/>
        </w:rPr>
        <w:t xml:space="preserve"> </w:t>
      </w:r>
      <w:r w:rsidRPr="007A1E36">
        <w:rPr>
          <w:rStyle w:val="Heading5Char"/>
          <w:rFonts w:eastAsiaTheme="minorHAnsi" w:hint="eastAsia"/>
          <w:bCs w:val="0"/>
          <w:color w:val="387026"/>
          <w:spacing w:val="0"/>
          <w:sz w:val="23"/>
          <w:szCs w:val="23"/>
          <w:rtl/>
        </w:rPr>
        <w:t>צרכים</w:t>
      </w:r>
      <w:r w:rsidRPr="007A1E36">
        <w:rPr>
          <w:rStyle w:val="Heading5Char"/>
          <w:rFonts w:eastAsiaTheme="minorHAnsi" w:hint="cs"/>
          <w:bCs w:val="0"/>
          <w:color w:val="387026"/>
          <w:spacing w:val="0"/>
          <w:sz w:val="23"/>
          <w:szCs w:val="23"/>
          <w:rtl/>
        </w:rPr>
        <w:t>:</w:t>
      </w:r>
      <w:bookmarkEnd w:id="34"/>
      <w:r w:rsidRPr="00DB3A50">
        <w:rPr>
          <w:rFonts w:hint="cs"/>
          <w:b/>
          <w:color w:val="387026"/>
          <w:rtl/>
        </w:rPr>
        <w:t xml:space="preserve"> </w:t>
      </w:r>
      <w:r w:rsidRPr="00DB3A50">
        <w:rPr>
          <w:rFonts w:hint="cs"/>
          <w:rtl/>
        </w:rPr>
        <w:t xml:space="preserve">בצה"ל יחידת יוהל"ם </w:t>
      </w:r>
      <w:r w:rsidRPr="00DB3A50">
        <w:rPr>
          <w:rFonts w:hint="eastAsia"/>
          <w:rtl/>
        </w:rPr>
        <w:t>אוספת</w:t>
      </w:r>
      <w:r w:rsidRPr="00DB3A50">
        <w:rPr>
          <w:rtl/>
        </w:rPr>
        <w:t xml:space="preserve"> </w:t>
      </w:r>
      <w:r w:rsidRPr="00DB3A50">
        <w:rPr>
          <w:rFonts w:hint="eastAsia"/>
          <w:rtl/>
        </w:rPr>
        <w:t>נתונים</w:t>
      </w:r>
      <w:r w:rsidRPr="00DB3A50">
        <w:rPr>
          <w:rtl/>
        </w:rPr>
        <w:t xml:space="preserve"> </w:t>
      </w:r>
      <w:r w:rsidRPr="00DB3A50">
        <w:rPr>
          <w:rFonts w:hint="cs"/>
          <w:rtl/>
        </w:rPr>
        <w:t xml:space="preserve">על </w:t>
      </w:r>
      <w:r w:rsidRPr="00DB3A50">
        <w:rPr>
          <w:rFonts w:hint="eastAsia"/>
          <w:rtl/>
        </w:rPr>
        <w:t>הטרדות</w:t>
      </w:r>
      <w:r w:rsidRPr="00DB3A50">
        <w:rPr>
          <w:rtl/>
        </w:rPr>
        <w:t xml:space="preserve"> </w:t>
      </w:r>
      <w:r w:rsidRPr="00DB3A50">
        <w:rPr>
          <w:rFonts w:hint="eastAsia"/>
          <w:rtl/>
        </w:rPr>
        <w:t>מיניות</w:t>
      </w:r>
      <w:r w:rsidRPr="00DB3A50">
        <w:rPr>
          <w:rtl/>
        </w:rPr>
        <w:t xml:space="preserve"> </w:t>
      </w:r>
      <w:r w:rsidRPr="00DB3A50">
        <w:rPr>
          <w:rFonts w:hint="eastAsia"/>
          <w:rtl/>
        </w:rPr>
        <w:t>בצבא</w:t>
      </w:r>
      <w:r w:rsidRPr="00DB3A50">
        <w:rPr>
          <w:rtl/>
        </w:rPr>
        <w:t xml:space="preserve"> </w:t>
      </w:r>
      <w:r w:rsidRPr="00DB3A50">
        <w:rPr>
          <w:rFonts w:hint="eastAsia"/>
          <w:rtl/>
        </w:rPr>
        <w:t>ומנתחת</w:t>
      </w:r>
      <w:r w:rsidRPr="00DB3A50">
        <w:rPr>
          <w:rtl/>
        </w:rPr>
        <w:t xml:space="preserve"> </w:t>
      </w:r>
      <w:r w:rsidRPr="00DB3A50">
        <w:rPr>
          <w:rFonts w:hint="eastAsia"/>
          <w:rtl/>
        </w:rPr>
        <w:t>אותם</w:t>
      </w:r>
      <w:r w:rsidRPr="00DB3A50">
        <w:rPr>
          <w:rtl/>
        </w:rPr>
        <w:t xml:space="preserve"> </w:t>
      </w:r>
      <w:r w:rsidRPr="00DB3A50">
        <w:rPr>
          <w:rFonts w:hint="cs"/>
          <w:rtl/>
        </w:rPr>
        <w:t>בקביעות.</w:t>
      </w:r>
      <w:r w:rsidRPr="00DB3A50">
        <w:rPr>
          <w:rtl/>
        </w:rPr>
        <w:t xml:space="preserve"> </w:t>
      </w:r>
      <w:r w:rsidRPr="00DB3A50">
        <w:rPr>
          <w:rFonts w:hint="cs"/>
          <w:rtl/>
        </w:rPr>
        <w:t xml:space="preserve">במשטרה </w:t>
      </w:r>
      <w:r w:rsidRPr="00DB3A50">
        <w:rPr>
          <w:rFonts w:hint="eastAsia"/>
          <w:rtl/>
        </w:rPr>
        <w:t>יחידת</w:t>
      </w:r>
      <w:r w:rsidRPr="00DB3A50">
        <w:rPr>
          <w:rtl/>
        </w:rPr>
        <w:t xml:space="preserve"> </w:t>
      </w:r>
      <w:r w:rsidRPr="00DB3A50">
        <w:rPr>
          <w:rFonts w:hint="eastAsia"/>
          <w:rtl/>
        </w:rPr>
        <w:t>יוהל</w:t>
      </w:r>
      <w:r w:rsidRPr="00DB3A50">
        <w:rPr>
          <w:rtl/>
        </w:rPr>
        <w:t>"ן א</w:t>
      </w:r>
      <w:r w:rsidRPr="00DB3A50">
        <w:rPr>
          <w:rFonts w:hint="eastAsia"/>
          <w:rtl/>
        </w:rPr>
        <w:t>וספת</w:t>
      </w:r>
      <w:r w:rsidRPr="00DB3A50">
        <w:rPr>
          <w:rtl/>
        </w:rPr>
        <w:t xml:space="preserve"> נתונים </w:t>
      </w:r>
      <w:r w:rsidRPr="00DB3A50">
        <w:rPr>
          <w:rFonts w:hint="cs"/>
          <w:rtl/>
        </w:rPr>
        <w:t xml:space="preserve">בדבר </w:t>
      </w:r>
      <w:r w:rsidRPr="00DB3A50">
        <w:rPr>
          <w:rFonts w:hint="eastAsia"/>
          <w:rtl/>
        </w:rPr>
        <w:t>התלונות</w:t>
      </w:r>
      <w:r w:rsidRPr="00DB3A50">
        <w:rPr>
          <w:rtl/>
        </w:rPr>
        <w:t xml:space="preserve"> על הטרדה מינית בתוך המשטרה </w:t>
      </w:r>
      <w:r w:rsidRPr="00DB3A50">
        <w:rPr>
          <w:rFonts w:hint="eastAsia"/>
          <w:rtl/>
        </w:rPr>
        <w:t>וכן</w:t>
      </w:r>
      <w:r w:rsidRPr="00DB3A50">
        <w:rPr>
          <w:rtl/>
        </w:rPr>
        <w:t xml:space="preserve"> </w:t>
      </w:r>
      <w:r w:rsidRPr="00DB3A50">
        <w:rPr>
          <w:rFonts w:hint="cs"/>
          <w:rtl/>
        </w:rPr>
        <w:t xml:space="preserve">בדבר </w:t>
      </w:r>
      <w:r w:rsidRPr="00DB3A50">
        <w:rPr>
          <w:rFonts w:hint="eastAsia"/>
          <w:rtl/>
        </w:rPr>
        <w:t>תלונות</w:t>
      </w:r>
      <w:r w:rsidRPr="00DB3A50">
        <w:rPr>
          <w:rtl/>
        </w:rPr>
        <w:t xml:space="preserve"> </w:t>
      </w:r>
      <w:r w:rsidRPr="00DB3A50">
        <w:rPr>
          <w:rFonts w:hint="eastAsia"/>
          <w:rtl/>
        </w:rPr>
        <w:t>של</w:t>
      </w:r>
      <w:r w:rsidRPr="00DB3A50">
        <w:rPr>
          <w:rtl/>
        </w:rPr>
        <w:t xml:space="preserve"> </w:t>
      </w:r>
      <w:r w:rsidRPr="00DB3A50">
        <w:rPr>
          <w:rFonts w:hint="eastAsia"/>
          <w:rtl/>
        </w:rPr>
        <w:t>אזרחים</w:t>
      </w:r>
      <w:r w:rsidRPr="00DB3A50">
        <w:rPr>
          <w:rtl/>
        </w:rPr>
        <w:t xml:space="preserve"> </w:t>
      </w:r>
      <w:r w:rsidRPr="00DB3A50">
        <w:rPr>
          <w:rFonts w:hint="eastAsia"/>
          <w:rtl/>
        </w:rPr>
        <w:t>על</w:t>
      </w:r>
      <w:r w:rsidRPr="00DB3A50">
        <w:rPr>
          <w:rtl/>
        </w:rPr>
        <w:t xml:space="preserve"> </w:t>
      </w:r>
      <w:r w:rsidRPr="00DB3A50">
        <w:rPr>
          <w:rFonts w:hint="eastAsia"/>
          <w:rtl/>
        </w:rPr>
        <w:t>הטרדה</w:t>
      </w:r>
      <w:r w:rsidRPr="00DB3A50">
        <w:rPr>
          <w:rtl/>
        </w:rPr>
        <w:t xml:space="preserve"> </w:t>
      </w:r>
      <w:r w:rsidRPr="00DB3A50">
        <w:rPr>
          <w:rFonts w:hint="eastAsia"/>
          <w:rtl/>
        </w:rPr>
        <w:t>מינית</w:t>
      </w:r>
      <w:r w:rsidRPr="00DB3A50">
        <w:rPr>
          <w:rtl/>
        </w:rPr>
        <w:t xml:space="preserve"> </w:t>
      </w:r>
      <w:r w:rsidRPr="00DB3A50">
        <w:rPr>
          <w:rFonts w:hint="cs"/>
          <w:rtl/>
        </w:rPr>
        <w:t xml:space="preserve">בידי </w:t>
      </w:r>
      <w:r w:rsidRPr="00DB3A50">
        <w:rPr>
          <w:rFonts w:hint="eastAsia"/>
          <w:rtl/>
        </w:rPr>
        <w:t>שוטרים</w:t>
      </w:r>
      <w:r w:rsidRPr="00DB3A50">
        <w:rPr>
          <w:rtl/>
        </w:rPr>
        <w:t xml:space="preserve">. </w:t>
      </w:r>
      <w:r w:rsidRPr="00DB3A50">
        <w:rPr>
          <w:rFonts w:hint="cs"/>
          <w:rtl/>
        </w:rPr>
        <w:t>כמו כן, בסקר האקלים הארגוני שעורכת המשטרה מפעם לפעם הורחב הפרק העוסק בהטרדות מיניות. הסקר מאפשר לזהות מגמות הנוגעות לתופעת ההטרדות המיניות. יחידת יועצת נציבת בתי הסוהר מיפתה את הפניות שקיבלה לצורך איתור המקומות המועדים לפגיעה, ובהתאם לתוצאות המיפוי ערכה שינויים</w:t>
      </w:r>
      <w:r w:rsidRPr="00DB3A50">
        <w:rPr>
          <w:rtl/>
        </w:rPr>
        <w:t xml:space="preserve"> </w:t>
      </w:r>
      <w:r w:rsidRPr="00DB3A50">
        <w:rPr>
          <w:rFonts w:hint="eastAsia"/>
          <w:rtl/>
        </w:rPr>
        <w:t>בתקנון</w:t>
      </w:r>
      <w:r w:rsidRPr="00DB3A50">
        <w:rPr>
          <w:rtl/>
        </w:rPr>
        <w:t xml:space="preserve"> </w:t>
      </w:r>
      <w:r w:rsidRPr="00DB3A50">
        <w:rPr>
          <w:rFonts w:hint="eastAsia"/>
          <w:rtl/>
        </w:rPr>
        <w:t>ובהכשרות</w:t>
      </w:r>
      <w:r w:rsidRPr="00DB3A50">
        <w:rPr>
          <w:rtl/>
        </w:rPr>
        <w:t xml:space="preserve"> </w:t>
      </w:r>
      <w:r w:rsidRPr="00DB3A50">
        <w:rPr>
          <w:rFonts w:hint="eastAsia"/>
          <w:rtl/>
        </w:rPr>
        <w:t>שהיא</w:t>
      </w:r>
      <w:r w:rsidRPr="00DB3A50">
        <w:rPr>
          <w:rtl/>
        </w:rPr>
        <w:t xml:space="preserve"> </w:t>
      </w:r>
      <w:r w:rsidRPr="00DB3A50">
        <w:rPr>
          <w:rFonts w:hint="eastAsia"/>
          <w:rtl/>
        </w:rPr>
        <w:t>מקיימת</w:t>
      </w:r>
      <w:r w:rsidRPr="00DB3A50">
        <w:rPr>
          <w:rtl/>
        </w:rPr>
        <w:t xml:space="preserve"> </w:t>
      </w:r>
      <w:r w:rsidRPr="00DB3A50">
        <w:rPr>
          <w:rFonts w:hint="eastAsia"/>
          <w:rtl/>
        </w:rPr>
        <w:t>בתחום</w:t>
      </w:r>
      <w:r w:rsidRPr="00DB3A50">
        <w:rPr>
          <w:rtl/>
        </w:rPr>
        <w:t xml:space="preserve">. </w:t>
      </w:r>
    </w:p>
    <w:p w14:paraId="582B4AD3" w14:textId="77777777" w:rsidR="00417266" w:rsidRPr="007D6435" w:rsidRDefault="00417266" w:rsidP="00985DBA">
      <w:pPr>
        <w:pStyle w:val="100"/>
        <w:rPr>
          <w:rtl/>
        </w:rPr>
      </w:pPr>
      <w:r>
        <w:rPr>
          <w:rFonts w:hint="cs"/>
          <w:rtl/>
        </w:rPr>
        <w:t xml:space="preserve">אגף המשמעת בנש"ם מסכים בתשובתו כי איסוף נתונים מסייע במיפוי הצרכים של כל גוף, ויהיה בו כדי לסייע לשפר את הטיפול באירועי הטרדה מינית. האגף לשוויון מגדרי מסר בתשובתו שהוא סבור כי קיום סקר מקיף ביחידות הממשלה לאיסוף מידע בדבר אירועים שאינם מדווחים יוסיף ליכולתה של נש"ם לתת מענה איכותי יותר בתחום זה בשירות המדינה. האגף לשוויון מגדרי הוסיף כי קבע בתוכנית העבודה שלו לשנת 2020 תוכנית לליווי מקצועי בנושא מניעת הטרדות מיניות במשרדים וביחידות שניכר שיש בהם מורכבות מיוחדת. </w:t>
      </w:r>
    </w:p>
    <w:p w14:paraId="7DC9D67F" w14:textId="77777777" w:rsidR="00417266" w:rsidRPr="00C43F1B" w:rsidRDefault="00417266" w:rsidP="00985DBA">
      <w:pPr>
        <w:pStyle w:val="af3"/>
        <w:rPr>
          <w:rtl/>
        </w:rPr>
      </w:pPr>
      <w:r w:rsidRPr="00C43F1B">
        <w:rPr>
          <w:rFonts w:hint="eastAsia"/>
          <w:rtl/>
        </w:rPr>
        <w:t>משרד</w:t>
      </w:r>
      <w:r w:rsidRPr="00C43F1B">
        <w:rPr>
          <w:rtl/>
        </w:rPr>
        <w:t xml:space="preserve"> </w:t>
      </w:r>
      <w:r w:rsidRPr="00C43F1B">
        <w:rPr>
          <w:rFonts w:hint="eastAsia"/>
          <w:rtl/>
        </w:rPr>
        <w:t>מבקר</w:t>
      </w:r>
      <w:r w:rsidRPr="00C43F1B">
        <w:rPr>
          <w:rtl/>
        </w:rPr>
        <w:t xml:space="preserve"> </w:t>
      </w:r>
      <w:r w:rsidRPr="00C43F1B">
        <w:rPr>
          <w:rFonts w:hint="eastAsia"/>
          <w:rtl/>
        </w:rPr>
        <w:t>המדינה</w:t>
      </w:r>
      <w:r w:rsidRPr="00C43F1B">
        <w:rPr>
          <w:rtl/>
        </w:rPr>
        <w:t xml:space="preserve"> </w:t>
      </w:r>
      <w:r>
        <w:rPr>
          <w:rFonts w:hint="cs"/>
          <w:rtl/>
        </w:rPr>
        <w:t>ממליץ</w:t>
      </w:r>
      <w:r w:rsidRPr="00C43F1B">
        <w:rPr>
          <w:rtl/>
        </w:rPr>
        <w:t xml:space="preserve"> </w:t>
      </w:r>
      <w:r w:rsidRPr="00C43F1B">
        <w:rPr>
          <w:rFonts w:hint="eastAsia"/>
          <w:rtl/>
        </w:rPr>
        <w:t>לנש</w:t>
      </w:r>
      <w:r w:rsidRPr="00C43F1B">
        <w:rPr>
          <w:rtl/>
        </w:rPr>
        <w:t xml:space="preserve">"ם </w:t>
      </w:r>
      <w:r>
        <w:rPr>
          <w:rFonts w:hint="cs"/>
          <w:rtl/>
        </w:rPr>
        <w:t>לאסוף</w:t>
      </w:r>
      <w:r w:rsidRPr="00C43F1B">
        <w:rPr>
          <w:rtl/>
        </w:rPr>
        <w:t xml:space="preserve"> נתונים</w:t>
      </w:r>
      <w:r>
        <w:rPr>
          <w:rFonts w:hint="cs"/>
          <w:rtl/>
        </w:rPr>
        <w:t>, שכן הדבר י</w:t>
      </w:r>
      <w:r w:rsidRPr="00C43F1B">
        <w:rPr>
          <w:rFonts w:hint="eastAsia"/>
          <w:rtl/>
        </w:rPr>
        <w:t>סייע</w:t>
      </w:r>
      <w:r w:rsidRPr="00C43F1B">
        <w:rPr>
          <w:rtl/>
        </w:rPr>
        <w:t xml:space="preserve"> </w:t>
      </w:r>
      <w:r w:rsidRPr="00C43F1B">
        <w:rPr>
          <w:rFonts w:hint="eastAsia"/>
          <w:rtl/>
        </w:rPr>
        <w:t>במיפוי</w:t>
      </w:r>
      <w:r w:rsidRPr="00C43F1B">
        <w:rPr>
          <w:rtl/>
        </w:rPr>
        <w:t xml:space="preserve"> </w:t>
      </w:r>
      <w:r w:rsidRPr="00C43F1B">
        <w:rPr>
          <w:rFonts w:hint="eastAsia"/>
          <w:rtl/>
        </w:rPr>
        <w:t>הצרכים</w:t>
      </w:r>
      <w:r w:rsidRPr="00C43F1B">
        <w:rPr>
          <w:rtl/>
        </w:rPr>
        <w:t xml:space="preserve"> </w:t>
      </w:r>
      <w:r w:rsidRPr="00C43F1B">
        <w:rPr>
          <w:rFonts w:hint="eastAsia"/>
          <w:rtl/>
        </w:rPr>
        <w:t>של</w:t>
      </w:r>
      <w:r w:rsidRPr="00C43F1B">
        <w:rPr>
          <w:rtl/>
        </w:rPr>
        <w:t xml:space="preserve"> </w:t>
      </w:r>
      <w:r w:rsidRPr="00C43F1B">
        <w:rPr>
          <w:rFonts w:hint="eastAsia"/>
          <w:rtl/>
        </w:rPr>
        <w:t>כל</w:t>
      </w:r>
      <w:r w:rsidRPr="00C43F1B">
        <w:rPr>
          <w:rtl/>
        </w:rPr>
        <w:t xml:space="preserve"> </w:t>
      </w:r>
      <w:r w:rsidRPr="00C43F1B">
        <w:rPr>
          <w:rFonts w:hint="eastAsia"/>
          <w:rtl/>
        </w:rPr>
        <w:t>גוף</w:t>
      </w:r>
      <w:r w:rsidRPr="00C43F1B">
        <w:rPr>
          <w:rtl/>
        </w:rPr>
        <w:t xml:space="preserve">, </w:t>
      </w:r>
      <w:r>
        <w:rPr>
          <w:rFonts w:hint="cs"/>
          <w:rtl/>
        </w:rPr>
        <w:t>י</w:t>
      </w:r>
      <w:r w:rsidRPr="00C43F1B">
        <w:rPr>
          <w:rFonts w:hint="eastAsia"/>
          <w:rtl/>
        </w:rPr>
        <w:t>ציג</w:t>
      </w:r>
      <w:r w:rsidRPr="00C43F1B">
        <w:rPr>
          <w:rtl/>
        </w:rPr>
        <w:t xml:space="preserve"> </w:t>
      </w:r>
      <w:r w:rsidRPr="00C43F1B">
        <w:rPr>
          <w:rFonts w:hint="eastAsia"/>
          <w:rtl/>
        </w:rPr>
        <w:t>תמונה</w:t>
      </w:r>
      <w:r w:rsidRPr="00C43F1B">
        <w:rPr>
          <w:rtl/>
        </w:rPr>
        <w:t xml:space="preserve"> </w:t>
      </w:r>
      <w:r w:rsidRPr="00C43F1B">
        <w:rPr>
          <w:rFonts w:hint="eastAsia"/>
          <w:rtl/>
        </w:rPr>
        <w:t>של</w:t>
      </w:r>
      <w:r w:rsidRPr="00C43F1B">
        <w:rPr>
          <w:rtl/>
        </w:rPr>
        <w:t xml:space="preserve"> </w:t>
      </w:r>
      <w:r w:rsidRPr="00C43F1B">
        <w:rPr>
          <w:rFonts w:hint="eastAsia"/>
          <w:rtl/>
        </w:rPr>
        <w:t>מאפייני</w:t>
      </w:r>
      <w:r w:rsidRPr="00C43F1B">
        <w:rPr>
          <w:rtl/>
        </w:rPr>
        <w:t xml:space="preserve"> </w:t>
      </w:r>
      <w:r w:rsidRPr="00C43F1B">
        <w:rPr>
          <w:rFonts w:hint="eastAsia"/>
          <w:rtl/>
        </w:rPr>
        <w:t>המטרידים</w:t>
      </w:r>
      <w:r w:rsidRPr="00C43F1B">
        <w:rPr>
          <w:rtl/>
        </w:rPr>
        <w:t xml:space="preserve"> </w:t>
      </w:r>
      <w:r>
        <w:rPr>
          <w:rFonts w:hint="cs"/>
          <w:rtl/>
        </w:rPr>
        <w:t>ו</w:t>
      </w:r>
      <w:r w:rsidRPr="00C43F1B">
        <w:rPr>
          <w:rFonts w:hint="eastAsia"/>
          <w:rtl/>
        </w:rPr>
        <w:t>ההטרדות</w:t>
      </w:r>
      <w:r w:rsidRPr="00C43F1B">
        <w:rPr>
          <w:rtl/>
        </w:rPr>
        <w:t xml:space="preserve"> </w:t>
      </w:r>
      <w:r>
        <w:rPr>
          <w:rFonts w:hint="cs"/>
          <w:rtl/>
        </w:rPr>
        <w:t>וי</w:t>
      </w:r>
      <w:r w:rsidRPr="00C43F1B">
        <w:rPr>
          <w:rFonts w:hint="eastAsia"/>
          <w:rtl/>
        </w:rPr>
        <w:t>סייע</w:t>
      </w:r>
      <w:r w:rsidRPr="00C43F1B">
        <w:rPr>
          <w:rtl/>
        </w:rPr>
        <w:t xml:space="preserve"> בזיהוי </w:t>
      </w:r>
      <w:r w:rsidRPr="00C43F1B">
        <w:rPr>
          <w:rFonts w:hint="eastAsia"/>
          <w:rtl/>
        </w:rPr>
        <w:t>אוכלוסיות</w:t>
      </w:r>
      <w:r w:rsidRPr="00C43F1B">
        <w:rPr>
          <w:rtl/>
        </w:rPr>
        <w:t xml:space="preserve"> </w:t>
      </w:r>
      <w:r w:rsidRPr="00C43F1B">
        <w:rPr>
          <w:rFonts w:hint="eastAsia"/>
          <w:rtl/>
        </w:rPr>
        <w:t>המועדות</w:t>
      </w:r>
      <w:r w:rsidRPr="00C43F1B">
        <w:rPr>
          <w:rtl/>
        </w:rPr>
        <w:t xml:space="preserve"> </w:t>
      </w:r>
      <w:r w:rsidRPr="00C43F1B">
        <w:rPr>
          <w:rFonts w:hint="eastAsia"/>
          <w:rtl/>
        </w:rPr>
        <w:t>להיפגע</w:t>
      </w:r>
      <w:r w:rsidRPr="00C43F1B">
        <w:rPr>
          <w:rtl/>
        </w:rPr>
        <w:t xml:space="preserve"> </w:t>
      </w:r>
      <w:r w:rsidRPr="00C43F1B">
        <w:rPr>
          <w:rFonts w:hint="eastAsia"/>
          <w:rtl/>
        </w:rPr>
        <w:t>ובהכנת</w:t>
      </w:r>
      <w:r w:rsidRPr="00C43F1B">
        <w:rPr>
          <w:rtl/>
        </w:rPr>
        <w:t xml:space="preserve"> </w:t>
      </w:r>
      <w:r w:rsidRPr="00C43F1B">
        <w:rPr>
          <w:rFonts w:hint="eastAsia"/>
          <w:rtl/>
        </w:rPr>
        <w:t>ת</w:t>
      </w:r>
      <w:r w:rsidRPr="00C43F1B">
        <w:rPr>
          <w:rFonts w:hint="cs"/>
          <w:rtl/>
        </w:rPr>
        <w:t>ו</w:t>
      </w:r>
      <w:r w:rsidRPr="00C43F1B">
        <w:rPr>
          <w:rFonts w:hint="eastAsia"/>
          <w:rtl/>
        </w:rPr>
        <w:t>כניות</w:t>
      </w:r>
      <w:r w:rsidRPr="00C43F1B">
        <w:rPr>
          <w:rtl/>
        </w:rPr>
        <w:t xml:space="preserve"> הכשרה והסברה </w:t>
      </w:r>
      <w:r w:rsidRPr="00C43F1B">
        <w:rPr>
          <w:rFonts w:hint="eastAsia"/>
          <w:rtl/>
        </w:rPr>
        <w:t>ממוקדות</w:t>
      </w:r>
      <w:r w:rsidRPr="00C43F1B">
        <w:rPr>
          <w:rtl/>
        </w:rPr>
        <w:t xml:space="preserve"> </w:t>
      </w:r>
      <w:r w:rsidRPr="00C43F1B">
        <w:rPr>
          <w:rFonts w:hint="eastAsia"/>
          <w:rtl/>
        </w:rPr>
        <w:t>ו</w:t>
      </w:r>
      <w:r w:rsidRPr="00C43F1B">
        <w:rPr>
          <w:rtl/>
        </w:rPr>
        <w:t xml:space="preserve">ייעודיות. </w:t>
      </w:r>
    </w:p>
    <w:p w14:paraId="275B29AB" w14:textId="59C5C4AA" w:rsidR="00417266" w:rsidRPr="007F287F" w:rsidRDefault="00417266" w:rsidP="00985DBA">
      <w:pPr>
        <w:pStyle w:val="af3"/>
        <w:jc w:val="center"/>
        <w:rPr>
          <w:rFonts w:ascii="Arial" w:hAnsi="Arial" w:cs="Arial"/>
          <w:sz w:val="36"/>
          <w:rtl/>
        </w:rPr>
      </w:pPr>
      <w:bookmarkStart w:id="35" w:name="_Toc9150803"/>
      <w:r>
        <w:rPr>
          <w:rFonts w:ascii="Segoe UI Symbol" w:hAnsi="Segoe UI Symbol" w:cs="Segoe UI Symbol" w:hint="cs"/>
          <w:sz w:val="36"/>
          <w:rtl/>
        </w:rPr>
        <w:t>✰</w:t>
      </w:r>
    </w:p>
    <w:bookmarkEnd w:id="35"/>
    <w:p w14:paraId="1456B6B2" w14:textId="77777777" w:rsidR="00417266" w:rsidRDefault="00417266" w:rsidP="00985DBA">
      <w:pPr>
        <w:pStyle w:val="af3"/>
        <w:rPr>
          <w:rtl/>
        </w:rPr>
      </w:pPr>
      <w:r w:rsidRPr="00421B32">
        <w:rPr>
          <w:rFonts w:hint="cs"/>
          <w:rtl/>
        </w:rPr>
        <w:t xml:space="preserve">החוק </w:t>
      </w:r>
      <w:r w:rsidRPr="00421B32">
        <w:rPr>
          <w:rtl/>
        </w:rPr>
        <w:t>למניעת הטרדה מינית</w:t>
      </w:r>
      <w:r>
        <w:rPr>
          <w:rFonts w:hint="cs"/>
          <w:rtl/>
        </w:rPr>
        <w:t xml:space="preserve"> </w:t>
      </w:r>
      <w:r w:rsidRPr="00C43F1B">
        <w:rPr>
          <w:rFonts w:hint="cs"/>
          <w:rtl/>
        </w:rPr>
        <w:t xml:space="preserve">מספק לנפגעות מגוון מענים משפטיים בדין הפלילי, בדין האזרחי ובדיני העבודה. </w:t>
      </w:r>
      <w:r>
        <w:rPr>
          <w:rFonts w:hint="cs"/>
          <w:rtl/>
        </w:rPr>
        <w:t>לאחר שחלפו</w:t>
      </w:r>
      <w:r w:rsidRPr="00421B32">
        <w:rPr>
          <w:rFonts w:hint="cs"/>
          <w:rtl/>
        </w:rPr>
        <w:t xml:space="preserve"> 20 שנים מחקיקת החוק המודעות הציבורית להטרדה המינית כתופעה </w:t>
      </w:r>
      <w:r>
        <w:rPr>
          <w:rFonts w:hint="cs"/>
          <w:rtl/>
        </w:rPr>
        <w:t xml:space="preserve">גברה, וניתן להצביע על שינויים חברתיים ביחסו של הציבור להטרדות מיניות. עם זאת, </w:t>
      </w:r>
      <w:r w:rsidRPr="00C43F1B">
        <w:rPr>
          <w:rFonts w:hint="cs"/>
          <w:rtl/>
        </w:rPr>
        <w:t xml:space="preserve">ממצאי הביקורת </w:t>
      </w:r>
      <w:r>
        <w:rPr>
          <w:rFonts w:hint="cs"/>
          <w:rtl/>
        </w:rPr>
        <w:t xml:space="preserve">מצביעים על היעדר </w:t>
      </w:r>
      <w:r w:rsidRPr="00C43F1B">
        <w:rPr>
          <w:rFonts w:hint="cs"/>
          <w:rtl/>
        </w:rPr>
        <w:t>איסוף</w:t>
      </w:r>
      <w:r w:rsidRPr="00C43F1B">
        <w:rPr>
          <w:rtl/>
        </w:rPr>
        <w:t xml:space="preserve"> </w:t>
      </w:r>
      <w:r w:rsidRPr="00C43F1B">
        <w:rPr>
          <w:rFonts w:hint="cs"/>
          <w:rtl/>
        </w:rPr>
        <w:t>נתונים רשמי ומקיף על</w:t>
      </w:r>
      <w:r w:rsidRPr="00C43F1B">
        <w:rPr>
          <w:rtl/>
        </w:rPr>
        <w:t xml:space="preserve"> </w:t>
      </w:r>
      <w:r w:rsidRPr="00C43F1B">
        <w:rPr>
          <w:rFonts w:hint="cs"/>
          <w:rtl/>
        </w:rPr>
        <w:t>התופעה</w:t>
      </w:r>
      <w:r w:rsidRPr="00C43F1B">
        <w:rPr>
          <w:rtl/>
        </w:rPr>
        <w:t xml:space="preserve">, </w:t>
      </w:r>
      <w:r w:rsidRPr="00C43F1B">
        <w:rPr>
          <w:rFonts w:hint="cs"/>
          <w:rtl/>
        </w:rPr>
        <w:t>המ</w:t>
      </w:r>
      <w:r w:rsidRPr="00C43F1B">
        <w:rPr>
          <w:rtl/>
        </w:rPr>
        <w:t>אפשר לבחון את היק</w:t>
      </w:r>
      <w:r w:rsidRPr="00C43F1B">
        <w:rPr>
          <w:rFonts w:hint="cs"/>
          <w:rtl/>
        </w:rPr>
        <w:t>פה</w:t>
      </w:r>
      <w:r w:rsidRPr="00C43F1B">
        <w:rPr>
          <w:rtl/>
        </w:rPr>
        <w:t xml:space="preserve"> וחומרתה </w:t>
      </w:r>
      <w:r w:rsidRPr="00C43F1B">
        <w:rPr>
          <w:rFonts w:hint="cs"/>
          <w:rtl/>
        </w:rPr>
        <w:t>ולהציע ת</w:t>
      </w:r>
      <w:r>
        <w:rPr>
          <w:rFonts w:hint="cs"/>
          <w:rtl/>
        </w:rPr>
        <w:t>ו</w:t>
      </w:r>
      <w:r w:rsidRPr="00C43F1B">
        <w:rPr>
          <w:rFonts w:hint="cs"/>
          <w:rtl/>
        </w:rPr>
        <w:t>כניות אופרטיביות למיגורה. הנתונים החלקיים שנאספו מלמדים שה</w:t>
      </w:r>
      <w:r w:rsidRPr="00C43F1B">
        <w:rPr>
          <w:rtl/>
        </w:rPr>
        <w:t>טיפול בהטרדות מיניות ובמניעתן</w:t>
      </w:r>
      <w:r w:rsidRPr="00C43F1B">
        <w:rPr>
          <w:rFonts w:hint="cs"/>
          <w:rtl/>
        </w:rPr>
        <w:t xml:space="preserve"> בכל אחד משלושת</w:t>
      </w:r>
      <w:r w:rsidRPr="00C43F1B">
        <w:rPr>
          <w:rtl/>
        </w:rPr>
        <w:t xml:space="preserve"> </w:t>
      </w:r>
      <w:r w:rsidRPr="00C43F1B">
        <w:rPr>
          <w:rFonts w:hint="cs"/>
          <w:rtl/>
        </w:rPr>
        <w:t>המסלולים שנקבעו בחוק ובכולם יחד אינו נותן מענה מלא לבעיה. נמצא כי קיימים חסמים תרבותיים, חברתיים ומשפטיים שבעטיים נפגעות רבות נמנעות מלפעול בדרכים שהחוק מציע, ואכן, קיים תת-דיווח על הטרד</w:t>
      </w:r>
      <w:r>
        <w:rPr>
          <w:rFonts w:hint="cs"/>
          <w:rtl/>
        </w:rPr>
        <w:t>ות</w:t>
      </w:r>
      <w:r w:rsidRPr="00C43F1B">
        <w:rPr>
          <w:rFonts w:hint="cs"/>
          <w:rtl/>
        </w:rPr>
        <w:t xml:space="preserve"> מיני</w:t>
      </w:r>
      <w:r>
        <w:rPr>
          <w:rFonts w:hint="cs"/>
          <w:rtl/>
        </w:rPr>
        <w:t>ו</w:t>
      </w:r>
      <w:r w:rsidRPr="00C43F1B">
        <w:rPr>
          <w:rFonts w:hint="cs"/>
          <w:rtl/>
        </w:rPr>
        <w:t xml:space="preserve">ת בכל אחד מהמסלולים שנקבעו בחוק. </w:t>
      </w:r>
    </w:p>
    <w:p w14:paraId="1991200B" w14:textId="77777777" w:rsidR="00417266" w:rsidRDefault="00417266" w:rsidP="00985DBA">
      <w:pPr>
        <w:pStyle w:val="af3"/>
        <w:rPr>
          <w:rtl/>
        </w:rPr>
      </w:pPr>
      <w:r w:rsidRPr="00C43F1B">
        <w:rPr>
          <w:rFonts w:hint="cs"/>
          <w:rtl/>
        </w:rPr>
        <w:t xml:space="preserve">לאחר 20 שנה </w:t>
      </w:r>
      <w:r>
        <w:rPr>
          <w:rFonts w:hint="cs"/>
          <w:rtl/>
        </w:rPr>
        <w:t xml:space="preserve">חלק מתכליות החוק הושגו, ועדיין </w:t>
      </w:r>
      <w:r w:rsidRPr="00C43F1B">
        <w:rPr>
          <w:rFonts w:hint="cs"/>
          <w:rtl/>
        </w:rPr>
        <w:t>נדרש להטמיע את הוראותיו בשיח החברתי, להנגיש את ההליכים המשפטיים ולהתאימם למציאות המשתנה, לפעול להסרת החסמים ולחזק את מנגנוני הפיקוח והבקרה בתחום זה.</w:t>
      </w:r>
      <w:r w:rsidRPr="00C43F1B">
        <w:rPr>
          <w:rtl/>
        </w:rPr>
        <w:t xml:space="preserve"> </w:t>
      </w:r>
      <w:r>
        <w:rPr>
          <w:rFonts w:hint="cs"/>
          <w:rtl/>
        </w:rPr>
        <w:t xml:space="preserve">מוצע למשרד המשפטים לאסוף נתונים ולבצע מחקרים שיטתיים כדי לבחון את יישום החוק ולאפיין חסמים בשלושת המסלולים שנקבעו בו. בהתאם לממצאים יש לבחון את הצורך בתיקוני חקיקה מתאימים. </w:t>
      </w:r>
    </w:p>
    <w:p w14:paraId="6F86FEDD" w14:textId="77777777" w:rsidR="00417266" w:rsidRPr="00C43F1B" w:rsidRDefault="00417266" w:rsidP="00417266">
      <w:pPr>
        <w:spacing w:line="269" w:lineRule="auto"/>
        <w:rPr>
          <w:rtl/>
        </w:rPr>
      </w:pPr>
    </w:p>
    <w:p w14:paraId="28EC5F52" w14:textId="77777777" w:rsidR="00417266" w:rsidRDefault="00417266" w:rsidP="00417266">
      <w:pPr>
        <w:bidi w:val="0"/>
        <w:spacing w:after="200" w:line="276" w:lineRule="auto"/>
        <w:rPr>
          <w:rFonts w:eastAsiaTheme="majorEastAsia"/>
          <w:bCs/>
          <w:szCs w:val="36"/>
          <w:u w:val="single"/>
          <w:rtl/>
        </w:rPr>
      </w:pPr>
      <w:r>
        <w:rPr>
          <w:rtl/>
        </w:rPr>
        <w:br w:type="page"/>
      </w:r>
    </w:p>
    <w:p w14:paraId="0F118A29" w14:textId="77777777" w:rsidR="00417266" w:rsidRPr="00C43F1B" w:rsidRDefault="00417266" w:rsidP="007270D6">
      <w:pPr>
        <w:pStyle w:val="121"/>
        <w:rPr>
          <w:rtl/>
        </w:rPr>
      </w:pPr>
      <w:r w:rsidRPr="00C43F1B">
        <w:rPr>
          <w:rFonts w:hint="cs"/>
          <w:rtl/>
        </w:rPr>
        <w:lastRenderedPageBreak/>
        <w:t>חלק שני</w:t>
      </w:r>
    </w:p>
    <w:p w14:paraId="2EEDF14E" w14:textId="77777777" w:rsidR="00417266" w:rsidRPr="00C43F1B" w:rsidRDefault="00417266" w:rsidP="007270D6">
      <w:pPr>
        <w:pStyle w:val="218"/>
        <w:rPr>
          <w:rtl/>
        </w:rPr>
      </w:pPr>
      <w:r w:rsidRPr="00C43F1B">
        <w:rPr>
          <w:rFonts w:hint="cs"/>
          <w:rtl/>
        </w:rPr>
        <w:t xml:space="preserve">הטרדות מיניות בגופים ממשלתיים בעלי ממשקים </w:t>
      </w:r>
      <w:r>
        <w:rPr>
          <w:rFonts w:hint="cs"/>
          <w:rtl/>
        </w:rPr>
        <w:t>שונים</w:t>
      </w:r>
      <w:r w:rsidRPr="00C43F1B">
        <w:rPr>
          <w:rFonts w:hint="cs"/>
          <w:rtl/>
        </w:rPr>
        <w:t xml:space="preserve"> עם הציבור - משרד הבריאות ומשרד החינוך</w:t>
      </w:r>
    </w:p>
    <w:p w14:paraId="794F0FD4" w14:textId="77777777" w:rsidR="00417266" w:rsidRPr="00C43F1B" w:rsidRDefault="00417266" w:rsidP="007270D6">
      <w:pPr>
        <w:pStyle w:val="316"/>
        <w:rPr>
          <w:rtl/>
        </w:rPr>
      </w:pPr>
      <w:r w:rsidRPr="00C43F1B">
        <w:rPr>
          <w:rFonts w:hint="cs"/>
          <w:rtl/>
        </w:rPr>
        <w:t>מבוא</w:t>
      </w:r>
    </w:p>
    <w:p w14:paraId="6DA86EEB" w14:textId="77777777" w:rsidR="00417266" w:rsidRPr="00C43F1B" w:rsidRDefault="00417266" w:rsidP="007270D6">
      <w:pPr>
        <w:pStyle w:val="100"/>
        <w:rPr>
          <w:rtl/>
        </w:rPr>
      </w:pPr>
      <w:r w:rsidRPr="00C43F1B">
        <w:rPr>
          <w:rFonts w:hint="cs"/>
          <w:rtl/>
        </w:rPr>
        <w:t xml:space="preserve">החוק למניעת </w:t>
      </w:r>
      <w:r w:rsidRPr="00C43F1B">
        <w:rPr>
          <w:rFonts w:hint="eastAsia"/>
          <w:rtl/>
        </w:rPr>
        <w:t>הטרדה</w:t>
      </w:r>
      <w:r w:rsidRPr="00C43F1B">
        <w:rPr>
          <w:rtl/>
        </w:rPr>
        <w:t xml:space="preserve"> </w:t>
      </w:r>
      <w:r w:rsidRPr="00C43F1B">
        <w:rPr>
          <w:rFonts w:hint="eastAsia"/>
          <w:rtl/>
        </w:rPr>
        <w:t>מינית</w:t>
      </w:r>
      <w:r w:rsidRPr="00C43F1B">
        <w:rPr>
          <w:rFonts w:hint="cs"/>
          <w:rtl/>
        </w:rPr>
        <w:t>, התשנ"ח-1998</w:t>
      </w:r>
      <w:r>
        <w:rPr>
          <w:rFonts w:hint="cs"/>
          <w:rtl/>
        </w:rPr>
        <w:t xml:space="preserve">, </w:t>
      </w:r>
      <w:r w:rsidRPr="00C43F1B">
        <w:rPr>
          <w:rtl/>
        </w:rPr>
        <w:t>קובע</w:t>
      </w:r>
      <w:r w:rsidRPr="00C43F1B">
        <w:rPr>
          <w:rFonts w:hint="cs"/>
          <w:rtl/>
        </w:rPr>
        <w:t xml:space="preserve"> כי</w:t>
      </w:r>
      <w:r>
        <w:rPr>
          <w:rFonts w:hint="cs"/>
          <w:rtl/>
        </w:rPr>
        <w:t xml:space="preserve"> מעסיק חייב לנקוט אמצעים סבירים, בנסיבות העניין, </w:t>
      </w:r>
      <w:r w:rsidRPr="00C43F1B">
        <w:rPr>
          <w:rFonts w:hint="cs"/>
          <w:rtl/>
        </w:rPr>
        <w:t>למניעת הטרדה מינית או התנכלות במסגרת יחסי עבודה, על ידי עובדו, או על ידי ממונה מטעמו אף אם אינו עובדו, ולטפל בכל מקרה כאמור שנודע לו עליו. "מסגרת יחסי עבודה" הוגדרה בחוק כ"מקום העבודה, מקום אחר שבו מתנהלת פעילות מטעם המעסיק, תוך כדי העבודה, או תוך ניצול מרות ביחסי העבודה בכל מקום שהוא".</w:t>
      </w:r>
    </w:p>
    <w:p w14:paraId="26C6E36D" w14:textId="77777777" w:rsidR="00417266" w:rsidRPr="00C43F1B" w:rsidRDefault="00417266" w:rsidP="007270D6">
      <w:pPr>
        <w:pStyle w:val="100"/>
        <w:rPr>
          <w:rtl/>
        </w:rPr>
      </w:pPr>
      <w:r w:rsidRPr="00C43F1B">
        <w:rPr>
          <w:rFonts w:hint="cs"/>
          <w:rtl/>
        </w:rPr>
        <w:t>במסגרת פעולת המערכת הממשלתית והציבורית מקיימים עובדי ציבור ממשקים עם קהלים שאינם בגדר עובדים ישירים של המעסיק. לדעת הוועדה לקידום מעמ</w:t>
      </w:r>
      <w:r>
        <w:rPr>
          <w:rFonts w:hint="cs"/>
          <w:rtl/>
        </w:rPr>
        <w:t xml:space="preserve">ד האישה ולשוויון מגדרי של הכנסת, </w:t>
      </w:r>
      <w:r w:rsidRPr="00C43F1B">
        <w:rPr>
          <w:rFonts w:hint="cs"/>
          <w:rtl/>
        </w:rPr>
        <w:t>החוק אינו מבהיר באופן חד-משמעי שחובת ה</w:t>
      </w:r>
      <w:r w:rsidRPr="00C43F1B">
        <w:rPr>
          <w:rtl/>
        </w:rPr>
        <w:t xml:space="preserve">מעסיק למנוע הטרדה מינית </w:t>
      </w:r>
      <w:r w:rsidRPr="00C43F1B">
        <w:rPr>
          <w:rFonts w:hint="cs"/>
          <w:rtl/>
        </w:rPr>
        <w:t xml:space="preserve">אינה </w:t>
      </w:r>
      <w:r w:rsidRPr="00C43F1B">
        <w:rPr>
          <w:rtl/>
        </w:rPr>
        <w:t xml:space="preserve">חלה רק </w:t>
      </w:r>
      <w:r w:rsidRPr="00C43F1B">
        <w:rPr>
          <w:rFonts w:hint="cs"/>
          <w:rtl/>
        </w:rPr>
        <w:t xml:space="preserve">על </w:t>
      </w:r>
      <w:r w:rsidRPr="00C43F1B">
        <w:rPr>
          <w:rtl/>
        </w:rPr>
        <w:t xml:space="preserve">הטרדות מיניות שבין עובדים, </w:t>
      </w:r>
      <w:r w:rsidRPr="00C43F1B">
        <w:rPr>
          <w:rFonts w:hint="cs"/>
          <w:rtl/>
        </w:rPr>
        <w:t xml:space="preserve">אלא גם על הטרדות </w:t>
      </w:r>
      <w:r w:rsidRPr="00C43F1B">
        <w:rPr>
          <w:rtl/>
        </w:rPr>
        <w:t>בממשקים שבין עובדים ובין מי שאינם עובדים</w:t>
      </w:r>
      <w:r w:rsidRPr="00C43F1B">
        <w:rPr>
          <w:rFonts w:hint="cs"/>
          <w:rtl/>
        </w:rPr>
        <w:t xml:space="preserve">. מנגד, </w:t>
      </w:r>
      <w:r>
        <w:rPr>
          <w:rFonts w:hint="cs"/>
          <w:rtl/>
        </w:rPr>
        <w:t xml:space="preserve">עמדת </w:t>
      </w:r>
      <w:r w:rsidRPr="00C43F1B">
        <w:rPr>
          <w:rFonts w:hint="cs"/>
          <w:rtl/>
        </w:rPr>
        <w:t xml:space="preserve">מחלקת ייעוץ וחקיקה במשרד המשפטים </w:t>
      </w:r>
      <w:r>
        <w:rPr>
          <w:rFonts w:hint="cs"/>
          <w:rtl/>
        </w:rPr>
        <w:t xml:space="preserve">היא </w:t>
      </w:r>
      <w:r w:rsidRPr="00C43F1B">
        <w:rPr>
          <w:rFonts w:hint="cs"/>
          <w:rtl/>
        </w:rPr>
        <w:t>כי חובת המעסיק לפעול כנגד הטרדות מיניות בידי עובדיו חלה, על פי החוק, גם על הטרדה כלפי מקבל שירות</w:t>
      </w:r>
      <w:r w:rsidRPr="00C43F1B">
        <w:rPr>
          <w:rStyle w:val="FootnoteReference"/>
          <w:sz w:val="24"/>
          <w:rtl/>
        </w:rPr>
        <w:footnoteReference w:id="77"/>
      </w:r>
      <w:r w:rsidRPr="00C43F1B">
        <w:rPr>
          <w:rFonts w:hint="cs"/>
          <w:rtl/>
        </w:rPr>
        <w:t>.</w:t>
      </w:r>
    </w:p>
    <w:p w14:paraId="6C600027" w14:textId="77777777" w:rsidR="00417266" w:rsidRDefault="00417266" w:rsidP="007270D6">
      <w:pPr>
        <w:pStyle w:val="100"/>
        <w:rPr>
          <w:rtl/>
        </w:rPr>
      </w:pPr>
      <w:r>
        <w:rPr>
          <w:rFonts w:hint="cs"/>
          <w:rtl/>
        </w:rPr>
        <w:t>חלק זה של ה</w:t>
      </w:r>
      <w:r w:rsidRPr="00C43F1B">
        <w:rPr>
          <w:rFonts w:hint="cs"/>
          <w:rtl/>
        </w:rPr>
        <w:t>דוח יעסוק ב</w:t>
      </w:r>
      <w:r>
        <w:rPr>
          <w:rFonts w:hint="cs"/>
          <w:rtl/>
        </w:rPr>
        <w:t>הטרדות מיניות בסוגי אינטראקציו</w:t>
      </w:r>
      <w:r>
        <w:rPr>
          <w:rFonts w:hint="eastAsia"/>
          <w:rtl/>
        </w:rPr>
        <w:t>ת</w:t>
      </w:r>
      <w:r>
        <w:rPr>
          <w:rFonts w:hint="cs"/>
          <w:rtl/>
        </w:rPr>
        <w:t xml:space="preserve"> שונים</w:t>
      </w:r>
      <w:r w:rsidRPr="00C43F1B">
        <w:rPr>
          <w:rFonts w:hint="cs"/>
          <w:rtl/>
        </w:rPr>
        <w:t xml:space="preserve"> בשתי מערכות: במערכת הבריאות </w:t>
      </w:r>
      <w:r>
        <w:rPr>
          <w:rFonts w:hint="cs"/>
          <w:rtl/>
        </w:rPr>
        <w:t>ו</w:t>
      </w:r>
      <w:r w:rsidRPr="00C43F1B">
        <w:rPr>
          <w:rFonts w:hint="cs"/>
          <w:rtl/>
        </w:rPr>
        <w:t xml:space="preserve">במערכת החינוך. </w:t>
      </w:r>
      <w:r>
        <w:rPr>
          <w:rFonts w:hint="cs"/>
          <w:rtl/>
        </w:rPr>
        <w:t>להלן יובא תיאור הגורמים המופקדים על הטיפול בהטרדות מיניות בסוגי האינטראקציו</w:t>
      </w:r>
      <w:r>
        <w:rPr>
          <w:rFonts w:hint="eastAsia"/>
          <w:rtl/>
        </w:rPr>
        <w:t>ת</w:t>
      </w:r>
      <w:r>
        <w:rPr>
          <w:rFonts w:hint="cs"/>
          <w:rtl/>
        </w:rPr>
        <w:t xml:space="preserve"> השונים. </w:t>
      </w:r>
      <w:r w:rsidRPr="00C43F1B">
        <w:rPr>
          <w:rFonts w:hint="cs"/>
          <w:rtl/>
        </w:rPr>
        <w:t xml:space="preserve">המניעה והטיפול באירועי הטרדה מינית בקרב עובדי המדינה מוסדרים בחקיקה או במנגנוני טיפול פנימיים, </w:t>
      </w:r>
      <w:r>
        <w:rPr>
          <w:rFonts w:hint="cs"/>
          <w:rtl/>
        </w:rPr>
        <w:t xml:space="preserve">אך </w:t>
      </w:r>
      <w:r w:rsidRPr="00C43F1B">
        <w:rPr>
          <w:rFonts w:hint="cs"/>
          <w:rtl/>
        </w:rPr>
        <w:t xml:space="preserve">לגבי הממשק שבין עובדי המדינה ובין האזרחים והאזרחיות אין הסדרה חד-משמעית, ויש חשש שבמקרים כאלה איש לא יישא באחריות לטיפול בהטרדות ובמניעתן. </w:t>
      </w:r>
    </w:p>
    <w:p w14:paraId="39F2CEEE" w14:textId="77777777" w:rsidR="00417266" w:rsidRDefault="00417266" w:rsidP="00417266">
      <w:pPr>
        <w:bidi w:val="0"/>
        <w:spacing w:after="200" w:line="276" w:lineRule="auto"/>
        <w:rPr>
          <w:szCs w:val="20"/>
          <w:rtl/>
        </w:rPr>
      </w:pPr>
      <w:r>
        <w:rPr>
          <w:rtl/>
        </w:rPr>
        <w:br w:type="page"/>
      </w:r>
    </w:p>
    <w:p w14:paraId="227A541D" w14:textId="77777777" w:rsidR="00417266" w:rsidRPr="00EE6579" w:rsidRDefault="00417266" w:rsidP="00CE0620">
      <w:pPr>
        <w:pStyle w:val="a8"/>
        <w:rPr>
          <w:rtl/>
        </w:rPr>
      </w:pPr>
      <w:r w:rsidRPr="00EE6579">
        <w:rPr>
          <w:rFonts w:hint="eastAsia"/>
          <w:rtl/>
        </w:rPr>
        <w:lastRenderedPageBreak/>
        <w:t>תרשים</w:t>
      </w:r>
      <w:r w:rsidRPr="00EE6579">
        <w:rPr>
          <w:rtl/>
        </w:rPr>
        <w:t xml:space="preserve"> </w:t>
      </w:r>
      <w:r>
        <w:rPr>
          <w:rFonts w:hint="cs"/>
          <w:rtl/>
        </w:rPr>
        <w:t>16</w:t>
      </w:r>
      <w:r w:rsidRPr="00EE6579">
        <w:rPr>
          <w:rtl/>
        </w:rPr>
        <w:t xml:space="preserve">: </w:t>
      </w:r>
      <w:r w:rsidRPr="00CE0620">
        <w:rPr>
          <w:b/>
          <w:bCs/>
          <w:rtl/>
        </w:rPr>
        <w:t xml:space="preserve">הטרדות מיניות </w:t>
      </w:r>
      <w:r w:rsidRPr="00CE0620">
        <w:rPr>
          <w:rFonts w:hint="cs"/>
          <w:b/>
          <w:bCs/>
          <w:rtl/>
        </w:rPr>
        <w:t xml:space="preserve">וגורמים מטפלים </w:t>
      </w:r>
      <w:r w:rsidRPr="00CE0620">
        <w:rPr>
          <w:rFonts w:hint="eastAsia"/>
          <w:b/>
          <w:bCs/>
          <w:rtl/>
        </w:rPr>
        <w:t>במשרד</w:t>
      </w:r>
      <w:r w:rsidRPr="00CE0620">
        <w:rPr>
          <w:b/>
          <w:bCs/>
          <w:rtl/>
        </w:rPr>
        <w:t xml:space="preserve"> </w:t>
      </w:r>
      <w:r w:rsidRPr="00CE0620">
        <w:rPr>
          <w:rFonts w:hint="eastAsia"/>
          <w:b/>
          <w:bCs/>
          <w:rtl/>
        </w:rPr>
        <w:t>הבריאות</w:t>
      </w:r>
      <w:r w:rsidRPr="00CE0620">
        <w:rPr>
          <w:b/>
          <w:bCs/>
          <w:rtl/>
        </w:rPr>
        <w:t xml:space="preserve"> </w:t>
      </w:r>
      <w:r w:rsidRPr="00CE0620">
        <w:rPr>
          <w:rFonts w:hint="eastAsia"/>
          <w:b/>
          <w:bCs/>
          <w:rtl/>
        </w:rPr>
        <w:t>ובמשרד</w:t>
      </w:r>
      <w:r w:rsidRPr="00CE0620">
        <w:rPr>
          <w:b/>
          <w:bCs/>
          <w:rtl/>
        </w:rPr>
        <w:t xml:space="preserve"> </w:t>
      </w:r>
      <w:r w:rsidRPr="00CE0620">
        <w:rPr>
          <w:rFonts w:hint="eastAsia"/>
          <w:b/>
          <w:bCs/>
          <w:rtl/>
        </w:rPr>
        <w:t>החינוך</w:t>
      </w:r>
    </w:p>
    <w:p w14:paraId="49F99DCC" w14:textId="77777777" w:rsidR="00417266" w:rsidRDefault="00417266" w:rsidP="00CE0620">
      <w:pPr>
        <w:pStyle w:val="a8"/>
        <w:rPr>
          <w:rtl/>
        </w:rPr>
      </w:pPr>
      <w:r>
        <w:rPr>
          <w:noProof/>
          <w:rtl/>
        </w:rPr>
        <w:drawing>
          <wp:inline distT="0" distB="0" distL="0" distR="0" wp14:anchorId="3E1D0106" wp14:editId="3B7BDE70">
            <wp:extent cx="5220335" cy="5529580"/>
            <wp:effectExtent l="0" t="0" r="0" b="0"/>
            <wp:docPr id="52"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הטרדות מיניות וגורמים מטפלים.jpg"/>
                    <pic:cNvPicPr/>
                  </pic:nvPicPr>
                  <pic:blipFill rotWithShape="1">
                    <a:blip r:embed="rId43" cstate="print">
                      <a:extLst>
                        <a:ext uri="{28A0092B-C50C-407E-A947-70E740481C1C}">
                          <a14:useLocalDpi xmlns:a14="http://schemas.microsoft.com/office/drawing/2010/main" val="0"/>
                        </a:ext>
                      </a:extLst>
                    </a:blip>
                    <a:srcRect t="6446"/>
                    <a:stretch/>
                  </pic:blipFill>
                  <pic:spPr bwMode="auto">
                    <a:xfrm>
                      <a:off x="0" y="0"/>
                      <a:ext cx="5220335" cy="5529580"/>
                    </a:xfrm>
                    <a:prstGeom prst="rect">
                      <a:avLst/>
                    </a:prstGeom>
                    <a:ln>
                      <a:noFill/>
                    </a:ln>
                    <a:extLst>
                      <a:ext uri="{53640926-AAD7-44D8-BBD7-CCE9431645EC}">
                        <a14:shadowObscured xmlns:a14="http://schemas.microsoft.com/office/drawing/2010/main"/>
                      </a:ext>
                    </a:extLst>
                  </pic:spPr>
                </pic:pic>
              </a:graphicData>
            </a:graphic>
          </wp:inline>
        </w:drawing>
      </w:r>
    </w:p>
    <w:p w14:paraId="08277CF8" w14:textId="77777777" w:rsidR="00417266" w:rsidRPr="00526012" w:rsidRDefault="00417266" w:rsidP="00CE0620">
      <w:pPr>
        <w:pStyle w:val="aa"/>
        <w:rPr>
          <w:b/>
          <w:bCs/>
          <w:rtl/>
        </w:rPr>
      </w:pPr>
      <w:r w:rsidRPr="00526012">
        <w:rPr>
          <w:rFonts w:hint="eastAsia"/>
          <w:rtl/>
        </w:rPr>
        <w:t>על</w:t>
      </w:r>
      <w:r w:rsidRPr="00526012">
        <w:rPr>
          <w:rtl/>
        </w:rPr>
        <w:t xml:space="preserve"> פי נתוני </w:t>
      </w:r>
      <w:r w:rsidRPr="00526012">
        <w:rPr>
          <w:rFonts w:hint="eastAsia"/>
          <w:rtl/>
        </w:rPr>
        <w:t>משרד</w:t>
      </w:r>
      <w:r w:rsidRPr="00526012">
        <w:rPr>
          <w:rtl/>
        </w:rPr>
        <w:t xml:space="preserve"> </w:t>
      </w:r>
      <w:r w:rsidRPr="00526012">
        <w:rPr>
          <w:rFonts w:hint="eastAsia"/>
          <w:rtl/>
        </w:rPr>
        <w:t>הבריאות</w:t>
      </w:r>
      <w:r w:rsidRPr="00526012">
        <w:rPr>
          <w:rtl/>
        </w:rPr>
        <w:t xml:space="preserve"> ומשרד החינוך, </w:t>
      </w:r>
      <w:r w:rsidRPr="00526012">
        <w:rPr>
          <w:rFonts w:hint="eastAsia"/>
          <w:rtl/>
        </w:rPr>
        <w:t>בעיבוד</w:t>
      </w:r>
      <w:r w:rsidRPr="00526012">
        <w:rPr>
          <w:rtl/>
        </w:rPr>
        <w:t xml:space="preserve"> </w:t>
      </w:r>
      <w:r w:rsidRPr="00526012">
        <w:rPr>
          <w:rFonts w:hint="eastAsia"/>
          <w:rtl/>
        </w:rPr>
        <w:t>משרד</w:t>
      </w:r>
      <w:r w:rsidRPr="00526012">
        <w:rPr>
          <w:rtl/>
        </w:rPr>
        <w:t xml:space="preserve"> </w:t>
      </w:r>
      <w:r w:rsidRPr="00526012">
        <w:rPr>
          <w:rFonts w:hint="eastAsia"/>
          <w:rtl/>
        </w:rPr>
        <w:t>מבקר</w:t>
      </w:r>
      <w:r w:rsidRPr="00526012">
        <w:rPr>
          <w:rtl/>
        </w:rPr>
        <w:t xml:space="preserve"> </w:t>
      </w:r>
      <w:r w:rsidRPr="00526012">
        <w:rPr>
          <w:rFonts w:hint="eastAsia"/>
          <w:rtl/>
        </w:rPr>
        <w:t>המדינה</w:t>
      </w:r>
      <w:r w:rsidRPr="00526012">
        <w:rPr>
          <w:b/>
          <w:bCs/>
          <w:rtl/>
        </w:rPr>
        <w:t>.</w:t>
      </w:r>
    </w:p>
    <w:p w14:paraId="75E208F7" w14:textId="77777777" w:rsidR="00417266" w:rsidRPr="00C43F1B" w:rsidRDefault="00417266" w:rsidP="00CE0620">
      <w:pPr>
        <w:pStyle w:val="316"/>
        <w:rPr>
          <w:rtl/>
        </w:rPr>
      </w:pPr>
      <w:r w:rsidRPr="00C43F1B">
        <w:rPr>
          <w:rFonts w:hint="cs"/>
          <w:rtl/>
        </w:rPr>
        <w:t xml:space="preserve">פעולות הביקורת </w:t>
      </w:r>
    </w:p>
    <w:p w14:paraId="4DB292A4" w14:textId="77777777" w:rsidR="00417266" w:rsidRDefault="00417266" w:rsidP="00CE0620">
      <w:pPr>
        <w:pStyle w:val="100"/>
        <w:rPr>
          <w:rtl/>
        </w:rPr>
      </w:pPr>
      <w:r w:rsidRPr="00C43F1B">
        <w:rPr>
          <w:rFonts w:hint="cs"/>
          <w:rtl/>
        </w:rPr>
        <w:t>בחודשים מרץ</w:t>
      </w:r>
      <w:r>
        <w:rPr>
          <w:rFonts w:hint="cs"/>
          <w:rtl/>
        </w:rPr>
        <w:t xml:space="preserve"> 2018 עד מאי 2019</w:t>
      </w:r>
      <w:r w:rsidRPr="00C43F1B">
        <w:rPr>
          <w:rFonts w:hint="cs"/>
          <w:rtl/>
        </w:rPr>
        <w:t xml:space="preserve"> בדק משרד מבקר המדינה </w:t>
      </w:r>
      <w:r w:rsidRPr="00C43F1B">
        <w:rPr>
          <w:rFonts w:hint="cs"/>
          <w:b/>
          <w:rtl/>
        </w:rPr>
        <w:t xml:space="preserve">את נושא ההטרדות המיניות </w:t>
      </w:r>
      <w:r>
        <w:rPr>
          <w:rFonts w:hint="cs"/>
          <w:rtl/>
        </w:rPr>
        <w:t>ב</w:t>
      </w:r>
      <w:r w:rsidRPr="00C43F1B">
        <w:rPr>
          <w:rFonts w:hint="cs"/>
          <w:rtl/>
        </w:rPr>
        <w:t>משרד הבריאות ו</w:t>
      </w:r>
      <w:r>
        <w:rPr>
          <w:rFonts w:hint="cs"/>
          <w:rtl/>
        </w:rPr>
        <w:t>ב</w:t>
      </w:r>
      <w:r w:rsidRPr="00C43F1B">
        <w:rPr>
          <w:rFonts w:hint="cs"/>
          <w:rtl/>
        </w:rPr>
        <w:t>משרד החינוך</w:t>
      </w:r>
      <w:r>
        <w:rPr>
          <w:rFonts w:hint="cs"/>
          <w:rtl/>
        </w:rPr>
        <w:t>, שבהם מתקיים</w:t>
      </w:r>
      <w:r w:rsidRPr="00C43F1B">
        <w:rPr>
          <w:rFonts w:hint="cs"/>
          <w:rtl/>
        </w:rPr>
        <w:t xml:space="preserve"> מגע יומיומי עם ציבור נרחב באוכלוסייה. במשרד הבריאות נעשתה הבדיקה במטה המשרד ובנציבות קבילות הציבור למקצועות הרפואה. בדיקות השלמה נעשו בקופות החולים ובנציבות שירות המדינה</w:t>
      </w:r>
      <w:r>
        <w:rPr>
          <w:rFonts w:hint="cs"/>
          <w:rtl/>
        </w:rPr>
        <w:t xml:space="preserve">. </w:t>
      </w:r>
      <w:r w:rsidRPr="00C43F1B">
        <w:rPr>
          <w:rFonts w:hint="cs"/>
          <w:rtl/>
        </w:rPr>
        <w:t xml:space="preserve">במשרד החינוך נעשתה הבדיקה </w:t>
      </w:r>
      <w:r w:rsidRPr="00C43F1B">
        <w:rPr>
          <w:rFonts w:hint="cs"/>
          <w:rtl/>
        </w:rPr>
        <w:lastRenderedPageBreak/>
        <w:t>במחלקת הייעוץ המשפטי, בשירות הפסיכולוגי הייעוצי (להלן - שפ"י) ובאגף הבכיר למשמעת ו</w:t>
      </w:r>
      <w:r>
        <w:rPr>
          <w:rFonts w:hint="cs"/>
          <w:rtl/>
        </w:rPr>
        <w:t>ל</w:t>
      </w:r>
      <w:r w:rsidRPr="00C43F1B">
        <w:rPr>
          <w:rFonts w:hint="cs"/>
          <w:rtl/>
        </w:rPr>
        <w:t xml:space="preserve">טוהר המידות. </w:t>
      </w:r>
    </w:p>
    <w:p w14:paraId="67E3C334" w14:textId="77777777" w:rsidR="00417266" w:rsidRPr="00C43F1B" w:rsidRDefault="00417266" w:rsidP="00CE0620">
      <w:pPr>
        <w:pStyle w:val="218"/>
        <w:rPr>
          <w:rtl/>
        </w:rPr>
      </w:pPr>
      <w:bookmarkStart w:id="36" w:name="_Toc2583655"/>
      <w:bookmarkStart w:id="37" w:name="_Toc2583698"/>
      <w:r w:rsidRPr="00C43F1B">
        <w:rPr>
          <w:rFonts w:hint="cs"/>
          <w:rtl/>
        </w:rPr>
        <w:t>הטרדות מיניות במערכת הבריאות</w:t>
      </w:r>
      <w:bookmarkEnd w:id="36"/>
      <w:bookmarkEnd w:id="37"/>
    </w:p>
    <w:p w14:paraId="3A694879" w14:textId="77777777" w:rsidR="00417266" w:rsidRPr="00C43F1B" w:rsidRDefault="00417266" w:rsidP="00CE0620">
      <w:pPr>
        <w:pStyle w:val="100"/>
        <w:rPr>
          <w:rtl/>
        </w:rPr>
      </w:pPr>
      <w:r w:rsidRPr="00C43F1B">
        <w:rPr>
          <w:rFonts w:hint="cs"/>
          <w:rtl/>
        </w:rPr>
        <w:t>לפגיעות מיניות, ובכללן הטרדות מיניות, במסגרת טיפול רפואי יש מאפיינים ייחודיים. כמעט כל טיפול רפואי, החל מסיעוד דרך מקצועות פרה-רפואיים וכלה ברופאים ורופאי שיניים, מצריך מגע פיזי,</w:t>
      </w:r>
      <w:r w:rsidRPr="00C43F1B" w:rsidDel="00565C61">
        <w:rPr>
          <w:rFonts w:hint="cs"/>
          <w:rtl/>
        </w:rPr>
        <w:t xml:space="preserve"> </w:t>
      </w:r>
      <w:r w:rsidRPr="00C43F1B">
        <w:rPr>
          <w:rFonts w:hint="cs"/>
          <w:rtl/>
        </w:rPr>
        <w:t xml:space="preserve">ולכן </w:t>
      </w:r>
      <w:r>
        <w:rPr>
          <w:rFonts w:hint="cs"/>
          <w:rtl/>
        </w:rPr>
        <w:t xml:space="preserve">נדרשת </w:t>
      </w:r>
      <w:r w:rsidRPr="00C43F1B">
        <w:rPr>
          <w:rFonts w:hint="cs"/>
          <w:rtl/>
        </w:rPr>
        <w:t xml:space="preserve">הקפדה יתרה שהבדיקה לא תיחווה כהטרדה מינית. מטופלים ומטופלות עלולים להיות מוטרדים בידי אנשי צוות רפואה ומטפלים, וגם נשות הצוות הרפואי </w:t>
      </w:r>
      <w:r>
        <w:rPr>
          <w:rFonts w:hint="cs"/>
          <w:rtl/>
        </w:rPr>
        <w:t xml:space="preserve">עלולות לחוות הטרדות מיניות מצד </w:t>
      </w:r>
      <w:r w:rsidRPr="00C43F1B">
        <w:rPr>
          <w:rFonts w:hint="cs"/>
          <w:rtl/>
        </w:rPr>
        <w:t xml:space="preserve">מטופלים ומלוויהם. הטרדות מיניות </w:t>
      </w:r>
      <w:r>
        <w:rPr>
          <w:rFonts w:hint="cs"/>
          <w:rtl/>
        </w:rPr>
        <w:t>עלולות להתקיים</w:t>
      </w:r>
      <w:r w:rsidRPr="00C43F1B">
        <w:rPr>
          <w:rFonts w:hint="cs"/>
          <w:rtl/>
        </w:rPr>
        <w:t xml:space="preserve"> גם בין עובדים במשרד הבריאות ובמערכת הבריאות.</w:t>
      </w:r>
    </w:p>
    <w:p w14:paraId="5D43BD7F" w14:textId="77777777" w:rsidR="00417266" w:rsidRDefault="00417266" w:rsidP="00CE0620">
      <w:pPr>
        <w:pStyle w:val="100"/>
        <w:rPr>
          <w:rtl/>
        </w:rPr>
      </w:pPr>
      <w:r w:rsidRPr="00C43F1B">
        <w:rPr>
          <w:rFonts w:hint="cs"/>
          <w:rtl/>
        </w:rPr>
        <w:t xml:space="preserve">מערכת הבריאות בישראל מורכבת ממוסדות שונים: מטה משרד הבריאות </w:t>
      </w:r>
      <w:r>
        <w:rPr>
          <w:rFonts w:hint="cs"/>
          <w:rtl/>
        </w:rPr>
        <w:t xml:space="preserve">ולשכות הבריאות הפזורות ברחבי הארץ </w:t>
      </w:r>
      <w:r w:rsidRPr="00C43F1B">
        <w:rPr>
          <w:rFonts w:hint="cs"/>
          <w:rtl/>
        </w:rPr>
        <w:t>משמש</w:t>
      </w:r>
      <w:r>
        <w:rPr>
          <w:rFonts w:hint="cs"/>
          <w:rtl/>
        </w:rPr>
        <w:t>ים</w:t>
      </w:r>
      <w:r w:rsidRPr="00C43F1B">
        <w:rPr>
          <w:rFonts w:hint="cs"/>
          <w:rtl/>
        </w:rPr>
        <w:t xml:space="preserve"> </w:t>
      </w:r>
      <w:r>
        <w:rPr>
          <w:rFonts w:hint="cs"/>
          <w:rtl/>
        </w:rPr>
        <w:t>ה</w:t>
      </w:r>
      <w:r w:rsidRPr="00C43F1B">
        <w:rPr>
          <w:rFonts w:hint="cs"/>
          <w:rtl/>
        </w:rPr>
        <w:t xml:space="preserve">גורם הממשלתי המאסדר, המנחה והמפקח לגבי מגוון מוסדות הבריאות בארץ. </w:t>
      </w:r>
      <w:r>
        <w:rPr>
          <w:rFonts w:hint="cs"/>
          <w:rtl/>
        </w:rPr>
        <w:t xml:space="preserve">שירותי הבריאות בקהילה ניתנים בין היתר בידי </w:t>
      </w:r>
      <w:r w:rsidRPr="00C43F1B">
        <w:rPr>
          <w:rFonts w:hint="cs"/>
          <w:rtl/>
        </w:rPr>
        <w:t xml:space="preserve">ארבע קופות </w:t>
      </w:r>
      <w:r>
        <w:rPr>
          <w:rFonts w:hint="cs"/>
          <w:rtl/>
        </w:rPr>
        <w:t>ה</w:t>
      </w:r>
      <w:r w:rsidRPr="00C43F1B">
        <w:rPr>
          <w:rFonts w:hint="cs"/>
          <w:rtl/>
        </w:rPr>
        <w:t xml:space="preserve">חולים, הפועלות כתאגידים רפואיים ללא מטרות רווח </w:t>
      </w:r>
      <w:r>
        <w:rPr>
          <w:rFonts w:hint="cs"/>
          <w:rtl/>
        </w:rPr>
        <w:t>ו</w:t>
      </w:r>
      <w:r w:rsidRPr="00C43F1B">
        <w:rPr>
          <w:rFonts w:hint="cs"/>
          <w:rtl/>
        </w:rPr>
        <w:t xml:space="preserve">מעניקות שירות לכלל אזרחי המדינה על פי חוק בריאות ממלכתי, התשנ"ד-1994. </w:t>
      </w:r>
      <w:r>
        <w:rPr>
          <w:rFonts w:hint="cs"/>
          <w:rtl/>
        </w:rPr>
        <w:t xml:space="preserve">עוד פועלים ברחבי הארץ תחנות לאם ולילד (טיפת חלב) ומכונים ומרפאות מקצועיות בבעלות פרטית אחרת. נוסף על שירותי הבריאות בקהילה פועלים בישראל יותר מ-300 מוסדות אשפוז, חלקם בבעלות ממשלתית וחלקם בבעלות פרטית. בבעלות משרד הבריאות </w:t>
      </w:r>
      <w:r w:rsidRPr="00C43F1B">
        <w:rPr>
          <w:rtl/>
        </w:rPr>
        <w:t xml:space="preserve">23 </w:t>
      </w:r>
      <w:r w:rsidRPr="00C43F1B">
        <w:rPr>
          <w:rFonts w:hint="eastAsia"/>
          <w:rtl/>
        </w:rPr>
        <w:t>בתי</w:t>
      </w:r>
      <w:r w:rsidRPr="00C43F1B">
        <w:rPr>
          <w:rtl/>
        </w:rPr>
        <w:t xml:space="preserve"> </w:t>
      </w:r>
      <w:r w:rsidRPr="00C43F1B">
        <w:rPr>
          <w:rFonts w:hint="eastAsia"/>
          <w:rtl/>
        </w:rPr>
        <w:t>החולים</w:t>
      </w:r>
      <w:r w:rsidRPr="00C43F1B">
        <w:rPr>
          <w:rtl/>
        </w:rPr>
        <w:t xml:space="preserve"> </w:t>
      </w:r>
      <w:r w:rsidRPr="00C43F1B">
        <w:rPr>
          <w:rFonts w:hint="eastAsia"/>
          <w:rtl/>
        </w:rPr>
        <w:t>הממשלתיים</w:t>
      </w:r>
      <w:r w:rsidRPr="00C43F1B">
        <w:rPr>
          <w:rtl/>
        </w:rPr>
        <w:t xml:space="preserve"> (10 </w:t>
      </w:r>
      <w:r w:rsidRPr="00C43F1B">
        <w:rPr>
          <w:rFonts w:hint="eastAsia"/>
          <w:rtl/>
        </w:rPr>
        <w:t>מרכזים</w:t>
      </w:r>
      <w:r w:rsidRPr="00C43F1B">
        <w:rPr>
          <w:rtl/>
        </w:rPr>
        <w:t xml:space="preserve"> </w:t>
      </w:r>
      <w:r w:rsidRPr="00C43F1B">
        <w:rPr>
          <w:rFonts w:hint="eastAsia"/>
          <w:rtl/>
        </w:rPr>
        <w:t>רפואיים</w:t>
      </w:r>
      <w:r w:rsidRPr="00C43F1B">
        <w:rPr>
          <w:rtl/>
        </w:rPr>
        <w:t xml:space="preserve"> כלליים, 8 מרכזים לבריאות הנפש, 5 בתי חולים גריאטריים-שיקומיים)</w:t>
      </w:r>
      <w:r>
        <w:rPr>
          <w:rFonts w:hint="cs"/>
          <w:rtl/>
        </w:rPr>
        <w:t>.</w:t>
      </w:r>
      <w:r w:rsidRPr="00C43F1B">
        <w:rPr>
          <w:rtl/>
        </w:rPr>
        <w:t xml:space="preserve"> </w:t>
      </w:r>
      <w:r>
        <w:rPr>
          <w:rFonts w:hint="cs"/>
          <w:rtl/>
        </w:rPr>
        <w:t>העובדים במוסדות האשפוז ה</w:t>
      </w:r>
      <w:r w:rsidRPr="00C43F1B">
        <w:rPr>
          <w:rFonts w:hint="cs"/>
          <w:rtl/>
        </w:rPr>
        <w:t xml:space="preserve">ממשלתיים הם עובדי משרד הבריאות. שאר </w:t>
      </w:r>
      <w:r>
        <w:rPr>
          <w:rFonts w:hint="cs"/>
          <w:rtl/>
        </w:rPr>
        <w:t>מוסדות האשפוז</w:t>
      </w:r>
      <w:r w:rsidRPr="00C43F1B">
        <w:rPr>
          <w:rFonts w:hint="cs"/>
          <w:rtl/>
        </w:rPr>
        <w:t xml:space="preserve"> הם בבעלות קופות החולים</w:t>
      </w:r>
      <w:r>
        <w:rPr>
          <w:rFonts w:hint="cs"/>
          <w:rtl/>
        </w:rPr>
        <w:t>,</w:t>
      </w:r>
      <w:r w:rsidRPr="00C43F1B">
        <w:rPr>
          <w:rFonts w:hint="cs"/>
          <w:rtl/>
        </w:rPr>
        <w:t xml:space="preserve"> גורמים פרטיים או רשו</w:t>
      </w:r>
      <w:r>
        <w:rPr>
          <w:rFonts w:hint="cs"/>
          <w:rtl/>
        </w:rPr>
        <w:t>יו</w:t>
      </w:r>
      <w:r w:rsidRPr="00C43F1B">
        <w:rPr>
          <w:rFonts w:hint="cs"/>
          <w:rtl/>
        </w:rPr>
        <w:t>ת מקומי</w:t>
      </w:r>
      <w:r>
        <w:rPr>
          <w:rFonts w:hint="cs"/>
          <w:rtl/>
        </w:rPr>
        <w:t>ו</w:t>
      </w:r>
      <w:r w:rsidRPr="00C43F1B">
        <w:rPr>
          <w:rFonts w:hint="cs"/>
          <w:rtl/>
        </w:rPr>
        <w:t>ת.</w:t>
      </w:r>
      <w:r>
        <w:rPr>
          <w:rFonts w:hint="cs"/>
          <w:rtl/>
        </w:rPr>
        <w:t xml:space="preserve"> להלן פירוט מוסדות האשפוז בישראל לפי הבעלות עליהם ופירוט מבנה המרכזים הרפואיים הממשלתיים לפי סוגי האשפוז.</w:t>
      </w:r>
    </w:p>
    <w:p w14:paraId="724F9A32" w14:textId="77777777" w:rsidR="00417266" w:rsidRPr="00CE0620" w:rsidRDefault="00417266" w:rsidP="00CE0620">
      <w:pPr>
        <w:pStyle w:val="a8"/>
        <w:rPr>
          <w:b/>
          <w:bCs/>
          <w:rtl/>
        </w:rPr>
      </w:pPr>
      <w:r w:rsidRPr="00776DAB">
        <w:rPr>
          <w:rFonts w:hint="eastAsia"/>
          <w:rtl/>
        </w:rPr>
        <w:lastRenderedPageBreak/>
        <w:t>תרשים</w:t>
      </w:r>
      <w:r w:rsidRPr="00776DAB">
        <w:rPr>
          <w:rtl/>
        </w:rPr>
        <w:t xml:space="preserve"> </w:t>
      </w:r>
      <w:r>
        <w:rPr>
          <w:rFonts w:hint="cs"/>
          <w:rtl/>
        </w:rPr>
        <w:t>17</w:t>
      </w:r>
      <w:r w:rsidRPr="00776DAB">
        <w:rPr>
          <w:rtl/>
        </w:rPr>
        <w:t xml:space="preserve">: </w:t>
      </w:r>
      <w:r w:rsidRPr="00CE0620">
        <w:rPr>
          <w:rFonts w:hint="eastAsia"/>
          <w:b/>
          <w:bCs/>
          <w:rtl/>
        </w:rPr>
        <w:t>מוסדות</w:t>
      </w:r>
      <w:r w:rsidRPr="00CE0620">
        <w:rPr>
          <w:b/>
          <w:bCs/>
          <w:rtl/>
        </w:rPr>
        <w:t xml:space="preserve"> </w:t>
      </w:r>
      <w:r w:rsidRPr="00CE0620">
        <w:rPr>
          <w:rFonts w:hint="eastAsia"/>
          <w:b/>
          <w:bCs/>
          <w:rtl/>
        </w:rPr>
        <w:t>האשפוז</w:t>
      </w:r>
      <w:r w:rsidRPr="00CE0620">
        <w:rPr>
          <w:b/>
          <w:bCs/>
          <w:rtl/>
        </w:rPr>
        <w:t xml:space="preserve"> </w:t>
      </w:r>
      <w:r w:rsidRPr="00CE0620">
        <w:rPr>
          <w:rFonts w:hint="eastAsia"/>
          <w:b/>
          <w:bCs/>
          <w:rtl/>
        </w:rPr>
        <w:t>בישראל</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1"/>
        <w:gridCol w:w="4009"/>
      </w:tblGrid>
      <w:tr w:rsidR="00417266" w14:paraId="15363B3E" w14:textId="77777777" w:rsidTr="00417266">
        <w:tc>
          <w:tcPr>
            <w:tcW w:w="4212" w:type="dxa"/>
          </w:tcPr>
          <w:p w14:paraId="72DB5B62" w14:textId="77777777" w:rsidR="00417266" w:rsidRDefault="00417266" w:rsidP="00CE0620">
            <w:pPr>
              <w:pStyle w:val="a8"/>
              <w:rPr>
                <w:rtl/>
              </w:rPr>
            </w:pPr>
            <w:r w:rsidRPr="00D010B0">
              <w:rPr>
                <w:noProof/>
                <w:rtl/>
              </w:rPr>
              <w:drawing>
                <wp:inline distT="0" distB="0" distL="0" distR="0" wp14:anchorId="671A99F8" wp14:editId="320BC6F3">
                  <wp:extent cx="2610485" cy="2628900"/>
                  <wp:effectExtent l="0" t="0" r="18415" b="0"/>
                  <wp:docPr id="53" name="תרשים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009" w:type="dxa"/>
          </w:tcPr>
          <w:p w14:paraId="644DBC1B" w14:textId="77777777" w:rsidR="00417266" w:rsidRDefault="00417266" w:rsidP="00CE0620">
            <w:pPr>
              <w:pStyle w:val="a8"/>
              <w:rPr>
                <w:rtl/>
              </w:rPr>
            </w:pPr>
            <w:r>
              <w:rPr>
                <w:rFonts w:hint="cs"/>
                <w:noProof/>
                <w:rtl/>
              </w:rPr>
              <w:drawing>
                <wp:inline distT="0" distB="0" distL="0" distR="0" wp14:anchorId="29E0B540" wp14:editId="6BCBD752">
                  <wp:extent cx="2486660" cy="2600325"/>
                  <wp:effectExtent l="0" t="0" r="8890" b="9525"/>
                  <wp:docPr id="54" name="תרשים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5C8B6E6C" w14:textId="04A00745" w:rsidR="00417266" w:rsidRDefault="00417266" w:rsidP="00CE0620">
      <w:pPr>
        <w:pStyle w:val="aa"/>
        <w:rPr>
          <w:rtl/>
        </w:rPr>
      </w:pPr>
      <w:r w:rsidRPr="00821A5E">
        <w:rPr>
          <w:rFonts w:hint="cs"/>
          <w:rtl/>
        </w:rPr>
        <w:t>על פי נתוני אגף המידע במשרד הבריאות, בעיבוד משרד מבקר המדינה.</w:t>
      </w:r>
    </w:p>
    <w:p w14:paraId="1D252F22" w14:textId="77777777" w:rsidR="00DD1DA7" w:rsidRDefault="00DD1DA7" w:rsidP="00DD1DA7">
      <w:pPr>
        <w:pStyle w:val="100"/>
        <w:rPr>
          <w:rtl/>
        </w:rPr>
      </w:pPr>
    </w:p>
    <w:p w14:paraId="27B85074" w14:textId="2D75D97C" w:rsidR="00417266" w:rsidRDefault="00417266" w:rsidP="00CE0620">
      <w:pPr>
        <w:pStyle w:val="a8"/>
        <w:rPr>
          <w:rtl/>
        </w:rPr>
      </w:pPr>
      <w:r w:rsidRPr="00DE791F">
        <w:rPr>
          <w:rFonts w:hint="eastAsia"/>
          <w:rtl/>
        </w:rPr>
        <w:t>תרשים</w:t>
      </w:r>
      <w:r w:rsidRPr="00DE791F">
        <w:rPr>
          <w:rtl/>
        </w:rPr>
        <w:t xml:space="preserve"> </w:t>
      </w:r>
      <w:r>
        <w:rPr>
          <w:rFonts w:hint="cs"/>
          <w:rtl/>
        </w:rPr>
        <w:t>18</w:t>
      </w:r>
      <w:r w:rsidRPr="00DE791F">
        <w:rPr>
          <w:rtl/>
        </w:rPr>
        <w:t xml:space="preserve">: </w:t>
      </w:r>
      <w:r w:rsidRPr="00CE0620">
        <w:rPr>
          <w:rFonts w:hint="cs"/>
          <w:b/>
          <w:bCs/>
          <w:rtl/>
        </w:rPr>
        <w:t>הגופים העוסקים בטיפול בהטרדות מיניות</w:t>
      </w:r>
      <w:r w:rsidRPr="00CE0620">
        <w:rPr>
          <w:b/>
          <w:bCs/>
          <w:rtl/>
        </w:rPr>
        <w:t xml:space="preserve"> </w:t>
      </w:r>
      <w:r w:rsidRPr="00CE0620">
        <w:rPr>
          <w:rFonts w:hint="cs"/>
          <w:b/>
          <w:bCs/>
          <w:rtl/>
        </w:rPr>
        <w:t>ב</w:t>
      </w:r>
      <w:r w:rsidRPr="00CE0620">
        <w:rPr>
          <w:rFonts w:hint="eastAsia"/>
          <w:b/>
          <w:bCs/>
          <w:rtl/>
        </w:rPr>
        <w:t>משרד</w:t>
      </w:r>
      <w:r w:rsidRPr="00CE0620">
        <w:rPr>
          <w:b/>
          <w:bCs/>
          <w:rtl/>
        </w:rPr>
        <w:t xml:space="preserve"> </w:t>
      </w:r>
      <w:r w:rsidRPr="00CE0620">
        <w:rPr>
          <w:rFonts w:hint="eastAsia"/>
          <w:b/>
          <w:bCs/>
          <w:rtl/>
        </w:rPr>
        <w:t>הבריאות</w:t>
      </w:r>
    </w:p>
    <w:p w14:paraId="64F347C8" w14:textId="77777777" w:rsidR="00417266" w:rsidRDefault="00417266" w:rsidP="00CE0620">
      <w:pPr>
        <w:pStyle w:val="a8"/>
        <w:rPr>
          <w:rtl/>
        </w:rPr>
      </w:pPr>
      <w:r>
        <w:rPr>
          <w:noProof/>
          <w:rtl/>
        </w:rPr>
        <w:drawing>
          <wp:inline distT="0" distB="0" distL="0" distR="0" wp14:anchorId="195741AC" wp14:editId="742B1089">
            <wp:extent cx="4067810" cy="2308771"/>
            <wp:effectExtent l="0" t="0" r="0" b="0"/>
            <wp:docPr id="55"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הגופים העוסקים בטיפול בהטרדות מיניות.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89534" cy="2321101"/>
                    </a:xfrm>
                    <a:prstGeom prst="rect">
                      <a:avLst/>
                    </a:prstGeom>
                  </pic:spPr>
                </pic:pic>
              </a:graphicData>
            </a:graphic>
          </wp:inline>
        </w:drawing>
      </w:r>
    </w:p>
    <w:p w14:paraId="6415B519" w14:textId="77777777" w:rsidR="00417266" w:rsidRPr="00526012" w:rsidRDefault="00417266" w:rsidP="00CE0620">
      <w:pPr>
        <w:pStyle w:val="aa"/>
        <w:rPr>
          <w:b/>
          <w:bCs/>
          <w:rtl/>
        </w:rPr>
      </w:pPr>
      <w:r w:rsidRPr="00526012">
        <w:rPr>
          <w:rFonts w:hint="eastAsia"/>
          <w:rtl/>
        </w:rPr>
        <w:t>על</w:t>
      </w:r>
      <w:r w:rsidRPr="00526012">
        <w:rPr>
          <w:rtl/>
        </w:rPr>
        <w:t xml:space="preserve"> פי נתוני </w:t>
      </w:r>
      <w:r w:rsidRPr="00526012">
        <w:rPr>
          <w:rFonts w:hint="eastAsia"/>
          <w:rtl/>
        </w:rPr>
        <w:t>משרד</w:t>
      </w:r>
      <w:r w:rsidRPr="00526012">
        <w:rPr>
          <w:rtl/>
        </w:rPr>
        <w:t xml:space="preserve"> </w:t>
      </w:r>
      <w:r w:rsidRPr="00526012">
        <w:rPr>
          <w:rFonts w:hint="eastAsia"/>
          <w:rtl/>
        </w:rPr>
        <w:t>הבריאות</w:t>
      </w:r>
      <w:r w:rsidRPr="00526012">
        <w:rPr>
          <w:rtl/>
        </w:rPr>
        <w:t xml:space="preserve">, </w:t>
      </w:r>
      <w:r w:rsidRPr="00526012">
        <w:rPr>
          <w:rFonts w:hint="eastAsia"/>
          <w:rtl/>
        </w:rPr>
        <w:t>בעיבוד</w:t>
      </w:r>
      <w:r w:rsidRPr="00526012">
        <w:rPr>
          <w:rtl/>
        </w:rPr>
        <w:t xml:space="preserve"> </w:t>
      </w:r>
      <w:r w:rsidRPr="00526012">
        <w:rPr>
          <w:rFonts w:hint="eastAsia"/>
          <w:rtl/>
        </w:rPr>
        <w:t>משרד</w:t>
      </w:r>
      <w:r w:rsidRPr="00526012">
        <w:rPr>
          <w:rtl/>
        </w:rPr>
        <w:t xml:space="preserve"> </w:t>
      </w:r>
      <w:r w:rsidRPr="00526012">
        <w:rPr>
          <w:rFonts w:hint="eastAsia"/>
          <w:rtl/>
        </w:rPr>
        <w:t>מבקר</w:t>
      </w:r>
      <w:r w:rsidRPr="00526012">
        <w:rPr>
          <w:rtl/>
        </w:rPr>
        <w:t xml:space="preserve"> </w:t>
      </w:r>
      <w:r w:rsidRPr="00526012">
        <w:rPr>
          <w:rFonts w:hint="eastAsia"/>
          <w:rtl/>
        </w:rPr>
        <w:t>המדינה</w:t>
      </w:r>
      <w:r w:rsidRPr="00526012">
        <w:rPr>
          <w:b/>
          <w:bCs/>
          <w:rtl/>
        </w:rPr>
        <w:t>.</w:t>
      </w:r>
    </w:p>
    <w:p w14:paraId="1E4B87DF" w14:textId="77777777" w:rsidR="00CE0620" w:rsidRDefault="00CE0620" w:rsidP="00CE0620">
      <w:pPr>
        <w:pStyle w:val="100"/>
        <w:rPr>
          <w:rtl/>
        </w:rPr>
      </w:pPr>
    </w:p>
    <w:p w14:paraId="0D794427" w14:textId="5DD70E46" w:rsidR="00417266" w:rsidRDefault="00417266" w:rsidP="00CE0620">
      <w:pPr>
        <w:pStyle w:val="100"/>
        <w:rPr>
          <w:rtl/>
        </w:rPr>
      </w:pPr>
      <w:r w:rsidRPr="00C43F1B">
        <w:rPr>
          <w:rFonts w:hint="cs"/>
          <w:rtl/>
        </w:rPr>
        <w:t>המערכת הרפואית</w:t>
      </w:r>
      <w:r>
        <w:rPr>
          <w:rFonts w:hint="cs"/>
          <w:rtl/>
        </w:rPr>
        <w:t>,</w:t>
      </w:r>
      <w:r w:rsidRPr="00C43F1B">
        <w:rPr>
          <w:rFonts w:hint="cs"/>
          <w:rtl/>
        </w:rPr>
        <w:t xml:space="preserve"> כמו מערכות מורכבות אחרות</w:t>
      </w:r>
      <w:r>
        <w:rPr>
          <w:rFonts w:hint="cs"/>
          <w:rtl/>
        </w:rPr>
        <w:t>,</w:t>
      </w:r>
      <w:r w:rsidRPr="00C43F1B">
        <w:rPr>
          <w:rFonts w:hint="cs"/>
          <w:rtl/>
        </w:rPr>
        <w:t xml:space="preserve"> היא מערכת היררכית שמתקיימים בה יחסי מרות. הטיפול בהטרדות מיניות בין עובדים במערכת הבריאות נעשה לפי הנורמות שחלות על כל משרדי הממשלה.</w:t>
      </w:r>
    </w:p>
    <w:p w14:paraId="07A0FD9E" w14:textId="77777777" w:rsidR="00417266" w:rsidRPr="00C43F1B" w:rsidRDefault="00417266" w:rsidP="00CE0620">
      <w:pPr>
        <w:pStyle w:val="100"/>
        <w:rPr>
          <w:rtl/>
        </w:rPr>
      </w:pPr>
      <w:r w:rsidRPr="00C43F1B">
        <w:rPr>
          <w:rFonts w:hint="cs"/>
          <w:rtl/>
        </w:rPr>
        <w:lastRenderedPageBreak/>
        <w:t>במשרד הבריאות מונתה ממונה על מניעת הטרדה מינית הכפופה להוראות נש</w:t>
      </w:r>
      <w:r w:rsidRPr="00C43F1B">
        <w:rPr>
          <w:rtl/>
        </w:rPr>
        <w:t>"</w:t>
      </w:r>
      <w:r w:rsidRPr="00C43F1B">
        <w:rPr>
          <w:rFonts w:hint="cs"/>
          <w:rtl/>
        </w:rPr>
        <w:t>ם. במסגרת הטיפול בתלונה נדרשת הממונה לגבות את עדות המתלוננת ולהעביר את התלונה לאגף המשמעת בנש</w:t>
      </w:r>
      <w:r w:rsidRPr="00C43F1B">
        <w:rPr>
          <w:rtl/>
        </w:rPr>
        <w:t>"</w:t>
      </w:r>
      <w:r w:rsidRPr="00C43F1B">
        <w:rPr>
          <w:rFonts w:hint="cs"/>
          <w:rtl/>
        </w:rPr>
        <w:t xml:space="preserve">ם. הממונה במשרד הבריאות אחראית לכ-4,000 עובדים ועובדות במשרדי המטה ובלשכות הבריאות הפזורות ברחבי הארץ. כמו כן, בכל 23 בתי החולים הממשלתיים מונו ממונות על מניעת </w:t>
      </w:r>
      <w:r>
        <w:rPr>
          <w:rFonts w:hint="cs"/>
          <w:rtl/>
        </w:rPr>
        <w:t>הטרדה מינית</w:t>
      </w:r>
      <w:r w:rsidRPr="00C43F1B">
        <w:rPr>
          <w:rFonts w:hint="cs"/>
          <w:rtl/>
        </w:rPr>
        <w:t xml:space="preserve"> בין עובדי בית החולים.</w:t>
      </w:r>
    </w:p>
    <w:p w14:paraId="30419BC3" w14:textId="7E573422" w:rsidR="00417266" w:rsidRPr="00CE0620" w:rsidRDefault="00417266" w:rsidP="00CE0620">
      <w:pPr>
        <w:pStyle w:val="a8"/>
        <w:rPr>
          <w:b/>
          <w:bCs/>
          <w:rtl/>
        </w:rPr>
      </w:pPr>
      <w:r w:rsidRPr="00BF1C9D">
        <w:rPr>
          <w:rFonts w:hint="eastAsia"/>
          <w:rtl/>
        </w:rPr>
        <w:t>לוח</w:t>
      </w:r>
      <w:r w:rsidRPr="00BF1C9D">
        <w:rPr>
          <w:rtl/>
        </w:rPr>
        <w:t xml:space="preserve"> </w:t>
      </w:r>
      <w:r>
        <w:t>6</w:t>
      </w:r>
      <w:r w:rsidRPr="00BF1C9D">
        <w:rPr>
          <w:rtl/>
        </w:rPr>
        <w:t xml:space="preserve">: </w:t>
      </w:r>
      <w:r w:rsidRPr="00CE0620">
        <w:rPr>
          <w:rFonts w:hint="eastAsia"/>
          <w:b/>
          <w:bCs/>
          <w:rtl/>
        </w:rPr>
        <w:t>תלונות</w:t>
      </w:r>
      <w:r w:rsidRPr="00CE0620">
        <w:rPr>
          <w:b/>
          <w:bCs/>
          <w:rtl/>
        </w:rPr>
        <w:t xml:space="preserve"> </w:t>
      </w:r>
      <w:r w:rsidRPr="00CE0620">
        <w:rPr>
          <w:rFonts w:hint="eastAsia"/>
          <w:b/>
          <w:bCs/>
          <w:rtl/>
        </w:rPr>
        <w:t>על</w:t>
      </w:r>
      <w:r w:rsidRPr="00CE0620">
        <w:rPr>
          <w:b/>
          <w:bCs/>
          <w:rtl/>
        </w:rPr>
        <w:t xml:space="preserve"> </w:t>
      </w:r>
      <w:r w:rsidRPr="00CE0620">
        <w:rPr>
          <w:rFonts w:hint="eastAsia"/>
          <w:b/>
          <w:bCs/>
          <w:rtl/>
        </w:rPr>
        <w:t>הטרד</w:t>
      </w:r>
      <w:r w:rsidRPr="00CE0620">
        <w:rPr>
          <w:rFonts w:hint="cs"/>
          <w:b/>
          <w:bCs/>
          <w:rtl/>
        </w:rPr>
        <w:t>ה</w:t>
      </w:r>
      <w:r w:rsidRPr="00CE0620">
        <w:rPr>
          <w:b/>
          <w:bCs/>
          <w:rtl/>
        </w:rPr>
        <w:t xml:space="preserve"> מינית </w:t>
      </w:r>
      <w:r w:rsidRPr="00CE0620">
        <w:rPr>
          <w:rFonts w:hint="eastAsia"/>
          <w:b/>
          <w:bCs/>
          <w:rtl/>
        </w:rPr>
        <w:t>נגד</w:t>
      </w:r>
      <w:r w:rsidRPr="00CE0620">
        <w:rPr>
          <w:b/>
          <w:bCs/>
          <w:rtl/>
        </w:rPr>
        <w:t xml:space="preserve"> </w:t>
      </w:r>
      <w:r w:rsidRPr="00CE0620">
        <w:rPr>
          <w:rFonts w:hint="eastAsia"/>
          <w:b/>
          <w:bCs/>
          <w:rtl/>
        </w:rPr>
        <w:t>עובדי</w:t>
      </w:r>
      <w:r w:rsidRPr="00CE0620">
        <w:rPr>
          <w:b/>
          <w:bCs/>
          <w:rtl/>
        </w:rPr>
        <w:t xml:space="preserve"> </w:t>
      </w:r>
      <w:r w:rsidRPr="00CE0620">
        <w:rPr>
          <w:rFonts w:hint="eastAsia"/>
          <w:b/>
          <w:bCs/>
          <w:rtl/>
        </w:rPr>
        <w:t>משרד</w:t>
      </w:r>
      <w:r w:rsidRPr="00CE0620">
        <w:rPr>
          <w:b/>
          <w:bCs/>
          <w:rtl/>
        </w:rPr>
        <w:t xml:space="preserve"> </w:t>
      </w:r>
      <w:r w:rsidRPr="00CE0620">
        <w:rPr>
          <w:rFonts w:hint="eastAsia"/>
          <w:b/>
          <w:bCs/>
          <w:rtl/>
        </w:rPr>
        <w:t>הבריאות</w:t>
      </w:r>
      <w:r w:rsidRPr="00CE0620">
        <w:rPr>
          <w:b/>
          <w:bCs/>
          <w:rtl/>
        </w:rPr>
        <w:t xml:space="preserve"> </w:t>
      </w:r>
      <w:r w:rsidRPr="00CE0620">
        <w:rPr>
          <w:rFonts w:hint="eastAsia"/>
          <w:b/>
          <w:bCs/>
          <w:rtl/>
        </w:rPr>
        <w:t>ובתי</w:t>
      </w:r>
      <w:r w:rsidRPr="00CE0620">
        <w:rPr>
          <w:b/>
          <w:bCs/>
          <w:rtl/>
        </w:rPr>
        <w:t xml:space="preserve"> </w:t>
      </w:r>
      <w:r w:rsidRPr="00CE0620">
        <w:rPr>
          <w:rFonts w:hint="eastAsia"/>
          <w:b/>
          <w:bCs/>
          <w:rtl/>
        </w:rPr>
        <w:t>החולים</w:t>
      </w:r>
      <w:r w:rsidRPr="00CE0620">
        <w:rPr>
          <w:b/>
          <w:bCs/>
          <w:rtl/>
        </w:rPr>
        <w:t xml:space="preserve"> </w:t>
      </w:r>
      <w:r w:rsidRPr="00CE0620">
        <w:rPr>
          <w:rFonts w:hint="eastAsia"/>
          <w:b/>
          <w:bCs/>
          <w:rtl/>
        </w:rPr>
        <w:t>הממשלתיים</w:t>
      </w:r>
      <w:r w:rsidRPr="00CE0620">
        <w:rPr>
          <w:rFonts w:hint="cs"/>
          <w:b/>
          <w:bCs/>
          <w:rtl/>
        </w:rPr>
        <w:t>,</w:t>
      </w:r>
      <w:r w:rsidR="00CE0620">
        <w:rPr>
          <w:rFonts w:hint="cs"/>
          <w:b/>
          <w:bCs/>
          <w:rtl/>
        </w:rPr>
        <w:t xml:space="preserve"> </w:t>
      </w:r>
      <w:r w:rsidRPr="00CE0620">
        <w:rPr>
          <w:rFonts w:hint="cs"/>
          <w:b/>
          <w:bCs/>
          <w:rtl/>
        </w:rPr>
        <w:t>2016 - 2018</w:t>
      </w:r>
    </w:p>
    <w:tbl>
      <w:tblPr>
        <w:tblStyle w:val="TableGrid"/>
        <w:bidiVisual/>
        <w:tblW w:w="0" w:type="auto"/>
        <w:jc w:val="center"/>
        <w:tblLook w:val="04A0" w:firstRow="1" w:lastRow="0" w:firstColumn="1" w:lastColumn="0" w:noHBand="0" w:noVBand="1"/>
      </w:tblPr>
      <w:tblGrid>
        <w:gridCol w:w="1522"/>
        <w:gridCol w:w="1843"/>
      </w:tblGrid>
      <w:tr w:rsidR="00417266" w:rsidRPr="006E1AC8" w14:paraId="0B6E2D9B" w14:textId="77777777" w:rsidTr="008A21D4">
        <w:trPr>
          <w:jc w:val="center"/>
        </w:trPr>
        <w:tc>
          <w:tcPr>
            <w:tcW w:w="1522" w:type="dxa"/>
            <w:shd w:val="clear" w:color="auto" w:fill="CEEAF5"/>
          </w:tcPr>
          <w:p w14:paraId="60014581" w14:textId="77777777" w:rsidR="00417266" w:rsidRPr="00DD1DA7" w:rsidRDefault="00417266" w:rsidP="00DD1DA7">
            <w:pPr>
              <w:pStyle w:val="af"/>
              <w:rPr>
                <w:szCs w:val="20"/>
                <w:rtl/>
              </w:rPr>
            </w:pPr>
            <w:r w:rsidRPr="00DD1DA7">
              <w:rPr>
                <w:rFonts w:hint="cs"/>
                <w:szCs w:val="20"/>
                <w:rtl/>
              </w:rPr>
              <w:t>ה</w:t>
            </w:r>
            <w:r w:rsidRPr="00DD1DA7">
              <w:rPr>
                <w:rFonts w:hint="eastAsia"/>
                <w:szCs w:val="20"/>
                <w:rtl/>
              </w:rPr>
              <w:t>שנה</w:t>
            </w:r>
          </w:p>
        </w:tc>
        <w:tc>
          <w:tcPr>
            <w:tcW w:w="1843" w:type="dxa"/>
            <w:shd w:val="clear" w:color="auto" w:fill="CEEAF5"/>
          </w:tcPr>
          <w:p w14:paraId="2BD45283" w14:textId="77777777" w:rsidR="00417266" w:rsidRPr="00DD1DA7" w:rsidRDefault="00417266" w:rsidP="00DD1DA7">
            <w:pPr>
              <w:pStyle w:val="af"/>
              <w:rPr>
                <w:szCs w:val="20"/>
                <w:rtl/>
              </w:rPr>
            </w:pPr>
            <w:r w:rsidRPr="00DD1DA7">
              <w:rPr>
                <w:rFonts w:hint="eastAsia"/>
                <w:szCs w:val="20"/>
                <w:rtl/>
              </w:rPr>
              <w:t>מספר</w:t>
            </w:r>
            <w:r w:rsidRPr="00DD1DA7">
              <w:rPr>
                <w:szCs w:val="20"/>
                <w:rtl/>
              </w:rPr>
              <w:t xml:space="preserve"> </w:t>
            </w:r>
            <w:r w:rsidRPr="00DD1DA7">
              <w:rPr>
                <w:rFonts w:hint="eastAsia"/>
                <w:szCs w:val="20"/>
                <w:rtl/>
              </w:rPr>
              <w:t>התלונות</w:t>
            </w:r>
          </w:p>
        </w:tc>
      </w:tr>
      <w:tr w:rsidR="00417266" w:rsidRPr="006E1AC8" w14:paraId="7E70E644" w14:textId="77777777" w:rsidTr="00417266">
        <w:trPr>
          <w:jc w:val="center"/>
        </w:trPr>
        <w:tc>
          <w:tcPr>
            <w:tcW w:w="1522" w:type="dxa"/>
          </w:tcPr>
          <w:p w14:paraId="1CD847C3" w14:textId="77777777" w:rsidR="00417266" w:rsidRPr="00DD1DA7" w:rsidRDefault="00417266" w:rsidP="00DD1DA7">
            <w:pPr>
              <w:pStyle w:val="R"/>
              <w:rPr>
                <w:szCs w:val="20"/>
                <w:rtl/>
              </w:rPr>
            </w:pPr>
            <w:r w:rsidRPr="00DD1DA7">
              <w:rPr>
                <w:szCs w:val="20"/>
                <w:rtl/>
              </w:rPr>
              <w:t>2016</w:t>
            </w:r>
          </w:p>
        </w:tc>
        <w:tc>
          <w:tcPr>
            <w:tcW w:w="1843" w:type="dxa"/>
          </w:tcPr>
          <w:p w14:paraId="3045BD03" w14:textId="77777777" w:rsidR="00417266" w:rsidRPr="00DD1DA7" w:rsidRDefault="00417266" w:rsidP="00DD1DA7">
            <w:pPr>
              <w:pStyle w:val="R"/>
              <w:rPr>
                <w:szCs w:val="20"/>
                <w:rtl/>
              </w:rPr>
            </w:pPr>
            <w:r w:rsidRPr="00DD1DA7">
              <w:rPr>
                <w:szCs w:val="20"/>
                <w:rtl/>
              </w:rPr>
              <w:t>29</w:t>
            </w:r>
          </w:p>
        </w:tc>
      </w:tr>
      <w:tr w:rsidR="00417266" w:rsidRPr="006E1AC8" w14:paraId="38635EBE" w14:textId="77777777" w:rsidTr="00417266">
        <w:trPr>
          <w:jc w:val="center"/>
        </w:trPr>
        <w:tc>
          <w:tcPr>
            <w:tcW w:w="1522" w:type="dxa"/>
          </w:tcPr>
          <w:p w14:paraId="4C3EB829" w14:textId="77777777" w:rsidR="00417266" w:rsidRPr="00DD1DA7" w:rsidRDefault="00417266" w:rsidP="00DD1DA7">
            <w:pPr>
              <w:pStyle w:val="R"/>
              <w:rPr>
                <w:szCs w:val="20"/>
                <w:rtl/>
              </w:rPr>
            </w:pPr>
            <w:r w:rsidRPr="00DD1DA7">
              <w:rPr>
                <w:szCs w:val="20"/>
                <w:rtl/>
              </w:rPr>
              <w:t>2017</w:t>
            </w:r>
          </w:p>
        </w:tc>
        <w:tc>
          <w:tcPr>
            <w:tcW w:w="1843" w:type="dxa"/>
          </w:tcPr>
          <w:p w14:paraId="1D2BE7AB" w14:textId="77777777" w:rsidR="00417266" w:rsidRPr="00DD1DA7" w:rsidRDefault="00417266" w:rsidP="00DD1DA7">
            <w:pPr>
              <w:pStyle w:val="R"/>
              <w:rPr>
                <w:szCs w:val="20"/>
                <w:rtl/>
              </w:rPr>
            </w:pPr>
            <w:r w:rsidRPr="00DD1DA7">
              <w:rPr>
                <w:szCs w:val="20"/>
                <w:rtl/>
              </w:rPr>
              <w:t>26</w:t>
            </w:r>
          </w:p>
        </w:tc>
      </w:tr>
      <w:tr w:rsidR="00417266" w:rsidRPr="006E1AC8" w14:paraId="44026393" w14:textId="77777777" w:rsidTr="00417266">
        <w:trPr>
          <w:jc w:val="center"/>
        </w:trPr>
        <w:tc>
          <w:tcPr>
            <w:tcW w:w="1522" w:type="dxa"/>
          </w:tcPr>
          <w:p w14:paraId="57366DC6" w14:textId="77777777" w:rsidR="00417266" w:rsidRPr="00DD1DA7" w:rsidRDefault="00417266" w:rsidP="00DD1DA7">
            <w:pPr>
              <w:pStyle w:val="R"/>
              <w:rPr>
                <w:szCs w:val="20"/>
                <w:rtl/>
              </w:rPr>
            </w:pPr>
            <w:r w:rsidRPr="00DD1DA7">
              <w:rPr>
                <w:szCs w:val="20"/>
                <w:rtl/>
              </w:rPr>
              <w:t>2018</w:t>
            </w:r>
          </w:p>
        </w:tc>
        <w:tc>
          <w:tcPr>
            <w:tcW w:w="1843" w:type="dxa"/>
          </w:tcPr>
          <w:p w14:paraId="5E1E1B19" w14:textId="77777777" w:rsidR="00417266" w:rsidRPr="00DD1DA7" w:rsidRDefault="00417266" w:rsidP="00DD1DA7">
            <w:pPr>
              <w:pStyle w:val="R"/>
              <w:rPr>
                <w:szCs w:val="20"/>
                <w:rtl/>
              </w:rPr>
            </w:pPr>
            <w:r w:rsidRPr="00DD1DA7">
              <w:rPr>
                <w:szCs w:val="20"/>
                <w:rtl/>
              </w:rPr>
              <w:t>32</w:t>
            </w:r>
          </w:p>
        </w:tc>
      </w:tr>
    </w:tbl>
    <w:p w14:paraId="2AB2E1E9" w14:textId="77777777" w:rsidR="00417266" w:rsidRPr="008A21D4" w:rsidRDefault="00417266" w:rsidP="008A21D4">
      <w:pPr>
        <w:pStyle w:val="aa"/>
        <w:rPr>
          <w:rtl/>
        </w:rPr>
      </w:pPr>
      <w:r w:rsidRPr="008A21D4">
        <w:rPr>
          <w:rFonts w:hint="cs"/>
          <w:rtl/>
        </w:rPr>
        <w:t xml:space="preserve"> </w:t>
      </w:r>
      <w:r w:rsidRPr="008A21D4">
        <w:rPr>
          <w:rFonts w:hint="eastAsia"/>
          <w:rtl/>
        </w:rPr>
        <w:t>המקור</w:t>
      </w:r>
      <w:r w:rsidRPr="008A21D4">
        <w:rPr>
          <w:rtl/>
        </w:rPr>
        <w:t xml:space="preserve">: נתוני </w:t>
      </w:r>
      <w:r w:rsidRPr="008A21D4">
        <w:rPr>
          <w:rFonts w:hint="eastAsia"/>
          <w:rtl/>
        </w:rPr>
        <w:t>נש</w:t>
      </w:r>
      <w:r w:rsidRPr="008A21D4">
        <w:rPr>
          <w:rtl/>
        </w:rPr>
        <w:t>"ם.</w:t>
      </w:r>
    </w:p>
    <w:p w14:paraId="2B916384" w14:textId="058CF4E6" w:rsidR="00417266" w:rsidRPr="00C43F1B" w:rsidRDefault="00417266" w:rsidP="00417266">
      <w:pPr>
        <w:spacing w:line="269" w:lineRule="auto"/>
        <w:rPr>
          <w:rtl/>
        </w:rPr>
      </w:pPr>
    </w:p>
    <w:p w14:paraId="03A37774" w14:textId="7131B0CB" w:rsidR="00417266" w:rsidRPr="00C43F1B" w:rsidRDefault="00417266" w:rsidP="008A21D4">
      <w:pPr>
        <w:pStyle w:val="100"/>
        <w:rPr>
          <w:rtl/>
        </w:rPr>
      </w:pPr>
      <w:r w:rsidRPr="00C43F1B">
        <w:rPr>
          <w:rFonts w:hint="cs"/>
          <w:rtl/>
        </w:rPr>
        <w:t xml:space="preserve">בתי החולים מעסיקים מגוון רחב של עובדים: רופאים, אחים ואחיות, עובדי סיעוד, עובדים מינהליים, סניטרים, מתנדבות שירות לאומי ועוד. העובדים חלקם עובדי משרד הבריאות, וחלקם מועסקים על ידי גופים אחרים, כמו תאגידי הבריאות וקבלנים חיצוניים. מתנדבות בנות השירות הלאומי מופנות לבתי החולים בידי עמותות שונות שהן "גופים מוכרים" לפי חוק שירות אזרחי, התשע"ז-2017. </w:t>
      </w:r>
    </w:p>
    <w:p w14:paraId="3F2451EA" w14:textId="418771E4" w:rsidR="00417266" w:rsidRDefault="00417266" w:rsidP="008A21D4">
      <w:pPr>
        <w:pStyle w:val="100"/>
        <w:rPr>
          <w:rtl/>
        </w:rPr>
      </w:pPr>
      <w:r w:rsidRPr="00C43F1B">
        <w:rPr>
          <w:rFonts w:hint="cs"/>
          <w:rtl/>
        </w:rPr>
        <w:t>התקנות למניעת הטרדה מינית חלות גם על קופות החולים ובתי החולים שאינם ממשלתיים. במוסדות אלו המתלוננת פונה אל האחראית למניעת הטרדה מינית, והאחראית תפקידה לברר את התלונה ולהגיש את המלצותיה למנכ"ל המוסד.</w:t>
      </w:r>
    </w:p>
    <w:p w14:paraId="6B3D2FB8" w14:textId="77777777" w:rsidR="00417266" w:rsidRPr="00C43F1B" w:rsidRDefault="00417266" w:rsidP="0059531A">
      <w:pPr>
        <w:pStyle w:val="100"/>
        <w:rPr>
          <w:rtl/>
        </w:rPr>
      </w:pPr>
      <w:r w:rsidRPr="00C43F1B">
        <w:rPr>
          <w:rFonts w:hint="cs"/>
          <w:rtl/>
        </w:rPr>
        <w:t xml:space="preserve">במשרד הבריאות הוקמה נציבות קבילות הציבור למקצועות הרפואה (להלן גם - </w:t>
      </w:r>
      <w:r>
        <w:rPr>
          <w:rFonts w:hint="cs"/>
          <w:rtl/>
        </w:rPr>
        <w:t xml:space="preserve">נציבות הקבילות או </w:t>
      </w:r>
      <w:r w:rsidRPr="00C43F1B">
        <w:rPr>
          <w:rFonts w:hint="cs"/>
          <w:rtl/>
        </w:rPr>
        <w:t>הנציבות). פעילות הנציבות מוסדרת מתוקף סעיף 29א(3) לפקודת בריאות העם 1940. הנציבות מטפלת בתלונות בתחומים קליניים על מוסדות רפואיים ועל אנשי מקצועות הבריאות (רופאים, אחיות, מיילדות, פסיכולוגים, מוסדות גריאטריים, מרפאות בריאות הנפש וכד') במסגרת הרפואה הציבורית והפרטית, כאשר עולה חשש להתנהגות שאינה אתית או לחריגה מתקן מקצועי סביר. בין היתר, הנציבות מבררת תלונות על הטרדות מיניות שנעשו בידי אנשי הצוות הרפואי במהלך טיפול רפואי.</w:t>
      </w:r>
    </w:p>
    <w:p w14:paraId="6D527800" w14:textId="77777777" w:rsidR="00417266" w:rsidRDefault="00417266" w:rsidP="00F85D19">
      <w:pPr>
        <w:pStyle w:val="316"/>
        <w:rPr>
          <w:rtl/>
        </w:rPr>
      </w:pPr>
      <w:r>
        <w:rPr>
          <w:rFonts w:hint="cs"/>
          <w:rtl/>
        </w:rPr>
        <w:lastRenderedPageBreak/>
        <w:t>ה</w:t>
      </w:r>
      <w:r w:rsidRPr="00C43F1B">
        <w:rPr>
          <w:rFonts w:hint="cs"/>
          <w:rtl/>
        </w:rPr>
        <w:t xml:space="preserve">פיקוח על יישום החוק למניעת הטרדה מינית במוסדות הרפואיים </w:t>
      </w:r>
    </w:p>
    <w:p w14:paraId="0FD29A3B" w14:textId="77777777" w:rsidR="00417266" w:rsidRPr="00C43F1B" w:rsidRDefault="00417266" w:rsidP="00F85D19">
      <w:pPr>
        <w:pStyle w:val="414"/>
      </w:pPr>
      <w:r w:rsidRPr="00F85D19">
        <w:rPr>
          <w:rFonts w:hint="cs"/>
          <w:rtl/>
        </w:rPr>
        <w:t>הדיווח</w:t>
      </w:r>
      <w:r>
        <w:rPr>
          <w:rFonts w:hint="cs"/>
          <w:rtl/>
        </w:rPr>
        <w:t xml:space="preserve"> למשרד הבריאות על תלונות והטיפול בהן</w:t>
      </w:r>
    </w:p>
    <w:p w14:paraId="70CB5C7D" w14:textId="77777777" w:rsidR="00417266" w:rsidRPr="00F85D19" w:rsidRDefault="00417266" w:rsidP="00F85D19">
      <w:pPr>
        <w:pStyle w:val="100"/>
      </w:pPr>
      <w:r>
        <w:rPr>
          <w:rFonts w:hint="cs"/>
          <w:rtl/>
        </w:rPr>
        <w:t xml:space="preserve">בבתי החולים הממשלתיים </w:t>
      </w:r>
      <w:r w:rsidRPr="00C43F1B">
        <w:rPr>
          <w:rtl/>
        </w:rPr>
        <w:t xml:space="preserve">מונו </w:t>
      </w:r>
      <w:r w:rsidRPr="00C43F1B">
        <w:rPr>
          <w:rFonts w:hint="cs"/>
          <w:rtl/>
        </w:rPr>
        <w:t xml:space="preserve">כאמור </w:t>
      </w:r>
      <w:r w:rsidRPr="00C43F1B">
        <w:rPr>
          <w:rtl/>
        </w:rPr>
        <w:t>ממונות על מניעת הטרדה מינית</w:t>
      </w:r>
      <w:r w:rsidRPr="00C43F1B">
        <w:rPr>
          <w:rFonts w:hint="cs"/>
          <w:rtl/>
        </w:rPr>
        <w:t>,</w:t>
      </w:r>
      <w:r w:rsidRPr="00C43F1B">
        <w:rPr>
          <w:rtl/>
        </w:rPr>
        <w:t xml:space="preserve"> </w:t>
      </w:r>
      <w:r w:rsidRPr="00C43F1B">
        <w:rPr>
          <w:rFonts w:hint="cs"/>
          <w:rtl/>
        </w:rPr>
        <w:t>וקופות החולים מינו אחראיות</w:t>
      </w:r>
      <w:r w:rsidRPr="009537F5">
        <w:rPr>
          <w:rFonts w:hint="cs"/>
          <w:rtl/>
        </w:rPr>
        <w:t xml:space="preserve"> </w:t>
      </w:r>
      <w:r>
        <w:rPr>
          <w:rFonts w:hint="cs"/>
          <w:rtl/>
        </w:rPr>
        <w:t>למניעת הטרדה מינית</w:t>
      </w:r>
      <w:r w:rsidRPr="00C43F1B">
        <w:rPr>
          <w:rFonts w:hint="cs"/>
          <w:rtl/>
        </w:rPr>
        <w:t xml:space="preserve"> על פי התקנות. לפי התקנות תפקידן של הממונות לקבל תלונות, לקיים בירור לשם מתן המלצות למעסיק ולתת ייעוץ, מידע והדרכה לעובדים. </w:t>
      </w:r>
      <w:r w:rsidRPr="00C43F1B">
        <w:rPr>
          <w:rtl/>
        </w:rPr>
        <w:t xml:space="preserve">כל מרכז רפואי </w:t>
      </w:r>
      <w:r w:rsidRPr="00F85D19">
        <w:rPr>
          <w:rFonts w:hint="eastAsia"/>
          <w:rtl/>
        </w:rPr>
        <w:t>שבבעלות</w:t>
      </w:r>
      <w:r w:rsidRPr="00F85D19">
        <w:rPr>
          <w:rtl/>
        </w:rPr>
        <w:t xml:space="preserve"> פרטית </w:t>
      </w:r>
      <w:r w:rsidRPr="00F85D19">
        <w:rPr>
          <w:rFonts w:hint="cs"/>
          <w:rtl/>
        </w:rPr>
        <w:t xml:space="preserve">או רשות מקומית </w:t>
      </w:r>
      <w:r w:rsidRPr="00F85D19">
        <w:rPr>
          <w:rFonts w:hint="eastAsia"/>
          <w:rtl/>
        </w:rPr>
        <w:t>קובע</w:t>
      </w:r>
      <w:r w:rsidRPr="00F85D19">
        <w:rPr>
          <w:rtl/>
        </w:rPr>
        <w:t xml:space="preserve"> </w:t>
      </w:r>
      <w:r w:rsidRPr="00F85D19">
        <w:rPr>
          <w:rFonts w:hint="cs"/>
          <w:rtl/>
        </w:rPr>
        <w:t>ב</w:t>
      </w:r>
      <w:r w:rsidRPr="00F85D19">
        <w:rPr>
          <w:rFonts w:hint="eastAsia"/>
          <w:rtl/>
        </w:rPr>
        <w:t>עצמ</w:t>
      </w:r>
      <w:r w:rsidRPr="00F85D19">
        <w:rPr>
          <w:rFonts w:hint="cs"/>
          <w:rtl/>
        </w:rPr>
        <w:t>ו</w:t>
      </w:r>
      <w:r w:rsidRPr="00F85D19">
        <w:rPr>
          <w:rtl/>
        </w:rPr>
        <w:t xml:space="preserve"> </w:t>
      </w:r>
      <w:r w:rsidRPr="00F85D19">
        <w:rPr>
          <w:rFonts w:hint="eastAsia"/>
          <w:rtl/>
        </w:rPr>
        <w:t>את</w:t>
      </w:r>
      <w:r w:rsidRPr="00F85D19">
        <w:rPr>
          <w:rtl/>
        </w:rPr>
        <w:t xml:space="preserve"> </w:t>
      </w:r>
      <w:r w:rsidRPr="00F85D19">
        <w:rPr>
          <w:rFonts w:hint="eastAsia"/>
          <w:rtl/>
        </w:rPr>
        <w:t>נהלי</w:t>
      </w:r>
      <w:r w:rsidRPr="00F85D19">
        <w:rPr>
          <w:rFonts w:hint="cs"/>
          <w:rtl/>
        </w:rPr>
        <w:t>ו</w:t>
      </w:r>
      <w:r w:rsidRPr="00F85D19">
        <w:rPr>
          <w:rtl/>
        </w:rPr>
        <w:t xml:space="preserve"> </w:t>
      </w:r>
      <w:r w:rsidRPr="00F85D19">
        <w:rPr>
          <w:rFonts w:hint="eastAsia"/>
          <w:rtl/>
        </w:rPr>
        <w:t>לטיפול</w:t>
      </w:r>
      <w:r w:rsidRPr="00F85D19">
        <w:rPr>
          <w:rtl/>
        </w:rPr>
        <w:t xml:space="preserve"> </w:t>
      </w:r>
      <w:r w:rsidRPr="00F85D19">
        <w:rPr>
          <w:rFonts w:hint="eastAsia"/>
          <w:rtl/>
        </w:rPr>
        <w:t>בתלונות</w:t>
      </w:r>
      <w:r w:rsidRPr="00F85D19">
        <w:rPr>
          <w:rtl/>
        </w:rPr>
        <w:t xml:space="preserve"> </w:t>
      </w:r>
      <w:r w:rsidRPr="00F85D19">
        <w:rPr>
          <w:rFonts w:hint="cs"/>
          <w:rtl/>
        </w:rPr>
        <w:t xml:space="preserve">על הטרדות בידי </w:t>
      </w:r>
      <w:r w:rsidRPr="00F85D19">
        <w:rPr>
          <w:rFonts w:hint="eastAsia"/>
          <w:rtl/>
        </w:rPr>
        <w:t>אנשי</w:t>
      </w:r>
      <w:r w:rsidRPr="00F85D19">
        <w:rPr>
          <w:rtl/>
        </w:rPr>
        <w:t xml:space="preserve"> </w:t>
      </w:r>
      <w:r w:rsidRPr="00F85D19">
        <w:rPr>
          <w:rFonts w:hint="eastAsia"/>
          <w:rtl/>
        </w:rPr>
        <w:t>הצוות</w:t>
      </w:r>
      <w:r w:rsidRPr="00F85D19">
        <w:rPr>
          <w:rtl/>
        </w:rPr>
        <w:t xml:space="preserve"> </w:t>
      </w:r>
      <w:r w:rsidRPr="00F85D19">
        <w:rPr>
          <w:rFonts w:hint="eastAsia"/>
          <w:rtl/>
        </w:rPr>
        <w:t>הרפואי</w:t>
      </w:r>
      <w:r w:rsidRPr="00F85D19">
        <w:rPr>
          <w:rtl/>
        </w:rPr>
        <w:t xml:space="preserve"> </w:t>
      </w:r>
      <w:r w:rsidRPr="00F85D19">
        <w:rPr>
          <w:rFonts w:hint="eastAsia"/>
          <w:rtl/>
        </w:rPr>
        <w:t>הן</w:t>
      </w:r>
      <w:r w:rsidRPr="00F85D19">
        <w:rPr>
          <w:rtl/>
        </w:rPr>
        <w:t xml:space="preserve"> </w:t>
      </w:r>
      <w:r w:rsidRPr="00F85D19">
        <w:rPr>
          <w:rFonts w:hint="eastAsia"/>
          <w:rtl/>
        </w:rPr>
        <w:t>כלפי</w:t>
      </w:r>
      <w:r w:rsidRPr="00F85D19">
        <w:rPr>
          <w:rtl/>
        </w:rPr>
        <w:t xml:space="preserve"> </w:t>
      </w:r>
      <w:r w:rsidRPr="00F85D19">
        <w:rPr>
          <w:rFonts w:hint="eastAsia"/>
          <w:rtl/>
        </w:rPr>
        <w:t>עובדות</w:t>
      </w:r>
      <w:r w:rsidRPr="00F85D19">
        <w:rPr>
          <w:rtl/>
        </w:rPr>
        <w:t xml:space="preserve"> </w:t>
      </w:r>
      <w:r w:rsidRPr="00F85D19">
        <w:rPr>
          <w:rFonts w:hint="eastAsia"/>
          <w:rtl/>
        </w:rPr>
        <w:t>המרכז</w:t>
      </w:r>
      <w:r w:rsidRPr="00F85D19">
        <w:rPr>
          <w:rtl/>
        </w:rPr>
        <w:t xml:space="preserve"> </w:t>
      </w:r>
      <w:r w:rsidRPr="00F85D19">
        <w:rPr>
          <w:rFonts w:hint="eastAsia"/>
          <w:rtl/>
        </w:rPr>
        <w:t>והן</w:t>
      </w:r>
      <w:r w:rsidRPr="00F85D19">
        <w:rPr>
          <w:rtl/>
        </w:rPr>
        <w:t xml:space="preserve"> </w:t>
      </w:r>
      <w:r w:rsidRPr="00F85D19">
        <w:rPr>
          <w:rFonts w:hint="eastAsia"/>
          <w:rtl/>
        </w:rPr>
        <w:t>כלפי</w:t>
      </w:r>
      <w:r w:rsidRPr="00F85D19">
        <w:rPr>
          <w:rtl/>
        </w:rPr>
        <w:t xml:space="preserve"> </w:t>
      </w:r>
      <w:r w:rsidRPr="00F85D19">
        <w:rPr>
          <w:rFonts w:hint="eastAsia"/>
          <w:rtl/>
        </w:rPr>
        <w:t>מטופלים</w:t>
      </w:r>
      <w:r w:rsidRPr="00F85D19">
        <w:rPr>
          <w:rtl/>
        </w:rPr>
        <w:t xml:space="preserve"> </w:t>
      </w:r>
      <w:r w:rsidRPr="00F85D19">
        <w:rPr>
          <w:rFonts w:hint="eastAsia"/>
          <w:rtl/>
        </w:rPr>
        <w:t>ומטופלות</w:t>
      </w:r>
      <w:r w:rsidRPr="00F85D19">
        <w:rPr>
          <w:rFonts w:hint="cs"/>
          <w:rtl/>
        </w:rPr>
        <w:t>.</w:t>
      </w:r>
    </w:p>
    <w:p w14:paraId="008ED499" w14:textId="77777777" w:rsidR="00417266" w:rsidRDefault="00417266" w:rsidP="00F85D19">
      <w:pPr>
        <w:pStyle w:val="100"/>
        <w:rPr>
          <w:rtl/>
        </w:rPr>
      </w:pPr>
      <w:r w:rsidRPr="00F85D19">
        <w:rPr>
          <w:rFonts w:hint="cs"/>
          <w:rtl/>
        </w:rPr>
        <w:t>ה</w:t>
      </w:r>
      <w:r w:rsidRPr="00F85D19">
        <w:rPr>
          <w:rtl/>
        </w:rPr>
        <w:t>ביזור הגיאוגרפי והתאגידי של משרד הבריאות ו</w:t>
      </w:r>
      <w:r w:rsidRPr="00F85D19">
        <w:rPr>
          <w:rFonts w:hint="cs"/>
          <w:rtl/>
        </w:rPr>
        <w:t xml:space="preserve">של </w:t>
      </w:r>
      <w:r w:rsidRPr="00F85D19">
        <w:rPr>
          <w:rtl/>
        </w:rPr>
        <w:t xml:space="preserve">המוסדות הכפופים לו </w:t>
      </w:r>
      <w:r w:rsidRPr="00F85D19">
        <w:rPr>
          <w:rFonts w:hint="cs"/>
          <w:rtl/>
        </w:rPr>
        <w:t>ו</w:t>
      </w:r>
      <w:r w:rsidRPr="00F85D19">
        <w:rPr>
          <w:rtl/>
        </w:rPr>
        <w:t xml:space="preserve">היעדר מידע </w:t>
      </w:r>
      <w:r w:rsidRPr="00F85D19">
        <w:rPr>
          <w:rFonts w:hint="cs"/>
          <w:rtl/>
        </w:rPr>
        <w:t>מרוכז על</w:t>
      </w:r>
      <w:r w:rsidRPr="00C43F1B">
        <w:rPr>
          <w:rtl/>
        </w:rPr>
        <w:t xml:space="preserve"> אנשי צוות רפואה </w:t>
      </w:r>
      <w:r w:rsidRPr="00C43F1B">
        <w:rPr>
          <w:rFonts w:hint="eastAsia"/>
          <w:rtl/>
        </w:rPr>
        <w:t>נילונים</w:t>
      </w:r>
      <w:r w:rsidRPr="00C43F1B">
        <w:rPr>
          <w:rFonts w:hint="cs"/>
          <w:rtl/>
        </w:rPr>
        <w:t xml:space="preserve"> עלולים להוביל להיעדר אחידות בטיפול בנושא</w:t>
      </w:r>
      <w:r w:rsidRPr="00C43F1B">
        <w:rPr>
          <w:rtl/>
        </w:rPr>
        <w:t xml:space="preserve">. </w:t>
      </w:r>
      <w:r w:rsidRPr="00C43F1B">
        <w:rPr>
          <w:rFonts w:hint="cs"/>
          <w:rtl/>
        </w:rPr>
        <w:t>כך לדוגמה, האחראיות בקופות החולים מסרו כי הן מטפלות גם בתלונות של מטופלות כנגד עובדי קופת החולים ולא רק בתלונות של עובדים ועובדות בקופה</w:t>
      </w:r>
      <w:r w:rsidRPr="00C43F1B">
        <w:rPr>
          <w:rStyle w:val="FootnoteReference"/>
          <w:sz w:val="24"/>
          <w:rtl/>
        </w:rPr>
        <w:footnoteReference w:id="78"/>
      </w:r>
      <w:r w:rsidRPr="00C43F1B">
        <w:rPr>
          <w:rFonts w:hint="cs"/>
          <w:rtl/>
        </w:rPr>
        <w:t xml:space="preserve">. ואולם רק שתי </w:t>
      </w:r>
      <w:r w:rsidRPr="00C43F1B">
        <w:rPr>
          <w:rFonts w:hint="eastAsia"/>
          <w:rtl/>
        </w:rPr>
        <w:t>קופ</w:t>
      </w:r>
      <w:r w:rsidRPr="00C43F1B">
        <w:rPr>
          <w:rFonts w:hint="cs"/>
          <w:rtl/>
        </w:rPr>
        <w:t>ו</w:t>
      </w:r>
      <w:r w:rsidRPr="00C43F1B">
        <w:rPr>
          <w:rFonts w:hint="eastAsia"/>
          <w:rtl/>
        </w:rPr>
        <w:t>ת</w:t>
      </w:r>
      <w:r w:rsidRPr="00C43F1B">
        <w:rPr>
          <w:rtl/>
        </w:rPr>
        <w:t xml:space="preserve"> </w:t>
      </w:r>
      <w:r w:rsidRPr="00C43F1B">
        <w:rPr>
          <w:rFonts w:hint="eastAsia"/>
          <w:rtl/>
        </w:rPr>
        <w:t>חולים</w:t>
      </w:r>
      <w:r w:rsidRPr="00C43F1B">
        <w:rPr>
          <w:rtl/>
        </w:rPr>
        <w:t xml:space="preserve"> </w:t>
      </w:r>
      <w:r w:rsidRPr="00C43F1B">
        <w:rPr>
          <w:rFonts w:hint="cs"/>
          <w:rtl/>
        </w:rPr>
        <w:t xml:space="preserve">קבעו במפורש בתקנון למניעת הטרדה מינית </w:t>
      </w:r>
      <w:r w:rsidRPr="00C43F1B">
        <w:rPr>
          <w:rtl/>
        </w:rPr>
        <w:t xml:space="preserve">כי האחראית תקבל </w:t>
      </w:r>
      <w:r w:rsidRPr="00C43F1B">
        <w:rPr>
          <w:rFonts w:hint="cs"/>
          <w:rtl/>
        </w:rPr>
        <w:t xml:space="preserve">גם </w:t>
      </w:r>
      <w:r w:rsidRPr="00C43F1B">
        <w:rPr>
          <w:rtl/>
        </w:rPr>
        <w:t xml:space="preserve">תלונות </w:t>
      </w:r>
      <w:r w:rsidRPr="00C43F1B">
        <w:rPr>
          <w:rFonts w:hint="cs"/>
          <w:rtl/>
        </w:rPr>
        <w:t xml:space="preserve">של </w:t>
      </w:r>
      <w:r w:rsidRPr="00C43F1B">
        <w:rPr>
          <w:rtl/>
        </w:rPr>
        <w:t>מטופלים ומטופלות.</w:t>
      </w:r>
      <w:r w:rsidRPr="00C43F1B">
        <w:rPr>
          <w:rFonts w:hint="cs"/>
          <w:rtl/>
        </w:rPr>
        <w:t xml:space="preserve"> </w:t>
      </w:r>
    </w:p>
    <w:p w14:paraId="50555933" w14:textId="77777777" w:rsidR="00417266" w:rsidRPr="001C36F3" w:rsidRDefault="00417266" w:rsidP="00F85D19">
      <w:pPr>
        <w:pStyle w:val="af3"/>
        <w:rPr>
          <w:rtl/>
        </w:rPr>
      </w:pPr>
      <w:r w:rsidRPr="00F330D4">
        <w:rPr>
          <w:rFonts w:hint="eastAsia"/>
          <w:rtl/>
        </w:rPr>
        <w:t>משרד</w:t>
      </w:r>
      <w:r w:rsidRPr="00F330D4">
        <w:rPr>
          <w:rtl/>
        </w:rPr>
        <w:t xml:space="preserve"> הבריאות לא הנחה את מוסדות מערכת הבריאות כיצד להתאים תקנוניהם</w:t>
      </w:r>
      <w:r>
        <w:rPr>
          <w:rFonts w:hint="cs"/>
          <w:rtl/>
        </w:rPr>
        <w:t>, ו</w:t>
      </w:r>
      <w:r w:rsidRPr="00F330D4">
        <w:rPr>
          <w:rtl/>
        </w:rPr>
        <w:t xml:space="preserve">אין גוף מפקח </w:t>
      </w:r>
      <w:r>
        <w:rPr>
          <w:rFonts w:hint="cs"/>
          <w:rtl/>
        </w:rPr>
        <w:t xml:space="preserve">המוודא </w:t>
      </w:r>
      <w:r w:rsidRPr="00F330D4">
        <w:rPr>
          <w:rtl/>
        </w:rPr>
        <w:t>כי החוק מיושם</w:t>
      </w:r>
      <w:r>
        <w:rPr>
          <w:rFonts w:hint="cs"/>
          <w:rtl/>
        </w:rPr>
        <w:t>.</w:t>
      </w:r>
    </w:p>
    <w:p w14:paraId="7841F010" w14:textId="77777777" w:rsidR="00417266" w:rsidRPr="00C43F1B" w:rsidRDefault="00417266" w:rsidP="00F85D19">
      <w:pPr>
        <w:pStyle w:val="100"/>
        <w:rPr>
          <w:rtl/>
        </w:rPr>
      </w:pPr>
      <w:r>
        <w:rPr>
          <w:rFonts w:hint="cs"/>
          <w:rtl/>
        </w:rPr>
        <w:t xml:space="preserve">שלא כמו מערכת הבריאות, שלגביה לא הוסדר הדיווח על הטרדות מיניות, לגבי מערכת ההשכלה הגבוהה ומערכת הביטחון </w:t>
      </w:r>
      <w:r w:rsidRPr="00C43F1B">
        <w:rPr>
          <w:rFonts w:hint="cs"/>
          <w:rtl/>
        </w:rPr>
        <w:t>תוקנו תקנות החוק למניעת הטרדה מינית (חובות מעסיק</w:t>
      </w:r>
      <w:r>
        <w:rPr>
          <w:rFonts w:hint="cs"/>
          <w:rtl/>
        </w:rPr>
        <w:t>), בשנת 2014</w:t>
      </w:r>
      <w:r w:rsidRPr="00C43F1B">
        <w:rPr>
          <w:rFonts w:hint="cs"/>
          <w:rtl/>
        </w:rPr>
        <w:t>. במסגרת התיקון נקבעו בתקנה 9 חובות ייחודי</w:t>
      </w:r>
      <w:r>
        <w:rPr>
          <w:rFonts w:hint="cs"/>
          <w:rtl/>
        </w:rPr>
        <w:t>ות</w:t>
      </w:r>
      <w:r w:rsidRPr="00C43F1B">
        <w:rPr>
          <w:rFonts w:hint="cs"/>
          <w:rtl/>
        </w:rPr>
        <w:t xml:space="preserve"> למניעת הטרדה מינית שיחולו על המוסדות להשכלה גבוהה ועל כוחות הביטחון</w:t>
      </w:r>
      <w:r w:rsidRPr="00C43F1B">
        <w:rPr>
          <w:rStyle w:val="FootnoteReference"/>
          <w:rtl/>
        </w:rPr>
        <w:footnoteReference w:id="79"/>
      </w:r>
      <w:r w:rsidRPr="00C43F1B">
        <w:rPr>
          <w:rFonts w:hint="cs"/>
          <w:rtl/>
        </w:rPr>
        <w:t>. לפי התקנה גופים אלו נדרשים לה</w:t>
      </w:r>
      <w:r w:rsidRPr="00C43F1B">
        <w:rPr>
          <w:rtl/>
        </w:rPr>
        <w:t>גיש אחת לשנה לרשות לקידום מעמד האישה ולוועד</w:t>
      </w:r>
      <w:r w:rsidRPr="00C43F1B">
        <w:rPr>
          <w:rFonts w:hint="cs"/>
          <w:rtl/>
        </w:rPr>
        <w:t>ת הכנסת</w:t>
      </w:r>
      <w:r w:rsidRPr="00C43F1B">
        <w:rPr>
          <w:rtl/>
        </w:rPr>
        <w:t xml:space="preserve"> לקי</w:t>
      </w:r>
      <w:r w:rsidRPr="00C43F1B">
        <w:rPr>
          <w:rFonts w:hint="cs"/>
          <w:rtl/>
        </w:rPr>
        <w:t>ד</w:t>
      </w:r>
      <w:r w:rsidRPr="00C43F1B">
        <w:rPr>
          <w:rtl/>
        </w:rPr>
        <w:t xml:space="preserve">ום מעמד האישה דין וחשבון ובו פירוט </w:t>
      </w:r>
      <w:r>
        <w:rPr>
          <w:rFonts w:hint="cs"/>
          <w:rtl/>
        </w:rPr>
        <w:t xml:space="preserve">של </w:t>
      </w:r>
      <w:r w:rsidRPr="00C43F1B">
        <w:rPr>
          <w:rtl/>
        </w:rPr>
        <w:t xml:space="preserve">הפעולות שנקט המוסד למניעת הטרדה מינית בתחומו וכן </w:t>
      </w:r>
      <w:r w:rsidRPr="00C43F1B">
        <w:rPr>
          <w:rFonts w:hint="cs"/>
          <w:rtl/>
        </w:rPr>
        <w:t xml:space="preserve">של </w:t>
      </w:r>
      <w:r w:rsidRPr="00C43F1B">
        <w:rPr>
          <w:rtl/>
        </w:rPr>
        <w:t>מספר התלונות שהוגשו לאחראי</w:t>
      </w:r>
      <w:r>
        <w:rPr>
          <w:rFonts w:hint="cs"/>
          <w:rtl/>
        </w:rPr>
        <w:t>ת</w:t>
      </w:r>
      <w:r w:rsidRPr="00C43F1B">
        <w:rPr>
          <w:rtl/>
        </w:rPr>
        <w:t xml:space="preserve"> במוסד ו</w:t>
      </w:r>
      <w:r w:rsidRPr="00C43F1B">
        <w:rPr>
          <w:rFonts w:hint="cs"/>
          <w:rtl/>
        </w:rPr>
        <w:t xml:space="preserve">של </w:t>
      </w:r>
      <w:r w:rsidRPr="00C43F1B">
        <w:rPr>
          <w:rtl/>
        </w:rPr>
        <w:t>אופן הטיפול בהן</w:t>
      </w:r>
      <w:r w:rsidRPr="00C43F1B">
        <w:rPr>
          <w:rFonts w:hint="cs"/>
          <w:rtl/>
        </w:rPr>
        <w:t>. דרישה זו</w:t>
      </w:r>
      <w:r w:rsidRPr="00C43F1B">
        <w:rPr>
          <w:rtl/>
        </w:rPr>
        <w:t xml:space="preserve"> </w:t>
      </w:r>
      <w:r w:rsidRPr="00C43F1B">
        <w:rPr>
          <w:rFonts w:hint="cs"/>
          <w:rtl/>
        </w:rPr>
        <w:t>מעודדת</w:t>
      </w:r>
      <w:r w:rsidRPr="00C43F1B">
        <w:rPr>
          <w:rtl/>
        </w:rPr>
        <w:t xml:space="preserve"> </w:t>
      </w:r>
      <w:r w:rsidRPr="00C43F1B">
        <w:rPr>
          <w:rFonts w:hint="eastAsia"/>
          <w:rtl/>
        </w:rPr>
        <w:t>את</w:t>
      </w:r>
      <w:r w:rsidRPr="00C43F1B">
        <w:rPr>
          <w:rtl/>
        </w:rPr>
        <w:t xml:space="preserve"> </w:t>
      </w:r>
      <w:r w:rsidRPr="00C43F1B">
        <w:rPr>
          <w:rFonts w:hint="eastAsia"/>
          <w:rtl/>
        </w:rPr>
        <w:t>הטיפול</w:t>
      </w:r>
      <w:r w:rsidRPr="00C43F1B">
        <w:rPr>
          <w:rtl/>
        </w:rPr>
        <w:t xml:space="preserve"> </w:t>
      </w:r>
      <w:r w:rsidRPr="00C43F1B">
        <w:rPr>
          <w:rFonts w:hint="eastAsia"/>
          <w:rtl/>
        </w:rPr>
        <w:t>בהטרדות</w:t>
      </w:r>
      <w:r w:rsidRPr="00C43F1B">
        <w:rPr>
          <w:rtl/>
        </w:rPr>
        <w:t xml:space="preserve"> </w:t>
      </w:r>
      <w:r w:rsidRPr="00C43F1B">
        <w:rPr>
          <w:rFonts w:hint="eastAsia"/>
          <w:rtl/>
        </w:rPr>
        <w:t>המיניות</w:t>
      </w:r>
      <w:r w:rsidRPr="00C43F1B">
        <w:rPr>
          <w:rFonts w:hint="cs"/>
          <w:rtl/>
        </w:rPr>
        <w:t xml:space="preserve"> ואת האכיפה בתחום זה במוסדות להשכלה גבוהה ובכוחות הביטחון</w:t>
      </w:r>
      <w:r w:rsidRPr="00C43F1B">
        <w:rPr>
          <w:rtl/>
        </w:rPr>
        <w:t>.</w:t>
      </w:r>
      <w:r w:rsidRPr="00C43F1B">
        <w:rPr>
          <w:rFonts w:hint="cs"/>
          <w:rtl/>
        </w:rPr>
        <w:t xml:space="preserve"> </w:t>
      </w:r>
    </w:p>
    <w:p w14:paraId="638DDFE3" w14:textId="1FDA86F7" w:rsidR="00417266" w:rsidRPr="002E200E" w:rsidRDefault="00417266" w:rsidP="00F85D19">
      <w:pPr>
        <w:pStyle w:val="af3"/>
        <w:rPr>
          <w:rtl/>
        </w:rPr>
      </w:pPr>
      <w:r w:rsidRPr="002E200E">
        <w:rPr>
          <w:rFonts w:hint="eastAsia"/>
          <w:rtl/>
        </w:rPr>
        <w:lastRenderedPageBreak/>
        <w:t>משרד</w:t>
      </w:r>
      <w:r w:rsidRPr="002E200E">
        <w:rPr>
          <w:rtl/>
        </w:rPr>
        <w:t xml:space="preserve"> הבריאות הוא המאסדר של כל מוסדות מערכת הבריאות, ומתוקף </w:t>
      </w:r>
      <w:r>
        <w:rPr>
          <w:rFonts w:hint="cs"/>
          <w:rtl/>
        </w:rPr>
        <w:t>כך</w:t>
      </w:r>
      <w:r w:rsidRPr="002E200E">
        <w:rPr>
          <w:rtl/>
        </w:rPr>
        <w:t xml:space="preserve">, עליו לפעול </w:t>
      </w:r>
      <w:r>
        <w:rPr>
          <w:rFonts w:hint="cs"/>
          <w:rtl/>
        </w:rPr>
        <w:t>להגברת ה</w:t>
      </w:r>
      <w:r w:rsidRPr="002E200E">
        <w:rPr>
          <w:rtl/>
        </w:rPr>
        <w:t xml:space="preserve">פיקוח גם בתחום המניעה והטיפול בהטרדות מיניות בכל המערכת. </w:t>
      </w:r>
      <w:r w:rsidRPr="002E200E">
        <w:rPr>
          <w:rFonts w:hint="eastAsia"/>
          <w:rtl/>
        </w:rPr>
        <w:t>פיקוח</w:t>
      </w:r>
      <w:r w:rsidRPr="002E200E">
        <w:rPr>
          <w:rtl/>
        </w:rPr>
        <w:t xml:space="preserve"> יעיל </w:t>
      </w:r>
      <w:r w:rsidRPr="00C43F1B">
        <w:rPr>
          <w:rFonts w:hint="eastAsia"/>
          <w:rtl/>
        </w:rPr>
        <w:t>על</w:t>
      </w:r>
      <w:r w:rsidRPr="00C43F1B">
        <w:rPr>
          <w:rtl/>
        </w:rPr>
        <w:t xml:space="preserve"> יישום החוק למניעת הטרדה מינית במוסדות הרפואיים מחייב</w:t>
      </w:r>
      <w:r w:rsidRPr="00C43F1B">
        <w:rPr>
          <w:rFonts w:hint="cs"/>
          <w:rtl/>
        </w:rPr>
        <w:t xml:space="preserve"> קבלת</w:t>
      </w:r>
      <w:r w:rsidRPr="00C43F1B">
        <w:rPr>
          <w:rtl/>
        </w:rPr>
        <w:t xml:space="preserve"> </w:t>
      </w:r>
      <w:r w:rsidRPr="002E200E">
        <w:rPr>
          <w:rFonts w:hint="eastAsia"/>
          <w:rtl/>
        </w:rPr>
        <w:t>דיווחים</w:t>
      </w:r>
      <w:r w:rsidRPr="002E200E">
        <w:rPr>
          <w:rtl/>
        </w:rPr>
        <w:t xml:space="preserve"> מהמוסדות </w:t>
      </w:r>
      <w:r>
        <w:rPr>
          <w:rFonts w:hint="cs"/>
          <w:rtl/>
        </w:rPr>
        <w:t>על</w:t>
      </w:r>
      <w:r w:rsidRPr="00C43F1B">
        <w:rPr>
          <w:rtl/>
        </w:rPr>
        <w:t xml:space="preserve"> הפעולות שנקט</w:t>
      </w:r>
      <w:r w:rsidRPr="00C43F1B">
        <w:rPr>
          <w:rFonts w:hint="cs"/>
          <w:rtl/>
        </w:rPr>
        <w:t>ו</w:t>
      </w:r>
      <w:r w:rsidRPr="00C43F1B">
        <w:rPr>
          <w:rtl/>
        </w:rPr>
        <w:t xml:space="preserve"> למניעת הטרדה מינית</w:t>
      </w:r>
      <w:r w:rsidRPr="002E200E">
        <w:rPr>
          <w:rtl/>
        </w:rPr>
        <w:t xml:space="preserve">. </w:t>
      </w:r>
      <w:r w:rsidRPr="002E200E">
        <w:rPr>
          <w:rFonts w:hint="eastAsia"/>
          <w:rtl/>
        </w:rPr>
        <w:t>תמונת</w:t>
      </w:r>
      <w:r w:rsidRPr="002E200E">
        <w:rPr>
          <w:rtl/>
        </w:rPr>
        <w:t xml:space="preserve"> </w:t>
      </w:r>
      <w:r w:rsidRPr="002E200E">
        <w:rPr>
          <w:rFonts w:hint="eastAsia"/>
          <w:rtl/>
        </w:rPr>
        <w:t>המצב</w:t>
      </w:r>
      <w:r w:rsidRPr="002E200E">
        <w:rPr>
          <w:rtl/>
        </w:rPr>
        <w:t xml:space="preserve"> </w:t>
      </w:r>
      <w:r w:rsidRPr="002E200E">
        <w:rPr>
          <w:rFonts w:hint="eastAsia"/>
          <w:rtl/>
        </w:rPr>
        <w:t>שהייתה</w:t>
      </w:r>
      <w:r w:rsidRPr="002E200E">
        <w:rPr>
          <w:rtl/>
        </w:rPr>
        <w:t xml:space="preserve"> </w:t>
      </w:r>
      <w:r w:rsidRPr="002E200E">
        <w:rPr>
          <w:rFonts w:hint="eastAsia"/>
          <w:rtl/>
        </w:rPr>
        <w:t>מתקבלת</w:t>
      </w:r>
      <w:r w:rsidRPr="002E200E">
        <w:rPr>
          <w:rtl/>
        </w:rPr>
        <w:t xml:space="preserve"> </w:t>
      </w:r>
      <w:r w:rsidRPr="002E200E">
        <w:rPr>
          <w:rFonts w:hint="eastAsia"/>
          <w:rtl/>
        </w:rPr>
        <w:t>מהמידע</w:t>
      </w:r>
      <w:r w:rsidRPr="002E200E">
        <w:rPr>
          <w:rtl/>
        </w:rPr>
        <w:t xml:space="preserve"> </w:t>
      </w:r>
      <w:r w:rsidRPr="002E200E">
        <w:rPr>
          <w:rFonts w:hint="eastAsia"/>
          <w:rtl/>
        </w:rPr>
        <w:t>הייתה</w:t>
      </w:r>
      <w:r w:rsidRPr="002E200E">
        <w:rPr>
          <w:rtl/>
        </w:rPr>
        <w:t xml:space="preserve"> מאפשרת למשרד הבריאות לעמוד על נקודות התורפה בטיפול של המוסדות בנושא זה ולחדד את הוראות הדין בהתאם לנדרש.</w:t>
      </w:r>
    </w:p>
    <w:p w14:paraId="79146F56" w14:textId="77777777" w:rsidR="00417266" w:rsidRDefault="00417266" w:rsidP="00F85D19">
      <w:pPr>
        <w:pStyle w:val="100"/>
        <w:rPr>
          <w:rtl/>
        </w:rPr>
      </w:pPr>
      <w:r>
        <w:rPr>
          <w:rFonts w:hint="cs"/>
          <w:rtl/>
        </w:rPr>
        <w:t xml:space="preserve">משרד הבריאות טען בתשובתו מיולי 2019 כי החוק שותק בעניין תפקידי המאסדרים בכל הנוגע למעסיקים הפרטיים, וממילא לא נקבעו בו סמכויות פיקוח, חקירה ואכיפה. עוד ציין כי יש חשש שפיקוח רגולטורי צמוד אינו הולם את כוונת המחוקק, שביקש לתת את הכוח להחליט על ערוץ הפעולה בידי המתלוננות והמתלוננים. </w:t>
      </w:r>
    </w:p>
    <w:p w14:paraId="44241A80" w14:textId="77777777" w:rsidR="00417266" w:rsidRDefault="00417266" w:rsidP="00F85D19">
      <w:pPr>
        <w:pStyle w:val="100"/>
        <w:rPr>
          <w:rtl/>
        </w:rPr>
      </w:pPr>
      <w:r>
        <w:rPr>
          <w:rFonts w:hint="cs"/>
          <w:rtl/>
        </w:rPr>
        <w:t>כאמור, משרד המשפטים ציין בתשובתו מאוגוסט 2019 כי בכוונתו לבחון את הצורך בהחלת הוראות תקנה 9 בהתאמות הנדרשות גם על מעסיקים של מספר גדול של עובדים.</w:t>
      </w:r>
    </w:p>
    <w:p w14:paraId="46F83070" w14:textId="77777777" w:rsidR="00417266" w:rsidRPr="0076413F" w:rsidRDefault="00417266" w:rsidP="00F85D19">
      <w:pPr>
        <w:pStyle w:val="af3"/>
        <w:rPr>
          <w:rtl/>
        </w:rPr>
      </w:pPr>
      <w:r>
        <w:rPr>
          <w:rFonts w:hint="cs"/>
          <w:rtl/>
        </w:rPr>
        <w:t>משרד מבקר המדינה ממליץ</w:t>
      </w:r>
      <w:r w:rsidRPr="00C43F1B">
        <w:rPr>
          <w:rtl/>
        </w:rPr>
        <w:t xml:space="preserve"> </w:t>
      </w:r>
      <w:r w:rsidRPr="00C43F1B">
        <w:rPr>
          <w:rFonts w:hint="eastAsia"/>
          <w:rtl/>
        </w:rPr>
        <w:t>כי</w:t>
      </w:r>
      <w:r w:rsidRPr="00C43F1B">
        <w:rPr>
          <w:rtl/>
        </w:rPr>
        <w:t xml:space="preserve"> </w:t>
      </w:r>
      <w:r w:rsidRPr="00C43F1B">
        <w:rPr>
          <w:rFonts w:hint="eastAsia"/>
          <w:rtl/>
        </w:rPr>
        <w:t>משרד</w:t>
      </w:r>
      <w:r w:rsidRPr="00C43F1B">
        <w:rPr>
          <w:rtl/>
        </w:rPr>
        <w:t xml:space="preserve"> </w:t>
      </w:r>
      <w:r w:rsidRPr="00C43F1B">
        <w:rPr>
          <w:rFonts w:hint="eastAsia"/>
          <w:rtl/>
        </w:rPr>
        <w:t>הבריאות</w:t>
      </w:r>
      <w:r>
        <w:rPr>
          <w:rFonts w:hint="cs"/>
          <w:rtl/>
        </w:rPr>
        <w:t xml:space="preserve"> יבחן עם משרד המשפטים קביעת </w:t>
      </w:r>
      <w:r w:rsidRPr="000A71A6">
        <w:rPr>
          <w:rFonts w:hint="cs"/>
          <w:rtl/>
        </w:rPr>
        <w:t xml:space="preserve">הנחיות לקבלת </w:t>
      </w:r>
      <w:r>
        <w:rPr>
          <w:rFonts w:hint="cs"/>
          <w:rtl/>
        </w:rPr>
        <w:t>ה</w:t>
      </w:r>
      <w:r w:rsidRPr="000A71A6">
        <w:rPr>
          <w:rFonts w:hint="cs"/>
          <w:rtl/>
        </w:rPr>
        <w:t xml:space="preserve">מידע </w:t>
      </w:r>
      <w:r>
        <w:rPr>
          <w:rFonts w:hint="cs"/>
          <w:rtl/>
        </w:rPr>
        <w:t>ה</w:t>
      </w:r>
      <w:r w:rsidRPr="000A71A6">
        <w:rPr>
          <w:rFonts w:hint="cs"/>
          <w:rtl/>
        </w:rPr>
        <w:t>דרוש ממוסדות מערכת הבריאות בכל הנוגע לפעולותיה</w:t>
      </w:r>
      <w:r>
        <w:rPr>
          <w:rFonts w:hint="cs"/>
          <w:rtl/>
        </w:rPr>
        <w:t>ם</w:t>
      </w:r>
      <w:r w:rsidRPr="000A71A6">
        <w:rPr>
          <w:rFonts w:hint="cs"/>
          <w:rtl/>
        </w:rPr>
        <w:t xml:space="preserve"> למניעת הטרדות מיניות ולטיפול בה</w:t>
      </w:r>
      <w:r>
        <w:rPr>
          <w:rFonts w:hint="cs"/>
          <w:rtl/>
        </w:rPr>
        <w:t>ם</w:t>
      </w:r>
      <w:r w:rsidRPr="000A71A6">
        <w:rPr>
          <w:rFonts w:hint="cs"/>
          <w:rtl/>
        </w:rPr>
        <w:t xml:space="preserve">, </w:t>
      </w:r>
      <w:r>
        <w:rPr>
          <w:rFonts w:hint="cs"/>
          <w:rtl/>
        </w:rPr>
        <w:t xml:space="preserve">כדי </w:t>
      </w:r>
      <w:r w:rsidRPr="000A71A6">
        <w:rPr>
          <w:rFonts w:hint="cs"/>
          <w:rtl/>
        </w:rPr>
        <w:t>שתהיה ביד</w:t>
      </w:r>
      <w:r>
        <w:rPr>
          <w:rFonts w:hint="cs"/>
          <w:rtl/>
        </w:rPr>
        <w:t>י משרד הבריאות</w:t>
      </w:r>
      <w:r w:rsidRPr="000A71A6">
        <w:rPr>
          <w:rFonts w:hint="cs"/>
          <w:rtl/>
        </w:rPr>
        <w:t xml:space="preserve"> תמונ</w:t>
      </w:r>
      <w:r>
        <w:rPr>
          <w:rFonts w:hint="cs"/>
          <w:rtl/>
        </w:rPr>
        <w:t>ת</w:t>
      </w:r>
      <w:r w:rsidRPr="000A71A6">
        <w:rPr>
          <w:rFonts w:hint="cs"/>
          <w:rtl/>
        </w:rPr>
        <w:t xml:space="preserve"> </w:t>
      </w:r>
      <w:r>
        <w:rPr>
          <w:rFonts w:hint="cs"/>
          <w:rtl/>
        </w:rPr>
        <w:t>מצב</w:t>
      </w:r>
      <w:r w:rsidRPr="000A71A6">
        <w:rPr>
          <w:rFonts w:hint="cs"/>
          <w:rtl/>
        </w:rPr>
        <w:t xml:space="preserve"> שתאפשר לו </w:t>
      </w:r>
      <w:r>
        <w:rPr>
          <w:rFonts w:hint="cs"/>
          <w:rtl/>
        </w:rPr>
        <w:t>להפיק</w:t>
      </w:r>
      <w:r w:rsidRPr="000A71A6">
        <w:rPr>
          <w:rFonts w:hint="cs"/>
          <w:rtl/>
        </w:rPr>
        <w:t xml:space="preserve"> לקחים </w:t>
      </w:r>
      <w:r>
        <w:rPr>
          <w:rFonts w:hint="cs"/>
          <w:rtl/>
        </w:rPr>
        <w:t>ולקבוע</w:t>
      </w:r>
      <w:r w:rsidRPr="000A71A6">
        <w:rPr>
          <w:rFonts w:hint="cs"/>
          <w:rtl/>
        </w:rPr>
        <w:t xml:space="preserve"> הנחיות מתאימות</w:t>
      </w:r>
      <w:r>
        <w:rPr>
          <w:rFonts w:hint="cs"/>
          <w:rtl/>
        </w:rPr>
        <w:t>, כל זאת בהתאם לאפשרויות העומדות לרשותו על פי הדין.</w:t>
      </w:r>
    </w:p>
    <w:p w14:paraId="3A6713CD" w14:textId="77777777" w:rsidR="00417266" w:rsidRDefault="00417266" w:rsidP="00417266">
      <w:pPr>
        <w:spacing w:line="269" w:lineRule="auto"/>
        <w:rPr>
          <w:rtl/>
        </w:rPr>
      </w:pPr>
    </w:p>
    <w:p w14:paraId="1F6F7485" w14:textId="77777777" w:rsidR="00417266" w:rsidRDefault="00417266" w:rsidP="00F85D19">
      <w:pPr>
        <w:pStyle w:val="414"/>
        <w:rPr>
          <w:rtl/>
        </w:rPr>
      </w:pPr>
      <w:r>
        <w:rPr>
          <w:rFonts w:hint="cs"/>
          <w:rtl/>
        </w:rPr>
        <w:t>דיווח לנציבות קבילות הציבור על מקצועות הרפואה</w:t>
      </w:r>
    </w:p>
    <w:p w14:paraId="520063AF" w14:textId="77777777" w:rsidR="00417266" w:rsidRPr="000028EF" w:rsidRDefault="00417266" w:rsidP="009C1E60">
      <w:pPr>
        <w:pStyle w:val="100"/>
      </w:pPr>
      <w:r w:rsidRPr="000028EF">
        <w:rPr>
          <w:rFonts w:hint="eastAsia"/>
          <w:rtl/>
        </w:rPr>
        <w:t>סוגיית</w:t>
      </w:r>
      <w:r w:rsidRPr="000028EF">
        <w:rPr>
          <w:rtl/>
        </w:rPr>
        <w:t xml:space="preserve"> העברת המידע </w:t>
      </w:r>
      <w:r w:rsidRPr="000028EF">
        <w:rPr>
          <w:rFonts w:hint="cs"/>
          <w:rtl/>
        </w:rPr>
        <w:t>על</w:t>
      </w:r>
      <w:r w:rsidRPr="000028EF">
        <w:rPr>
          <w:rtl/>
        </w:rPr>
        <w:t xml:space="preserve"> </w:t>
      </w:r>
      <w:r w:rsidRPr="000028EF">
        <w:rPr>
          <w:rFonts w:hint="eastAsia"/>
          <w:rtl/>
        </w:rPr>
        <w:t>נילונים</w:t>
      </w:r>
      <w:r w:rsidRPr="000028EF">
        <w:rPr>
          <w:rtl/>
        </w:rPr>
        <w:t xml:space="preserve"> היא סוגיה מורכבת הדורשת מידתיות </w:t>
      </w:r>
      <w:r w:rsidRPr="000028EF">
        <w:rPr>
          <w:rFonts w:hint="cs"/>
          <w:rtl/>
        </w:rPr>
        <w:t xml:space="preserve">ואיזון </w:t>
      </w:r>
      <w:r w:rsidRPr="000028EF">
        <w:rPr>
          <w:rtl/>
        </w:rPr>
        <w:t xml:space="preserve">בין זכויות </w:t>
      </w:r>
      <w:r w:rsidRPr="000028EF">
        <w:rPr>
          <w:rFonts w:hint="eastAsia"/>
          <w:rtl/>
        </w:rPr>
        <w:t>הנילון</w:t>
      </w:r>
      <w:r w:rsidRPr="000028EF">
        <w:rPr>
          <w:rtl/>
        </w:rPr>
        <w:t xml:space="preserve"> לשמירה על פרטיותו ו</w:t>
      </w:r>
      <w:r w:rsidRPr="000028EF">
        <w:rPr>
          <w:rFonts w:hint="cs"/>
          <w:rtl/>
        </w:rPr>
        <w:t>ל</w:t>
      </w:r>
      <w:r w:rsidRPr="000028EF">
        <w:rPr>
          <w:rtl/>
        </w:rPr>
        <w:t xml:space="preserve">הגנה על חופש העיסוק שלו - כל עוד לא הורשע בדין פלילי או משמעתי - ובין זכות המטופלות והמטופלים שלא </w:t>
      </w:r>
      <w:r>
        <w:rPr>
          <w:rFonts w:hint="cs"/>
          <w:rtl/>
        </w:rPr>
        <w:t>להימצא</w:t>
      </w:r>
      <w:r w:rsidRPr="000028EF">
        <w:rPr>
          <w:rFonts w:hint="cs"/>
          <w:rtl/>
        </w:rPr>
        <w:t xml:space="preserve"> ב</w:t>
      </w:r>
      <w:r w:rsidRPr="000028EF">
        <w:rPr>
          <w:rtl/>
        </w:rPr>
        <w:t>סיכון לפגיעה במהלך הטיפול.</w:t>
      </w:r>
      <w:r w:rsidRPr="000028EF">
        <w:rPr>
          <w:rFonts w:hint="cs"/>
          <w:rtl/>
        </w:rPr>
        <w:t xml:space="preserve"> </w:t>
      </w:r>
    </w:p>
    <w:p w14:paraId="4DEFB165" w14:textId="77777777" w:rsidR="00417266" w:rsidRPr="009755F7" w:rsidRDefault="00417266" w:rsidP="009C1E60">
      <w:pPr>
        <w:pStyle w:val="100"/>
        <w:rPr>
          <w:rtl/>
        </w:rPr>
      </w:pPr>
      <w:r w:rsidRPr="009755F7">
        <w:rPr>
          <w:rFonts w:hint="cs"/>
          <w:rtl/>
        </w:rPr>
        <w:t xml:space="preserve">אין בידי </w:t>
      </w:r>
      <w:r w:rsidRPr="009755F7">
        <w:rPr>
          <w:rFonts w:hint="eastAsia"/>
          <w:rtl/>
        </w:rPr>
        <w:t>משרד</w:t>
      </w:r>
      <w:r w:rsidRPr="009755F7">
        <w:rPr>
          <w:rtl/>
        </w:rPr>
        <w:t xml:space="preserve"> הבריאות </w:t>
      </w:r>
      <w:r w:rsidRPr="009755F7">
        <w:rPr>
          <w:rFonts w:hint="cs"/>
          <w:rtl/>
        </w:rPr>
        <w:t xml:space="preserve">ריכוז של </w:t>
      </w:r>
      <w:r w:rsidRPr="009755F7">
        <w:rPr>
          <w:rtl/>
        </w:rPr>
        <w:t xml:space="preserve">נתונים </w:t>
      </w:r>
      <w:r w:rsidRPr="009755F7">
        <w:rPr>
          <w:rFonts w:hint="cs"/>
          <w:rtl/>
        </w:rPr>
        <w:t>על</w:t>
      </w:r>
      <w:r w:rsidRPr="009755F7">
        <w:rPr>
          <w:rtl/>
        </w:rPr>
        <w:t xml:space="preserve"> מטפלים שהוגשו נגדם תלונות על הטרדה מינית</w:t>
      </w:r>
      <w:r w:rsidRPr="009755F7">
        <w:rPr>
          <w:rFonts w:hint="cs"/>
          <w:rtl/>
        </w:rPr>
        <w:t>,</w:t>
      </w:r>
      <w:r w:rsidRPr="009755F7">
        <w:rPr>
          <w:rtl/>
        </w:rPr>
        <w:t xml:space="preserve"> </w:t>
      </w:r>
      <w:r>
        <w:rPr>
          <w:rFonts w:hint="cs"/>
          <w:rtl/>
        </w:rPr>
        <w:t>ולכן</w:t>
      </w:r>
      <w:r w:rsidRPr="009755F7">
        <w:rPr>
          <w:rFonts w:hint="cs"/>
          <w:rtl/>
        </w:rPr>
        <w:t xml:space="preserve"> גם </w:t>
      </w:r>
      <w:r w:rsidRPr="009755F7">
        <w:rPr>
          <w:rtl/>
        </w:rPr>
        <w:t xml:space="preserve">אין </w:t>
      </w:r>
      <w:r w:rsidRPr="009755F7">
        <w:rPr>
          <w:rFonts w:hint="cs"/>
          <w:rtl/>
        </w:rPr>
        <w:t xml:space="preserve">ביכולתו </w:t>
      </w:r>
      <w:r w:rsidRPr="009755F7">
        <w:rPr>
          <w:rtl/>
        </w:rPr>
        <w:t xml:space="preserve">לעקוב </w:t>
      </w:r>
      <w:r>
        <w:rPr>
          <w:rFonts w:hint="cs"/>
          <w:rtl/>
        </w:rPr>
        <w:t>אחר התלונות והנילונים ולפעול למניעת</w:t>
      </w:r>
      <w:r w:rsidRPr="009755F7" w:rsidDel="008D1E8B">
        <w:rPr>
          <w:rtl/>
        </w:rPr>
        <w:t xml:space="preserve"> </w:t>
      </w:r>
      <w:r w:rsidRPr="009755F7">
        <w:rPr>
          <w:rtl/>
        </w:rPr>
        <w:t>הישנות הפגיעה.</w:t>
      </w:r>
    </w:p>
    <w:p w14:paraId="51A9B70B" w14:textId="77777777" w:rsidR="00417266" w:rsidRPr="009755F7" w:rsidRDefault="00417266" w:rsidP="009C1E60">
      <w:pPr>
        <w:pStyle w:val="100"/>
        <w:rPr>
          <w:rtl/>
        </w:rPr>
      </w:pPr>
      <w:r w:rsidRPr="009755F7">
        <w:rPr>
          <w:rtl/>
        </w:rPr>
        <w:t>על מורכבות הנושא ניתן ללמוד מן המקרה שלהלן</w:t>
      </w:r>
      <w:r>
        <w:rPr>
          <w:rFonts w:hint="cs"/>
          <w:rtl/>
        </w:rPr>
        <w:t>, שהועלה לפני ועדת הכנסת לקידום מעמד האישה</w:t>
      </w:r>
      <w:r w:rsidRPr="009755F7">
        <w:rPr>
          <w:rtl/>
        </w:rPr>
        <w:t>. בעקבות תלונה של מטופלת שהוגשה לאחראית למניעת הטרד</w:t>
      </w:r>
      <w:r>
        <w:rPr>
          <w:rFonts w:hint="cs"/>
          <w:rtl/>
        </w:rPr>
        <w:t>ה</w:t>
      </w:r>
      <w:r w:rsidRPr="009755F7">
        <w:rPr>
          <w:rtl/>
        </w:rPr>
        <w:t xml:space="preserve"> מינית באחת מקופות החולים, פתחה קופת החולים בהליך משמעתי כנגד איש צוות הרפואה. בסוף ההליך הופסקה עבודתו בקופת החולים. הנילון עבר לעבוד בקופת חולים אחרת בלי שנמסר לה המידע על ההליך המשמעתי</w:t>
      </w:r>
      <w:r>
        <w:rPr>
          <w:rFonts w:hint="cs"/>
          <w:rtl/>
        </w:rPr>
        <w:t>,</w:t>
      </w:r>
      <w:r w:rsidRPr="009755F7">
        <w:rPr>
          <w:rtl/>
        </w:rPr>
        <w:t xml:space="preserve"> </w:t>
      </w:r>
      <w:r>
        <w:rPr>
          <w:rFonts w:hint="cs"/>
          <w:rtl/>
        </w:rPr>
        <w:t>ו</w:t>
      </w:r>
      <w:r w:rsidRPr="009755F7">
        <w:rPr>
          <w:rtl/>
        </w:rPr>
        <w:t xml:space="preserve">לאחר זמן מה התגלה כי אותו עובד פגע מינית במטופלות בקופת החולים שאליה עבר. יצוין כי משרד הבריאות לא </w:t>
      </w:r>
      <w:r>
        <w:rPr>
          <w:rFonts w:hint="cs"/>
          <w:rtl/>
        </w:rPr>
        <w:t xml:space="preserve">יוּדַע </w:t>
      </w:r>
      <w:r w:rsidRPr="009755F7">
        <w:rPr>
          <w:rtl/>
        </w:rPr>
        <w:t>על ההליך המשמעתי ותוצאותיו.</w:t>
      </w:r>
    </w:p>
    <w:p w14:paraId="0A6A2CA0" w14:textId="77777777" w:rsidR="00417266" w:rsidRPr="00E216EB" w:rsidRDefault="00417266" w:rsidP="00FA6B30">
      <w:pPr>
        <w:pStyle w:val="af3"/>
        <w:rPr>
          <w:rtl/>
        </w:rPr>
      </w:pPr>
      <w:r w:rsidRPr="009755F7">
        <w:rPr>
          <w:rFonts w:hint="eastAsia"/>
          <w:rtl/>
        </w:rPr>
        <w:lastRenderedPageBreak/>
        <w:t>מוסדות</w:t>
      </w:r>
      <w:r w:rsidRPr="009755F7">
        <w:rPr>
          <w:rtl/>
        </w:rPr>
        <w:t xml:space="preserve"> </w:t>
      </w:r>
      <w:r w:rsidRPr="009755F7">
        <w:rPr>
          <w:rFonts w:hint="eastAsia"/>
          <w:rtl/>
        </w:rPr>
        <w:t>מערכת</w:t>
      </w:r>
      <w:r w:rsidRPr="009755F7">
        <w:rPr>
          <w:rtl/>
        </w:rPr>
        <w:t xml:space="preserve"> </w:t>
      </w:r>
      <w:r w:rsidRPr="009755F7">
        <w:rPr>
          <w:rFonts w:hint="eastAsia"/>
          <w:rtl/>
        </w:rPr>
        <w:t>הבריאות</w:t>
      </w:r>
      <w:r w:rsidRPr="009755F7">
        <w:rPr>
          <w:rtl/>
        </w:rPr>
        <w:t xml:space="preserve"> </w:t>
      </w:r>
      <w:r w:rsidRPr="009755F7">
        <w:rPr>
          <w:rFonts w:hint="eastAsia"/>
          <w:rtl/>
        </w:rPr>
        <w:t>עצמם</w:t>
      </w:r>
      <w:r w:rsidRPr="009755F7">
        <w:rPr>
          <w:rtl/>
        </w:rPr>
        <w:t xml:space="preserve"> </w:t>
      </w:r>
      <w:r w:rsidRPr="009755F7">
        <w:rPr>
          <w:rFonts w:hint="eastAsia"/>
          <w:rtl/>
        </w:rPr>
        <w:t>אינם</w:t>
      </w:r>
      <w:r w:rsidRPr="009755F7">
        <w:rPr>
          <w:rtl/>
        </w:rPr>
        <w:t xml:space="preserve"> </w:t>
      </w:r>
      <w:r w:rsidRPr="009755F7">
        <w:rPr>
          <w:rFonts w:hint="eastAsia"/>
          <w:rtl/>
        </w:rPr>
        <w:t>אחידים</w:t>
      </w:r>
      <w:r w:rsidRPr="009755F7">
        <w:rPr>
          <w:rtl/>
        </w:rPr>
        <w:t xml:space="preserve"> </w:t>
      </w:r>
      <w:r w:rsidRPr="009755F7">
        <w:rPr>
          <w:rFonts w:hint="eastAsia"/>
          <w:rtl/>
        </w:rPr>
        <w:t>בעמדתם</w:t>
      </w:r>
      <w:r w:rsidRPr="009755F7">
        <w:rPr>
          <w:rtl/>
        </w:rPr>
        <w:t xml:space="preserve"> </w:t>
      </w:r>
      <w:r w:rsidRPr="009755F7">
        <w:rPr>
          <w:rFonts w:hint="eastAsia"/>
          <w:rtl/>
        </w:rPr>
        <w:t>בנוגע</w:t>
      </w:r>
      <w:r w:rsidRPr="009755F7">
        <w:rPr>
          <w:rtl/>
        </w:rPr>
        <w:t xml:space="preserve"> </w:t>
      </w:r>
      <w:r w:rsidRPr="009755F7">
        <w:rPr>
          <w:rFonts w:hint="eastAsia"/>
          <w:rtl/>
        </w:rPr>
        <w:t>להעברת</w:t>
      </w:r>
      <w:r w:rsidRPr="009755F7">
        <w:rPr>
          <w:rtl/>
        </w:rPr>
        <w:t xml:space="preserve"> </w:t>
      </w:r>
      <w:r w:rsidRPr="009755F7">
        <w:rPr>
          <w:rFonts w:hint="eastAsia"/>
          <w:rtl/>
        </w:rPr>
        <w:t>מידע</w:t>
      </w:r>
      <w:r w:rsidRPr="009755F7">
        <w:rPr>
          <w:rtl/>
        </w:rPr>
        <w:t xml:space="preserve"> </w:t>
      </w:r>
      <w:r w:rsidRPr="009755F7">
        <w:rPr>
          <w:rFonts w:hint="eastAsia"/>
          <w:rtl/>
        </w:rPr>
        <w:t>למשרד</w:t>
      </w:r>
      <w:r w:rsidRPr="009755F7">
        <w:rPr>
          <w:rtl/>
        </w:rPr>
        <w:t xml:space="preserve"> </w:t>
      </w:r>
      <w:r w:rsidRPr="009755F7">
        <w:rPr>
          <w:rFonts w:hint="eastAsia"/>
          <w:rtl/>
        </w:rPr>
        <w:t>הבריאות</w:t>
      </w:r>
      <w:r w:rsidRPr="009755F7">
        <w:rPr>
          <w:rtl/>
        </w:rPr>
        <w:t xml:space="preserve">. </w:t>
      </w:r>
      <w:r w:rsidRPr="00E216EB">
        <w:rPr>
          <w:rFonts w:hint="cs"/>
          <w:rtl/>
        </w:rPr>
        <w:t>כך למשל,</w:t>
      </w:r>
      <w:r w:rsidRPr="00E216EB">
        <w:rPr>
          <w:rtl/>
        </w:rPr>
        <w:t xml:space="preserve"> </w:t>
      </w:r>
      <w:r w:rsidRPr="00E216EB">
        <w:rPr>
          <w:rFonts w:hint="eastAsia"/>
          <w:rtl/>
        </w:rPr>
        <w:t>במוסד</w:t>
      </w:r>
      <w:r w:rsidRPr="00E216EB">
        <w:rPr>
          <w:rtl/>
        </w:rPr>
        <w:t xml:space="preserve"> </w:t>
      </w:r>
      <w:r w:rsidRPr="00E216EB">
        <w:rPr>
          <w:rFonts w:hint="eastAsia"/>
          <w:rtl/>
        </w:rPr>
        <w:t>בריאות</w:t>
      </w:r>
      <w:r w:rsidRPr="00E216EB">
        <w:rPr>
          <w:rtl/>
        </w:rPr>
        <w:t xml:space="preserve"> </w:t>
      </w:r>
      <w:r w:rsidRPr="00E216EB">
        <w:rPr>
          <w:rFonts w:hint="eastAsia"/>
          <w:rtl/>
        </w:rPr>
        <w:t>אחד</w:t>
      </w:r>
      <w:r w:rsidRPr="00E216EB">
        <w:rPr>
          <w:rtl/>
        </w:rPr>
        <w:t xml:space="preserve"> </w:t>
      </w:r>
      <w:r w:rsidRPr="00E216EB">
        <w:rPr>
          <w:rFonts w:hint="eastAsia"/>
          <w:rtl/>
        </w:rPr>
        <w:t>העבירו</w:t>
      </w:r>
      <w:r w:rsidRPr="00E216EB">
        <w:rPr>
          <w:rtl/>
        </w:rPr>
        <w:t xml:space="preserve"> </w:t>
      </w:r>
      <w:r w:rsidRPr="00E216EB">
        <w:rPr>
          <w:rFonts w:hint="eastAsia"/>
          <w:rtl/>
        </w:rPr>
        <w:t>לנציבות</w:t>
      </w:r>
      <w:r w:rsidRPr="00E216EB">
        <w:rPr>
          <w:rtl/>
        </w:rPr>
        <w:t xml:space="preserve"> </w:t>
      </w:r>
      <w:r w:rsidRPr="00E216EB">
        <w:rPr>
          <w:rFonts w:hint="eastAsia"/>
          <w:rtl/>
        </w:rPr>
        <w:t>קבילות</w:t>
      </w:r>
      <w:r w:rsidRPr="00E216EB">
        <w:rPr>
          <w:rtl/>
        </w:rPr>
        <w:t xml:space="preserve"> </w:t>
      </w:r>
      <w:r w:rsidRPr="00E216EB">
        <w:rPr>
          <w:rFonts w:hint="eastAsia"/>
          <w:rtl/>
        </w:rPr>
        <w:t>הציבור</w:t>
      </w:r>
      <w:r w:rsidRPr="00E216EB">
        <w:rPr>
          <w:rFonts w:hint="cs"/>
          <w:rtl/>
        </w:rPr>
        <w:t xml:space="preserve"> למקצועות הרפואה</w:t>
      </w:r>
      <w:r w:rsidRPr="00E216EB">
        <w:rPr>
          <w:rtl/>
        </w:rPr>
        <w:t xml:space="preserve"> </w:t>
      </w:r>
      <w:r w:rsidRPr="00E216EB">
        <w:rPr>
          <w:rFonts w:hint="cs"/>
          <w:rtl/>
        </w:rPr>
        <w:t xml:space="preserve">מידע </w:t>
      </w:r>
      <w:r w:rsidRPr="00E216EB">
        <w:rPr>
          <w:rFonts w:hint="eastAsia"/>
          <w:rtl/>
        </w:rPr>
        <w:t>על</w:t>
      </w:r>
      <w:r w:rsidRPr="00E216EB">
        <w:rPr>
          <w:rtl/>
        </w:rPr>
        <w:t xml:space="preserve"> </w:t>
      </w:r>
      <w:r w:rsidRPr="00E216EB">
        <w:rPr>
          <w:rFonts w:hint="eastAsia"/>
          <w:rtl/>
        </w:rPr>
        <w:t>איש</w:t>
      </w:r>
      <w:r w:rsidRPr="00E216EB">
        <w:rPr>
          <w:rtl/>
        </w:rPr>
        <w:t xml:space="preserve"> </w:t>
      </w:r>
      <w:r w:rsidRPr="00E216EB">
        <w:rPr>
          <w:rFonts w:hint="eastAsia"/>
          <w:rtl/>
        </w:rPr>
        <w:t>צוות</w:t>
      </w:r>
      <w:r w:rsidRPr="00E216EB">
        <w:rPr>
          <w:rtl/>
        </w:rPr>
        <w:t xml:space="preserve"> </w:t>
      </w:r>
      <w:r w:rsidRPr="00E216EB">
        <w:rPr>
          <w:rFonts w:hint="eastAsia"/>
          <w:rtl/>
        </w:rPr>
        <w:t>רפואי</w:t>
      </w:r>
      <w:r w:rsidRPr="00E216EB">
        <w:rPr>
          <w:rtl/>
        </w:rPr>
        <w:t xml:space="preserve"> </w:t>
      </w:r>
      <w:r w:rsidRPr="00E216EB">
        <w:rPr>
          <w:rFonts w:hint="eastAsia"/>
          <w:rtl/>
        </w:rPr>
        <w:t>שהוגשו</w:t>
      </w:r>
      <w:r w:rsidRPr="00E216EB">
        <w:rPr>
          <w:rtl/>
        </w:rPr>
        <w:t xml:space="preserve"> </w:t>
      </w:r>
      <w:r w:rsidRPr="00E216EB">
        <w:rPr>
          <w:rFonts w:hint="eastAsia"/>
          <w:rtl/>
        </w:rPr>
        <w:t>נגדו</w:t>
      </w:r>
      <w:r w:rsidRPr="00E216EB">
        <w:rPr>
          <w:rtl/>
        </w:rPr>
        <w:t xml:space="preserve"> </w:t>
      </w:r>
      <w:r w:rsidRPr="00E216EB">
        <w:rPr>
          <w:rFonts w:hint="eastAsia"/>
          <w:rtl/>
        </w:rPr>
        <w:t>כמה</w:t>
      </w:r>
      <w:r w:rsidRPr="00E216EB">
        <w:rPr>
          <w:rtl/>
        </w:rPr>
        <w:t xml:space="preserve"> </w:t>
      </w:r>
      <w:r w:rsidRPr="00E216EB">
        <w:rPr>
          <w:rFonts w:hint="eastAsia"/>
          <w:rtl/>
        </w:rPr>
        <w:t>תלונות</w:t>
      </w:r>
      <w:r w:rsidRPr="00E216EB">
        <w:rPr>
          <w:rtl/>
        </w:rPr>
        <w:t xml:space="preserve"> </w:t>
      </w:r>
      <w:r w:rsidRPr="00E216EB">
        <w:rPr>
          <w:rFonts w:hint="eastAsia"/>
          <w:rtl/>
        </w:rPr>
        <w:t>על</w:t>
      </w:r>
      <w:r w:rsidRPr="00E216EB">
        <w:rPr>
          <w:rtl/>
        </w:rPr>
        <w:t xml:space="preserve"> </w:t>
      </w:r>
      <w:r w:rsidRPr="00E216EB">
        <w:rPr>
          <w:rFonts w:hint="eastAsia"/>
          <w:rtl/>
        </w:rPr>
        <w:t>הטרדות</w:t>
      </w:r>
      <w:r w:rsidRPr="00E216EB">
        <w:rPr>
          <w:rtl/>
        </w:rPr>
        <w:t xml:space="preserve"> </w:t>
      </w:r>
      <w:r w:rsidRPr="00E216EB">
        <w:rPr>
          <w:rFonts w:hint="eastAsia"/>
          <w:rtl/>
        </w:rPr>
        <w:t>מיניות</w:t>
      </w:r>
      <w:r w:rsidRPr="00E216EB">
        <w:rPr>
          <w:rtl/>
        </w:rPr>
        <w:t xml:space="preserve"> </w:t>
      </w:r>
      <w:r w:rsidRPr="00E216EB">
        <w:rPr>
          <w:rFonts w:hint="eastAsia"/>
          <w:rtl/>
        </w:rPr>
        <w:t>ועל</w:t>
      </w:r>
      <w:r w:rsidRPr="00E216EB">
        <w:rPr>
          <w:rtl/>
        </w:rPr>
        <w:t xml:space="preserve"> </w:t>
      </w:r>
      <w:r w:rsidRPr="00E216EB">
        <w:rPr>
          <w:rFonts w:hint="eastAsia"/>
          <w:rtl/>
        </w:rPr>
        <w:t>ההליך</w:t>
      </w:r>
      <w:r w:rsidRPr="00E216EB">
        <w:rPr>
          <w:rtl/>
        </w:rPr>
        <w:t xml:space="preserve"> </w:t>
      </w:r>
      <w:r w:rsidRPr="00E216EB">
        <w:rPr>
          <w:rFonts w:hint="eastAsia"/>
          <w:rtl/>
        </w:rPr>
        <w:t>המשמעתי</w:t>
      </w:r>
      <w:r w:rsidRPr="00E216EB">
        <w:rPr>
          <w:rtl/>
        </w:rPr>
        <w:t xml:space="preserve"> </w:t>
      </w:r>
      <w:r w:rsidRPr="00E216EB">
        <w:rPr>
          <w:rFonts w:hint="eastAsia"/>
          <w:rtl/>
        </w:rPr>
        <w:t>שנערך</w:t>
      </w:r>
      <w:r w:rsidRPr="00E216EB">
        <w:rPr>
          <w:rtl/>
        </w:rPr>
        <w:t xml:space="preserve"> </w:t>
      </w:r>
      <w:r w:rsidRPr="00E216EB">
        <w:rPr>
          <w:rFonts w:hint="eastAsia"/>
          <w:rtl/>
        </w:rPr>
        <w:t>לו</w:t>
      </w:r>
      <w:r w:rsidRPr="00E216EB">
        <w:rPr>
          <w:rtl/>
        </w:rPr>
        <w:t xml:space="preserve"> </w:t>
      </w:r>
      <w:r w:rsidRPr="00E216EB">
        <w:rPr>
          <w:rFonts w:hint="eastAsia"/>
          <w:rtl/>
        </w:rPr>
        <w:t>באותו</w:t>
      </w:r>
      <w:r w:rsidRPr="00E216EB">
        <w:rPr>
          <w:rtl/>
        </w:rPr>
        <w:t xml:space="preserve"> </w:t>
      </w:r>
      <w:r w:rsidRPr="00E216EB">
        <w:rPr>
          <w:rFonts w:hint="eastAsia"/>
          <w:rtl/>
        </w:rPr>
        <w:t>מוסד</w:t>
      </w:r>
      <w:r w:rsidRPr="00E216EB">
        <w:rPr>
          <w:rtl/>
        </w:rPr>
        <w:t xml:space="preserve">. </w:t>
      </w:r>
      <w:r w:rsidRPr="00E216EB">
        <w:rPr>
          <w:rFonts w:hint="eastAsia"/>
          <w:rtl/>
        </w:rPr>
        <w:t>לעומת</w:t>
      </w:r>
      <w:r w:rsidRPr="00E216EB">
        <w:rPr>
          <w:rtl/>
        </w:rPr>
        <w:t xml:space="preserve"> </w:t>
      </w:r>
      <w:r w:rsidRPr="00E216EB">
        <w:rPr>
          <w:rFonts w:hint="eastAsia"/>
          <w:rtl/>
        </w:rPr>
        <w:t>זאת</w:t>
      </w:r>
      <w:r w:rsidRPr="00E216EB">
        <w:rPr>
          <w:rtl/>
        </w:rPr>
        <w:t xml:space="preserve">, </w:t>
      </w:r>
      <w:r w:rsidRPr="00E216EB">
        <w:rPr>
          <w:rFonts w:hint="eastAsia"/>
          <w:rtl/>
        </w:rPr>
        <w:t>מוסד</w:t>
      </w:r>
      <w:r w:rsidRPr="00E216EB">
        <w:rPr>
          <w:rtl/>
        </w:rPr>
        <w:t xml:space="preserve"> </w:t>
      </w:r>
      <w:r w:rsidRPr="00E216EB">
        <w:rPr>
          <w:rFonts w:hint="eastAsia"/>
          <w:rtl/>
        </w:rPr>
        <w:t>בריאות</w:t>
      </w:r>
      <w:r w:rsidRPr="00E216EB">
        <w:rPr>
          <w:rtl/>
        </w:rPr>
        <w:t xml:space="preserve"> </w:t>
      </w:r>
      <w:r w:rsidRPr="00E216EB">
        <w:rPr>
          <w:rFonts w:hint="eastAsia"/>
          <w:rtl/>
        </w:rPr>
        <w:t>אחר</w:t>
      </w:r>
      <w:r w:rsidRPr="00E216EB">
        <w:rPr>
          <w:rtl/>
        </w:rPr>
        <w:t xml:space="preserve"> </w:t>
      </w:r>
      <w:r w:rsidRPr="00E216EB">
        <w:rPr>
          <w:rFonts w:hint="eastAsia"/>
          <w:rtl/>
        </w:rPr>
        <w:t>ס</w:t>
      </w:r>
      <w:r w:rsidRPr="00E216EB">
        <w:rPr>
          <w:rFonts w:hint="cs"/>
          <w:rtl/>
        </w:rPr>
        <w:t>י</w:t>
      </w:r>
      <w:r w:rsidRPr="00E216EB">
        <w:rPr>
          <w:rFonts w:hint="eastAsia"/>
          <w:rtl/>
        </w:rPr>
        <w:t>רב</w:t>
      </w:r>
      <w:r w:rsidRPr="00E216EB">
        <w:rPr>
          <w:rtl/>
        </w:rPr>
        <w:t xml:space="preserve"> </w:t>
      </w:r>
      <w:r w:rsidRPr="00E216EB">
        <w:rPr>
          <w:rFonts w:hint="eastAsia"/>
          <w:rtl/>
        </w:rPr>
        <w:t>להעביר</w:t>
      </w:r>
      <w:r w:rsidRPr="00E216EB">
        <w:rPr>
          <w:rtl/>
        </w:rPr>
        <w:t xml:space="preserve"> </w:t>
      </w:r>
      <w:r w:rsidRPr="00E216EB">
        <w:rPr>
          <w:rFonts w:hint="eastAsia"/>
          <w:rtl/>
        </w:rPr>
        <w:t>לנציבות</w:t>
      </w:r>
      <w:r w:rsidRPr="00E216EB">
        <w:rPr>
          <w:rtl/>
        </w:rPr>
        <w:t xml:space="preserve"> </w:t>
      </w:r>
      <w:r w:rsidRPr="00E216EB">
        <w:rPr>
          <w:rFonts w:hint="cs"/>
          <w:rtl/>
        </w:rPr>
        <w:t xml:space="preserve">מידע </w:t>
      </w:r>
      <w:r w:rsidRPr="00E216EB">
        <w:rPr>
          <w:rFonts w:hint="eastAsia"/>
          <w:rtl/>
        </w:rPr>
        <w:t>על</w:t>
      </w:r>
      <w:r w:rsidRPr="00E216EB">
        <w:rPr>
          <w:rtl/>
        </w:rPr>
        <w:t xml:space="preserve"> </w:t>
      </w:r>
      <w:r w:rsidRPr="00E216EB">
        <w:rPr>
          <w:rFonts w:hint="eastAsia"/>
          <w:rtl/>
        </w:rPr>
        <w:t>הליך</w:t>
      </w:r>
      <w:r w:rsidRPr="00E216EB">
        <w:rPr>
          <w:rtl/>
        </w:rPr>
        <w:t xml:space="preserve"> </w:t>
      </w:r>
      <w:r w:rsidRPr="00E216EB">
        <w:rPr>
          <w:rFonts w:hint="eastAsia"/>
          <w:rtl/>
        </w:rPr>
        <w:t>משמעתי</w:t>
      </w:r>
      <w:r w:rsidRPr="00E216EB">
        <w:rPr>
          <w:rtl/>
        </w:rPr>
        <w:t xml:space="preserve"> </w:t>
      </w:r>
      <w:r w:rsidRPr="00E216EB">
        <w:rPr>
          <w:rFonts w:hint="eastAsia"/>
          <w:rtl/>
        </w:rPr>
        <w:t>שערך</w:t>
      </w:r>
      <w:r w:rsidRPr="00E216EB">
        <w:rPr>
          <w:vertAlign w:val="superscript"/>
          <w:rtl/>
        </w:rPr>
        <w:footnoteReference w:id="80"/>
      </w:r>
      <w:r w:rsidRPr="00E216EB">
        <w:rPr>
          <w:rFonts w:hint="cs"/>
          <w:rtl/>
        </w:rPr>
        <w:t>.</w:t>
      </w:r>
      <w:r w:rsidRPr="00E216EB">
        <w:rPr>
          <w:rtl/>
        </w:rPr>
        <w:t xml:space="preserve"> </w:t>
      </w:r>
    </w:p>
    <w:p w14:paraId="4B315F4F" w14:textId="77777777" w:rsidR="00417266" w:rsidRPr="00E216EB" w:rsidRDefault="00417266" w:rsidP="00FA6B30">
      <w:pPr>
        <w:pStyle w:val="100"/>
        <w:rPr>
          <w:rtl/>
        </w:rPr>
      </w:pPr>
      <w:r w:rsidRPr="00E216EB">
        <w:rPr>
          <w:rFonts w:hint="eastAsia"/>
          <w:rtl/>
        </w:rPr>
        <w:t>משרד</w:t>
      </w:r>
      <w:r w:rsidRPr="00E216EB">
        <w:rPr>
          <w:rtl/>
        </w:rPr>
        <w:t xml:space="preserve"> הבריאות מסר בתשובתו כי </w:t>
      </w:r>
      <w:r>
        <w:rPr>
          <w:rFonts w:hint="cs"/>
          <w:rtl/>
        </w:rPr>
        <w:t xml:space="preserve">מועבר אליו </w:t>
      </w:r>
      <w:r w:rsidRPr="00E216EB">
        <w:rPr>
          <w:rFonts w:hint="eastAsia"/>
          <w:rtl/>
        </w:rPr>
        <w:t>מידע</w:t>
      </w:r>
      <w:r w:rsidRPr="00E216EB">
        <w:rPr>
          <w:rtl/>
        </w:rPr>
        <w:t xml:space="preserve"> </w:t>
      </w:r>
      <w:r>
        <w:rPr>
          <w:rFonts w:hint="cs"/>
          <w:rtl/>
        </w:rPr>
        <w:t xml:space="preserve">על </w:t>
      </w:r>
      <w:r w:rsidRPr="00E216EB">
        <w:rPr>
          <w:rFonts w:hint="eastAsia"/>
          <w:rtl/>
        </w:rPr>
        <w:t>בעלי</w:t>
      </w:r>
      <w:r w:rsidRPr="00E216EB">
        <w:rPr>
          <w:rtl/>
        </w:rPr>
        <w:t xml:space="preserve"> </w:t>
      </w:r>
      <w:r w:rsidRPr="00E216EB">
        <w:rPr>
          <w:rFonts w:hint="eastAsia"/>
          <w:rtl/>
        </w:rPr>
        <w:t>מקצוע</w:t>
      </w:r>
      <w:r w:rsidRPr="00E216EB">
        <w:rPr>
          <w:rtl/>
        </w:rPr>
        <w:t xml:space="preserve"> </w:t>
      </w:r>
      <w:r w:rsidRPr="00E216EB">
        <w:rPr>
          <w:rFonts w:hint="eastAsia"/>
          <w:rtl/>
        </w:rPr>
        <w:t>בתחום</w:t>
      </w:r>
      <w:r w:rsidRPr="00E216EB">
        <w:rPr>
          <w:rtl/>
        </w:rPr>
        <w:t xml:space="preserve"> </w:t>
      </w:r>
      <w:r w:rsidRPr="00E216EB">
        <w:rPr>
          <w:rFonts w:hint="eastAsia"/>
          <w:rtl/>
        </w:rPr>
        <w:t>הבריאות</w:t>
      </w:r>
      <w:r w:rsidRPr="00E216EB">
        <w:rPr>
          <w:rtl/>
        </w:rPr>
        <w:t xml:space="preserve"> </w:t>
      </w:r>
      <w:r w:rsidRPr="00E216EB">
        <w:rPr>
          <w:rFonts w:hint="eastAsia"/>
          <w:rtl/>
        </w:rPr>
        <w:t>שהורשעו</w:t>
      </w:r>
      <w:r w:rsidRPr="00E216EB">
        <w:rPr>
          <w:rtl/>
        </w:rPr>
        <w:t xml:space="preserve"> </w:t>
      </w:r>
      <w:r w:rsidRPr="00E216EB">
        <w:rPr>
          <w:rFonts w:hint="eastAsia"/>
          <w:rtl/>
        </w:rPr>
        <w:t>בדין</w:t>
      </w:r>
      <w:r w:rsidRPr="00E216EB">
        <w:rPr>
          <w:rtl/>
        </w:rPr>
        <w:t xml:space="preserve"> </w:t>
      </w:r>
      <w:r w:rsidRPr="00E216EB">
        <w:rPr>
          <w:rFonts w:hint="eastAsia"/>
          <w:rtl/>
        </w:rPr>
        <w:t>הפלילי</w:t>
      </w:r>
      <w:r w:rsidRPr="00E216EB">
        <w:rPr>
          <w:rtl/>
        </w:rPr>
        <w:t xml:space="preserve"> </w:t>
      </w:r>
      <w:r w:rsidRPr="00E216EB">
        <w:rPr>
          <w:rFonts w:hint="eastAsia"/>
          <w:rtl/>
        </w:rPr>
        <w:t>או</w:t>
      </w:r>
      <w:r w:rsidRPr="00E216EB">
        <w:rPr>
          <w:rtl/>
        </w:rPr>
        <w:t xml:space="preserve"> </w:t>
      </w:r>
      <w:r w:rsidRPr="00E216EB">
        <w:rPr>
          <w:rFonts w:hint="eastAsia"/>
          <w:rtl/>
        </w:rPr>
        <w:t>שהוגש</w:t>
      </w:r>
      <w:r w:rsidRPr="00E216EB">
        <w:rPr>
          <w:rtl/>
        </w:rPr>
        <w:t xml:space="preserve"> </w:t>
      </w:r>
      <w:r w:rsidRPr="00E216EB">
        <w:rPr>
          <w:rFonts w:hint="eastAsia"/>
          <w:rtl/>
        </w:rPr>
        <w:t>כתב</w:t>
      </w:r>
      <w:r w:rsidRPr="00E216EB">
        <w:rPr>
          <w:rtl/>
        </w:rPr>
        <w:t xml:space="preserve"> </w:t>
      </w:r>
      <w:r w:rsidRPr="00E216EB">
        <w:rPr>
          <w:rFonts w:hint="eastAsia"/>
          <w:rtl/>
        </w:rPr>
        <w:t>אישום</w:t>
      </w:r>
      <w:r w:rsidRPr="00E216EB">
        <w:rPr>
          <w:rFonts w:hint="cs"/>
          <w:rtl/>
        </w:rPr>
        <w:t xml:space="preserve"> נגדם</w:t>
      </w:r>
      <w:r>
        <w:rPr>
          <w:rFonts w:hint="cs"/>
          <w:rtl/>
        </w:rPr>
        <w:t>,</w:t>
      </w:r>
      <w:r w:rsidRPr="00E216EB">
        <w:rPr>
          <w:rtl/>
        </w:rPr>
        <w:t xml:space="preserve"> </w:t>
      </w:r>
      <w:r>
        <w:rPr>
          <w:rFonts w:hint="cs"/>
          <w:rtl/>
        </w:rPr>
        <w:t xml:space="preserve">כדי שינקוט </w:t>
      </w:r>
      <w:r w:rsidRPr="00E216EB">
        <w:rPr>
          <w:rFonts w:hint="eastAsia"/>
          <w:rtl/>
        </w:rPr>
        <w:t>הליך</w:t>
      </w:r>
      <w:r w:rsidRPr="00E216EB">
        <w:rPr>
          <w:rtl/>
        </w:rPr>
        <w:t xml:space="preserve"> </w:t>
      </w:r>
      <w:r w:rsidRPr="00E216EB">
        <w:rPr>
          <w:rFonts w:hint="eastAsia"/>
          <w:rtl/>
        </w:rPr>
        <w:t>משמעתי</w:t>
      </w:r>
      <w:r w:rsidRPr="00E216EB">
        <w:rPr>
          <w:rtl/>
        </w:rPr>
        <w:t xml:space="preserve"> </w:t>
      </w:r>
      <w:r w:rsidRPr="00E216EB">
        <w:rPr>
          <w:rFonts w:hint="eastAsia"/>
          <w:rtl/>
        </w:rPr>
        <w:t>מתאים</w:t>
      </w:r>
      <w:r w:rsidRPr="00E216EB">
        <w:rPr>
          <w:rFonts w:hint="cs"/>
          <w:rtl/>
        </w:rPr>
        <w:t>,</w:t>
      </w:r>
      <w:r w:rsidRPr="00E216EB">
        <w:rPr>
          <w:rtl/>
        </w:rPr>
        <w:t xml:space="preserve"> אך </w:t>
      </w:r>
      <w:r>
        <w:rPr>
          <w:rFonts w:hint="cs"/>
          <w:rtl/>
        </w:rPr>
        <w:t>ה</w:t>
      </w:r>
      <w:r w:rsidRPr="00E216EB">
        <w:rPr>
          <w:rFonts w:hint="eastAsia"/>
          <w:rtl/>
        </w:rPr>
        <w:t>חוק</w:t>
      </w:r>
      <w:r w:rsidRPr="00E216EB">
        <w:rPr>
          <w:rtl/>
        </w:rPr>
        <w:t xml:space="preserve"> </w:t>
      </w:r>
      <w:r>
        <w:rPr>
          <w:rFonts w:hint="cs"/>
          <w:rtl/>
        </w:rPr>
        <w:t xml:space="preserve">אינו מחייב </w:t>
      </w:r>
      <w:r w:rsidRPr="00E216EB">
        <w:rPr>
          <w:rFonts w:hint="eastAsia"/>
          <w:rtl/>
        </w:rPr>
        <w:t>לדווח</w:t>
      </w:r>
      <w:r w:rsidRPr="00E216EB">
        <w:rPr>
          <w:rtl/>
        </w:rPr>
        <w:t xml:space="preserve"> </w:t>
      </w:r>
      <w:r w:rsidRPr="00E216EB">
        <w:rPr>
          <w:rFonts w:hint="eastAsia"/>
          <w:rtl/>
        </w:rPr>
        <w:t>על</w:t>
      </w:r>
      <w:r w:rsidRPr="00E216EB">
        <w:rPr>
          <w:rtl/>
        </w:rPr>
        <w:t xml:space="preserve"> </w:t>
      </w:r>
      <w:r w:rsidRPr="00E216EB">
        <w:rPr>
          <w:rFonts w:hint="eastAsia"/>
          <w:rtl/>
        </w:rPr>
        <w:t>כל</w:t>
      </w:r>
      <w:r w:rsidRPr="00E216EB">
        <w:rPr>
          <w:rtl/>
        </w:rPr>
        <w:t xml:space="preserve"> </w:t>
      </w:r>
      <w:r w:rsidRPr="00E216EB">
        <w:rPr>
          <w:rFonts w:hint="eastAsia"/>
          <w:rtl/>
        </w:rPr>
        <w:t>תלונה</w:t>
      </w:r>
      <w:r w:rsidRPr="00E216EB">
        <w:rPr>
          <w:rtl/>
        </w:rPr>
        <w:t xml:space="preserve"> </w:t>
      </w:r>
      <w:r w:rsidRPr="00E216EB">
        <w:rPr>
          <w:rFonts w:hint="eastAsia"/>
          <w:rtl/>
        </w:rPr>
        <w:t>נגד</w:t>
      </w:r>
      <w:r w:rsidRPr="00E216EB">
        <w:rPr>
          <w:rtl/>
        </w:rPr>
        <w:t xml:space="preserve"> </w:t>
      </w:r>
      <w:r w:rsidRPr="00E216EB">
        <w:rPr>
          <w:rFonts w:hint="eastAsia"/>
          <w:rtl/>
        </w:rPr>
        <w:t>עובד</w:t>
      </w:r>
      <w:r w:rsidRPr="00E216EB">
        <w:rPr>
          <w:rtl/>
        </w:rPr>
        <w:t xml:space="preserve"> </w:t>
      </w:r>
      <w:r w:rsidRPr="00E216EB">
        <w:rPr>
          <w:rFonts w:hint="eastAsia"/>
          <w:rtl/>
        </w:rPr>
        <w:t>מוסד</w:t>
      </w:r>
      <w:r w:rsidRPr="00E216EB">
        <w:rPr>
          <w:rtl/>
        </w:rPr>
        <w:t xml:space="preserve"> </w:t>
      </w:r>
      <w:r w:rsidRPr="00E216EB">
        <w:rPr>
          <w:rFonts w:hint="eastAsia"/>
          <w:rtl/>
        </w:rPr>
        <w:t>רפואי</w:t>
      </w:r>
      <w:r w:rsidRPr="00E216EB">
        <w:rPr>
          <w:rtl/>
        </w:rPr>
        <w:t xml:space="preserve">. כמו כן, </w:t>
      </w:r>
      <w:r>
        <w:rPr>
          <w:rFonts w:hint="cs"/>
          <w:rtl/>
        </w:rPr>
        <w:t xml:space="preserve">לדבריו, </w:t>
      </w:r>
      <w:r w:rsidRPr="00E216EB">
        <w:rPr>
          <w:rtl/>
        </w:rPr>
        <w:t>אין בסיס משפטי למניעת מעבר של בעלי מקצוע ממקום עבודה אחד למשנהו.</w:t>
      </w:r>
    </w:p>
    <w:p w14:paraId="7C22BB29" w14:textId="40A7BF42" w:rsidR="00FA6B30" w:rsidRDefault="00417266" w:rsidP="00FA6B30">
      <w:pPr>
        <w:pStyle w:val="100"/>
        <w:rPr>
          <w:rtl/>
        </w:rPr>
      </w:pPr>
      <w:r w:rsidRPr="00E216EB">
        <w:rPr>
          <w:rFonts w:hint="cs"/>
          <w:rtl/>
        </w:rPr>
        <w:t xml:space="preserve">משרד המשפטים </w:t>
      </w:r>
      <w:r>
        <w:rPr>
          <w:rFonts w:hint="cs"/>
          <w:rtl/>
        </w:rPr>
        <w:t xml:space="preserve">כתב </w:t>
      </w:r>
      <w:r w:rsidRPr="00E216EB">
        <w:rPr>
          <w:rFonts w:hint="cs"/>
          <w:rtl/>
        </w:rPr>
        <w:t xml:space="preserve">בתשובתו כי כיום למרבית המוסדות הרפואיים </w:t>
      </w:r>
      <w:r>
        <w:rPr>
          <w:rFonts w:hint="cs"/>
          <w:rtl/>
        </w:rPr>
        <w:t xml:space="preserve">אין אפשרות חוקית </w:t>
      </w:r>
      <w:r w:rsidRPr="00E216EB">
        <w:rPr>
          <w:rFonts w:hint="cs"/>
          <w:rtl/>
        </w:rPr>
        <w:t xml:space="preserve">לקבל מידע מן המרשם הפלילי. משרד הבריאות מסר בתשובתו כי כאשר מוטלות הגבלות על בעלי מקצוע מכוח הדין המשמעתי, הוא עוקב אחר </w:t>
      </w:r>
      <w:r>
        <w:rPr>
          <w:rFonts w:hint="cs"/>
          <w:rtl/>
        </w:rPr>
        <w:t xml:space="preserve">יישום </w:t>
      </w:r>
      <w:r w:rsidRPr="00E216EB">
        <w:rPr>
          <w:rFonts w:hint="cs"/>
          <w:rtl/>
        </w:rPr>
        <w:t>ההגבלות, אולם אין לו סמכות לעקוב אחרי אנשי צוות לאחר תום ריצוי העונש.</w:t>
      </w:r>
    </w:p>
    <w:p w14:paraId="7E610FCE" w14:textId="77777777" w:rsidR="00FA6B30" w:rsidRDefault="00FA6B30">
      <w:pPr>
        <w:bidi w:val="0"/>
        <w:spacing w:after="200" w:line="276" w:lineRule="auto"/>
        <w:rPr>
          <w:rFonts w:ascii="Tahoma" w:hAnsi="Tahoma" w:cs="Tahoma"/>
          <w:szCs w:val="20"/>
          <w:rtl/>
        </w:rPr>
      </w:pPr>
      <w:r>
        <w:rPr>
          <w:rtl/>
        </w:rPr>
        <w:br w:type="page"/>
      </w:r>
    </w:p>
    <w:p w14:paraId="5400E03F" w14:textId="77777777" w:rsidR="00417266" w:rsidRPr="00E216EB" w:rsidRDefault="00417266" w:rsidP="00FA6B30">
      <w:pPr>
        <w:pStyle w:val="100"/>
        <w:rPr>
          <w:rtl/>
        </w:rPr>
      </w:pPr>
    </w:p>
    <w:p w14:paraId="6AAE3F9E" w14:textId="77777777" w:rsidR="00417266" w:rsidRDefault="00417266" w:rsidP="00FA6B30">
      <w:pPr>
        <w:pStyle w:val="af3"/>
        <w:rPr>
          <w:rtl/>
        </w:rPr>
      </w:pPr>
      <w:r>
        <w:rPr>
          <w:rFonts w:hint="cs"/>
          <w:rtl/>
        </w:rPr>
        <w:t xml:space="preserve">ראוי לציין כי </w:t>
      </w:r>
      <w:r w:rsidRPr="00E216EB">
        <w:rPr>
          <w:rFonts w:hint="cs"/>
          <w:rtl/>
        </w:rPr>
        <w:t xml:space="preserve">תלונות </w:t>
      </w:r>
      <w:r>
        <w:rPr>
          <w:rFonts w:hint="cs"/>
          <w:rtl/>
        </w:rPr>
        <w:t xml:space="preserve">המוגשות </w:t>
      </w:r>
      <w:r w:rsidRPr="00E216EB">
        <w:rPr>
          <w:rFonts w:hint="cs"/>
          <w:rtl/>
        </w:rPr>
        <w:t xml:space="preserve">לנציבות קבילות הציבור על מקצועות הרפואה נשמרות במערכת הממוחשבת של הנציבות, אף שהטיפול בפועל בתלונה יכול להיעשות בידי </w:t>
      </w:r>
      <w:r>
        <w:rPr>
          <w:rFonts w:hint="cs"/>
          <w:rtl/>
        </w:rPr>
        <w:t>אחד ממוסדות מערכת הבריאות</w:t>
      </w:r>
      <w:r w:rsidRPr="00E216EB">
        <w:rPr>
          <w:rFonts w:hint="cs"/>
          <w:rtl/>
        </w:rPr>
        <w:t xml:space="preserve"> שב</w:t>
      </w:r>
      <w:r>
        <w:rPr>
          <w:rFonts w:hint="cs"/>
          <w:rtl/>
        </w:rPr>
        <w:t>ו</w:t>
      </w:r>
      <w:r w:rsidRPr="00E216EB">
        <w:rPr>
          <w:rFonts w:hint="cs"/>
          <w:rtl/>
        </w:rPr>
        <w:t xml:space="preserve"> אירעה ההטרדה. בשל החשיבות הגדולה של מניעת פגיעה בציבור המטופלים, </w:t>
      </w:r>
      <w:r>
        <w:rPr>
          <w:rFonts w:hint="cs"/>
          <w:rtl/>
        </w:rPr>
        <w:t>מומלץ כי</w:t>
      </w:r>
      <w:r w:rsidRPr="00E216EB">
        <w:rPr>
          <w:rFonts w:hint="cs"/>
          <w:rtl/>
        </w:rPr>
        <w:t xml:space="preserve"> משרד המשפטים </w:t>
      </w:r>
      <w:r>
        <w:rPr>
          <w:rFonts w:hint="cs"/>
          <w:rtl/>
        </w:rPr>
        <w:t xml:space="preserve">יבחן את נושא איסוף המידע על הטרדות מיניות באופן ממוסד, לרבות המידע </w:t>
      </w:r>
      <w:r w:rsidRPr="00E216EB">
        <w:rPr>
          <w:rFonts w:hint="cs"/>
          <w:rtl/>
        </w:rPr>
        <w:t xml:space="preserve">על נילונים </w:t>
      </w:r>
      <w:r>
        <w:rPr>
          <w:rFonts w:hint="cs"/>
          <w:rtl/>
        </w:rPr>
        <w:t>שכבר נמסר ל</w:t>
      </w:r>
      <w:r w:rsidRPr="00E216EB">
        <w:rPr>
          <w:rFonts w:hint="cs"/>
          <w:rtl/>
        </w:rPr>
        <w:t xml:space="preserve">נציבות </w:t>
      </w:r>
      <w:r>
        <w:rPr>
          <w:rFonts w:hint="cs"/>
          <w:rtl/>
        </w:rPr>
        <w:t>ה</w:t>
      </w:r>
      <w:r w:rsidRPr="00E216EB">
        <w:rPr>
          <w:rFonts w:hint="cs"/>
          <w:rtl/>
        </w:rPr>
        <w:t xml:space="preserve">קבילות </w:t>
      </w:r>
      <w:r>
        <w:rPr>
          <w:rFonts w:hint="cs"/>
          <w:rtl/>
        </w:rPr>
        <w:t xml:space="preserve">בידי </w:t>
      </w:r>
      <w:r w:rsidRPr="00E216EB">
        <w:rPr>
          <w:rFonts w:hint="cs"/>
          <w:rtl/>
        </w:rPr>
        <w:t xml:space="preserve">מוסדות מערכת הבריאות. </w:t>
      </w:r>
    </w:p>
    <w:p w14:paraId="4EE4F33B" w14:textId="77777777" w:rsidR="00417266" w:rsidRDefault="00417266" w:rsidP="00FA6B30">
      <w:pPr>
        <w:pStyle w:val="af3"/>
        <w:jc w:val="center"/>
        <w:rPr>
          <w:rFonts w:ascii="Arial" w:hAnsi="Arial" w:cs="Arial"/>
          <w:b/>
          <w:bCs/>
          <w:sz w:val="36"/>
          <w:rtl/>
        </w:rPr>
      </w:pPr>
      <w:r w:rsidRPr="00E216EB">
        <w:rPr>
          <w:rFonts w:ascii="Segoe UI Symbol" w:hAnsi="Segoe UI Symbol" w:cs="Segoe UI Symbol" w:hint="cs"/>
          <w:b/>
          <w:bCs/>
          <w:sz w:val="36"/>
          <w:rtl/>
        </w:rPr>
        <w:t>✰</w:t>
      </w:r>
    </w:p>
    <w:p w14:paraId="1912AAED" w14:textId="77777777" w:rsidR="00417266" w:rsidRPr="00FA6B30" w:rsidRDefault="00417266" w:rsidP="00FA6B30">
      <w:pPr>
        <w:pStyle w:val="af3"/>
        <w:rPr>
          <w:rtl/>
        </w:rPr>
      </w:pPr>
      <w:r w:rsidRPr="00FA6B30">
        <w:rPr>
          <w:rFonts w:hint="cs"/>
          <w:rtl/>
        </w:rPr>
        <w:t xml:space="preserve">מן האמור עולה כי משרד הבריאות אינו מפקח על יישום החוק למניעת הטרדה מינית במוסדות רפואיים. ראוי כי המשרד יבחן את האפשרות לקבל ממוסדות מערכת הבריאות, בהתאם לאפשרויות העומדות לרשותו על פי הדין, מידע על הפעולות שנקטו למניעת הטרדות מיניות ולטיפול בהן, ובכלל זה נתונים על מספר התלונות שטופלו ועל הפעולות שנעשו למניעת הטרדות מיניות. כן מומלץ כי המשרד ינחה את המוסדות בדבר עריכת תקנונים למניעת הטרדה מינית ויצירת לומדה מקוונת להטמעת הוראות החוק. </w:t>
      </w:r>
    </w:p>
    <w:p w14:paraId="74A923A7" w14:textId="77777777" w:rsidR="00417266" w:rsidRPr="00C43F1B" w:rsidRDefault="00417266" w:rsidP="00FA6B30">
      <w:pPr>
        <w:pStyle w:val="316"/>
        <w:rPr>
          <w:rtl/>
        </w:rPr>
      </w:pPr>
      <w:r w:rsidRPr="00FA6B30">
        <w:rPr>
          <w:rFonts w:hint="cs"/>
          <w:rtl/>
        </w:rPr>
        <w:t>הטיפול</w:t>
      </w:r>
      <w:r w:rsidRPr="00C43F1B">
        <w:rPr>
          <w:rtl/>
        </w:rPr>
        <w:t xml:space="preserve"> </w:t>
      </w:r>
      <w:r w:rsidRPr="00C43F1B">
        <w:rPr>
          <w:rFonts w:hint="eastAsia"/>
          <w:rtl/>
        </w:rPr>
        <w:t>המשמעתי</w:t>
      </w:r>
      <w:r w:rsidRPr="00C43F1B">
        <w:rPr>
          <w:rtl/>
        </w:rPr>
        <w:t xml:space="preserve"> </w:t>
      </w:r>
      <w:r w:rsidRPr="00C43F1B">
        <w:rPr>
          <w:rFonts w:hint="cs"/>
          <w:rtl/>
        </w:rPr>
        <w:t>בהטרדות מיניות במוסדות מערכת הבריאות</w:t>
      </w:r>
    </w:p>
    <w:p w14:paraId="302175CC" w14:textId="77777777" w:rsidR="00417266" w:rsidRDefault="00417266" w:rsidP="00FA6B30">
      <w:pPr>
        <w:pStyle w:val="100"/>
      </w:pPr>
      <w:r w:rsidRPr="00C43F1B">
        <w:rPr>
          <w:rFonts w:hint="cs"/>
          <w:rtl/>
        </w:rPr>
        <w:t xml:space="preserve">הליכי הרישוי במקצועות הרפואה השונים, הקובעים גם את ההליכים המשמעתיים והתנאים לביטול רישיון, קבועים בחלקם בחקיקה ראשית ובחלקם בחקיקת משנה. ההליכים המשמעתיים הנוגעים לקובלנות על הטרדות מיניות שונים </w:t>
      </w:r>
      <w:r>
        <w:rPr>
          <w:rFonts w:hint="cs"/>
          <w:rtl/>
        </w:rPr>
        <w:t>בין מקצועות הרפואה</w:t>
      </w:r>
      <w:r w:rsidRPr="00C43F1B">
        <w:rPr>
          <w:rFonts w:hint="cs"/>
          <w:rtl/>
        </w:rPr>
        <w:t xml:space="preserve"> הן בהיבט של סל הסנקציות והן בהיבט של בעל הסמכות לנקוט הליכים. לעוסקים בכל אחד ממקצועות הרפואה - רפואה, רפואת שיניים, פסיכולוגיה, מקצועות הבריאות, שיננות וסיעוד - נקבעו הליכים משמעתיים שונים ובעקבותיהם ננקטים אמצעי משמעת שונים. </w:t>
      </w:r>
    </w:p>
    <w:p w14:paraId="3190B9B4" w14:textId="77777777" w:rsidR="00417266" w:rsidRPr="00C43F1B" w:rsidRDefault="00417266" w:rsidP="00FA6B30">
      <w:pPr>
        <w:pStyle w:val="100"/>
        <w:rPr>
          <w:rtl/>
        </w:rPr>
      </w:pPr>
      <w:r w:rsidRPr="00C43F1B">
        <w:rPr>
          <w:rFonts w:hint="cs"/>
          <w:rtl/>
        </w:rPr>
        <w:t xml:space="preserve">משנת 2015 עד מועד סיום הביקורת התקיימו 18 הליכים משמעתיים בגין עבירות הטרדה מינית שהתבצעו במהלך טיפול רפואי (16 הליכים נפתחו בעקבות תלונה על מעשים מגונים ושניים בגין קיום יחסי מין עם מטופלות). לא התקיימו הליכים משמעתיים לגבי עבירות של הטרדה מינית מילולית. 20 תיקים משמעתיים נוספים שנפתחו בגין תלונות על הטרדות מיניות מטופלים בהליך פלילי, ויחידת הדין המשמעתי ממתינה להחלטה בנוגע להם כדי לדעת אם יש צורך לקיים הליך משמעתי בעניינם. </w:t>
      </w:r>
    </w:p>
    <w:p w14:paraId="2C3AEF6D" w14:textId="77777777" w:rsidR="00417266" w:rsidRPr="00C43F1B" w:rsidRDefault="00417266" w:rsidP="00FA6B30">
      <w:pPr>
        <w:pStyle w:val="100"/>
        <w:rPr>
          <w:rtl/>
        </w:rPr>
      </w:pPr>
      <w:r w:rsidRPr="00C43F1B">
        <w:rPr>
          <w:rFonts w:hint="cs"/>
          <w:rtl/>
        </w:rPr>
        <w:t xml:space="preserve">יצוין כי </w:t>
      </w:r>
      <w:r w:rsidRPr="00C43F1B">
        <w:rPr>
          <w:rFonts w:hint="eastAsia"/>
          <w:rtl/>
        </w:rPr>
        <w:t>נציבות</w:t>
      </w:r>
      <w:r w:rsidRPr="00C43F1B">
        <w:rPr>
          <w:rtl/>
        </w:rPr>
        <w:t xml:space="preserve"> </w:t>
      </w:r>
      <w:r w:rsidRPr="00C43F1B">
        <w:rPr>
          <w:rFonts w:hint="cs"/>
          <w:rtl/>
        </w:rPr>
        <w:t>קבילות</w:t>
      </w:r>
      <w:r w:rsidRPr="00C43F1B">
        <w:rPr>
          <w:rtl/>
        </w:rPr>
        <w:t xml:space="preserve"> </w:t>
      </w:r>
      <w:r w:rsidRPr="00C43F1B">
        <w:rPr>
          <w:rFonts w:hint="eastAsia"/>
          <w:rtl/>
        </w:rPr>
        <w:t>הציבור</w:t>
      </w:r>
      <w:r w:rsidRPr="00C43F1B">
        <w:rPr>
          <w:rtl/>
        </w:rPr>
        <w:t xml:space="preserve"> </w:t>
      </w:r>
      <w:r w:rsidRPr="00C43F1B">
        <w:rPr>
          <w:rFonts w:hint="eastAsia"/>
          <w:rtl/>
        </w:rPr>
        <w:t>למקצועות</w:t>
      </w:r>
      <w:r w:rsidRPr="00C43F1B">
        <w:rPr>
          <w:rtl/>
        </w:rPr>
        <w:t xml:space="preserve"> </w:t>
      </w:r>
      <w:r w:rsidRPr="00C43F1B">
        <w:rPr>
          <w:rFonts w:hint="eastAsia"/>
          <w:rtl/>
        </w:rPr>
        <w:t>הרפואה</w:t>
      </w:r>
      <w:r w:rsidRPr="00C43F1B">
        <w:rPr>
          <w:rtl/>
        </w:rPr>
        <w:t xml:space="preserve"> </w:t>
      </w:r>
      <w:r w:rsidRPr="00C43F1B">
        <w:rPr>
          <w:rFonts w:hint="eastAsia"/>
          <w:rtl/>
        </w:rPr>
        <w:t>ויחידת</w:t>
      </w:r>
      <w:r w:rsidRPr="00C43F1B">
        <w:rPr>
          <w:rtl/>
        </w:rPr>
        <w:t xml:space="preserve"> </w:t>
      </w:r>
      <w:r w:rsidRPr="00C43F1B">
        <w:rPr>
          <w:rFonts w:hint="eastAsia"/>
          <w:rtl/>
        </w:rPr>
        <w:t>הדין</w:t>
      </w:r>
      <w:r w:rsidRPr="00C43F1B">
        <w:rPr>
          <w:rtl/>
        </w:rPr>
        <w:t xml:space="preserve"> </w:t>
      </w:r>
      <w:r w:rsidRPr="00C43F1B">
        <w:rPr>
          <w:rFonts w:hint="eastAsia"/>
          <w:rtl/>
        </w:rPr>
        <w:t>המשמעתי</w:t>
      </w:r>
      <w:r w:rsidRPr="00C43F1B">
        <w:rPr>
          <w:rtl/>
        </w:rPr>
        <w:t xml:space="preserve"> </w:t>
      </w:r>
      <w:r w:rsidRPr="00C43F1B">
        <w:rPr>
          <w:rFonts w:hint="eastAsia"/>
          <w:rtl/>
        </w:rPr>
        <w:t>של</w:t>
      </w:r>
      <w:r w:rsidRPr="00C43F1B">
        <w:rPr>
          <w:rtl/>
        </w:rPr>
        <w:t xml:space="preserve"> </w:t>
      </w:r>
      <w:r w:rsidRPr="00C43F1B">
        <w:rPr>
          <w:rFonts w:hint="eastAsia"/>
          <w:rtl/>
        </w:rPr>
        <w:t>משרד</w:t>
      </w:r>
      <w:r w:rsidRPr="00C43F1B">
        <w:rPr>
          <w:rtl/>
        </w:rPr>
        <w:t xml:space="preserve"> </w:t>
      </w:r>
      <w:r w:rsidRPr="00C43F1B">
        <w:rPr>
          <w:rFonts w:hint="eastAsia"/>
          <w:rtl/>
        </w:rPr>
        <w:t>הבריאות</w:t>
      </w:r>
      <w:r w:rsidRPr="00C43F1B">
        <w:rPr>
          <w:rtl/>
        </w:rPr>
        <w:t xml:space="preserve"> אינן מוסמכות </w:t>
      </w:r>
      <w:r w:rsidRPr="00C43F1B">
        <w:rPr>
          <w:rFonts w:hint="cs"/>
          <w:rtl/>
        </w:rPr>
        <w:t>לפעול כנגד</w:t>
      </w:r>
      <w:r w:rsidRPr="00C43F1B">
        <w:rPr>
          <w:rtl/>
        </w:rPr>
        <w:t xml:space="preserve"> </w:t>
      </w:r>
      <w:r w:rsidRPr="00C43F1B">
        <w:rPr>
          <w:rFonts w:hint="cs"/>
          <w:rtl/>
        </w:rPr>
        <w:t>אנשים העוסקים ב</w:t>
      </w:r>
      <w:r w:rsidRPr="00C43F1B">
        <w:rPr>
          <w:rFonts w:hint="eastAsia"/>
          <w:rtl/>
        </w:rPr>
        <w:t>מקצועות</w:t>
      </w:r>
      <w:r w:rsidRPr="00C43F1B">
        <w:rPr>
          <w:rtl/>
        </w:rPr>
        <w:t xml:space="preserve"> שאינם דורשים קבלת רישיון כגון </w:t>
      </w:r>
      <w:r w:rsidRPr="00C43F1B">
        <w:rPr>
          <w:rFonts w:hint="eastAsia"/>
          <w:rtl/>
        </w:rPr>
        <w:t>מטפלים</w:t>
      </w:r>
      <w:r w:rsidRPr="00C43F1B">
        <w:rPr>
          <w:rtl/>
        </w:rPr>
        <w:t xml:space="preserve"> </w:t>
      </w:r>
      <w:r w:rsidRPr="00C43F1B">
        <w:rPr>
          <w:rFonts w:hint="eastAsia"/>
          <w:rtl/>
        </w:rPr>
        <w:t>ברפואה</w:t>
      </w:r>
      <w:r w:rsidRPr="00C43F1B">
        <w:rPr>
          <w:rtl/>
        </w:rPr>
        <w:t xml:space="preserve"> </w:t>
      </w:r>
      <w:r w:rsidRPr="00C43F1B">
        <w:rPr>
          <w:rFonts w:hint="eastAsia"/>
          <w:rtl/>
        </w:rPr>
        <w:t>אלטרנטיבית</w:t>
      </w:r>
      <w:r w:rsidRPr="00C43F1B">
        <w:rPr>
          <w:rtl/>
        </w:rPr>
        <w:t xml:space="preserve">, </w:t>
      </w:r>
      <w:r w:rsidRPr="00C43F1B">
        <w:rPr>
          <w:rFonts w:hint="eastAsia"/>
          <w:rtl/>
        </w:rPr>
        <w:t>פרמדיקים</w:t>
      </w:r>
      <w:r w:rsidRPr="00C43F1B">
        <w:rPr>
          <w:rtl/>
        </w:rPr>
        <w:t xml:space="preserve"> </w:t>
      </w:r>
      <w:r w:rsidRPr="00C43F1B">
        <w:rPr>
          <w:rFonts w:hint="cs"/>
          <w:rtl/>
        </w:rPr>
        <w:t>ו</w:t>
      </w:r>
      <w:r w:rsidRPr="00C43F1B">
        <w:rPr>
          <w:rFonts w:hint="eastAsia"/>
          <w:rtl/>
        </w:rPr>
        <w:t>דולות</w:t>
      </w:r>
      <w:r w:rsidRPr="00C43F1B">
        <w:rPr>
          <w:rFonts w:hint="cs"/>
          <w:rtl/>
        </w:rPr>
        <w:t xml:space="preserve">. </w:t>
      </w:r>
    </w:p>
    <w:p w14:paraId="55118F63" w14:textId="77777777" w:rsidR="00417266" w:rsidRDefault="00417266" w:rsidP="00FA6B30">
      <w:pPr>
        <w:pStyle w:val="100"/>
        <w:rPr>
          <w:rtl/>
        </w:rPr>
      </w:pPr>
      <w:r w:rsidRPr="00C43F1B">
        <w:rPr>
          <w:rFonts w:hint="cs"/>
          <w:rtl/>
        </w:rPr>
        <w:t>להלן דוגמאות להבדלים בטיפול באנשי מקצוע שונים במערכת הבריאות:</w:t>
      </w:r>
    </w:p>
    <w:p w14:paraId="051A2D49" w14:textId="77777777" w:rsidR="00417266" w:rsidRPr="00DF4216" w:rsidRDefault="00417266" w:rsidP="00DF4216">
      <w:pPr>
        <w:pStyle w:val="a0"/>
        <w:numPr>
          <w:ilvl w:val="0"/>
          <w:numId w:val="31"/>
        </w:numPr>
        <w:rPr>
          <w:rtl/>
        </w:rPr>
      </w:pPr>
      <w:r w:rsidRPr="00C43F1B">
        <w:rPr>
          <w:rFonts w:hint="cs"/>
          <w:rtl/>
        </w:rPr>
        <w:lastRenderedPageBreak/>
        <w:t>הוראות החקיקה האמורה לעיל מסמיכות את מנכ"ל משרד הבריאות לפתוח בהליך משמעתי לאחר הגשת כתב אישום רק כנגד רופאים, פסיכולוגים ועובדי מקצועות הבריאות. כלי משמע</w:t>
      </w:r>
      <w:r w:rsidRPr="00DF4216">
        <w:rPr>
          <w:rFonts w:hint="cs"/>
          <w:rtl/>
        </w:rPr>
        <w:t>תי זה איננו קיים לגבי רופאי שיניים ואחים סיעודיים.</w:t>
      </w:r>
    </w:p>
    <w:p w14:paraId="5B182773" w14:textId="77777777" w:rsidR="00417266" w:rsidRPr="00C43F1B" w:rsidRDefault="00417266" w:rsidP="00DF4216">
      <w:pPr>
        <w:pStyle w:val="a0"/>
      </w:pPr>
      <w:r w:rsidRPr="00DF4216">
        <w:rPr>
          <w:rFonts w:hint="cs"/>
          <w:rtl/>
        </w:rPr>
        <w:t>ניתן</w:t>
      </w:r>
      <w:r w:rsidRPr="00C43F1B">
        <w:rPr>
          <w:rFonts w:hint="cs"/>
          <w:rtl/>
        </w:rPr>
        <w:t xml:space="preserve"> להשית קנס כספי בהליך משמעתי שנפתח לאחר הרשעה פלילית על עובדי מקצועות הבריאות ועל פסיכולוגים, אך לא על רופאים, רופאי שיניים ואחים סיעודיים. </w:t>
      </w:r>
    </w:p>
    <w:p w14:paraId="5F4B0692" w14:textId="77777777" w:rsidR="00417266" w:rsidRDefault="00417266" w:rsidP="00DF4216">
      <w:pPr>
        <w:pStyle w:val="af2"/>
        <w:rPr>
          <w:rtl/>
        </w:rPr>
      </w:pPr>
      <w:r w:rsidRPr="006D1604">
        <w:rPr>
          <w:rFonts w:hint="eastAsia"/>
          <w:rtl/>
        </w:rPr>
        <w:t>משרד</w:t>
      </w:r>
      <w:r w:rsidRPr="006D1604">
        <w:rPr>
          <w:rtl/>
        </w:rPr>
        <w:t xml:space="preserve"> </w:t>
      </w:r>
      <w:r w:rsidRPr="006D1604">
        <w:rPr>
          <w:rFonts w:hint="eastAsia"/>
          <w:rtl/>
        </w:rPr>
        <w:t>הבריאות</w:t>
      </w:r>
      <w:r w:rsidRPr="006D1604">
        <w:rPr>
          <w:rtl/>
        </w:rPr>
        <w:t xml:space="preserve"> </w:t>
      </w:r>
      <w:r w:rsidRPr="006D1604">
        <w:rPr>
          <w:rFonts w:hint="eastAsia"/>
          <w:rtl/>
        </w:rPr>
        <w:t>מסר</w:t>
      </w:r>
      <w:r w:rsidRPr="006D1604">
        <w:rPr>
          <w:rtl/>
        </w:rPr>
        <w:t xml:space="preserve"> </w:t>
      </w:r>
      <w:r w:rsidRPr="006D1604">
        <w:rPr>
          <w:rFonts w:hint="eastAsia"/>
          <w:rtl/>
        </w:rPr>
        <w:t>בתשובתו</w:t>
      </w:r>
      <w:r w:rsidRPr="006D1604">
        <w:rPr>
          <w:rtl/>
        </w:rPr>
        <w:t xml:space="preserve"> </w:t>
      </w:r>
      <w:r w:rsidRPr="006D1604">
        <w:rPr>
          <w:rFonts w:hint="eastAsia"/>
          <w:rtl/>
        </w:rPr>
        <w:t>כי</w:t>
      </w:r>
      <w:r w:rsidRPr="006D1604">
        <w:rPr>
          <w:rtl/>
        </w:rPr>
        <w:t xml:space="preserve"> </w:t>
      </w:r>
      <w:r w:rsidRPr="006D1604">
        <w:rPr>
          <w:rFonts w:hint="eastAsia"/>
          <w:rtl/>
        </w:rPr>
        <w:t>השוני</w:t>
      </w:r>
      <w:r w:rsidRPr="006D1604">
        <w:rPr>
          <w:rtl/>
        </w:rPr>
        <w:t xml:space="preserve"> </w:t>
      </w:r>
      <w:r w:rsidRPr="006D1604">
        <w:rPr>
          <w:rFonts w:hint="eastAsia"/>
          <w:rtl/>
        </w:rPr>
        <w:t>בהליכים</w:t>
      </w:r>
      <w:r w:rsidRPr="006D1604">
        <w:rPr>
          <w:rtl/>
        </w:rPr>
        <w:t xml:space="preserve"> </w:t>
      </w:r>
      <w:r w:rsidRPr="006D1604">
        <w:rPr>
          <w:rFonts w:hint="eastAsia"/>
          <w:rtl/>
        </w:rPr>
        <w:t>המשמעתיים</w:t>
      </w:r>
      <w:r w:rsidRPr="006D1604">
        <w:rPr>
          <w:rtl/>
        </w:rPr>
        <w:t xml:space="preserve"> </w:t>
      </w:r>
      <w:r w:rsidRPr="006D1604">
        <w:rPr>
          <w:rFonts w:hint="eastAsia"/>
          <w:rtl/>
        </w:rPr>
        <w:t>קיים</w:t>
      </w:r>
      <w:r w:rsidRPr="006D1604">
        <w:rPr>
          <w:rtl/>
        </w:rPr>
        <w:t xml:space="preserve"> </w:t>
      </w:r>
      <w:r>
        <w:rPr>
          <w:rFonts w:hint="cs"/>
          <w:rtl/>
        </w:rPr>
        <w:t>בנוגע</w:t>
      </w:r>
      <w:r w:rsidRPr="006D1604">
        <w:rPr>
          <w:rtl/>
        </w:rPr>
        <w:t xml:space="preserve"> </w:t>
      </w:r>
      <w:r w:rsidRPr="006D1604">
        <w:rPr>
          <w:rFonts w:hint="eastAsia"/>
          <w:rtl/>
        </w:rPr>
        <w:t>לכל</w:t>
      </w:r>
      <w:r w:rsidRPr="006D1604">
        <w:rPr>
          <w:rtl/>
        </w:rPr>
        <w:t xml:space="preserve"> </w:t>
      </w:r>
      <w:r w:rsidRPr="006D1604">
        <w:rPr>
          <w:rFonts w:hint="eastAsia"/>
          <w:rtl/>
        </w:rPr>
        <w:t>עבירות</w:t>
      </w:r>
      <w:r w:rsidRPr="006D1604">
        <w:rPr>
          <w:rtl/>
        </w:rPr>
        <w:t xml:space="preserve"> </w:t>
      </w:r>
      <w:r w:rsidRPr="006D1604">
        <w:rPr>
          <w:rFonts w:hint="eastAsia"/>
          <w:rtl/>
        </w:rPr>
        <w:t>המשמעת</w:t>
      </w:r>
      <w:r w:rsidRPr="006D1604">
        <w:rPr>
          <w:rtl/>
        </w:rPr>
        <w:t xml:space="preserve"> </w:t>
      </w:r>
      <w:r w:rsidRPr="006D1604">
        <w:rPr>
          <w:rFonts w:hint="eastAsia"/>
          <w:rtl/>
        </w:rPr>
        <w:t>ואינו</w:t>
      </w:r>
      <w:r w:rsidRPr="006D1604">
        <w:rPr>
          <w:rtl/>
        </w:rPr>
        <w:t xml:space="preserve"> ייחודי לסוגיית הטיפול בהטרדות מיניות. </w:t>
      </w:r>
      <w:r w:rsidRPr="006D1604">
        <w:rPr>
          <w:rFonts w:hint="eastAsia"/>
          <w:rtl/>
        </w:rPr>
        <w:t>ועוד</w:t>
      </w:r>
      <w:r w:rsidRPr="006D1604">
        <w:rPr>
          <w:rtl/>
        </w:rPr>
        <w:t xml:space="preserve"> ציין כי נעשים מאמצים </w:t>
      </w:r>
      <w:r>
        <w:rPr>
          <w:rFonts w:hint="cs"/>
          <w:rtl/>
        </w:rPr>
        <w:t>להגברת ה</w:t>
      </w:r>
      <w:r w:rsidRPr="006D1604">
        <w:rPr>
          <w:rtl/>
        </w:rPr>
        <w:t xml:space="preserve">אחידות </w:t>
      </w:r>
      <w:r>
        <w:rPr>
          <w:rtl/>
        </w:rPr>
        <w:t>במסגרת של תיקוני חקיקה</w:t>
      </w:r>
      <w:r w:rsidRPr="00292EE2">
        <w:rPr>
          <w:rtl/>
        </w:rPr>
        <w:t>.</w:t>
      </w:r>
    </w:p>
    <w:p w14:paraId="4EFFC2ED" w14:textId="77777777" w:rsidR="00417266" w:rsidRPr="00C43F1B" w:rsidRDefault="00417266" w:rsidP="0073378E">
      <w:pPr>
        <w:pStyle w:val="af3"/>
        <w:rPr>
          <w:rtl/>
        </w:rPr>
      </w:pPr>
      <w:r w:rsidRPr="00C43F1B">
        <w:rPr>
          <w:rFonts w:hint="cs"/>
          <w:rtl/>
        </w:rPr>
        <w:t xml:space="preserve">השוני בהליכים המשמעתיים במקצועות הבריאות השונים פותח פתח לאכיפה שאיננה שוויונית. </w:t>
      </w:r>
      <w:r>
        <w:rPr>
          <w:rFonts w:hint="cs"/>
          <w:rtl/>
        </w:rPr>
        <w:t>יש מקום ש</w:t>
      </w:r>
      <w:r w:rsidRPr="00C43F1B">
        <w:rPr>
          <w:rFonts w:hint="cs"/>
          <w:rtl/>
        </w:rPr>
        <w:t xml:space="preserve">משרד הבריאות </w:t>
      </w:r>
      <w:r>
        <w:rPr>
          <w:rFonts w:hint="cs"/>
          <w:rtl/>
        </w:rPr>
        <w:t>יבחן</w:t>
      </w:r>
      <w:r w:rsidRPr="00C43F1B">
        <w:rPr>
          <w:rFonts w:hint="cs"/>
          <w:rtl/>
        </w:rPr>
        <w:t xml:space="preserve"> מה היא הדרך הנכונה להסדרת ההליכים הנוגעים ל</w:t>
      </w:r>
      <w:r w:rsidRPr="00C43F1B">
        <w:rPr>
          <w:rFonts w:hint="eastAsia"/>
          <w:rtl/>
        </w:rPr>
        <w:t>מקצועות</w:t>
      </w:r>
      <w:r w:rsidRPr="00C43F1B">
        <w:rPr>
          <w:rtl/>
        </w:rPr>
        <w:t xml:space="preserve"> הטיפול שאינם דורשים קבלת רישיון</w:t>
      </w:r>
      <w:r w:rsidRPr="00C43F1B">
        <w:rPr>
          <w:rFonts w:hint="cs"/>
          <w:rtl/>
        </w:rPr>
        <w:t xml:space="preserve"> </w:t>
      </w:r>
      <w:r>
        <w:rPr>
          <w:rFonts w:hint="cs"/>
          <w:rtl/>
        </w:rPr>
        <w:t>וישקול</w:t>
      </w:r>
      <w:r w:rsidRPr="00C43F1B">
        <w:rPr>
          <w:rFonts w:hint="cs"/>
          <w:rtl/>
        </w:rPr>
        <w:t xml:space="preserve"> את הצורך בהאחד</w:t>
      </w:r>
      <w:r>
        <w:rPr>
          <w:rFonts w:hint="cs"/>
          <w:rtl/>
        </w:rPr>
        <w:t>ת</w:t>
      </w:r>
      <w:r w:rsidRPr="00C43F1B">
        <w:rPr>
          <w:rFonts w:hint="cs"/>
          <w:rtl/>
        </w:rPr>
        <w:t xml:space="preserve"> הטיפול בתלונות על הטרדה מינית בכלל מקצועות הרפואה ומקצועות הבריאות.</w:t>
      </w:r>
      <w:r w:rsidRPr="00C43F1B">
        <w:rPr>
          <w:rtl/>
        </w:rPr>
        <w:t xml:space="preserve"> </w:t>
      </w:r>
    </w:p>
    <w:p w14:paraId="405AA6B4" w14:textId="77777777" w:rsidR="00417266" w:rsidRPr="00C43F1B" w:rsidRDefault="00417266" w:rsidP="0073378E">
      <w:pPr>
        <w:pStyle w:val="316"/>
        <w:rPr>
          <w:rtl/>
        </w:rPr>
      </w:pPr>
      <w:r w:rsidRPr="00C43F1B">
        <w:rPr>
          <w:rFonts w:hint="cs"/>
          <w:rtl/>
        </w:rPr>
        <w:t>הטרדות מיניות במסגרת יחסי מטפל-מטופל</w:t>
      </w:r>
    </w:p>
    <w:p w14:paraId="319F0ED4" w14:textId="77777777" w:rsidR="00417266" w:rsidRPr="00C43F1B" w:rsidRDefault="00417266" w:rsidP="0073378E">
      <w:pPr>
        <w:pStyle w:val="100"/>
        <w:rPr>
          <w:rtl/>
        </w:rPr>
      </w:pPr>
      <w:r w:rsidRPr="00C43F1B">
        <w:rPr>
          <w:rFonts w:hint="cs"/>
          <w:rtl/>
        </w:rPr>
        <w:t>במערכת היחסים בין מטפל למטופל</w:t>
      </w:r>
      <w:r>
        <w:rPr>
          <w:rFonts w:hint="cs"/>
          <w:rtl/>
        </w:rPr>
        <w:t>,</w:t>
      </w:r>
      <w:r w:rsidRPr="00C43F1B">
        <w:rPr>
          <w:rFonts w:hint="cs"/>
          <w:rtl/>
        </w:rPr>
        <w:t xml:space="preserve"> המטופל מוחלש לעומת המטפל באופן מובנה. תחושת הפגיעות רבה לאין שיעור אם ההליך הרפואי (בדיקה או טיפול) מתבצע באיברים אינטימיים. הבדלי כוח אלו מעצימים את הפגיעה הנגרמת מהטרדה מינית המתרחשת במהלך הטיפול הרפואי, אך הם גם החסם המרכזי המביא לשתיקת המטופלים ולמיעוט הדיווחים על תופעה זו. כשמדובר במטופלים ומטופלות המאושפזים בבתי החולים הפסיכיאטריים המצב מורכב אף יותר והנפגעים נתקלים בחסמים נוספים</w:t>
      </w:r>
      <w:r w:rsidRPr="00C43F1B">
        <w:rPr>
          <w:rStyle w:val="FootnoteReference"/>
          <w:sz w:val="24"/>
          <w:rtl/>
        </w:rPr>
        <w:footnoteReference w:id="81"/>
      </w:r>
      <w:r w:rsidRPr="00C43F1B">
        <w:rPr>
          <w:rFonts w:hint="cs"/>
          <w:rtl/>
        </w:rPr>
        <w:t>. החוק קובע בנוגע לטיפול רפואי כי לא נדרש שהמטופלות יראו למטרידים כי אינן מעוניינות ב</w:t>
      </w:r>
      <w:r>
        <w:rPr>
          <w:rFonts w:hint="cs"/>
          <w:rtl/>
        </w:rPr>
        <w:t>הצעות או ב</w:t>
      </w:r>
      <w:r w:rsidRPr="00C43F1B">
        <w:rPr>
          <w:rFonts w:hint="cs"/>
          <w:rtl/>
        </w:rPr>
        <w:t>התייחסויות העוסקות במיניותן.</w:t>
      </w:r>
      <w:r>
        <w:rPr>
          <w:rFonts w:hint="cs"/>
          <w:rtl/>
        </w:rPr>
        <w:t xml:space="preserve"> </w:t>
      </w:r>
    </w:p>
    <w:p w14:paraId="6D151DFD" w14:textId="77777777" w:rsidR="00417266" w:rsidRPr="00C43F1B" w:rsidRDefault="00417266" w:rsidP="0073378E">
      <w:pPr>
        <w:pStyle w:val="a0"/>
        <w:numPr>
          <w:ilvl w:val="0"/>
          <w:numId w:val="32"/>
        </w:numPr>
        <w:rPr>
          <w:rtl/>
        </w:rPr>
      </w:pPr>
      <w:r w:rsidRPr="00C43F1B">
        <w:rPr>
          <w:rFonts w:hint="eastAsia"/>
          <w:rtl/>
        </w:rPr>
        <w:t>בשנת</w:t>
      </w:r>
      <w:r w:rsidRPr="00C43F1B">
        <w:rPr>
          <w:rtl/>
        </w:rPr>
        <w:t xml:space="preserve"> 2017 </w:t>
      </w:r>
      <w:r w:rsidRPr="00C43F1B">
        <w:rPr>
          <w:rFonts w:hint="eastAsia"/>
          <w:rtl/>
        </w:rPr>
        <w:t>הפיצה</w:t>
      </w:r>
      <w:r w:rsidRPr="00C43F1B">
        <w:rPr>
          <w:rtl/>
        </w:rPr>
        <w:t xml:space="preserve"> </w:t>
      </w:r>
      <w:r w:rsidRPr="00C43F1B">
        <w:rPr>
          <w:rFonts w:hint="eastAsia"/>
          <w:rtl/>
        </w:rPr>
        <w:t>קרן</w:t>
      </w:r>
      <w:r w:rsidRPr="00C43F1B">
        <w:rPr>
          <w:rtl/>
        </w:rPr>
        <w:t xml:space="preserve"> </w:t>
      </w:r>
      <w:r w:rsidRPr="00C43F1B">
        <w:rPr>
          <w:rFonts w:hint="cs"/>
          <w:rtl/>
        </w:rPr>
        <w:t>פרטית</w:t>
      </w:r>
      <w:r w:rsidRPr="00C43F1B">
        <w:rPr>
          <w:rtl/>
        </w:rPr>
        <w:t xml:space="preserve"> </w:t>
      </w:r>
      <w:r>
        <w:rPr>
          <w:rFonts w:hint="cs"/>
          <w:rtl/>
        </w:rPr>
        <w:t xml:space="preserve">(חל"צ) </w:t>
      </w:r>
      <w:r w:rsidRPr="00C43F1B">
        <w:rPr>
          <w:rFonts w:hint="eastAsia"/>
          <w:rtl/>
        </w:rPr>
        <w:t>שאלון</w:t>
      </w:r>
      <w:r w:rsidRPr="00C43F1B">
        <w:rPr>
          <w:rtl/>
        </w:rPr>
        <w:t xml:space="preserve"> </w:t>
      </w:r>
      <w:r>
        <w:rPr>
          <w:rFonts w:hint="cs"/>
          <w:rtl/>
        </w:rPr>
        <w:t>ב</w:t>
      </w:r>
      <w:r w:rsidRPr="00C43F1B">
        <w:rPr>
          <w:rFonts w:hint="cs"/>
          <w:rtl/>
        </w:rPr>
        <w:t>מרשתת בנוגע לתחושתן של הנשים במהלך בדיקה גינקולוגית, ו</w:t>
      </w:r>
      <w:r w:rsidRPr="00C43F1B">
        <w:rPr>
          <w:rFonts w:hint="eastAsia"/>
          <w:rtl/>
        </w:rPr>
        <w:t>בו</w:t>
      </w:r>
      <w:r w:rsidRPr="00C43F1B">
        <w:rPr>
          <w:rtl/>
        </w:rPr>
        <w:t xml:space="preserve"> </w:t>
      </w:r>
      <w:r w:rsidRPr="00C43F1B">
        <w:rPr>
          <w:rFonts w:hint="eastAsia"/>
          <w:rtl/>
        </w:rPr>
        <w:t>השתתפו</w:t>
      </w:r>
      <w:r w:rsidRPr="00C43F1B">
        <w:t xml:space="preserve"> </w:t>
      </w:r>
      <w:r w:rsidRPr="00C43F1B">
        <w:rPr>
          <w:rtl/>
        </w:rPr>
        <w:t xml:space="preserve">6,508 </w:t>
      </w:r>
      <w:r w:rsidRPr="00C43F1B">
        <w:rPr>
          <w:rFonts w:hint="eastAsia"/>
          <w:rtl/>
        </w:rPr>
        <w:t>נשים</w:t>
      </w:r>
      <w:r w:rsidRPr="00C43F1B">
        <w:t xml:space="preserve"> </w:t>
      </w:r>
      <w:r w:rsidRPr="00C43F1B">
        <w:rPr>
          <w:rFonts w:hint="eastAsia"/>
          <w:rtl/>
        </w:rPr>
        <w:t>ממגוון</w:t>
      </w:r>
      <w:r w:rsidRPr="00C43F1B">
        <w:t xml:space="preserve"> </w:t>
      </w:r>
      <w:r w:rsidRPr="00C43F1B">
        <w:rPr>
          <w:rFonts w:hint="eastAsia"/>
          <w:rtl/>
        </w:rPr>
        <w:t>גילאים</w:t>
      </w:r>
      <w:r w:rsidRPr="00C43F1B">
        <w:t xml:space="preserve"> </w:t>
      </w:r>
      <w:r w:rsidRPr="00C43F1B">
        <w:rPr>
          <w:rFonts w:hint="eastAsia"/>
          <w:rtl/>
        </w:rPr>
        <w:t>ומגזרים</w:t>
      </w:r>
      <w:r w:rsidRPr="00C43F1B">
        <w:rPr>
          <w:rtl/>
        </w:rPr>
        <w:t>. 16%</w:t>
      </w:r>
      <w:r>
        <w:rPr>
          <w:rFonts w:hint="cs"/>
          <w:rtl/>
        </w:rPr>
        <w:t xml:space="preserve"> (כ-1,040)</w:t>
      </w:r>
      <w:r w:rsidRPr="00C43F1B">
        <w:t xml:space="preserve"> </w:t>
      </w:r>
      <w:r w:rsidRPr="00C43F1B">
        <w:rPr>
          <w:rFonts w:hint="eastAsia"/>
          <w:rtl/>
        </w:rPr>
        <w:t>מהנשים</w:t>
      </w:r>
      <w:r w:rsidRPr="00C43F1B">
        <w:t xml:space="preserve"> </w:t>
      </w:r>
      <w:r w:rsidRPr="00C43F1B">
        <w:rPr>
          <w:rFonts w:hint="eastAsia"/>
          <w:rtl/>
        </w:rPr>
        <w:t>העידו</w:t>
      </w:r>
      <w:r w:rsidRPr="00C43F1B">
        <w:rPr>
          <w:rFonts w:hint="cs"/>
          <w:rtl/>
        </w:rPr>
        <w:t xml:space="preserve"> בסקר </w:t>
      </w:r>
      <w:r w:rsidRPr="00C43F1B">
        <w:rPr>
          <w:rFonts w:hint="eastAsia"/>
          <w:rtl/>
        </w:rPr>
        <w:t>כ</w:t>
      </w:r>
      <w:r w:rsidRPr="00C43F1B">
        <w:rPr>
          <w:rFonts w:hint="cs"/>
          <w:rtl/>
        </w:rPr>
        <w:t xml:space="preserve">י </w:t>
      </w:r>
      <w:r w:rsidRPr="00C43F1B">
        <w:rPr>
          <w:rFonts w:hint="eastAsia"/>
          <w:rtl/>
        </w:rPr>
        <w:t>חוו</w:t>
      </w:r>
      <w:r w:rsidRPr="00C43F1B">
        <w:rPr>
          <w:rtl/>
        </w:rPr>
        <w:t xml:space="preserve"> </w:t>
      </w:r>
      <w:r w:rsidRPr="00C43F1B">
        <w:rPr>
          <w:rFonts w:hint="eastAsia"/>
          <w:rtl/>
        </w:rPr>
        <w:t>לפחות</w:t>
      </w:r>
      <w:r w:rsidRPr="00C43F1B">
        <w:t xml:space="preserve"> </w:t>
      </w:r>
      <w:r w:rsidRPr="00C43F1B">
        <w:rPr>
          <w:rFonts w:hint="eastAsia"/>
          <w:rtl/>
        </w:rPr>
        <w:t>פעם</w:t>
      </w:r>
      <w:r w:rsidRPr="00C43F1B">
        <w:t xml:space="preserve"> </w:t>
      </w:r>
      <w:r w:rsidRPr="00C43F1B">
        <w:rPr>
          <w:rFonts w:hint="eastAsia"/>
          <w:rtl/>
        </w:rPr>
        <w:t>אחת</w:t>
      </w:r>
      <w:r w:rsidRPr="00C43F1B">
        <w:t xml:space="preserve"> </w:t>
      </w:r>
      <w:r w:rsidRPr="00C43F1B">
        <w:rPr>
          <w:rFonts w:hint="eastAsia"/>
          <w:rtl/>
        </w:rPr>
        <w:t>הערה</w:t>
      </w:r>
      <w:r w:rsidRPr="00C43F1B">
        <w:rPr>
          <w:rtl/>
        </w:rPr>
        <w:t xml:space="preserve"> או </w:t>
      </w:r>
      <w:r w:rsidRPr="00C43F1B">
        <w:rPr>
          <w:rFonts w:hint="eastAsia"/>
          <w:rtl/>
        </w:rPr>
        <w:t>שאלה</w:t>
      </w:r>
      <w:r w:rsidRPr="00C43F1B">
        <w:t xml:space="preserve"> </w:t>
      </w:r>
      <w:r w:rsidRPr="00C43F1B">
        <w:rPr>
          <w:rFonts w:hint="eastAsia"/>
          <w:rtl/>
        </w:rPr>
        <w:t>שנתפסה</w:t>
      </w:r>
      <w:r w:rsidRPr="00C43F1B">
        <w:t xml:space="preserve"> </w:t>
      </w:r>
      <w:r w:rsidRPr="00C43F1B">
        <w:rPr>
          <w:rFonts w:hint="eastAsia"/>
          <w:rtl/>
        </w:rPr>
        <w:t>בעיניהן</w:t>
      </w:r>
      <w:r w:rsidRPr="00C43F1B">
        <w:t xml:space="preserve"> </w:t>
      </w:r>
      <w:r w:rsidRPr="00C43F1B">
        <w:rPr>
          <w:rFonts w:hint="eastAsia"/>
          <w:rtl/>
        </w:rPr>
        <w:t>כלא</w:t>
      </w:r>
      <w:r w:rsidRPr="00C43F1B">
        <w:t xml:space="preserve"> </w:t>
      </w:r>
      <w:r w:rsidRPr="00C43F1B">
        <w:rPr>
          <w:rFonts w:hint="eastAsia"/>
          <w:rtl/>
        </w:rPr>
        <w:t>ראויה</w:t>
      </w:r>
      <w:r w:rsidRPr="00C43F1B">
        <w:t>.</w:t>
      </w:r>
      <w:r w:rsidRPr="00C43F1B">
        <w:rPr>
          <w:rtl/>
        </w:rPr>
        <w:t xml:space="preserve"> ניתוח איכותני של 600 התיאורים המילוליים והציטוטים שהתקבלו הראה </w:t>
      </w:r>
      <w:r>
        <w:rPr>
          <w:rFonts w:hint="cs"/>
          <w:rtl/>
        </w:rPr>
        <w:t>ש</w:t>
      </w:r>
      <w:r w:rsidRPr="00C43F1B">
        <w:rPr>
          <w:rFonts w:hint="cs"/>
          <w:rtl/>
        </w:rPr>
        <w:t xml:space="preserve">כ-80% עסקו במיניות ובמראה של האישה. ממצאי השאלון מלמדים על המורכבות של יחסי מטופלות ומטפלים במערכת הבריאות, והם מצביעים על קיומן של אמירות המנוגדות להוראות החוק האוסרות התייחסות מבזה או משפילה לאדם המתמקדת במיניותו. </w:t>
      </w:r>
    </w:p>
    <w:p w14:paraId="69ADB843" w14:textId="77777777" w:rsidR="00417266" w:rsidRPr="00B90C5B" w:rsidRDefault="00417266" w:rsidP="0073378E">
      <w:pPr>
        <w:pStyle w:val="a0"/>
      </w:pPr>
      <w:r w:rsidRPr="00B90C5B">
        <w:rPr>
          <w:rFonts w:hint="cs"/>
          <w:rtl/>
        </w:rPr>
        <w:t>בסקר של עמותה הפועלת למען צדק חברתי ולמימוש זכויות נשים</w:t>
      </w:r>
      <w:r w:rsidRPr="00B90C5B">
        <w:rPr>
          <w:rtl/>
        </w:rPr>
        <w:t xml:space="preserve"> בנושא פגיעות מיניות במטופלות במערכת הבריאות</w:t>
      </w:r>
      <w:r w:rsidRPr="00B90C5B">
        <w:rPr>
          <w:rFonts w:hint="cs"/>
          <w:rtl/>
        </w:rPr>
        <w:t>, שהוצג בפברואר 2016 ל</w:t>
      </w:r>
      <w:r w:rsidRPr="00B90C5B">
        <w:rPr>
          <w:rtl/>
        </w:rPr>
        <w:t>וועד</w:t>
      </w:r>
      <w:r w:rsidRPr="00B90C5B">
        <w:rPr>
          <w:rFonts w:hint="cs"/>
          <w:rtl/>
        </w:rPr>
        <w:t xml:space="preserve">ת </w:t>
      </w:r>
      <w:r w:rsidRPr="00B90C5B">
        <w:rPr>
          <w:rtl/>
        </w:rPr>
        <w:t>ה</w:t>
      </w:r>
      <w:r w:rsidRPr="00B90C5B">
        <w:rPr>
          <w:rFonts w:hint="cs"/>
          <w:rtl/>
        </w:rPr>
        <w:t>כנסת</w:t>
      </w:r>
      <w:r w:rsidRPr="00B90C5B">
        <w:rPr>
          <w:rtl/>
        </w:rPr>
        <w:t xml:space="preserve"> לקידום מעמד האישה</w:t>
      </w:r>
      <w:r w:rsidRPr="00B90C5B">
        <w:rPr>
          <w:rFonts w:hint="cs"/>
          <w:rtl/>
        </w:rPr>
        <w:t>, נשאלו</w:t>
      </w:r>
      <w:r w:rsidRPr="00B90C5B">
        <w:rPr>
          <w:rtl/>
        </w:rPr>
        <w:t xml:space="preserve"> 274 </w:t>
      </w:r>
      <w:r w:rsidRPr="00B90C5B">
        <w:rPr>
          <w:rFonts w:hint="eastAsia"/>
          <w:rtl/>
        </w:rPr>
        <w:t>נשים</w:t>
      </w:r>
      <w:r w:rsidRPr="00B90C5B">
        <w:rPr>
          <w:rtl/>
        </w:rPr>
        <w:t xml:space="preserve"> </w:t>
      </w:r>
      <w:r w:rsidRPr="00B90C5B">
        <w:rPr>
          <w:rFonts w:hint="cs"/>
          <w:rtl/>
        </w:rPr>
        <w:t xml:space="preserve">(שאינן מדגם מייצג) שאלות </w:t>
      </w:r>
      <w:r w:rsidRPr="00B90C5B">
        <w:rPr>
          <w:rFonts w:hint="eastAsia"/>
          <w:rtl/>
        </w:rPr>
        <w:t>בנושא</w:t>
      </w:r>
      <w:r w:rsidRPr="00B90C5B">
        <w:rPr>
          <w:rtl/>
        </w:rPr>
        <w:t xml:space="preserve"> </w:t>
      </w:r>
      <w:r w:rsidRPr="00B90C5B">
        <w:rPr>
          <w:rFonts w:hint="eastAsia"/>
          <w:rtl/>
        </w:rPr>
        <w:t>הטרדות</w:t>
      </w:r>
      <w:r w:rsidRPr="00B90C5B">
        <w:rPr>
          <w:rtl/>
        </w:rPr>
        <w:t xml:space="preserve"> </w:t>
      </w:r>
      <w:r w:rsidRPr="00B90C5B">
        <w:rPr>
          <w:rFonts w:hint="eastAsia"/>
          <w:rtl/>
        </w:rPr>
        <w:t>מיניות</w:t>
      </w:r>
      <w:r w:rsidRPr="00B90C5B">
        <w:rPr>
          <w:rtl/>
        </w:rPr>
        <w:t xml:space="preserve"> </w:t>
      </w:r>
      <w:r w:rsidRPr="00B90C5B">
        <w:rPr>
          <w:rFonts w:hint="cs"/>
          <w:rtl/>
        </w:rPr>
        <w:t>ב</w:t>
      </w:r>
      <w:r w:rsidRPr="00B90C5B">
        <w:rPr>
          <w:rFonts w:hint="eastAsia"/>
          <w:rtl/>
        </w:rPr>
        <w:t>ידי</w:t>
      </w:r>
      <w:r w:rsidRPr="00B90C5B">
        <w:rPr>
          <w:rtl/>
        </w:rPr>
        <w:t xml:space="preserve"> </w:t>
      </w:r>
      <w:r w:rsidRPr="00B90C5B">
        <w:rPr>
          <w:rFonts w:hint="eastAsia"/>
          <w:rtl/>
        </w:rPr>
        <w:t>אנשי</w:t>
      </w:r>
      <w:r w:rsidRPr="00B90C5B">
        <w:rPr>
          <w:rtl/>
        </w:rPr>
        <w:t xml:space="preserve"> </w:t>
      </w:r>
      <w:r w:rsidRPr="00B90C5B">
        <w:rPr>
          <w:rFonts w:hint="eastAsia"/>
          <w:rtl/>
        </w:rPr>
        <w:t>צוות</w:t>
      </w:r>
      <w:r w:rsidRPr="00B90C5B">
        <w:rPr>
          <w:rtl/>
        </w:rPr>
        <w:t xml:space="preserve"> </w:t>
      </w:r>
      <w:r w:rsidRPr="00B90C5B">
        <w:rPr>
          <w:rFonts w:hint="eastAsia"/>
          <w:rtl/>
        </w:rPr>
        <w:t>רפואה</w:t>
      </w:r>
      <w:r w:rsidRPr="00B90C5B">
        <w:rPr>
          <w:rtl/>
        </w:rPr>
        <w:t xml:space="preserve"> </w:t>
      </w:r>
      <w:r w:rsidRPr="00B90C5B">
        <w:rPr>
          <w:rFonts w:hint="eastAsia"/>
          <w:rtl/>
        </w:rPr>
        <w:t>שונים</w:t>
      </w:r>
      <w:r w:rsidRPr="00B90C5B">
        <w:rPr>
          <w:rFonts w:hint="cs"/>
          <w:rtl/>
        </w:rPr>
        <w:t>. אלו תוצאות הסקר.</w:t>
      </w:r>
    </w:p>
    <w:p w14:paraId="600EA21B" w14:textId="77777777" w:rsidR="00417266" w:rsidRPr="0073378E" w:rsidRDefault="00417266" w:rsidP="0073378E">
      <w:pPr>
        <w:pStyle w:val="a8"/>
        <w:rPr>
          <w:b/>
          <w:bCs/>
        </w:rPr>
      </w:pPr>
      <w:r w:rsidRPr="00865192">
        <w:rPr>
          <w:rFonts w:hint="cs"/>
          <w:rtl/>
        </w:rPr>
        <w:lastRenderedPageBreak/>
        <w:t xml:space="preserve">תרשים </w:t>
      </w:r>
      <w:r>
        <w:rPr>
          <w:rFonts w:hint="cs"/>
          <w:rtl/>
        </w:rPr>
        <w:t>19</w:t>
      </w:r>
      <w:r w:rsidRPr="00865192">
        <w:rPr>
          <w:rFonts w:hint="cs"/>
          <w:rtl/>
        </w:rPr>
        <w:t xml:space="preserve">: </w:t>
      </w:r>
      <w:r w:rsidRPr="0073378E">
        <w:rPr>
          <w:b/>
          <w:bCs/>
          <w:rtl/>
        </w:rPr>
        <w:t>דיווחים על פגיעה מינית במהלך טיפול רפואי</w:t>
      </w:r>
    </w:p>
    <w:p w14:paraId="2C6DD6A7" w14:textId="77777777" w:rsidR="00417266" w:rsidRDefault="00417266" w:rsidP="00417266">
      <w:pPr>
        <w:spacing w:line="269" w:lineRule="auto"/>
        <w:ind w:left="709"/>
        <w:rPr>
          <w:szCs w:val="20"/>
          <w:rtl/>
        </w:rPr>
      </w:pPr>
      <w:r>
        <w:rPr>
          <w:noProof/>
          <w:rtl/>
        </w:rPr>
        <mc:AlternateContent>
          <mc:Choice Requires="wps">
            <w:drawing>
              <wp:inline distT="0" distB="0" distL="0" distR="0" wp14:anchorId="7D644FC0" wp14:editId="6CE7C504">
                <wp:extent cx="2288761" cy="266700"/>
                <wp:effectExtent l="0" t="0" r="16510" b="19050"/>
                <wp:docPr id="20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88761" cy="266700"/>
                        </a:xfrm>
                        <a:prstGeom prst="rect">
                          <a:avLst/>
                        </a:prstGeom>
                        <a:solidFill>
                          <a:srgbClr val="FFFFFF"/>
                        </a:solidFill>
                        <a:ln w="9525">
                          <a:solidFill>
                            <a:srgbClr val="000000"/>
                          </a:solidFill>
                          <a:miter lim="800000"/>
                          <a:headEnd/>
                          <a:tailEnd/>
                        </a:ln>
                      </wps:spPr>
                      <wps:txbx>
                        <w:txbxContent>
                          <w:p w14:paraId="40204410" w14:textId="77777777" w:rsidR="00492C76" w:rsidRDefault="00492C76" w:rsidP="0073378E">
                            <w:pPr>
                              <w:pStyle w:val="100"/>
                              <w:jc w:val="center"/>
                              <w:rPr>
                                <w:rtl/>
                                <w:cs/>
                              </w:rPr>
                            </w:pPr>
                            <w:r>
                              <w:rPr>
                                <w:rFonts w:hint="cs"/>
                                <w:rtl/>
                              </w:rPr>
                              <w:t>דוברות עברית</w:t>
                            </w:r>
                          </w:p>
                        </w:txbxContent>
                      </wps:txbx>
                      <wps:bodyPr rot="0" vert="horz" wrap="square" lIns="91440" tIns="45720" rIns="91440" bIns="45720" anchor="t" anchorCtr="0">
                        <a:noAutofit/>
                      </wps:bodyPr>
                    </wps:wsp>
                  </a:graphicData>
                </a:graphic>
              </wp:inline>
            </w:drawing>
          </mc:Choice>
          <mc:Fallback xmlns:w16="http://schemas.microsoft.com/office/word/2018/wordml" xmlns:w16cex="http://schemas.microsoft.com/office/word/2018/wordml/cex">
            <w:pict>
              <v:shape w14:anchorId="7D644FC0" id="_x0000_s1030" type="#_x0000_t202" style="width:180.2pt;height:21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">
                <v:textbox>
                  <w:txbxContent>
                    <w:p w14:paraId="40204410" w14:textId="77777777" w:rsidR="00492C76" w:rsidRDefault="00492C76" w:rsidP="0073378E">
                      <w:pPr>
                        <w:pStyle w:val="100"/>
                        <w:jc w:val="center"/>
                        <w:rPr>
                          <w:rtl/>
                          <w:cs/>
                        </w:rPr>
                      </w:pPr>
                      <w:r>
                        <w:rPr>
                          <w:rFonts w:hint="cs"/>
                          <w:rtl/>
                        </w:rPr>
                        <w:t>דוברות עברית</w:t>
                      </w:r>
                    </w:p>
                  </w:txbxContent>
                </v:textbox>
                <w10:anchorlock/>
              </v:shape>
            </w:pict>
          </mc:Fallback>
        </mc:AlternateContent>
      </w:r>
      <w:r>
        <w:rPr>
          <w:noProof/>
          <w:rtl/>
        </w:rPr>
        <mc:AlternateContent>
          <mc:Choice Requires="wps">
            <w:drawing>
              <wp:inline distT="0" distB="0" distL="0" distR="0" wp14:anchorId="21184A26" wp14:editId="27AC6AAC">
                <wp:extent cx="2401294" cy="266700"/>
                <wp:effectExtent l="0" t="0" r="18415" b="19050"/>
                <wp:docPr id="20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01294" cy="266700"/>
                        </a:xfrm>
                        <a:prstGeom prst="rect">
                          <a:avLst/>
                        </a:prstGeom>
                        <a:solidFill>
                          <a:srgbClr val="FFFFFF"/>
                        </a:solidFill>
                        <a:ln w="9525">
                          <a:solidFill>
                            <a:srgbClr val="000000"/>
                          </a:solidFill>
                          <a:miter lim="800000"/>
                          <a:headEnd/>
                          <a:tailEnd/>
                        </a:ln>
                      </wps:spPr>
                      <wps:txbx>
                        <w:txbxContent>
                          <w:p w14:paraId="19067131" w14:textId="77777777" w:rsidR="00492C76" w:rsidRDefault="00492C76" w:rsidP="0073378E">
                            <w:pPr>
                              <w:pStyle w:val="100"/>
                              <w:jc w:val="center"/>
                              <w:rPr>
                                <w:rtl/>
                                <w:cs/>
                              </w:rPr>
                            </w:pPr>
                            <w:r>
                              <w:rPr>
                                <w:rFonts w:hint="cs"/>
                                <w:rtl/>
                              </w:rPr>
                              <w:t>דוברות ערבית</w:t>
                            </w:r>
                          </w:p>
                        </w:txbxContent>
                      </wps:txbx>
                      <wps:bodyPr rot="0" vert="horz" wrap="square" lIns="91440" tIns="45720" rIns="91440" bIns="45720" anchor="t" anchorCtr="0">
                        <a:noAutofit/>
                      </wps:bodyPr>
                    </wps:wsp>
                  </a:graphicData>
                </a:graphic>
              </wp:inline>
            </w:drawing>
          </mc:Choice>
          <mc:Fallback xmlns:w16="http://schemas.microsoft.com/office/word/2018/wordml" xmlns:w16cex="http://schemas.microsoft.com/office/word/2018/wordml/cex">
            <w:pict>
              <v:shape w14:anchorId="21184A26" id="_x0000_s1031" type="#_x0000_t202" style="width:189.1pt;height:21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">
                <v:textbox>
                  <w:txbxContent>
                    <w:p w14:paraId="19067131" w14:textId="77777777" w:rsidR="00492C76" w:rsidRDefault="00492C76" w:rsidP="0073378E">
                      <w:pPr>
                        <w:pStyle w:val="100"/>
                        <w:jc w:val="center"/>
                        <w:rPr>
                          <w:rtl/>
                          <w:cs/>
                        </w:rPr>
                      </w:pPr>
                      <w:r>
                        <w:rPr>
                          <w:rFonts w:hint="cs"/>
                          <w:rtl/>
                        </w:rPr>
                        <w:t>דוברות ערבית</w:t>
                      </w:r>
                    </w:p>
                  </w:txbxContent>
                </v:textbox>
                <w10:anchorlock/>
              </v:shape>
            </w:pict>
          </mc:Fallback>
        </mc:AlternateContent>
      </w:r>
      <w:r>
        <w:rPr>
          <w:noProof/>
          <w:szCs w:val="20"/>
          <w:rtl/>
        </w:rPr>
        <w:drawing>
          <wp:inline distT="0" distB="0" distL="0" distR="0" wp14:anchorId="4FB161B6" wp14:editId="320F25BB">
            <wp:extent cx="2297430" cy="2476500"/>
            <wp:effectExtent l="0" t="0" r="7620" b="0"/>
            <wp:docPr id="205" name="תרשים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szCs w:val="20"/>
          <w:rtl/>
        </w:rPr>
        <w:drawing>
          <wp:inline distT="0" distB="0" distL="0" distR="0" wp14:anchorId="5429CA33" wp14:editId="0A27544C">
            <wp:extent cx="2439670" cy="2486025"/>
            <wp:effectExtent l="0" t="0" r="17780" b="9525"/>
            <wp:docPr id="212" name="תרשים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CD08D47" w14:textId="77777777" w:rsidR="00417266" w:rsidRDefault="00417266" w:rsidP="00417266">
      <w:pPr>
        <w:pStyle w:val="ListParagraph"/>
        <w:spacing w:line="269" w:lineRule="auto"/>
        <w:ind w:left="709"/>
        <w:jc w:val="center"/>
        <w:rPr>
          <w:szCs w:val="20"/>
          <w:rtl/>
        </w:rPr>
      </w:pPr>
      <w:r w:rsidRPr="00CE1422">
        <w:rPr>
          <w:rFonts w:ascii="Tahoma" w:hAnsi="Tahoma" w:cs="Tahoma"/>
          <w:noProof/>
          <w:szCs w:val="20"/>
        </w:rPr>
        <w:drawing>
          <wp:inline distT="0" distB="0" distL="0" distR="0" wp14:anchorId="22D8D4D0" wp14:editId="7B3DD1DF">
            <wp:extent cx="3196590" cy="862965"/>
            <wp:effectExtent l="0" t="0" r="3810" b="0"/>
            <wp:docPr id="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6590" cy="862965"/>
                    </a:xfrm>
                    <a:prstGeom prst="rect">
                      <a:avLst/>
                    </a:prstGeom>
                    <a:noFill/>
                    <a:ln>
                      <a:noFill/>
                    </a:ln>
                  </pic:spPr>
                </pic:pic>
              </a:graphicData>
            </a:graphic>
          </wp:inline>
        </w:drawing>
      </w:r>
    </w:p>
    <w:p w14:paraId="37C890A5" w14:textId="77777777" w:rsidR="00417266" w:rsidRPr="000A7028" w:rsidRDefault="00417266" w:rsidP="0073378E">
      <w:pPr>
        <w:pStyle w:val="aa"/>
      </w:pPr>
      <w:r>
        <w:rPr>
          <w:rFonts w:hint="cs"/>
          <w:rtl/>
        </w:rPr>
        <w:t>על פי נתוני סקר העמותה</w:t>
      </w:r>
      <w:r w:rsidRPr="008C7017">
        <w:rPr>
          <w:rtl/>
        </w:rPr>
        <w:t xml:space="preserve"> הפועלת למען צדק חברתי ולמימוש זכויות נשים</w:t>
      </w:r>
      <w:r>
        <w:rPr>
          <w:rFonts w:hint="cs"/>
          <w:rtl/>
        </w:rPr>
        <w:t xml:space="preserve">, </w:t>
      </w:r>
      <w:r w:rsidRPr="000A7028">
        <w:rPr>
          <w:rFonts w:hint="eastAsia"/>
          <w:rtl/>
        </w:rPr>
        <w:t>בעיבוד</w:t>
      </w:r>
      <w:r w:rsidRPr="000A7028">
        <w:rPr>
          <w:rtl/>
        </w:rPr>
        <w:t xml:space="preserve"> </w:t>
      </w:r>
      <w:r w:rsidRPr="000A7028">
        <w:rPr>
          <w:rFonts w:hint="eastAsia"/>
          <w:rtl/>
        </w:rPr>
        <w:t>משרד</w:t>
      </w:r>
      <w:r w:rsidRPr="000A7028">
        <w:rPr>
          <w:rtl/>
        </w:rPr>
        <w:t xml:space="preserve"> </w:t>
      </w:r>
      <w:r w:rsidRPr="000A7028">
        <w:rPr>
          <w:rFonts w:hint="eastAsia"/>
          <w:rtl/>
        </w:rPr>
        <w:t>מבקר</w:t>
      </w:r>
      <w:r w:rsidRPr="000A7028">
        <w:rPr>
          <w:rtl/>
        </w:rPr>
        <w:t xml:space="preserve"> </w:t>
      </w:r>
      <w:r w:rsidRPr="000A7028">
        <w:rPr>
          <w:rFonts w:hint="eastAsia"/>
          <w:rtl/>
        </w:rPr>
        <w:t>המדינה</w:t>
      </w:r>
      <w:r w:rsidRPr="000A7028">
        <w:rPr>
          <w:rtl/>
        </w:rPr>
        <w:t>.</w:t>
      </w:r>
    </w:p>
    <w:p w14:paraId="2461D818" w14:textId="77777777" w:rsidR="00417266" w:rsidRDefault="00417266" w:rsidP="00417266">
      <w:pPr>
        <w:spacing w:line="269" w:lineRule="auto"/>
        <w:rPr>
          <w:rtl/>
        </w:rPr>
      </w:pPr>
    </w:p>
    <w:p w14:paraId="532A85F6" w14:textId="77777777" w:rsidR="00417266" w:rsidRPr="00876CFC" w:rsidRDefault="00417266" w:rsidP="0073378E">
      <w:pPr>
        <w:pStyle w:val="100"/>
      </w:pPr>
      <w:r>
        <w:rPr>
          <w:rFonts w:hint="cs"/>
          <w:rtl/>
        </w:rPr>
        <w:t>20 נשים (כ-21% מהמדווחות על פגיעה מינית) פנו לגורם מטפל.</w:t>
      </w:r>
      <w:r w:rsidRPr="00876CFC">
        <w:rPr>
          <w:rFonts w:hint="cs"/>
          <w:rtl/>
        </w:rPr>
        <w:t xml:space="preserve"> </w:t>
      </w:r>
    </w:p>
    <w:p w14:paraId="49E17F6A" w14:textId="77777777" w:rsidR="00417266" w:rsidRPr="00C43F1B" w:rsidRDefault="00417266" w:rsidP="0073378E">
      <w:pPr>
        <w:pStyle w:val="a0"/>
      </w:pPr>
      <w:r w:rsidRPr="00C43F1B">
        <w:rPr>
          <w:rFonts w:hint="eastAsia"/>
          <w:rtl/>
        </w:rPr>
        <w:t>בדצמבר</w:t>
      </w:r>
      <w:r w:rsidRPr="00C43F1B">
        <w:rPr>
          <w:rtl/>
        </w:rPr>
        <w:t xml:space="preserve"> 2016 </w:t>
      </w:r>
      <w:r w:rsidRPr="00C43F1B">
        <w:rPr>
          <w:rFonts w:hint="eastAsia"/>
          <w:rtl/>
        </w:rPr>
        <w:t>הוגשה</w:t>
      </w:r>
      <w:r w:rsidRPr="00C43F1B">
        <w:rPr>
          <w:rtl/>
        </w:rPr>
        <w:t xml:space="preserve"> </w:t>
      </w:r>
      <w:r w:rsidRPr="00C43F1B">
        <w:rPr>
          <w:rFonts w:hint="eastAsia"/>
          <w:rtl/>
        </w:rPr>
        <w:t>לכנסת</w:t>
      </w:r>
      <w:r w:rsidRPr="00C43F1B">
        <w:rPr>
          <w:rtl/>
        </w:rPr>
        <w:t xml:space="preserve"> </w:t>
      </w:r>
      <w:r w:rsidRPr="00C43F1B">
        <w:rPr>
          <w:rFonts w:hint="cs"/>
          <w:rtl/>
        </w:rPr>
        <w:t>הצעת חוק למניעת הטרדה מינית (תיקון - הרחבת התחולה לגבי מוסד ציבורי הנותן שירות חיוני), התשע"ז-2016</w:t>
      </w:r>
      <w:r w:rsidRPr="00C43F1B">
        <w:rPr>
          <w:rtl/>
        </w:rPr>
        <w:t xml:space="preserve">. </w:t>
      </w:r>
      <w:r w:rsidRPr="00C43F1B">
        <w:rPr>
          <w:rFonts w:hint="eastAsia"/>
          <w:rtl/>
        </w:rPr>
        <w:t>בדברי</w:t>
      </w:r>
      <w:r w:rsidRPr="00C43F1B">
        <w:rPr>
          <w:rtl/>
        </w:rPr>
        <w:t xml:space="preserve"> </w:t>
      </w:r>
      <w:r w:rsidRPr="00C43F1B">
        <w:rPr>
          <w:rFonts w:hint="eastAsia"/>
          <w:rtl/>
        </w:rPr>
        <w:t>ההסבר</w:t>
      </w:r>
      <w:r w:rsidRPr="00C43F1B">
        <w:rPr>
          <w:rtl/>
        </w:rPr>
        <w:t xml:space="preserve"> </w:t>
      </w:r>
      <w:r w:rsidRPr="00C43F1B">
        <w:rPr>
          <w:rFonts w:hint="eastAsia"/>
          <w:rtl/>
        </w:rPr>
        <w:t>להצעת</w:t>
      </w:r>
      <w:r w:rsidRPr="00C43F1B">
        <w:rPr>
          <w:rtl/>
        </w:rPr>
        <w:t xml:space="preserve"> </w:t>
      </w:r>
      <w:r w:rsidRPr="00C43F1B">
        <w:rPr>
          <w:rFonts w:hint="eastAsia"/>
          <w:rtl/>
        </w:rPr>
        <w:t>החוק</w:t>
      </w:r>
      <w:r w:rsidRPr="00C43F1B">
        <w:rPr>
          <w:rtl/>
        </w:rPr>
        <w:t xml:space="preserve"> </w:t>
      </w:r>
      <w:r w:rsidRPr="00C43F1B">
        <w:rPr>
          <w:rFonts w:hint="eastAsia"/>
          <w:rtl/>
        </w:rPr>
        <w:t>נכתב</w:t>
      </w:r>
      <w:r w:rsidRPr="00C43F1B">
        <w:rPr>
          <w:rtl/>
        </w:rPr>
        <w:t xml:space="preserve"> </w:t>
      </w:r>
      <w:r w:rsidRPr="00C43F1B">
        <w:rPr>
          <w:rFonts w:hint="eastAsia"/>
          <w:rtl/>
        </w:rPr>
        <w:t>כי</w:t>
      </w:r>
      <w:r w:rsidRPr="00C43F1B">
        <w:rPr>
          <w:rtl/>
        </w:rPr>
        <w:t xml:space="preserve"> </w:t>
      </w:r>
      <w:r w:rsidRPr="00C43F1B">
        <w:rPr>
          <w:rFonts w:hint="cs"/>
          <w:rtl/>
        </w:rPr>
        <w:t xml:space="preserve">יש קושי בטיפול בתלונות על </w:t>
      </w:r>
      <w:r w:rsidRPr="00C43F1B">
        <w:rPr>
          <w:rFonts w:hint="eastAsia"/>
          <w:rtl/>
        </w:rPr>
        <w:t>הטרדות</w:t>
      </w:r>
      <w:r w:rsidRPr="00C43F1B">
        <w:rPr>
          <w:rtl/>
        </w:rPr>
        <w:t xml:space="preserve"> </w:t>
      </w:r>
      <w:r w:rsidRPr="00C43F1B">
        <w:rPr>
          <w:rFonts w:hint="eastAsia"/>
          <w:rtl/>
        </w:rPr>
        <w:t>מיניות</w:t>
      </w:r>
      <w:r w:rsidRPr="00C43F1B">
        <w:rPr>
          <w:rFonts w:hint="cs"/>
          <w:rtl/>
        </w:rPr>
        <w:t xml:space="preserve"> של מטופלים</w:t>
      </w:r>
      <w:r w:rsidRPr="00C43F1B">
        <w:rPr>
          <w:rtl/>
        </w:rPr>
        <w:t xml:space="preserve"> </w:t>
      </w:r>
      <w:r w:rsidRPr="00C43F1B">
        <w:rPr>
          <w:rFonts w:hint="cs"/>
          <w:rtl/>
        </w:rPr>
        <w:t xml:space="preserve">בידי </w:t>
      </w:r>
      <w:r w:rsidRPr="00C43F1B">
        <w:rPr>
          <w:rFonts w:hint="eastAsia"/>
          <w:rtl/>
        </w:rPr>
        <w:t>נותני</w:t>
      </w:r>
      <w:r w:rsidRPr="00C43F1B">
        <w:rPr>
          <w:rtl/>
        </w:rPr>
        <w:t xml:space="preserve"> </w:t>
      </w:r>
      <w:r w:rsidRPr="00C43F1B">
        <w:rPr>
          <w:rFonts w:hint="eastAsia"/>
          <w:rtl/>
        </w:rPr>
        <w:t>שירות</w:t>
      </w:r>
      <w:r w:rsidRPr="00C43F1B">
        <w:rPr>
          <w:rtl/>
        </w:rPr>
        <w:t xml:space="preserve">, </w:t>
      </w:r>
      <w:r w:rsidRPr="00C43F1B">
        <w:rPr>
          <w:rFonts w:hint="cs"/>
          <w:rtl/>
        </w:rPr>
        <w:t xml:space="preserve">ובייחוד </w:t>
      </w:r>
      <w:r w:rsidRPr="00C43F1B">
        <w:rPr>
          <w:rFonts w:hint="eastAsia"/>
          <w:rtl/>
        </w:rPr>
        <w:t>במקצועות</w:t>
      </w:r>
      <w:r w:rsidRPr="00C43F1B">
        <w:rPr>
          <w:rtl/>
        </w:rPr>
        <w:t xml:space="preserve"> </w:t>
      </w:r>
      <w:r w:rsidRPr="00C43F1B">
        <w:rPr>
          <w:rFonts w:hint="eastAsia"/>
          <w:rtl/>
        </w:rPr>
        <w:t>הרפואה</w:t>
      </w:r>
      <w:r w:rsidRPr="00C43F1B">
        <w:rPr>
          <w:rtl/>
        </w:rPr>
        <w:t xml:space="preserve"> </w:t>
      </w:r>
      <w:r w:rsidRPr="00C43F1B">
        <w:rPr>
          <w:rFonts w:hint="eastAsia"/>
          <w:rtl/>
        </w:rPr>
        <w:t>והפרה</w:t>
      </w:r>
      <w:r w:rsidRPr="00C43F1B">
        <w:rPr>
          <w:rtl/>
        </w:rPr>
        <w:t xml:space="preserve">-רפואה: </w:t>
      </w:r>
      <w:r w:rsidRPr="00C43F1B">
        <w:rPr>
          <w:rFonts w:hint="cs"/>
          <w:rtl/>
        </w:rPr>
        <w:t>לעיתים אין ל</w:t>
      </w:r>
      <w:r w:rsidRPr="00C43F1B">
        <w:rPr>
          <w:rFonts w:hint="eastAsia"/>
          <w:rtl/>
        </w:rPr>
        <w:t>אותם</w:t>
      </w:r>
      <w:r w:rsidRPr="00C43F1B">
        <w:rPr>
          <w:rtl/>
        </w:rPr>
        <w:t xml:space="preserve"> </w:t>
      </w:r>
      <w:r w:rsidRPr="00C43F1B">
        <w:rPr>
          <w:rFonts w:hint="eastAsia"/>
          <w:rtl/>
        </w:rPr>
        <w:t>גורמים</w:t>
      </w:r>
      <w:r w:rsidRPr="00C43F1B">
        <w:rPr>
          <w:rtl/>
        </w:rPr>
        <w:t xml:space="preserve"> </w:t>
      </w:r>
      <w:r w:rsidRPr="00C43F1B">
        <w:rPr>
          <w:rFonts w:hint="eastAsia"/>
          <w:rtl/>
        </w:rPr>
        <w:t>יחסי</w:t>
      </w:r>
      <w:r w:rsidRPr="00C43F1B">
        <w:rPr>
          <w:rtl/>
        </w:rPr>
        <w:t xml:space="preserve"> </w:t>
      </w:r>
      <w:r w:rsidRPr="00C43F1B">
        <w:rPr>
          <w:rFonts w:hint="eastAsia"/>
          <w:rtl/>
        </w:rPr>
        <w:t>עבודה</w:t>
      </w:r>
      <w:r w:rsidRPr="00C43F1B">
        <w:rPr>
          <w:rtl/>
        </w:rPr>
        <w:t xml:space="preserve"> </w:t>
      </w:r>
      <w:r w:rsidRPr="00C43F1B">
        <w:rPr>
          <w:rFonts w:hint="eastAsia"/>
          <w:rtl/>
        </w:rPr>
        <w:t>עם</w:t>
      </w:r>
      <w:r w:rsidRPr="00C43F1B">
        <w:rPr>
          <w:rtl/>
        </w:rPr>
        <w:t xml:space="preserve"> </w:t>
      </w:r>
      <w:r w:rsidRPr="00C43F1B">
        <w:rPr>
          <w:rFonts w:hint="eastAsia"/>
          <w:rtl/>
        </w:rPr>
        <w:t>מקום</w:t>
      </w:r>
      <w:r w:rsidRPr="00C43F1B">
        <w:rPr>
          <w:rtl/>
        </w:rPr>
        <w:t xml:space="preserve"> </w:t>
      </w:r>
      <w:r w:rsidRPr="00C43F1B">
        <w:rPr>
          <w:rFonts w:hint="cs"/>
          <w:rtl/>
        </w:rPr>
        <w:t xml:space="preserve">מתן </w:t>
      </w:r>
      <w:r w:rsidRPr="00C43F1B">
        <w:rPr>
          <w:rFonts w:hint="eastAsia"/>
          <w:rtl/>
        </w:rPr>
        <w:t>השירות</w:t>
      </w:r>
      <w:r w:rsidRPr="00C43F1B">
        <w:rPr>
          <w:rtl/>
        </w:rPr>
        <w:t xml:space="preserve">, </w:t>
      </w:r>
      <w:r w:rsidRPr="00C43F1B">
        <w:rPr>
          <w:rFonts w:hint="cs"/>
          <w:rtl/>
        </w:rPr>
        <w:t xml:space="preserve">ולכן </w:t>
      </w:r>
      <w:r w:rsidRPr="00C43F1B">
        <w:rPr>
          <w:rFonts w:hint="eastAsia"/>
          <w:rtl/>
        </w:rPr>
        <w:t>למפעיל</w:t>
      </w:r>
      <w:r w:rsidRPr="00C43F1B">
        <w:rPr>
          <w:rtl/>
        </w:rPr>
        <w:t xml:space="preserve"> </w:t>
      </w:r>
      <w:r w:rsidRPr="00C43F1B">
        <w:rPr>
          <w:rFonts w:hint="eastAsia"/>
          <w:rtl/>
        </w:rPr>
        <w:t>המקום</w:t>
      </w:r>
      <w:r w:rsidRPr="00C43F1B">
        <w:rPr>
          <w:rtl/>
        </w:rPr>
        <w:t xml:space="preserve"> </w:t>
      </w:r>
      <w:r w:rsidRPr="00C43F1B">
        <w:rPr>
          <w:rFonts w:hint="eastAsia"/>
          <w:rtl/>
        </w:rPr>
        <w:t>אין</w:t>
      </w:r>
      <w:r w:rsidRPr="00C43F1B">
        <w:rPr>
          <w:rtl/>
        </w:rPr>
        <w:t xml:space="preserve"> </w:t>
      </w:r>
      <w:r w:rsidRPr="00C43F1B">
        <w:rPr>
          <w:rFonts w:hint="eastAsia"/>
          <w:rtl/>
        </w:rPr>
        <w:t>אחריות</w:t>
      </w:r>
      <w:r w:rsidRPr="00C43F1B">
        <w:rPr>
          <w:rtl/>
        </w:rPr>
        <w:t xml:space="preserve"> </w:t>
      </w:r>
      <w:r w:rsidRPr="00C43F1B">
        <w:rPr>
          <w:rFonts w:hint="eastAsia"/>
          <w:rtl/>
        </w:rPr>
        <w:t>או</w:t>
      </w:r>
      <w:r w:rsidRPr="00C43F1B">
        <w:rPr>
          <w:rtl/>
        </w:rPr>
        <w:t xml:space="preserve"> </w:t>
      </w:r>
      <w:r w:rsidRPr="00C43F1B">
        <w:rPr>
          <w:rFonts w:hint="eastAsia"/>
          <w:rtl/>
        </w:rPr>
        <w:t>סמכות</w:t>
      </w:r>
      <w:r w:rsidRPr="00C43F1B">
        <w:rPr>
          <w:rtl/>
        </w:rPr>
        <w:t xml:space="preserve"> </w:t>
      </w:r>
      <w:r w:rsidRPr="00C43F1B">
        <w:rPr>
          <w:rFonts w:hint="eastAsia"/>
          <w:rtl/>
        </w:rPr>
        <w:t>לפעול</w:t>
      </w:r>
      <w:r w:rsidRPr="00C43F1B">
        <w:rPr>
          <w:rtl/>
        </w:rPr>
        <w:t xml:space="preserve"> </w:t>
      </w:r>
      <w:r w:rsidRPr="00C43F1B">
        <w:rPr>
          <w:rFonts w:hint="cs"/>
          <w:rtl/>
        </w:rPr>
        <w:t>למניעת ה</w:t>
      </w:r>
      <w:r w:rsidRPr="00C43F1B">
        <w:rPr>
          <w:rFonts w:hint="eastAsia"/>
          <w:rtl/>
        </w:rPr>
        <w:t>הטרדה</w:t>
      </w:r>
      <w:r w:rsidRPr="00C43F1B">
        <w:rPr>
          <w:rtl/>
        </w:rPr>
        <w:t xml:space="preserve"> </w:t>
      </w:r>
      <w:r w:rsidRPr="00C43F1B">
        <w:rPr>
          <w:rFonts w:hint="cs"/>
          <w:rtl/>
        </w:rPr>
        <w:t>ה</w:t>
      </w:r>
      <w:r w:rsidRPr="00C43F1B">
        <w:rPr>
          <w:rFonts w:hint="eastAsia"/>
          <w:rtl/>
        </w:rPr>
        <w:t>מינית</w:t>
      </w:r>
      <w:r w:rsidRPr="00C43F1B">
        <w:rPr>
          <w:rtl/>
        </w:rPr>
        <w:t xml:space="preserve">. </w:t>
      </w:r>
      <w:r w:rsidRPr="00C43F1B">
        <w:rPr>
          <w:rFonts w:hint="eastAsia"/>
          <w:rtl/>
        </w:rPr>
        <w:t>הצעת</w:t>
      </w:r>
      <w:r w:rsidRPr="00C43F1B">
        <w:rPr>
          <w:rtl/>
        </w:rPr>
        <w:t xml:space="preserve"> </w:t>
      </w:r>
      <w:r w:rsidRPr="00C43F1B">
        <w:rPr>
          <w:rFonts w:hint="eastAsia"/>
          <w:rtl/>
        </w:rPr>
        <w:t>החוק</w:t>
      </w:r>
      <w:r w:rsidRPr="00C43F1B">
        <w:rPr>
          <w:rtl/>
        </w:rPr>
        <w:t xml:space="preserve"> </w:t>
      </w:r>
      <w:r w:rsidRPr="00C43F1B">
        <w:rPr>
          <w:rFonts w:hint="eastAsia"/>
          <w:rtl/>
        </w:rPr>
        <w:t>נועדה</w:t>
      </w:r>
      <w:r w:rsidRPr="00C43F1B">
        <w:rPr>
          <w:rtl/>
        </w:rPr>
        <w:t xml:space="preserve"> </w:t>
      </w:r>
      <w:r w:rsidRPr="00C43F1B">
        <w:rPr>
          <w:rFonts w:hint="eastAsia"/>
          <w:rtl/>
        </w:rPr>
        <w:t>לחייב</w:t>
      </w:r>
      <w:r w:rsidRPr="00C43F1B">
        <w:rPr>
          <w:rtl/>
        </w:rPr>
        <w:t xml:space="preserve"> </w:t>
      </w:r>
      <w:r w:rsidRPr="00C43F1B">
        <w:rPr>
          <w:rFonts w:hint="eastAsia"/>
          <w:rtl/>
        </w:rPr>
        <w:t>את</w:t>
      </w:r>
      <w:r w:rsidRPr="00C43F1B">
        <w:rPr>
          <w:rtl/>
        </w:rPr>
        <w:t xml:space="preserve"> </w:t>
      </w:r>
      <w:r w:rsidRPr="00C43F1B">
        <w:rPr>
          <w:rFonts w:hint="eastAsia"/>
          <w:rtl/>
        </w:rPr>
        <w:t>המוסדות</w:t>
      </w:r>
      <w:r w:rsidRPr="00C43F1B">
        <w:rPr>
          <w:rtl/>
        </w:rPr>
        <w:t xml:space="preserve"> </w:t>
      </w:r>
      <w:r w:rsidRPr="00C43F1B">
        <w:rPr>
          <w:rFonts w:hint="eastAsia"/>
          <w:rtl/>
        </w:rPr>
        <w:t>הציבוריים</w:t>
      </w:r>
      <w:r w:rsidRPr="00C43F1B">
        <w:rPr>
          <w:rtl/>
        </w:rPr>
        <w:t xml:space="preserve"> </w:t>
      </w:r>
      <w:r w:rsidRPr="00C43F1B">
        <w:rPr>
          <w:rFonts w:hint="eastAsia"/>
          <w:rtl/>
        </w:rPr>
        <w:t>המעניקים</w:t>
      </w:r>
      <w:r w:rsidRPr="00C43F1B">
        <w:rPr>
          <w:rtl/>
        </w:rPr>
        <w:t xml:space="preserve"> </w:t>
      </w:r>
      <w:r w:rsidRPr="00C43F1B">
        <w:rPr>
          <w:rFonts w:hint="eastAsia"/>
          <w:rtl/>
        </w:rPr>
        <w:t>שירותים</w:t>
      </w:r>
      <w:r w:rsidRPr="00C43F1B">
        <w:rPr>
          <w:rtl/>
        </w:rPr>
        <w:t xml:space="preserve"> </w:t>
      </w:r>
      <w:r w:rsidRPr="00C43F1B">
        <w:rPr>
          <w:rFonts w:hint="eastAsia"/>
          <w:rtl/>
        </w:rPr>
        <w:t>חיוניים</w:t>
      </w:r>
      <w:r w:rsidRPr="00C43F1B">
        <w:rPr>
          <w:rtl/>
        </w:rPr>
        <w:t xml:space="preserve"> </w:t>
      </w:r>
      <w:r w:rsidRPr="00C43F1B">
        <w:rPr>
          <w:rFonts w:hint="cs"/>
          <w:rtl/>
        </w:rPr>
        <w:t xml:space="preserve">לפעול למניעת </w:t>
      </w:r>
      <w:r w:rsidRPr="00C43F1B">
        <w:rPr>
          <w:rFonts w:hint="eastAsia"/>
          <w:rtl/>
        </w:rPr>
        <w:t>הטרדות</w:t>
      </w:r>
      <w:r w:rsidRPr="00C43F1B">
        <w:rPr>
          <w:rtl/>
        </w:rPr>
        <w:t xml:space="preserve"> </w:t>
      </w:r>
      <w:r w:rsidRPr="00C43F1B">
        <w:rPr>
          <w:rFonts w:hint="eastAsia"/>
          <w:rtl/>
        </w:rPr>
        <w:t>מיניות</w:t>
      </w:r>
      <w:r w:rsidRPr="00C43F1B">
        <w:rPr>
          <w:rtl/>
        </w:rPr>
        <w:t xml:space="preserve"> </w:t>
      </w:r>
      <w:r w:rsidRPr="00C43F1B">
        <w:rPr>
          <w:rFonts w:hint="eastAsia"/>
          <w:rtl/>
        </w:rPr>
        <w:t>כלפי</w:t>
      </w:r>
      <w:r w:rsidRPr="00C43F1B">
        <w:rPr>
          <w:rtl/>
        </w:rPr>
        <w:t xml:space="preserve"> </w:t>
      </w:r>
      <w:r w:rsidRPr="00C43F1B">
        <w:rPr>
          <w:rFonts w:hint="eastAsia"/>
          <w:rtl/>
        </w:rPr>
        <w:t>מקבלי</w:t>
      </w:r>
      <w:r w:rsidRPr="00C43F1B">
        <w:rPr>
          <w:rtl/>
        </w:rPr>
        <w:t xml:space="preserve"> </w:t>
      </w:r>
      <w:r w:rsidRPr="00C43F1B">
        <w:rPr>
          <w:rFonts w:hint="eastAsia"/>
          <w:rtl/>
        </w:rPr>
        <w:t>השירות</w:t>
      </w:r>
      <w:r w:rsidRPr="00C43F1B">
        <w:rPr>
          <w:rFonts w:hint="cs"/>
          <w:rtl/>
        </w:rPr>
        <w:t xml:space="preserve"> ולטפל בהן</w:t>
      </w:r>
      <w:r w:rsidRPr="00C43F1B">
        <w:rPr>
          <w:rtl/>
        </w:rPr>
        <w:t xml:space="preserve">. </w:t>
      </w:r>
      <w:r w:rsidRPr="00C43F1B">
        <w:rPr>
          <w:rFonts w:hint="cs"/>
          <w:rtl/>
        </w:rPr>
        <w:t>היוזמה ל</w:t>
      </w:r>
      <w:r w:rsidRPr="00C43F1B">
        <w:rPr>
          <w:rtl/>
        </w:rPr>
        <w:t xml:space="preserve">הצעת החוק </w:t>
      </w:r>
      <w:r w:rsidRPr="00C43F1B">
        <w:rPr>
          <w:rFonts w:hint="cs"/>
          <w:rtl/>
        </w:rPr>
        <w:t xml:space="preserve">עלתה </w:t>
      </w:r>
      <w:r w:rsidRPr="00C43F1B">
        <w:rPr>
          <w:rtl/>
        </w:rPr>
        <w:t xml:space="preserve">בין היתר </w:t>
      </w:r>
      <w:r w:rsidRPr="00C43F1B">
        <w:rPr>
          <w:rFonts w:hint="cs"/>
          <w:rtl/>
        </w:rPr>
        <w:t xml:space="preserve">בעקבות </w:t>
      </w:r>
      <w:r w:rsidRPr="00C43F1B">
        <w:rPr>
          <w:rtl/>
        </w:rPr>
        <w:t xml:space="preserve">הטרדות מיניות שהתגלו במערכת הבריאות. </w:t>
      </w:r>
    </w:p>
    <w:p w14:paraId="78B7AEAE" w14:textId="77777777" w:rsidR="00417266" w:rsidRPr="00F24C31" w:rsidRDefault="00417266" w:rsidP="0073378E">
      <w:pPr>
        <w:pStyle w:val="100"/>
        <w:rPr>
          <w:rtl/>
        </w:rPr>
      </w:pPr>
      <w:r>
        <w:rPr>
          <w:rFonts w:hint="cs"/>
          <w:rtl/>
        </w:rPr>
        <w:t>לעומת העדויות שנצברו בסקרים ושהגיעו לידי ועדת הכנסת, מספר התלונות הרשמיות שהוגשו הוא נמוך:</w:t>
      </w:r>
    </w:p>
    <w:p w14:paraId="77BA9CB0" w14:textId="77777777" w:rsidR="00417266" w:rsidRPr="00876CFC" w:rsidRDefault="00417266" w:rsidP="0073378E">
      <w:pPr>
        <w:pStyle w:val="a0"/>
        <w:numPr>
          <w:ilvl w:val="0"/>
          <w:numId w:val="33"/>
        </w:numPr>
        <w:rPr>
          <w:rtl/>
        </w:rPr>
      </w:pPr>
      <w:r w:rsidRPr="00876CFC">
        <w:rPr>
          <w:rFonts w:hint="eastAsia"/>
          <w:rtl/>
        </w:rPr>
        <w:t>מנתוני</w:t>
      </w:r>
      <w:r w:rsidRPr="00876CFC">
        <w:rPr>
          <w:rtl/>
        </w:rPr>
        <w:t xml:space="preserve"> </w:t>
      </w:r>
      <w:r w:rsidRPr="00876CFC">
        <w:rPr>
          <w:rFonts w:hint="eastAsia"/>
          <w:rtl/>
        </w:rPr>
        <w:t>נציבות</w:t>
      </w:r>
      <w:r w:rsidRPr="00876CFC">
        <w:rPr>
          <w:rtl/>
        </w:rPr>
        <w:t xml:space="preserve"> </w:t>
      </w:r>
      <w:r w:rsidRPr="00876CFC">
        <w:rPr>
          <w:rFonts w:hint="eastAsia"/>
          <w:rtl/>
        </w:rPr>
        <w:t>קבילות</w:t>
      </w:r>
      <w:r w:rsidRPr="00876CFC">
        <w:rPr>
          <w:rtl/>
        </w:rPr>
        <w:t xml:space="preserve"> </w:t>
      </w:r>
      <w:r w:rsidRPr="00876CFC">
        <w:rPr>
          <w:rFonts w:hint="eastAsia"/>
          <w:rtl/>
        </w:rPr>
        <w:t>הציבור</w:t>
      </w:r>
      <w:r w:rsidRPr="00876CFC">
        <w:rPr>
          <w:rtl/>
        </w:rPr>
        <w:t xml:space="preserve"> </w:t>
      </w:r>
      <w:r w:rsidRPr="00876CFC">
        <w:rPr>
          <w:rFonts w:hint="eastAsia"/>
          <w:rtl/>
        </w:rPr>
        <w:t>על</w:t>
      </w:r>
      <w:r w:rsidRPr="00876CFC">
        <w:rPr>
          <w:rtl/>
        </w:rPr>
        <w:t xml:space="preserve"> </w:t>
      </w:r>
      <w:r w:rsidRPr="00876CFC">
        <w:rPr>
          <w:rFonts w:hint="eastAsia"/>
          <w:rtl/>
        </w:rPr>
        <w:t>מקצועות</w:t>
      </w:r>
      <w:r w:rsidRPr="00876CFC">
        <w:rPr>
          <w:rtl/>
        </w:rPr>
        <w:t xml:space="preserve"> </w:t>
      </w:r>
      <w:r w:rsidRPr="00876CFC">
        <w:rPr>
          <w:rFonts w:hint="eastAsia"/>
          <w:rtl/>
        </w:rPr>
        <w:t>הרפואה</w:t>
      </w:r>
      <w:r w:rsidRPr="00876CFC">
        <w:rPr>
          <w:rtl/>
        </w:rPr>
        <w:t xml:space="preserve"> </w:t>
      </w:r>
      <w:r w:rsidRPr="00876CFC">
        <w:rPr>
          <w:rFonts w:hint="eastAsia"/>
          <w:rtl/>
        </w:rPr>
        <w:t>עולה</w:t>
      </w:r>
      <w:r w:rsidRPr="00876CFC">
        <w:rPr>
          <w:rtl/>
        </w:rPr>
        <w:t xml:space="preserve"> כי בשנים 2015 - 2017 התקבלו</w:t>
      </w:r>
      <w:r>
        <w:rPr>
          <w:rFonts w:hint="cs"/>
          <w:rtl/>
        </w:rPr>
        <w:t xml:space="preserve"> בה</w:t>
      </w:r>
      <w:r w:rsidRPr="00876CFC">
        <w:rPr>
          <w:rtl/>
        </w:rPr>
        <w:t xml:space="preserve"> 55 תלונות על הטרדה מינית של מטופלים ומטופלות </w:t>
      </w:r>
      <w:r w:rsidRPr="00876CFC">
        <w:rPr>
          <w:rFonts w:hint="eastAsia"/>
          <w:rtl/>
        </w:rPr>
        <w:t>בידי</w:t>
      </w:r>
      <w:r w:rsidRPr="00876CFC">
        <w:rPr>
          <w:rtl/>
        </w:rPr>
        <w:t xml:space="preserve"> אנשי הצוות הרפואי, </w:t>
      </w:r>
      <w:r w:rsidRPr="00876CFC">
        <w:rPr>
          <w:rFonts w:hint="eastAsia"/>
          <w:rtl/>
        </w:rPr>
        <w:t>ובארבע</w:t>
      </w:r>
      <w:r w:rsidRPr="00876CFC">
        <w:rPr>
          <w:rtl/>
        </w:rPr>
        <w:t xml:space="preserve"> </w:t>
      </w:r>
      <w:r w:rsidRPr="00876CFC">
        <w:rPr>
          <w:rFonts w:hint="eastAsia"/>
          <w:rtl/>
        </w:rPr>
        <w:t>קופות</w:t>
      </w:r>
      <w:r w:rsidRPr="00876CFC">
        <w:rPr>
          <w:rtl/>
        </w:rPr>
        <w:t xml:space="preserve"> </w:t>
      </w:r>
      <w:r w:rsidRPr="00876CFC">
        <w:rPr>
          <w:rFonts w:hint="eastAsia"/>
          <w:rtl/>
        </w:rPr>
        <w:t>החולים</w:t>
      </w:r>
      <w:r w:rsidRPr="00876CFC">
        <w:rPr>
          <w:rtl/>
        </w:rPr>
        <w:t xml:space="preserve"> - 247 </w:t>
      </w:r>
      <w:r w:rsidRPr="00876CFC">
        <w:rPr>
          <w:rFonts w:hint="eastAsia"/>
          <w:rtl/>
        </w:rPr>
        <w:t>תלונות</w:t>
      </w:r>
      <w:r w:rsidRPr="00876CFC">
        <w:rPr>
          <w:rtl/>
        </w:rPr>
        <w:t>. מנתוני נש"ם עולה כי בשנים 2015 - 2017 הוגשו לה 17 תלונות על הטרדה מינית של מטופלים ומטופלות בידי אנשי הצוות הרפואי.</w:t>
      </w:r>
    </w:p>
    <w:p w14:paraId="79090D00" w14:textId="77777777" w:rsidR="00417266" w:rsidRPr="00BB287A" w:rsidRDefault="00417266" w:rsidP="0073378E">
      <w:pPr>
        <w:pStyle w:val="a0"/>
        <w:rPr>
          <w:rtl/>
        </w:rPr>
      </w:pPr>
      <w:r w:rsidRPr="00876CFC">
        <w:rPr>
          <w:rFonts w:hint="eastAsia"/>
          <w:rtl/>
        </w:rPr>
        <w:lastRenderedPageBreak/>
        <w:t>משרד</w:t>
      </w:r>
      <w:r w:rsidRPr="00876CFC">
        <w:rPr>
          <w:rtl/>
        </w:rPr>
        <w:t xml:space="preserve"> מבקר המדינה פנה לממונות על מניעת הטרדה מינית במרכזי בריאות הנפש הממשלתיים וביקש לקבל מידע </w:t>
      </w:r>
      <w:r w:rsidRPr="00876CFC">
        <w:rPr>
          <w:rFonts w:hint="eastAsia"/>
          <w:rtl/>
        </w:rPr>
        <w:t>על</w:t>
      </w:r>
      <w:r w:rsidRPr="00876CFC">
        <w:rPr>
          <w:rtl/>
        </w:rPr>
        <w:t xml:space="preserve"> דיווחי מטופלים ומטופלות על הטרדה מינית. מתשובות הממונות עולה כי שיעור התלונות על הטרדה מינית במרכזי בריאות הנפש המגיע לידיעת</w:t>
      </w:r>
      <w:r w:rsidRPr="00876CFC">
        <w:rPr>
          <w:rFonts w:hint="eastAsia"/>
          <w:rtl/>
        </w:rPr>
        <w:t>ן</w:t>
      </w:r>
      <w:r w:rsidRPr="00876CFC">
        <w:rPr>
          <w:rtl/>
        </w:rPr>
        <w:t xml:space="preserve"> הוא מזערי. </w:t>
      </w:r>
      <w:r w:rsidRPr="00876CFC">
        <w:rPr>
          <w:rFonts w:hint="eastAsia"/>
          <w:rtl/>
        </w:rPr>
        <w:t>יצוין</w:t>
      </w:r>
      <w:r w:rsidRPr="00876CFC">
        <w:rPr>
          <w:rtl/>
        </w:rPr>
        <w:t xml:space="preserve"> כי </w:t>
      </w:r>
      <w:r w:rsidRPr="00876CFC">
        <w:rPr>
          <w:rFonts w:hint="eastAsia"/>
          <w:rtl/>
        </w:rPr>
        <w:t>בחודשים</w:t>
      </w:r>
      <w:r w:rsidRPr="00876CFC">
        <w:rPr>
          <w:rtl/>
        </w:rPr>
        <w:t xml:space="preserve"> </w:t>
      </w:r>
      <w:r w:rsidRPr="00876CFC">
        <w:rPr>
          <w:rFonts w:hint="eastAsia"/>
          <w:rtl/>
        </w:rPr>
        <w:t>נובמבר</w:t>
      </w:r>
      <w:r w:rsidRPr="00876CFC">
        <w:rPr>
          <w:rtl/>
        </w:rPr>
        <w:t xml:space="preserve"> 2016 </w:t>
      </w:r>
      <w:r w:rsidRPr="00876CFC">
        <w:rPr>
          <w:rFonts w:hint="eastAsia"/>
          <w:rtl/>
        </w:rPr>
        <w:t>עד</w:t>
      </w:r>
      <w:r w:rsidRPr="00876CFC">
        <w:rPr>
          <w:rtl/>
        </w:rPr>
        <w:t xml:space="preserve"> </w:t>
      </w:r>
      <w:r w:rsidRPr="00876CFC">
        <w:rPr>
          <w:rFonts w:hint="eastAsia"/>
          <w:rtl/>
        </w:rPr>
        <w:t>מרץ</w:t>
      </w:r>
      <w:r w:rsidRPr="00876CFC">
        <w:rPr>
          <w:rtl/>
        </w:rPr>
        <w:t xml:space="preserve"> 2017 </w:t>
      </w:r>
      <w:r w:rsidRPr="00876CFC">
        <w:rPr>
          <w:rFonts w:hint="eastAsia"/>
          <w:rtl/>
        </w:rPr>
        <w:t>ערך</w:t>
      </w:r>
      <w:r w:rsidRPr="00876CFC">
        <w:rPr>
          <w:rtl/>
        </w:rPr>
        <w:t xml:space="preserve"> </w:t>
      </w:r>
      <w:r w:rsidRPr="00876CFC">
        <w:rPr>
          <w:rFonts w:hint="eastAsia"/>
          <w:rtl/>
        </w:rPr>
        <w:t>משרד</w:t>
      </w:r>
      <w:r w:rsidRPr="00876CFC">
        <w:rPr>
          <w:rtl/>
        </w:rPr>
        <w:t xml:space="preserve"> </w:t>
      </w:r>
      <w:r w:rsidRPr="00876CFC">
        <w:rPr>
          <w:rFonts w:hint="eastAsia"/>
          <w:rtl/>
        </w:rPr>
        <w:t>הבריאות</w:t>
      </w:r>
      <w:r w:rsidRPr="00876CFC">
        <w:rPr>
          <w:rtl/>
        </w:rPr>
        <w:t xml:space="preserve"> </w:t>
      </w:r>
      <w:r w:rsidRPr="00876CFC">
        <w:rPr>
          <w:rFonts w:hint="eastAsia"/>
          <w:rtl/>
        </w:rPr>
        <w:t>סקר</w:t>
      </w:r>
      <w:r w:rsidRPr="00876CFC">
        <w:rPr>
          <w:rtl/>
        </w:rPr>
        <w:t xml:space="preserve"> </w:t>
      </w:r>
      <w:r w:rsidRPr="00876CFC">
        <w:rPr>
          <w:rFonts w:hint="eastAsia"/>
          <w:rtl/>
        </w:rPr>
        <w:t>לבחינת</w:t>
      </w:r>
      <w:r w:rsidRPr="00876CFC">
        <w:rPr>
          <w:rtl/>
        </w:rPr>
        <w:t xml:space="preserve"> </w:t>
      </w:r>
      <w:r w:rsidRPr="00876CFC">
        <w:rPr>
          <w:rFonts w:hint="eastAsia"/>
          <w:rtl/>
        </w:rPr>
        <w:t>חוויית</w:t>
      </w:r>
      <w:r w:rsidRPr="00876CFC">
        <w:rPr>
          <w:rtl/>
        </w:rPr>
        <w:t xml:space="preserve"> </w:t>
      </w:r>
      <w:r w:rsidRPr="00876CFC">
        <w:rPr>
          <w:rFonts w:hint="eastAsia"/>
          <w:rtl/>
        </w:rPr>
        <w:t>המטופל</w:t>
      </w:r>
      <w:r w:rsidRPr="00876CFC">
        <w:rPr>
          <w:rtl/>
        </w:rPr>
        <w:t xml:space="preserve"> </w:t>
      </w:r>
      <w:r w:rsidRPr="00876CFC">
        <w:rPr>
          <w:rFonts w:hint="eastAsia"/>
          <w:rtl/>
        </w:rPr>
        <w:t>בבתי</w:t>
      </w:r>
      <w:r w:rsidRPr="00876CFC">
        <w:rPr>
          <w:rtl/>
        </w:rPr>
        <w:t xml:space="preserve"> </w:t>
      </w:r>
      <w:r w:rsidRPr="00876CFC">
        <w:rPr>
          <w:rFonts w:hint="eastAsia"/>
          <w:rtl/>
        </w:rPr>
        <w:t>החולים</w:t>
      </w:r>
      <w:r w:rsidRPr="00876CFC">
        <w:rPr>
          <w:rtl/>
        </w:rPr>
        <w:t xml:space="preserve"> </w:t>
      </w:r>
      <w:r w:rsidRPr="00876CFC">
        <w:rPr>
          <w:rFonts w:hint="eastAsia"/>
          <w:rtl/>
        </w:rPr>
        <w:t>הפסיכיאטריים</w:t>
      </w:r>
      <w:r w:rsidRPr="00876CFC">
        <w:rPr>
          <w:rtl/>
        </w:rPr>
        <w:t xml:space="preserve">. </w:t>
      </w:r>
      <w:r w:rsidRPr="00876CFC">
        <w:rPr>
          <w:rFonts w:hint="eastAsia"/>
          <w:rtl/>
        </w:rPr>
        <w:t>הסקר</w:t>
      </w:r>
      <w:r w:rsidRPr="00876CFC">
        <w:rPr>
          <w:rtl/>
        </w:rPr>
        <w:t xml:space="preserve"> </w:t>
      </w:r>
      <w:r w:rsidRPr="00876CFC">
        <w:rPr>
          <w:rFonts w:hint="eastAsia"/>
          <w:rtl/>
        </w:rPr>
        <w:t>לא</w:t>
      </w:r>
      <w:r w:rsidRPr="00876CFC">
        <w:rPr>
          <w:rtl/>
        </w:rPr>
        <w:t xml:space="preserve"> </w:t>
      </w:r>
      <w:r w:rsidRPr="00876CFC">
        <w:rPr>
          <w:rFonts w:hint="eastAsia"/>
          <w:rtl/>
        </w:rPr>
        <w:t>כלל</w:t>
      </w:r>
      <w:r w:rsidRPr="00876CFC">
        <w:rPr>
          <w:rtl/>
        </w:rPr>
        <w:t xml:space="preserve"> </w:t>
      </w:r>
      <w:r w:rsidRPr="00876CFC">
        <w:rPr>
          <w:rFonts w:hint="eastAsia"/>
          <w:rtl/>
        </w:rPr>
        <w:t>שאלות</w:t>
      </w:r>
      <w:r w:rsidRPr="00876CFC">
        <w:rPr>
          <w:rtl/>
        </w:rPr>
        <w:t xml:space="preserve"> </w:t>
      </w:r>
      <w:r w:rsidRPr="00876CFC">
        <w:rPr>
          <w:rFonts w:hint="eastAsia"/>
          <w:rtl/>
        </w:rPr>
        <w:t>בנושא</w:t>
      </w:r>
      <w:r w:rsidRPr="00876CFC">
        <w:rPr>
          <w:rtl/>
        </w:rPr>
        <w:t xml:space="preserve"> </w:t>
      </w:r>
      <w:r w:rsidRPr="00876CFC">
        <w:rPr>
          <w:rFonts w:hint="eastAsia"/>
          <w:rtl/>
        </w:rPr>
        <w:t>הטרדה</w:t>
      </w:r>
      <w:r w:rsidRPr="00876CFC">
        <w:rPr>
          <w:rtl/>
        </w:rPr>
        <w:t xml:space="preserve"> </w:t>
      </w:r>
      <w:r w:rsidRPr="00876CFC">
        <w:rPr>
          <w:rFonts w:hint="eastAsia"/>
          <w:rtl/>
        </w:rPr>
        <w:t>או</w:t>
      </w:r>
      <w:r w:rsidRPr="00876CFC">
        <w:rPr>
          <w:rtl/>
        </w:rPr>
        <w:t xml:space="preserve"> </w:t>
      </w:r>
      <w:r w:rsidRPr="00876CFC">
        <w:rPr>
          <w:rFonts w:hint="eastAsia"/>
          <w:rtl/>
        </w:rPr>
        <w:t>פגיעה</w:t>
      </w:r>
      <w:r w:rsidRPr="00876CFC">
        <w:rPr>
          <w:rtl/>
        </w:rPr>
        <w:t xml:space="preserve"> </w:t>
      </w:r>
      <w:r w:rsidRPr="00876CFC">
        <w:rPr>
          <w:rFonts w:hint="eastAsia"/>
          <w:rtl/>
        </w:rPr>
        <w:t>מינית</w:t>
      </w:r>
      <w:r w:rsidRPr="00876CFC">
        <w:rPr>
          <w:rtl/>
        </w:rPr>
        <w:t xml:space="preserve"> </w:t>
      </w:r>
      <w:r w:rsidRPr="00876CFC">
        <w:rPr>
          <w:rFonts w:hint="eastAsia"/>
          <w:rtl/>
        </w:rPr>
        <w:t>בידי</w:t>
      </w:r>
      <w:r w:rsidRPr="00876CFC">
        <w:rPr>
          <w:rtl/>
        </w:rPr>
        <w:t xml:space="preserve"> </w:t>
      </w:r>
      <w:r w:rsidRPr="00BB287A">
        <w:rPr>
          <w:rFonts w:hint="eastAsia"/>
          <w:rtl/>
        </w:rPr>
        <w:t>אנשי</w:t>
      </w:r>
      <w:r w:rsidRPr="00BB287A">
        <w:rPr>
          <w:rtl/>
        </w:rPr>
        <w:t xml:space="preserve"> </w:t>
      </w:r>
      <w:r w:rsidRPr="00BB287A">
        <w:rPr>
          <w:rFonts w:hint="eastAsia"/>
          <w:rtl/>
        </w:rPr>
        <w:t>הצוות</w:t>
      </w:r>
      <w:r w:rsidRPr="00BB287A">
        <w:rPr>
          <w:rtl/>
        </w:rPr>
        <w:t xml:space="preserve"> </w:t>
      </w:r>
      <w:r w:rsidRPr="00BB287A">
        <w:rPr>
          <w:rFonts w:hint="eastAsia"/>
          <w:rtl/>
        </w:rPr>
        <w:t>המטפל</w:t>
      </w:r>
      <w:r w:rsidRPr="00BB287A">
        <w:rPr>
          <w:rtl/>
        </w:rPr>
        <w:t>.</w:t>
      </w:r>
    </w:p>
    <w:p w14:paraId="4553FF4B" w14:textId="77777777" w:rsidR="00417266" w:rsidRDefault="00417266" w:rsidP="0073378E">
      <w:pPr>
        <w:pStyle w:val="af3"/>
        <w:rPr>
          <w:rtl/>
        </w:rPr>
      </w:pPr>
      <w:r>
        <w:rPr>
          <w:rFonts w:hint="cs"/>
          <w:rtl/>
        </w:rPr>
        <w:t xml:space="preserve">נמצא כי </w:t>
      </w:r>
      <w:r w:rsidRPr="00C43F1B">
        <w:rPr>
          <w:rFonts w:hint="eastAsia"/>
          <w:rtl/>
        </w:rPr>
        <w:t>משרד</w:t>
      </w:r>
      <w:r w:rsidRPr="00C43F1B">
        <w:rPr>
          <w:rtl/>
        </w:rPr>
        <w:t xml:space="preserve"> </w:t>
      </w:r>
      <w:r w:rsidRPr="00C43F1B">
        <w:rPr>
          <w:rFonts w:hint="eastAsia"/>
          <w:rtl/>
        </w:rPr>
        <w:t>הבריאות</w:t>
      </w:r>
      <w:r w:rsidRPr="00C43F1B">
        <w:rPr>
          <w:rtl/>
        </w:rPr>
        <w:t xml:space="preserve"> </w:t>
      </w:r>
      <w:r w:rsidRPr="00C43F1B">
        <w:rPr>
          <w:rFonts w:hint="eastAsia"/>
          <w:rtl/>
        </w:rPr>
        <w:t>לא</w:t>
      </w:r>
      <w:r w:rsidRPr="00C43F1B">
        <w:rPr>
          <w:rtl/>
        </w:rPr>
        <w:t xml:space="preserve"> </w:t>
      </w:r>
      <w:r w:rsidRPr="00C43F1B">
        <w:rPr>
          <w:rFonts w:hint="eastAsia"/>
          <w:rtl/>
        </w:rPr>
        <w:t>ערך</w:t>
      </w:r>
      <w:r w:rsidRPr="00C43F1B">
        <w:rPr>
          <w:rtl/>
        </w:rPr>
        <w:t xml:space="preserve"> </w:t>
      </w:r>
      <w:r w:rsidRPr="00C43F1B">
        <w:rPr>
          <w:rFonts w:hint="cs"/>
          <w:rtl/>
        </w:rPr>
        <w:t>סקר מקיף על היקף</w:t>
      </w:r>
      <w:r w:rsidRPr="00C43F1B">
        <w:rPr>
          <w:rtl/>
        </w:rPr>
        <w:t xml:space="preserve"> </w:t>
      </w:r>
      <w:r w:rsidRPr="00C43F1B">
        <w:rPr>
          <w:rFonts w:hint="eastAsia"/>
          <w:rtl/>
        </w:rPr>
        <w:t>ההטרדות</w:t>
      </w:r>
      <w:r w:rsidRPr="00C43F1B">
        <w:rPr>
          <w:rtl/>
        </w:rPr>
        <w:t xml:space="preserve"> </w:t>
      </w:r>
      <w:r w:rsidRPr="00C43F1B">
        <w:rPr>
          <w:rFonts w:hint="eastAsia"/>
          <w:rtl/>
        </w:rPr>
        <w:t>המיניות</w:t>
      </w:r>
      <w:r w:rsidRPr="00C43F1B">
        <w:rPr>
          <w:rtl/>
        </w:rPr>
        <w:t xml:space="preserve"> </w:t>
      </w:r>
      <w:r w:rsidRPr="00C43F1B">
        <w:rPr>
          <w:rFonts w:hint="cs"/>
          <w:rtl/>
        </w:rPr>
        <w:t>בידי</w:t>
      </w:r>
      <w:r w:rsidRPr="00C43F1B">
        <w:rPr>
          <w:rtl/>
        </w:rPr>
        <w:t xml:space="preserve"> </w:t>
      </w:r>
      <w:r w:rsidRPr="00C43F1B">
        <w:rPr>
          <w:rFonts w:hint="eastAsia"/>
          <w:rtl/>
        </w:rPr>
        <w:t>אנשי</w:t>
      </w:r>
      <w:r w:rsidRPr="00C43F1B">
        <w:rPr>
          <w:rtl/>
        </w:rPr>
        <w:t xml:space="preserve"> </w:t>
      </w:r>
      <w:r w:rsidRPr="00C43F1B">
        <w:rPr>
          <w:rFonts w:hint="eastAsia"/>
          <w:rtl/>
        </w:rPr>
        <w:t>צוות</w:t>
      </w:r>
      <w:r w:rsidRPr="00C43F1B">
        <w:rPr>
          <w:rtl/>
        </w:rPr>
        <w:t xml:space="preserve"> </w:t>
      </w:r>
      <w:r w:rsidRPr="00C43F1B">
        <w:rPr>
          <w:rFonts w:hint="eastAsia"/>
          <w:rtl/>
        </w:rPr>
        <w:t>רפואה</w:t>
      </w:r>
      <w:r w:rsidRPr="00C43F1B">
        <w:rPr>
          <w:rFonts w:hint="cs"/>
          <w:rtl/>
        </w:rPr>
        <w:t xml:space="preserve"> הן במוסדות הבריאות הכלליים והן במוסדות בריאות הנפש</w:t>
      </w:r>
      <w:r w:rsidRPr="0088414B">
        <w:rPr>
          <w:rStyle w:val="FootnoteReference"/>
          <w:sz w:val="24"/>
          <w:rtl/>
        </w:rPr>
        <w:footnoteReference w:id="82"/>
      </w:r>
      <w:r w:rsidRPr="0088414B">
        <w:rPr>
          <w:rtl/>
        </w:rPr>
        <w:t>.</w:t>
      </w:r>
      <w:r w:rsidRPr="00C43F1B">
        <w:rPr>
          <w:rtl/>
        </w:rPr>
        <w:t xml:space="preserve"> </w:t>
      </w:r>
      <w:r w:rsidRPr="00C43F1B">
        <w:rPr>
          <w:rFonts w:hint="cs"/>
          <w:rtl/>
        </w:rPr>
        <w:t xml:space="preserve">הנתונים מהמחקר הנקודתי של </w:t>
      </w:r>
      <w:r>
        <w:rPr>
          <w:rFonts w:hint="cs"/>
          <w:rtl/>
        </w:rPr>
        <w:t>ה</w:t>
      </w:r>
      <w:r w:rsidRPr="00C43F1B">
        <w:rPr>
          <w:rFonts w:hint="cs"/>
          <w:rtl/>
        </w:rPr>
        <w:t xml:space="preserve">קרן ומסקר </w:t>
      </w:r>
      <w:r>
        <w:rPr>
          <w:rFonts w:hint="cs"/>
          <w:rtl/>
        </w:rPr>
        <w:t>ה</w:t>
      </w:r>
      <w:r w:rsidRPr="00C43F1B">
        <w:rPr>
          <w:rFonts w:hint="cs"/>
          <w:rtl/>
        </w:rPr>
        <w:t xml:space="preserve">עמותה מלמדים </w:t>
      </w:r>
      <w:r w:rsidRPr="00C43F1B">
        <w:rPr>
          <w:rFonts w:hint="eastAsia"/>
          <w:rtl/>
        </w:rPr>
        <w:t>שהטרדות</w:t>
      </w:r>
      <w:r w:rsidRPr="00C43F1B">
        <w:rPr>
          <w:rtl/>
        </w:rPr>
        <w:t xml:space="preserve"> </w:t>
      </w:r>
      <w:r w:rsidRPr="00C43F1B">
        <w:rPr>
          <w:rFonts w:hint="eastAsia"/>
          <w:rtl/>
        </w:rPr>
        <w:t>מיניות</w:t>
      </w:r>
      <w:r w:rsidRPr="00C43F1B">
        <w:rPr>
          <w:rtl/>
        </w:rPr>
        <w:t xml:space="preserve"> </w:t>
      </w:r>
      <w:r w:rsidRPr="00C43F1B">
        <w:rPr>
          <w:rFonts w:hint="eastAsia"/>
          <w:rtl/>
        </w:rPr>
        <w:t>במהלך</w:t>
      </w:r>
      <w:r w:rsidRPr="00C43F1B">
        <w:rPr>
          <w:rtl/>
        </w:rPr>
        <w:t xml:space="preserve"> </w:t>
      </w:r>
      <w:r w:rsidRPr="00C43F1B">
        <w:rPr>
          <w:rFonts w:hint="eastAsia"/>
          <w:rtl/>
        </w:rPr>
        <w:t>טיפול</w:t>
      </w:r>
      <w:r w:rsidRPr="00C43F1B">
        <w:rPr>
          <w:rtl/>
        </w:rPr>
        <w:t xml:space="preserve"> </w:t>
      </w:r>
      <w:r w:rsidRPr="00C43F1B">
        <w:rPr>
          <w:rFonts w:hint="eastAsia"/>
          <w:rtl/>
        </w:rPr>
        <w:t>רפואי</w:t>
      </w:r>
      <w:r w:rsidRPr="00C43F1B">
        <w:rPr>
          <w:rtl/>
        </w:rPr>
        <w:t xml:space="preserve"> </w:t>
      </w:r>
      <w:r w:rsidRPr="00C43F1B">
        <w:rPr>
          <w:rFonts w:hint="cs"/>
          <w:rtl/>
        </w:rPr>
        <w:t>אינן נדירות כפי שעולה לכאורה מן המספר הקטן של התלונות בנושא</w:t>
      </w:r>
      <w:r w:rsidRPr="00C43F1B">
        <w:rPr>
          <w:rtl/>
        </w:rPr>
        <w:t xml:space="preserve">. </w:t>
      </w:r>
      <w:r w:rsidRPr="00C43F1B">
        <w:rPr>
          <w:rFonts w:hint="cs"/>
          <w:rtl/>
        </w:rPr>
        <w:t xml:space="preserve">לפיכך מוצע כי </w:t>
      </w:r>
      <w:r w:rsidRPr="00C43F1B">
        <w:rPr>
          <w:rFonts w:hint="eastAsia"/>
          <w:rtl/>
        </w:rPr>
        <w:t>משרד</w:t>
      </w:r>
      <w:r w:rsidRPr="00C43F1B">
        <w:rPr>
          <w:rtl/>
        </w:rPr>
        <w:t xml:space="preserve"> </w:t>
      </w:r>
      <w:r w:rsidRPr="00C43F1B">
        <w:rPr>
          <w:rFonts w:hint="eastAsia"/>
          <w:rtl/>
        </w:rPr>
        <w:t>הבריאות</w:t>
      </w:r>
      <w:r w:rsidRPr="00C43F1B">
        <w:rPr>
          <w:rtl/>
        </w:rPr>
        <w:t xml:space="preserve"> </w:t>
      </w:r>
      <w:r w:rsidRPr="00C43F1B">
        <w:rPr>
          <w:rFonts w:hint="cs"/>
          <w:rtl/>
        </w:rPr>
        <w:t xml:space="preserve">יערוך </w:t>
      </w:r>
      <w:r w:rsidRPr="00C43F1B">
        <w:rPr>
          <w:rFonts w:hint="eastAsia"/>
          <w:rtl/>
        </w:rPr>
        <w:t>סקר</w:t>
      </w:r>
      <w:r w:rsidRPr="00C43F1B">
        <w:rPr>
          <w:rtl/>
        </w:rPr>
        <w:t xml:space="preserve"> </w:t>
      </w:r>
      <w:r w:rsidRPr="00C43F1B">
        <w:rPr>
          <w:rFonts w:hint="eastAsia"/>
          <w:rtl/>
        </w:rPr>
        <w:t>נרחב</w:t>
      </w:r>
      <w:r w:rsidRPr="00C43F1B">
        <w:rPr>
          <w:rtl/>
        </w:rPr>
        <w:t xml:space="preserve"> </w:t>
      </w:r>
      <w:r w:rsidRPr="00C43F1B">
        <w:rPr>
          <w:rFonts w:hint="eastAsia"/>
          <w:rtl/>
        </w:rPr>
        <w:t>שיבדוק</w:t>
      </w:r>
      <w:r w:rsidRPr="00C43F1B">
        <w:rPr>
          <w:rtl/>
        </w:rPr>
        <w:t xml:space="preserve"> </w:t>
      </w:r>
      <w:r w:rsidRPr="00C43F1B">
        <w:rPr>
          <w:rFonts w:hint="eastAsia"/>
          <w:rtl/>
        </w:rPr>
        <w:t>את</w:t>
      </w:r>
      <w:r w:rsidRPr="00C43F1B">
        <w:rPr>
          <w:rtl/>
        </w:rPr>
        <w:t xml:space="preserve"> </w:t>
      </w:r>
      <w:r w:rsidRPr="00C43F1B">
        <w:rPr>
          <w:rFonts w:hint="eastAsia"/>
          <w:rtl/>
        </w:rPr>
        <w:t>היקף</w:t>
      </w:r>
      <w:r w:rsidRPr="00C43F1B">
        <w:rPr>
          <w:rtl/>
        </w:rPr>
        <w:t xml:space="preserve"> </w:t>
      </w:r>
      <w:r w:rsidRPr="00C43F1B">
        <w:rPr>
          <w:rFonts w:hint="eastAsia"/>
          <w:rtl/>
        </w:rPr>
        <w:t>ההטרדות</w:t>
      </w:r>
      <w:r w:rsidRPr="00C43F1B">
        <w:rPr>
          <w:rtl/>
        </w:rPr>
        <w:t xml:space="preserve"> </w:t>
      </w:r>
      <w:r w:rsidRPr="00C43F1B">
        <w:rPr>
          <w:rFonts w:hint="eastAsia"/>
          <w:rtl/>
        </w:rPr>
        <w:t>המיניות</w:t>
      </w:r>
      <w:r w:rsidRPr="00C43F1B">
        <w:rPr>
          <w:rtl/>
        </w:rPr>
        <w:t xml:space="preserve"> </w:t>
      </w:r>
      <w:r w:rsidRPr="00C43F1B">
        <w:rPr>
          <w:rFonts w:hint="cs"/>
          <w:rtl/>
        </w:rPr>
        <w:t xml:space="preserve">בידי </w:t>
      </w:r>
      <w:r w:rsidRPr="00C43F1B">
        <w:rPr>
          <w:rFonts w:hint="eastAsia"/>
          <w:rtl/>
        </w:rPr>
        <w:t>א</w:t>
      </w:r>
      <w:r w:rsidRPr="00C43F1B">
        <w:rPr>
          <w:rFonts w:hint="cs"/>
          <w:rtl/>
        </w:rPr>
        <w:t>נ</w:t>
      </w:r>
      <w:r w:rsidRPr="00C43F1B">
        <w:rPr>
          <w:rFonts w:hint="eastAsia"/>
          <w:rtl/>
        </w:rPr>
        <w:t>שי</w:t>
      </w:r>
      <w:r w:rsidRPr="00C43F1B">
        <w:rPr>
          <w:rtl/>
        </w:rPr>
        <w:t xml:space="preserve"> </w:t>
      </w:r>
      <w:r w:rsidRPr="00C43F1B">
        <w:rPr>
          <w:rFonts w:hint="eastAsia"/>
          <w:rtl/>
        </w:rPr>
        <w:t>הצוות</w:t>
      </w:r>
      <w:r w:rsidRPr="00C43F1B">
        <w:rPr>
          <w:rtl/>
        </w:rPr>
        <w:t xml:space="preserve"> </w:t>
      </w:r>
      <w:r w:rsidRPr="00C43F1B">
        <w:rPr>
          <w:rFonts w:hint="eastAsia"/>
          <w:rtl/>
        </w:rPr>
        <w:t>הרפואי</w:t>
      </w:r>
      <w:r w:rsidRPr="00C43F1B">
        <w:rPr>
          <w:rtl/>
        </w:rPr>
        <w:t xml:space="preserve"> </w:t>
      </w:r>
      <w:r w:rsidRPr="00C43F1B">
        <w:rPr>
          <w:rFonts w:hint="eastAsia"/>
          <w:rtl/>
        </w:rPr>
        <w:t>על</w:t>
      </w:r>
      <w:r w:rsidRPr="00C43F1B">
        <w:rPr>
          <w:rtl/>
        </w:rPr>
        <w:t xml:space="preserve"> </w:t>
      </w:r>
      <w:r w:rsidRPr="00C43F1B">
        <w:rPr>
          <w:rFonts w:hint="eastAsia"/>
          <w:rtl/>
        </w:rPr>
        <w:t>מנת</w:t>
      </w:r>
      <w:r w:rsidRPr="00C43F1B">
        <w:rPr>
          <w:rtl/>
        </w:rPr>
        <w:t xml:space="preserve"> </w:t>
      </w:r>
      <w:r w:rsidRPr="00C43F1B">
        <w:rPr>
          <w:rFonts w:hint="eastAsia"/>
          <w:rtl/>
        </w:rPr>
        <w:t>לאתר</w:t>
      </w:r>
      <w:r w:rsidRPr="00C43F1B">
        <w:rPr>
          <w:rtl/>
        </w:rPr>
        <w:t xml:space="preserve"> את החסמים </w:t>
      </w:r>
      <w:r w:rsidRPr="00C43F1B">
        <w:rPr>
          <w:rFonts w:hint="cs"/>
          <w:rtl/>
        </w:rPr>
        <w:t>ל</w:t>
      </w:r>
      <w:r w:rsidRPr="00C43F1B">
        <w:rPr>
          <w:rtl/>
        </w:rPr>
        <w:t xml:space="preserve">הגשת התלונות </w:t>
      </w:r>
      <w:r w:rsidRPr="00C43F1B">
        <w:rPr>
          <w:rFonts w:hint="cs"/>
          <w:rtl/>
        </w:rPr>
        <w:t>ויגבש בהתאם למסקנות הסקר ת</w:t>
      </w:r>
      <w:r>
        <w:rPr>
          <w:rFonts w:hint="cs"/>
          <w:rtl/>
        </w:rPr>
        <w:t>ו</w:t>
      </w:r>
      <w:r w:rsidRPr="00C43F1B">
        <w:rPr>
          <w:rFonts w:hint="cs"/>
          <w:rtl/>
        </w:rPr>
        <w:t xml:space="preserve">כנית להתמודדות עם הנושא. לסקר כזה משנה חשיבות לגבי חולים המאושפזים במוסדות בריאות הנפש. </w:t>
      </w:r>
    </w:p>
    <w:p w14:paraId="375447FA" w14:textId="77777777" w:rsidR="00417266" w:rsidRPr="003A6DC4" w:rsidRDefault="00417266" w:rsidP="0073378E">
      <w:pPr>
        <w:pStyle w:val="100"/>
        <w:rPr>
          <w:rtl/>
        </w:rPr>
      </w:pPr>
      <w:r w:rsidRPr="003A6DC4">
        <w:rPr>
          <w:rFonts w:hint="eastAsia"/>
          <w:rtl/>
        </w:rPr>
        <w:t>משרד</w:t>
      </w:r>
      <w:r w:rsidRPr="003A6DC4">
        <w:rPr>
          <w:rtl/>
        </w:rPr>
        <w:t xml:space="preserve"> הבריאות מסר בתשובתו כי אין לו הסמכות לאסוף מידע</w:t>
      </w:r>
      <w:r>
        <w:rPr>
          <w:rFonts w:hint="cs"/>
          <w:rtl/>
        </w:rPr>
        <w:t>,</w:t>
      </w:r>
      <w:r w:rsidRPr="003A6DC4">
        <w:rPr>
          <w:rtl/>
        </w:rPr>
        <w:t xml:space="preserve"> בין באופן יזום ובין כחובת דיווח</w:t>
      </w:r>
      <w:r>
        <w:rPr>
          <w:rFonts w:hint="cs"/>
          <w:rtl/>
        </w:rPr>
        <w:t>,</w:t>
      </w:r>
      <w:r w:rsidRPr="003A6DC4">
        <w:rPr>
          <w:rtl/>
        </w:rPr>
        <w:t xml:space="preserve"> והוא מוגבל חוקית </w:t>
      </w:r>
      <w:r>
        <w:rPr>
          <w:rFonts w:hint="cs"/>
          <w:rtl/>
        </w:rPr>
        <w:t xml:space="preserve">ויכול לקבל רק </w:t>
      </w:r>
      <w:r w:rsidRPr="006D564F">
        <w:rPr>
          <w:rFonts w:hint="cs"/>
          <w:rtl/>
        </w:rPr>
        <w:t xml:space="preserve">את </w:t>
      </w:r>
      <w:r w:rsidRPr="006D564F">
        <w:rPr>
          <w:rtl/>
        </w:rPr>
        <w:t xml:space="preserve">סוגי המידע שגופים בוחרים לדווח עליהם </w:t>
      </w:r>
      <w:r w:rsidRPr="006D564F">
        <w:rPr>
          <w:rFonts w:hint="cs"/>
          <w:rtl/>
        </w:rPr>
        <w:t>וש</w:t>
      </w:r>
      <w:r w:rsidRPr="006D564F">
        <w:rPr>
          <w:rtl/>
        </w:rPr>
        <w:t>מתלוננות ומתלוננים</w:t>
      </w:r>
      <w:r w:rsidRPr="006D564F">
        <w:rPr>
          <w:rFonts w:hint="cs"/>
          <w:rtl/>
        </w:rPr>
        <w:t xml:space="preserve"> פו</w:t>
      </w:r>
      <w:r>
        <w:rPr>
          <w:rFonts w:hint="cs"/>
          <w:rtl/>
        </w:rPr>
        <w:t>נים אליו בעניינו</w:t>
      </w:r>
      <w:r w:rsidRPr="003A6DC4">
        <w:rPr>
          <w:rtl/>
        </w:rPr>
        <w:t xml:space="preserve">. </w:t>
      </w:r>
    </w:p>
    <w:p w14:paraId="17F227EA" w14:textId="77777777" w:rsidR="00417266" w:rsidRDefault="00417266" w:rsidP="0073378E">
      <w:pPr>
        <w:pStyle w:val="af3"/>
        <w:rPr>
          <w:rtl/>
        </w:rPr>
      </w:pPr>
      <w:r>
        <w:rPr>
          <w:rFonts w:hint="cs"/>
          <w:rtl/>
        </w:rPr>
        <w:t xml:space="preserve">משרד מבקר המדינה מציין כי </w:t>
      </w:r>
      <w:r w:rsidRPr="003A6DC4">
        <w:rPr>
          <w:rFonts w:hint="eastAsia"/>
          <w:rtl/>
        </w:rPr>
        <w:t>סקר</w:t>
      </w:r>
      <w:r w:rsidRPr="003A6DC4">
        <w:rPr>
          <w:rtl/>
        </w:rPr>
        <w:t xml:space="preserve"> </w:t>
      </w:r>
      <w:r w:rsidRPr="003A6DC4">
        <w:rPr>
          <w:rFonts w:hint="eastAsia"/>
          <w:rtl/>
        </w:rPr>
        <w:t>בנושא</w:t>
      </w:r>
      <w:r w:rsidRPr="003A6DC4">
        <w:rPr>
          <w:rtl/>
        </w:rPr>
        <w:t xml:space="preserve"> </w:t>
      </w:r>
      <w:r w:rsidRPr="003A6DC4">
        <w:rPr>
          <w:rFonts w:hint="eastAsia"/>
          <w:rtl/>
        </w:rPr>
        <w:t>של</w:t>
      </w:r>
      <w:r w:rsidRPr="003A6DC4">
        <w:rPr>
          <w:rtl/>
        </w:rPr>
        <w:t xml:space="preserve"> </w:t>
      </w:r>
      <w:r w:rsidRPr="003A6DC4">
        <w:rPr>
          <w:rFonts w:hint="eastAsia"/>
          <w:rtl/>
        </w:rPr>
        <w:t>הטרדה</w:t>
      </w:r>
      <w:r w:rsidRPr="003A6DC4">
        <w:rPr>
          <w:rtl/>
        </w:rPr>
        <w:t xml:space="preserve"> </w:t>
      </w:r>
      <w:r w:rsidRPr="003A6DC4">
        <w:rPr>
          <w:rFonts w:hint="eastAsia"/>
          <w:rtl/>
        </w:rPr>
        <w:t>מינית</w:t>
      </w:r>
      <w:r w:rsidRPr="003A6DC4">
        <w:rPr>
          <w:rtl/>
        </w:rPr>
        <w:t xml:space="preserve"> </w:t>
      </w:r>
      <w:r>
        <w:rPr>
          <w:rFonts w:hint="cs"/>
          <w:rtl/>
        </w:rPr>
        <w:t xml:space="preserve">של </w:t>
      </w:r>
      <w:r w:rsidRPr="003A6DC4">
        <w:rPr>
          <w:rFonts w:hint="eastAsia"/>
          <w:rtl/>
        </w:rPr>
        <w:t>מטופלים</w:t>
      </w:r>
      <w:r w:rsidRPr="003A6DC4">
        <w:rPr>
          <w:rtl/>
        </w:rPr>
        <w:t xml:space="preserve"> </w:t>
      </w:r>
      <w:r w:rsidRPr="003A6DC4">
        <w:rPr>
          <w:rFonts w:hint="eastAsia"/>
          <w:rtl/>
        </w:rPr>
        <w:t>אינ</w:t>
      </w:r>
      <w:r>
        <w:rPr>
          <w:rFonts w:hint="cs"/>
          <w:rtl/>
        </w:rPr>
        <w:t>ו</w:t>
      </w:r>
      <w:r w:rsidRPr="003A6DC4">
        <w:rPr>
          <w:rtl/>
        </w:rPr>
        <w:t xml:space="preserve"> </w:t>
      </w:r>
      <w:r w:rsidRPr="003A6DC4">
        <w:rPr>
          <w:rFonts w:hint="eastAsia"/>
          <w:rtl/>
        </w:rPr>
        <w:t>שונה</w:t>
      </w:r>
      <w:r w:rsidRPr="003A6DC4">
        <w:rPr>
          <w:rtl/>
        </w:rPr>
        <w:t xml:space="preserve"> </w:t>
      </w:r>
      <w:r w:rsidRPr="003A6DC4">
        <w:rPr>
          <w:rFonts w:hint="eastAsia"/>
          <w:rtl/>
        </w:rPr>
        <w:t>מסקרים</w:t>
      </w:r>
      <w:r w:rsidRPr="003A6DC4">
        <w:rPr>
          <w:rtl/>
        </w:rPr>
        <w:t xml:space="preserve"> </w:t>
      </w:r>
      <w:r w:rsidRPr="003A6DC4">
        <w:rPr>
          <w:rFonts w:hint="eastAsia"/>
          <w:rtl/>
        </w:rPr>
        <w:t>אחרים</w:t>
      </w:r>
      <w:r w:rsidRPr="003A6DC4">
        <w:rPr>
          <w:rtl/>
        </w:rPr>
        <w:t xml:space="preserve"> </w:t>
      </w:r>
      <w:r w:rsidRPr="003A6DC4">
        <w:rPr>
          <w:rFonts w:hint="eastAsia"/>
          <w:rtl/>
        </w:rPr>
        <w:t>שעורך</w:t>
      </w:r>
      <w:r w:rsidRPr="003A6DC4">
        <w:rPr>
          <w:rtl/>
        </w:rPr>
        <w:t xml:space="preserve"> </w:t>
      </w:r>
      <w:r w:rsidRPr="003A6DC4">
        <w:rPr>
          <w:rFonts w:hint="eastAsia"/>
          <w:rtl/>
        </w:rPr>
        <w:t>משרד</w:t>
      </w:r>
      <w:r w:rsidRPr="003A6DC4">
        <w:rPr>
          <w:rtl/>
        </w:rPr>
        <w:t xml:space="preserve"> </w:t>
      </w:r>
      <w:r w:rsidRPr="003A6DC4">
        <w:rPr>
          <w:rFonts w:hint="eastAsia"/>
          <w:rtl/>
        </w:rPr>
        <w:t>הבריאות</w:t>
      </w:r>
      <w:r>
        <w:rPr>
          <w:rFonts w:hint="cs"/>
          <w:rtl/>
        </w:rPr>
        <w:t>,</w:t>
      </w:r>
      <w:r w:rsidRPr="003A6DC4">
        <w:rPr>
          <w:rtl/>
        </w:rPr>
        <w:t xml:space="preserve"> </w:t>
      </w:r>
      <w:r w:rsidRPr="003A6DC4">
        <w:rPr>
          <w:rFonts w:hint="eastAsia"/>
          <w:rtl/>
        </w:rPr>
        <w:t>כדוגמת</w:t>
      </w:r>
      <w:r w:rsidRPr="003A6DC4">
        <w:rPr>
          <w:rtl/>
        </w:rPr>
        <w:t xml:space="preserve"> </w:t>
      </w:r>
      <w:r w:rsidRPr="003A6DC4">
        <w:rPr>
          <w:rFonts w:hint="eastAsia"/>
          <w:rtl/>
        </w:rPr>
        <w:t>סקר</w:t>
      </w:r>
      <w:r w:rsidRPr="003A6DC4">
        <w:rPr>
          <w:rtl/>
        </w:rPr>
        <w:t xml:space="preserve"> </w:t>
      </w:r>
      <w:r w:rsidRPr="003A6DC4">
        <w:rPr>
          <w:rFonts w:hint="eastAsia"/>
          <w:rtl/>
        </w:rPr>
        <w:t>שביעות</w:t>
      </w:r>
      <w:r w:rsidRPr="003A6DC4">
        <w:rPr>
          <w:rtl/>
        </w:rPr>
        <w:t xml:space="preserve"> </w:t>
      </w:r>
      <w:r w:rsidRPr="003A6DC4">
        <w:rPr>
          <w:rFonts w:hint="eastAsia"/>
          <w:rtl/>
        </w:rPr>
        <w:t>רצון</w:t>
      </w:r>
      <w:r w:rsidRPr="003A6DC4">
        <w:rPr>
          <w:rtl/>
        </w:rPr>
        <w:t xml:space="preserve"> </w:t>
      </w:r>
      <w:r w:rsidRPr="003A6DC4">
        <w:rPr>
          <w:rFonts w:hint="eastAsia"/>
          <w:rtl/>
        </w:rPr>
        <w:t>החולים</w:t>
      </w:r>
      <w:r w:rsidRPr="003A6DC4">
        <w:rPr>
          <w:rtl/>
        </w:rPr>
        <w:t xml:space="preserve"> </w:t>
      </w:r>
      <w:r w:rsidRPr="003A6DC4">
        <w:rPr>
          <w:rFonts w:hint="eastAsia"/>
          <w:rtl/>
        </w:rPr>
        <w:t>מטיפולים</w:t>
      </w:r>
      <w:r w:rsidRPr="003A6DC4">
        <w:rPr>
          <w:rtl/>
        </w:rPr>
        <w:t xml:space="preserve"> </w:t>
      </w:r>
      <w:r w:rsidRPr="003A6DC4">
        <w:rPr>
          <w:rFonts w:hint="eastAsia"/>
          <w:rtl/>
        </w:rPr>
        <w:t>ו</w:t>
      </w:r>
      <w:r>
        <w:rPr>
          <w:rFonts w:hint="cs"/>
          <w:rtl/>
        </w:rPr>
        <w:t>מה</w:t>
      </w:r>
      <w:r w:rsidRPr="003A6DC4">
        <w:rPr>
          <w:rFonts w:hint="eastAsia"/>
          <w:rtl/>
        </w:rPr>
        <w:t>שה</w:t>
      </w:r>
      <w:r>
        <w:rPr>
          <w:rFonts w:hint="cs"/>
          <w:rtl/>
        </w:rPr>
        <w:t>ייה</w:t>
      </w:r>
      <w:r w:rsidRPr="003A6DC4">
        <w:rPr>
          <w:rtl/>
        </w:rPr>
        <w:t xml:space="preserve"> </w:t>
      </w:r>
      <w:r w:rsidRPr="003A6DC4">
        <w:rPr>
          <w:rFonts w:hint="eastAsia"/>
          <w:rtl/>
        </w:rPr>
        <w:t>בבתי</w:t>
      </w:r>
      <w:r w:rsidRPr="003A6DC4">
        <w:rPr>
          <w:rtl/>
        </w:rPr>
        <w:t xml:space="preserve"> </w:t>
      </w:r>
      <w:r w:rsidRPr="003A6DC4">
        <w:rPr>
          <w:rFonts w:hint="eastAsia"/>
          <w:rtl/>
        </w:rPr>
        <w:t>החולים</w:t>
      </w:r>
      <w:r w:rsidRPr="003A6DC4">
        <w:rPr>
          <w:rtl/>
        </w:rPr>
        <w:t xml:space="preserve"> </w:t>
      </w:r>
      <w:r w:rsidRPr="003A6DC4">
        <w:rPr>
          <w:rFonts w:hint="eastAsia"/>
          <w:rtl/>
        </w:rPr>
        <w:t>לבריאות</w:t>
      </w:r>
      <w:r w:rsidRPr="003A6DC4">
        <w:rPr>
          <w:rtl/>
        </w:rPr>
        <w:t xml:space="preserve"> </w:t>
      </w:r>
      <w:r w:rsidRPr="003A6DC4">
        <w:rPr>
          <w:rFonts w:hint="eastAsia"/>
          <w:rtl/>
        </w:rPr>
        <w:t>הנפש</w:t>
      </w:r>
      <w:r>
        <w:rPr>
          <w:rFonts w:hint="cs"/>
          <w:rtl/>
        </w:rPr>
        <w:t>, שגם המענה אליו תלוי בנכונות של המטופלים לשתף פעולה ולמסור מידע. אשר על כן מומלץ לבחון עריכת סקרים גם בנושאים אלו באופן תקופתי.</w:t>
      </w:r>
    </w:p>
    <w:p w14:paraId="3FF1EB4A" w14:textId="77777777" w:rsidR="00417266" w:rsidRPr="00C43F1B" w:rsidRDefault="00417266" w:rsidP="00417266">
      <w:pPr>
        <w:pStyle w:val="ListParagraph"/>
        <w:spacing w:line="269" w:lineRule="auto"/>
        <w:ind w:left="-2"/>
        <w:rPr>
          <w:rtl/>
        </w:rPr>
      </w:pPr>
    </w:p>
    <w:p w14:paraId="3EDC40F6" w14:textId="77777777" w:rsidR="00417266" w:rsidRDefault="00417266" w:rsidP="00417266">
      <w:pPr>
        <w:bidi w:val="0"/>
        <w:spacing w:after="200" w:line="276" w:lineRule="auto"/>
        <w:rPr>
          <w:rFonts w:eastAsiaTheme="majorEastAsia"/>
          <w:bCs/>
          <w:szCs w:val="26"/>
          <w:rtl/>
        </w:rPr>
      </w:pPr>
      <w:r>
        <w:rPr>
          <w:rtl/>
        </w:rPr>
        <w:br w:type="page"/>
      </w:r>
    </w:p>
    <w:p w14:paraId="22B4F75C" w14:textId="77777777" w:rsidR="00417266" w:rsidRPr="00C43F1B" w:rsidRDefault="00417266" w:rsidP="00513F33">
      <w:pPr>
        <w:pStyle w:val="414"/>
        <w:rPr>
          <w:rtl/>
        </w:rPr>
      </w:pPr>
      <w:r w:rsidRPr="00C43F1B">
        <w:rPr>
          <w:rFonts w:hint="cs"/>
          <w:rtl/>
        </w:rPr>
        <w:lastRenderedPageBreak/>
        <w:t>נוהלי משרד הבריאות למניעת הטרדות מיניות ולטיפול בהן</w:t>
      </w:r>
    </w:p>
    <w:p w14:paraId="06849A46" w14:textId="77777777" w:rsidR="00417266" w:rsidRPr="00C43F1B" w:rsidRDefault="00417266" w:rsidP="00513F33">
      <w:pPr>
        <w:pStyle w:val="af3"/>
        <w:rPr>
          <w:rtl/>
        </w:rPr>
      </w:pPr>
      <w:r w:rsidRPr="00C43F1B">
        <w:rPr>
          <w:rFonts w:hint="eastAsia"/>
          <w:rtl/>
        </w:rPr>
        <w:t>משרד</w:t>
      </w:r>
      <w:r w:rsidRPr="00C43F1B">
        <w:rPr>
          <w:rtl/>
        </w:rPr>
        <w:t xml:space="preserve"> הבריאות </w:t>
      </w:r>
      <w:r w:rsidRPr="00C43F1B">
        <w:rPr>
          <w:rFonts w:hint="eastAsia"/>
          <w:rtl/>
        </w:rPr>
        <w:t>לא</w:t>
      </w:r>
      <w:r w:rsidRPr="00C43F1B">
        <w:rPr>
          <w:rtl/>
        </w:rPr>
        <w:t xml:space="preserve"> </w:t>
      </w:r>
      <w:r w:rsidRPr="00C43F1B">
        <w:rPr>
          <w:rFonts w:hint="cs"/>
          <w:rtl/>
        </w:rPr>
        <w:t>כלל ב</w:t>
      </w:r>
      <w:r w:rsidRPr="00C43F1B">
        <w:rPr>
          <w:rtl/>
        </w:rPr>
        <w:t xml:space="preserve">נהליו </w:t>
      </w:r>
      <w:r w:rsidRPr="00C43F1B">
        <w:rPr>
          <w:rFonts w:hint="cs"/>
          <w:rtl/>
        </w:rPr>
        <w:t xml:space="preserve">הוראות הנוגעות </w:t>
      </w:r>
      <w:r w:rsidRPr="00C43F1B">
        <w:rPr>
          <w:rtl/>
        </w:rPr>
        <w:t xml:space="preserve">להטרדות מיניות במהלך טיפול רפואי. להלן הפרטים. </w:t>
      </w:r>
    </w:p>
    <w:p w14:paraId="4BEA22B4" w14:textId="77777777" w:rsidR="00417266" w:rsidRPr="00513F33" w:rsidRDefault="00417266" w:rsidP="00513F33">
      <w:pPr>
        <w:pStyle w:val="a0"/>
        <w:numPr>
          <w:ilvl w:val="0"/>
          <w:numId w:val="34"/>
        </w:numPr>
        <w:rPr>
          <w:b/>
          <w:bCs/>
          <w:rtl/>
        </w:rPr>
      </w:pPr>
      <w:r w:rsidRPr="00C43F1B">
        <w:rPr>
          <w:rFonts w:hint="eastAsia"/>
          <w:rtl/>
        </w:rPr>
        <w:t>משרד</w:t>
      </w:r>
      <w:r w:rsidRPr="00C43F1B">
        <w:rPr>
          <w:rtl/>
        </w:rPr>
        <w:t xml:space="preserve"> הבריאות </w:t>
      </w:r>
      <w:r w:rsidRPr="00C43F1B">
        <w:rPr>
          <w:rFonts w:hint="cs"/>
          <w:rtl/>
        </w:rPr>
        <w:t xml:space="preserve">פרסם </w:t>
      </w:r>
      <w:r w:rsidRPr="00C43F1B">
        <w:rPr>
          <w:rFonts w:hint="eastAsia"/>
          <w:rtl/>
        </w:rPr>
        <w:t>שני</w:t>
      </w:r>
      <w:r w:rsidRPr="00C43F1B">
        <w:rPr>
          <w:rtl/>
        </w:rPr>
        <w:t xml:space="preserve"> </w:t>
      </w:r>
      <w:r w:rsidRPr="00C43F1B">
        <w:rPr>
          <w:rFonts w:hint="eastAsia"/>
          <w:rtl/>
        </w:rPr>
        <w:t>חוזרים</w:t>
      </w:r>
      <w:r w:rsidRPr="00C43F1B">
        <w:rPr>
          <w:rtl/>
        </w:rPr>
        <w:t xml:space="preserve"> </w:t>
      </w:r>
      <w:r w:rsidRPr="00C43F1B">
        <w:rPr>
          <w:rFonts w:hint="cs"/>
          <w:rtl/>
        </w:rPr>
        <w:t>העוסקים ב</w:t>
      </w:r>
      <w:r w:rsidRPr="00C43F1B">
        <w:rPr>
          <w:rtl/>
        </w:rPr>
        <w:t>מקומם הפגיע</w:t>
      </w:r>
      <w:r>
        <w:rPr>
          <w:rFonts w:hint="cs"/>
          <w:rtl/>
        </w:rPr>
        <w:t xml:space="preserve"> של מטופלים בעת טיפול רפואי</w:t>
      </w:r>
      <w:r w:rsidRPr="00C43F1B">
        <w:rPr>
          <w:rtl/>
        </w:rPr>
        <w:t xml:space="preserve"> </w:t>
      </w:r>
      <w:r w:rsidRPr="00C43F1B">
        <w:rPr>
          <w:rFonts w:hint="eastAsia"/>
          <w:rtl/>
        </w:rPr>
        <w:t>ו</w:t>
      </w:r>
      <w:r w:rsidRPr="00C43F1B">
        <w:rPr>
          <w:rFonts w:hint="cs"/>
          <w:rtl/>
        </w:rPr>
        <w:t>ב</w:t>
      </w:r>
      <w:r w:rsidRPr="00C43F1B">
        <w:rPr>
          <w:rFonts w:hint="eastAsia"/>
          <w:rtl/>
        </w:rPr>
        <w:t>חשש</w:t>
      </w:r>
      <w:r w:rsidRPr="00C43F1B">
        <w:rPr>
          <w:rtl/>
        </w:rPr>
        <w:t xml:space="preserve"> מפגיעה בכבודם</w:t>
      </w:r>
      <w:r w:rsidRPr="00C43F1B">
        <w:rPr>
          <w:rFonts w:hint="cs"/>
          <w:rtl/>
        </w:rPr>
        <w:t>.</w:t>
      </w:r>
      <w:r w:rsidRPr="00C43F1B">
        <w:rPr>
          <w:rtl/>
        </w:rPr>
        <w:t xml:space="preserve"> הראשון </w:t>
      </w:r>
      <w:r w:rsidRPr="00C43F1B">
        <w:rPr>
          <w:rFonts w:hint="cs"/>
          <w:rtl/>
        </w:rPr>
        <w:t>עוסק בבדיקה גופנית באברים מוצנעים וקובע את זכותו של כל מטופל לנוכחות אדם נוסף בעת ביצוע בדיקה גופנית. השני עוסק בשמירה על צניעות הנבדק בעת ביצוע בדיקות לב במאמץ (ארגומטרי</w:t>
      </w:r>
      <w:r>
        <w:rPr>
          <w:rFonts w:hint="cs"/>
          <w:rtl/>
        </w:rPr>
        <w:t>י</w:t>
      </w:r>
      <w:r w:rsidRPr="00C43F1B">
        <w:rPr>
          <w:rFonts w:hint="cs"/>
          <w:rtl/>
        </w:rPr>
        <w:t>ה, אקו לב ומיפוי לב) וקובע את זכותם של הנבדקים והנבדקות לבצע את הבדיקה בלבוש מלא.</w:t>
      </w:r>
    </w:p>
    <w:p w14:paraId="390CBCBB" w14:textId="77777777" w:rsidR="00417266" w:rsidRPr="00C43F1B" w:rsidRDefault="00417266" w:rsidP="00513F33">
      <w:pPr>
        <w:pStyle w:val="ac"/>
        <w:rPr>
          <w:rtl/>
        </w:rPr>
      </w:pPr>
      <w:r>
        <w:rPr>
          <w:rFonts w:hint="cs"/>
          <w:rtl/>
        </w:rPr>
        <w:t xml:space="preserve">לעומת זאת, </w:t>
      </w:r>
      <w:r w:rsidRPr="00C43F1B">
        <w:rPr>
          <w:rFonts w:hint="cs"/>
          <w:rtl/>
        </w:rPr>
        <w:t>משרד הבריאות לא פרסם הוראות המסדירות את ה</w:t>
      </w:r>
      <w:r w:rsidRPr="00C43F1B">
        <w:rPr>
          <w:rtl/>
        </w:rPr>
        <w:t>טיפול</w:t>
      </w:r>
      <w:r w:rsidRPr="00C43F1B">
        <w:rPr>
          <w:rFonts w:hint="cs"/>
          <w:rtl/>
        </w:rPr>
        <w:t xml:space="preserve"> של</w:t>
      </w:r>
      <w:r w:rsidRPr="00C43F1B">
        <w:rPr>
          <w:rtl/>
        </w:rPr>
        <w:t xml:space="preserve"> מערכת הבריאות ועובדיה </w:t>
      </w:r>
      <w:r w:rsidRPr="00C43F1B">
        <w:rPr>
          <w:rFonts w:hint="cs"/>
          <w:rtl/>
        </w:rPr>
        <w:t>ב</w:t>
      </w:r>
      <w:r w:rsidRPr="00C43F1B">
        <w:rPr>
          <w:rtl/>
        </w:rPr>
        <w:t xml:space="preserve">נושא </w:t>
      </w:r>
      <w:r w:rsidRPr="00C43F1B">
        <w:rPr>
          <w:rFonts w:hint="cs"/>
          <w:rtl/>
        </w:rPr>
        <w:t>ה</w:t>
      </w:r>
      <w:r w:rsidRPr="00C43F1B">
        <w:rPr>
          <w:rtl/>
        </w:rPr>
        <w:t>הטרדה ו</w:t>
      </w:r>
      <w:r w:rsidRPr="00C43F1B">
        <w:rPr>
          <w:rFonts w:hint="cs"/>
          <w:rtl/>
        </w:rPr>
        <w:t>ה</w:t>
      </w:r>
      <w:r w:rsidRPr="00C43F1B">
        <w:rPr>
          <w:rtl/>
        </w:rPr>
        <w:t xml:space="preserve">פגיעה </w:t>
      </w:r>
      <w:r w:rsidRPr="00C43F1B">
        <w:rPr>
          <w:rFonts w:hint="cs"/>
          <w:rtl/>
        </w:rPr>
        <w:t>ה</w:t>
      </w:r>
      <w:r w:rsidRPr="00C43F1B">
        <w:rPr>
          <w:rtl/>
        </w:rPr>
        <w:t>מינית במהלך טיפול רפואי</w:t>
      </w:r>
      <w:r w:rsidRPr="00C43F1B">
        <w:rPr>
          <w:rFonts w:hint="cs"/>
          <w:rtl/>
        </w:rPr>
        <w:t xml:space="preserve">. </w:t>
      </w:r>
    </w:p>
    <w:p w14:paraId="7F98A038" w14:textId="77777777" w:rsidR="00417266" w:rsidRPr="00C43F1B" w:rsidRDefault="00417266" w:rsidP="00513F33">
      <w:pPr>
        <w:pStyle w:val="ac"/>
        <w:rPr>
          <w:rtl/>
        </w:rPr>
      </w:pPr>
      <w:r w:rsidRPr="00C43F1B">
        <w:rPr>
          <w:rFonts w:hint="cs"/>
          <w:rtl/>
        </w:rPr>
        <w:t>יוער כי מנעד האפשרויות</w:t>
      </w:r>
      <w:r w:rsidRPr="00C43F1B">
        <w:rPr>
          <w:rtl/>
        </w:rPr>
        <w:t xml:space="preserve"> </w:t>
      </w:r>
      <w:r w:rsidRPr="00C43F1B">
        <w:rPr>
          <w:rFonts w:hint="cs"/>
          <w:rtl/>
        </w:rPr>
        <w:t xml:space="preserve">של </w:t>
      </w:r>
      <w:r w:rsidRPr="00C43F1B">
        <w:rPr>
          <w:rFonts w:hint="eastAsia"/>
          <w:rtl/>
        </w:rPr>
        <w:t>פגיע</w:t>
      </w:r>
      <w:r w:rsidRPr="00C43F1B">
        <w:rPr>
          <w:rFonts w:hint="cs"/>
          <w:rtl/>
        </w:rPr>
        <w:t>ה</w:t>
      </w:r>
      <w:r w:rsidRPr="00C43F1B">
        <w:rPr>
          <w:rtl/>
        </w:rPr>
        <w:t xml:space="preserve"> </w:t>
      </w:r>
      <w:r w:rsidRPr="00C43F1B">
        <w:rPr>
          <w:rFonts w:hint="cs"/>
          <w:rtl/>
        </w:rPr>
        <w:t>במטופלים ו</w:t>
      </w:r>
      <w:r w:rsidRPr="00C43F1B">
        <w:rPr>
          <w:rFonts w:hint="eastAsia"/>
          <w:rtl/>
        </w:rPr>
        <w:t>מטופלות</w:t>
      </w:r>
      <w:r w:rsidRPr="00C43F1B">
        <w:rPr>
          <w:rtl/>
        </w:rPr>
        <w:t xml:space="preserve"> </w:t>
      </w:r>
      <w:r w:rsidRPr="00C43F1B">
        <w:rPr>
          <w:rFonts w:hint="cs"/>
          <w:rtl/>
        </w:rPr>
        <w:t xml:space="preserve">בידי צוות רפואי </w:t>
      </w:r>
      <w:r w:rsidRPr="00C43F1B">
        <w:rPr>
          <w:rFonts w:hint="eastAsia"/>
          <w:rtl/>
        </w:rPr>
        <w:t>ה</w:t>
      </w:r>
      <w:r w:rsidRPr="00C43F1B">
        <w:rPr>
          <w:rFonts w:hint="cs"/>
          <w:rtl/>
        </w:rPr>
        <w:t>וא</w:t>
      </w:r>
      <w:r w:rsidRPr="00C43F1B">
        <w:rPr>
          <w:rtl/>
        </w:rPr>
        <w:t xml:space="preserve"> </w:t>
      </w:r>
      <w:r w:rsidRPr="00C43F1B">
        <w:rPr>
          <w:rFonts w:hint="cs"/>
          <w:rtl/>
        </w:rPr>
        <w:t>רחב</w:t>
      </w:r>
      <w:r w:rsidRPr="00C43F1B">
        <w:rPr>
          <w:rtl/>
        </w:rPr>
        <w:t xml:space="preserve"> ומגוו</w:t>
      </w:r>
      <w:r w:rsidRPr="00C43F1B">
        <w:rPr>
          <w:rFonts w:hint="cs"/>
          <w:rtl/>
        </w:rPr>
        <w:t xml:space="preserve">ן, ונדרשת </w:t>
      </w:r>
      <w:r w:rsidRPr="00C43F1B">
        <w:rPr>
          <w:rFonts w:hint="eastAsia"/>
          <w:rtl/>
        </w:rPr>
        <w:t>התייחסות</w:t>
      </w:r>
      <w:r w:rsidRPr="00C43F1B">
        <w:rPr>
          <w:rtl/>
        </w:rPr>
        <w:t xml:space="preserve"> </w:t>
      </w:r>
      <w:r>
        <w:rPr>
          <w:rFonts w:hint="cs"/>
          <w:rtl/>
        </w:rPr>
        <w:t>להיבטים הייחודיים של הטיפול רפואי ושל מערכת היחסים בין המטופל למטפל, ובהם</w:t>
      </w:r>
      <w:r w:rsidRPr="00C43F1B">
        <w:rPr>
          <w:rFonts w:hint="cs"/>
          <w:rtl/>
        </w:rPr>
        <w:t xml:space="preserve">: </w:t>
      </w:r>
      <w:r w:rsidRPr="00C43F1B">
        <w:rPr>
          <w:rtl/>
        </w:rPr>
        <w:t>יחסי הכ</w:t>
      </w:r>
      <w:r w:rsidRPr="00C43F1B">
        <w:rPr>
          <w:rFonts w:hint="cs"/>
          <w:rtl/>
        </w:rPr>
        <w:t>ו</w:t>
      </w:r>
      <w:r w:rsidRPr="00C43F1B">
        <w:rPr>
          <w:rtl/>
        </w:rPr>
        <w:t>ח הקיימים ביחסי המטפל</w:t>
      </w:r>
      <w:r w:rsidRPr="00C43F1B">
        <w:rPr>
          <w:rFonts w:hint="cs"/>
          <w:rtl/>
        </w:rPr>
        <w:t xml:space="preserve"> וה</w:t>
      </w:r>
      <w:r w:rsidRPr="00C43F1B">
        <w:rPr>
          <w:rtl/>
        </w:rPr>
        <w:t>מטופל</w:t>
      </w:r>
      <w:r w:rsidRPr="00C43F1B">
        <w:rPr>
          <w:rFonts w:hint="cs"/>
          <w:rtl/>
        </w:rPr>
        <w:t>;</w:t>
      </w:r>
      <w:r w:rsidRPr="00C43F1B">
        <w:rPr>
          <w:rtl/>
        </w:rPr>
        <w:t xml:space="preserve"> </w:t>
      </w:r>
      <w:r w:rsidRPr="00C43F1B">
        <w:rPr>
          <w:rFonts w:hint="cs"/>
          <w:rtl/>
        </w:rPr>
        <w:t>ההכרה ש</w:t>
      </w:r>
      <w:r w:rsidRPr="00C43F1B">
        <w:rPr>
          <w:rtl/>
        </w:rPr>
        <w:t>פגיעה מינית או אלימות</w:t>
      </w:r>
      <w:r w:rsidRPr="00C43F1B">
        <w:rPr>
          <w:rFonts w:hint="cs"/>
          <w:rtl/>
        </w:rPr>
        <w:t xml:space="preserve"> שחווה המטופל בעברו</w:t>
      </w:r>
      <w:r w:rsidRPr="00C43F1B">
        <w:rPr>
          <w:rtl/>
        </w:rPr>
        <w:t xml:space="preserve"> עלול</w:t>
      </w:r>
      <w:r w:rsidRPr="00C43F1B">
        <w:rPr>
          <w:rFonts w:hint="cs"/>
          <w:rtl/>
        </w:rPr>
        <w:t>ה</w:t>
      </w:r>
      <w:r w:rsidRPr="00C43F1B">
        <w:rPr>
          <w:rtl/>
        </w:rPr>
        <w:t xml:space="preserve"> להשפיע על </w:t>
      </w:r>
      <w:r w:rsidRPr="00C43F1B">
        <w:rPr>
          <w:rFonts w:hint="cs"/>
          <w:rtl/>
        </w:rPr>
        <w:t xml:space="preserve">תחושתו </w:t>
      </w:r>
      <w:r w:rsidRPr="00C43F1B">
        <w:rPr>
          <w:rtl/>
        </w:rPr>
        <w:t>במהלך הטיפול הרפואי</w:t>
      </w:r>
      <w:r w:rsidRPr="00C43F1B">
        <w:rPr>
          <w:rFonts w:hint="cs"/>
          <w:rtl/>
        </w:rPr>
        <w:t>;</w:t>
      </w:r>
      <w:r w:rsidRPr="00C43F1B">
        <w:rPr>
          <w:rtl/>
        </w:rPr>
        <w:t xml:space="preserve"> </w:t>
      </w:r>
      <w:r w:rsidRPr="00C43F1B">
        <w:rPr>
          <w:rFonts w:hint="cs"/>
          <w:rtl/>
        </w:rPr>
        <w:t xml:space="preserve">הכרת </w:t>
      </w:r>
      <w:r w:rsidRPr="00C43F1B">
        <w:rPr>
          <w:rtl/>
        </w:rPr>
        <w:t>הצרכים התרבותיים של מטופלים</w:t>
      </w:r>
      <w:r w:rsidRPr="00C43F1B">
        <w:rPr>
          <w:rFonts w:hint="cs"/>
          <w:rtl/>
        </w:rPr>
        <w:t xml:space="preserve"> שונים;</w:t>
      </w:r>
      <w:r w:rsidRPr="00C43F1B">
        <w:rPr>
          <w:rtl/>
        </w:rPr>
        <w:t xml:space="preserve"> </w:t>
      </w:r>
      <w:r w:rsidRPr="00C43F1B">
        <w:rPr>
          <w:rFonts w:hint="cs"/>
          <w:rtl/>
        </w:rPr>
        <w:t xml:space="preserve">מתן </w:t>
      </w:r>
      <w:r w:rsidRPr="00C43F1B">
        <w:rPr>
          <w:rtl/>
        </w:rPr>
        <w:t>הסבר</w:t>
      </w:r>
      <w:r w:rsidRPr="00C43F1B">
        <w:rPr>
          <w:rFonts w:hint="cs"/>
          <w:rtl/>
        </w:rPr>
        <w:t xml:space="preserve">ים ובכללם </w:t>
      </w:r>
      <w:r w:rsidRPr="00C43F1B">
        <w:rPr>
          <w:rtl/>
        </w:rPr>
        <w:t>התייחסות למגע הצפוי במהלך</w:t>
      </w:r>
      <w:r w:rsidRPr="00C43F1B">
        <w:rPr>
          <w:rFonts w:hint="cs"/>
          <w:rtl/>
        </w:rPr>
        <w:t xml:space="preserve"> </w:t>
      </w:r>
      <w:r w:rsidRPr="00C43F1B">
        <w:rPr>
          <w:rtl/>
        </w:rPr>
        <w:t>הבדיקה</w:t>
      </w:r>
      <w:r w:rsidRPr="00C43F1B">
        <w:rPr>
          <w:rFonts w:hint="cs"/>
          <w:rtl/>
        </w:rPr>
        <w:t xml:space="preserve">, ובמיוחד </w:t>
      </w:r>
      <w:r w:rsidRPr="00C43F1B">
        <w:rPr>
          <w:rtl/>
        </w:rPr>
        <w:t xml:space="preserve">בבדיקות הכוללות מגע חודרני או </w:t>
      </w:r>
      <w:r w:rsidRPr="00C43F1B">
        <w:rPr>
          <w:rFonts w:hint="cs"/>
          <w:rtl/>
        </w:rPr>
        <w:t xml:space="preserve">באזור </w:t>
      </w:r>
      <w:r w:rsidRPr="00C43F1B">
        <w:rPr>
          <w:rtl/>
        </w:rPr>
        <w:t>אינטימי</w:t>
      </w:r>
      <w:r w:rsidRPr="00C43F1B">
        <w:rPr>
          <w:rFonts w:hint="cs"/>
          <w:rtl/>
        </w:rPr>
        <w:t xml:space="preserve">; </w:t>
      </w:r>
      <w:r w:rsidRPr="00C43F1B">
        <w:rPr>
          <w:rtl/>
        </w:rPr>
        <w:t>נוכחות</w:t>
      </w:r>
      <w:r w:rsidRPr="00C43F1B">
        <w:rPr>
          <w:rFonts w:hint="cs"/>
          <w:rtl/>
        </w:rPr>
        <w:t>ם</w:t>
      </w:r>
      <w:r w:rsidRPr="00C43F1B">
        <w:rPr>
          <w:rtl/>
        </w:rPr>
        <w:t xml:space="preserve"> של </w:t>
      </w:r>
      <w:r w:rsidRPr="00C43F1B">
        <w:rPr>
          <w:rFonts w:hint="cs"/>
          <w:rtl/>
        </w:rPr>
        <w:t xml:space="preserve">אנשים נוספים </w:t>
      </w:r>
      <w:r>
        <w:rPr>
          <w:rFonts w:hint="cs"/>
          <w:rtl/>
        </w:rPr>
        <w:t>כדוגמת סטודנטים</w:t>
      </w:r>
      <w:r w:rsidRPr="00C43F1B">
        <w:rPr>
          <w:rFonts w:hint="cs"/>
          <w:rtl/>
        </w:rPr>
        <w:t xml:space="preserve"> </w:t>
      </w:r>
      <w:r>
        <w:rPr>
          <w:rFonts w:hint="cs"/>
          <w:rtl/>
        </w:rPr>
        <w:t>ו</w:t>
      </w:r>
      <w:r w:rsidRPr="00C43F1B">
        <w:rPr>
          <w:rFonts w:hint="cs"/>
          <w:rtl/>
        </w:rPr>
        <w:t>אנשי הצוות הרפואי; הימנעות מ</w:t>
      </w:r>
      <w:r w:rsidRPr="00C43F1B">
        <w:rPr>
          <w:rtl/>
        </w:rPr>
        <w:t>התבטאויות בעלות אופי מיני או התבטאויות לא מכבדות</w:t>
      </w:r>
      <w:r w:rsidRPr="00C43F1B">
        <w:rPr>
          <w:rFonts w:hint="cs"/>
          <w:rtl/>
        </w:rPr>
        <w:t>.</w:t>
      </w:r>
      <w:r w:rsidRPr="00C43F1B">
        <w:rPr>
          <w:rtl/>
        </w:rPr>
        <w:t xml:space="preserve"> </w:t>
      </w:r>
    </w:p>
    <w:p w14:paraId="5BAF00DD" w14:textId="77777777" w:rsidR="00417266" w:rsidRPr="00C43F1B" w:rsidRDefault="00417266" w:rsidP="00513F33">
      <w:pPr>
        <w:pStyle w:val="a0"/>
      </w:pPr>
      <w:r>
        <w:rPr>
          <w:rFonts w:hint="cs"/>
          <w:rtl/>
        </w:rPr>
        <w:t>בשנת 2016</w:t>
      </w:r>
      <w:r w:rsidRPr="00C43F1B">
        <w:rPr>
          <w:rFonts w:hint="cs"/>
          <w:rtl/>
        </w:rPr>
        <w:t xml:space="preserve"> הוקם במשרד הבריאות צוות שמטרתו לקדם הכנת נוהל מקיף העוסק במערכת היחסים שבין המטופל למטפל. בדצמבר 2017 הציגו נציגי משרד הבריאות</w:t>
      </w:r>
      <w:r>
        <w:rPr>
          <w:rFonts w:hint="cs"/>
          <w:rtl/>
        </w:rPr>
        <w:t xml:space="preserve"> בוועדת הכנסת לקידום מעמד האישה</w:t>
      </w:r>
      <w:r w:rsidRPr="00C43F1B">
        <w:rPr>
          <w:rFonts w:hint="cs"/>
          <w:rtl/>
        </w:rPr>
        <w:t xml:space="preserve"> טיוטה ראשונה של הנוהל לטיפול בפגיעות מיניות בידי מטפלים במערכת הבריאות. בדיון </w:t>
      </w:r>
      <w:r>
        <w:rPr>
          <w:rFonts w:hint="cs"/>
          <w:rtl/>
        </w:rPr>
        <w:t>הועלו נושאים נוספים שיש מקום כי יוסדרו במסגרת הנוהל</w:t>
      </w:r>
      <w:r w:rsidRPr="00C43F1B">
        <w:rPr>
          <w:rFonts w:hint="cs"/>
          <w:rtl/>
        </w:rPr>
        <w:t xml:space="preserve">. </w:t>
      </w:r>
      <w:r>
        <w:rPr>
          <w:rFonts w:hint="cs"/>
          <w:rtl/>
        </w:rPr>
        <w:t>ביניהם: ה</w:t>
      </w:r>
      <w:r w:rsidRPr="00C43F1B">
        <w:rPr>
          <w:rFonts w:hint="cs"/>
          <w:rtl/>
        </w:rPr>
        <w:t xml:space="preserve">ניידות התעסוקתית של אנשי צוות רפואי שהטרידו מטופלות; </w:t>
      </w:r>
      <w:r>
        <w:rPr>
          <w:rFonts w:hint="cs"/>
          <w:rtl/>
        </w:rPr>
        <w:t>ה</w:t>
      </w:r>
      <w:r w:rsidRPr="00C43F1B">
        <w:rPr>
          <w:rFonts w:hint="cs"/>
          <w:rtl/>
        </w:rPr>
        <w:t>אסדרה של איסוף מידע על התלונות; חובות המטפלים ודרכי הענישה של הפוגעים; דרכי ההכשרה של הצוותים הרפואיים וההסברה לצוותים אלה</w:t>
      </w:r>
      <w:r>
        <w:rPr>
          <w:rFonts w:hint="cs"/>
          <w:rtl/>
        </w:rPr>
        <w:t>.</w:t>
      </w:r>
      <w:r w:rsidRPr="00C43F1B">
        <w:rPr>
          <w:rFonts w:hint="cs"/>
          <w:rtl/>
        </w:rPr>
        <w:t xml:space="preserve"> </w:t>
      </w:r>
      <w:r>
        <w:rPr>
          <w:rFonts w:hint="cs"/>
          <w:rtl/>
        </w:rPr>
        <w:t xml:space="preserve">כמו כן עלה בדיון הוועדה כי טיוטת הנוהל אינה קובעת את חובתו של משרד הבריאות </w:t>
      </w:r>
      <w:r w:rsidRPr="00C43F1B">
        <w:rPr>
          <w:rFonts w:hint="cs"/>
          <w:rtl/>
        </w:rPr>
        <w:t xml:space="preserve">לפקח על מוסדות הבריאות ולבדוק את יישום החוק למניעת הטרדה מינית. </w:t>
      </w:r>
    </w:p>
    <w:p w14:paraId="7F31FBD1" w14:textId="77777777" w:rsidR="00417266" w:rsidRPr="00C43F1B" w:rsidRDefault="00417266" w:rsidP="00513F33">
      <w:pPr>
        <w:pStyle w:val="af2"/>
        <w:rPr>
          <w:rtl/>
        </w:rPr>
      </w:pPr>
      <w:r w:rsidRPr="00C43F1B">
        <w:rPr>
          <w:rFonts w:hint="cs"/>
          <w:rtl/>
        </w:rPr>
        <w:t xml:space="preserve">בינואר 2018 </w:t>
      </w:r>
      <w:r>
        <w:rPr>
          <w:rFonts w:hint="cs"/>
          <w:rtl/>
        </w:rPr>
        <w:t xml:space="preserve">קיים הצוות </w:t>
      </w:r>
      <w:r w:rsidRPr="00C43F1B">
        <w:rPr>
          <w:rFonts w:hint="eastAsia"/>
          <w:rtl/>
        </w:rPr>
        <w:t>ישיבה</w:t>
      </w:r>
      <w:r w:rsidRPr="00C43F1B">
        <w:rPr>
          <w:rtl/>
        </w:rPr>
        <w:t xml:space="preserve"> </w:t>
      </w:r>
      <w:r w:rsidRPr="00C43F1B">
        <w:rPr>
          <w:rFonts w:hint="eastAsia"/>
          <w:rtl/>
        </w:rPr>
        <w:t>במטרה</w:t>
      </w:r>
      <w:r w:rsidRPr="00C43F1B">
        <w:rPr>
          <w:rtl/>
        </w:rPr>
        <w:t xml:space="preserve"> </w:t>
      </w:r>
      <w:r w:rsidRPr="00C43F1B">
        <w:rPr>
          <w:rFonts w:hint="eastAsia"/>
          <w:rtl/>
        </w:rPr>
        <w:t>לקדם</w:t>
      </w:r>
      <w:r w:rsidRPr="00C43F1B">
        <w:rPr>
          <w:rtl/>
        </w:rPr>
        <w:t xml:space="preserve"> </w:t>
      </w:r>
      <w:r w:rsidRPr="00C43F1B">
        <w:rPr>
          <w:rFonts w:hint="eastAsia"/>
          <w:rtl/>
        </w:rPr>
        <w:t>את</w:t>
      </w:r>
      <w:r w:rsidRPr="00C43F1B">
        <w:rPr>
          <w:rtl/>
        </w:rPr>
        <w:t xml:space="preserve"> </w:t>
      </w:r>
      <w:r w:rsidRPr="00C43F1B">
        <w:rPr>
          <w:rFonts w:hint="cs"/>
          <w:rtl/>
        </w:rPr>
        <w:t xml:space="preserve">הכנת </w:t>
      </w:r>
      <w:r w:rsidRPr="00C43F1B">
        <w:rPr>
          <w:rtl/>
        </w:rPr>
        <w:t>הנוהל</w:t>
      </w:r>
      <w:r w:rsidRPr="00C43F1B">
        <w:rPr>
          <w:rFonts w:hint="cs"/>
          <w:rtl/>
        </w:rPr>
        <w:t>, בהשתתפות</w:t>
      </w:r>
      <w:r w:rsidRPr="00C43F1B">
        <w:rPr>
          <w:rtl/>
        </w:rPr>
        <w:t xml:space="preserve"> נציגים מ</w:t>
      </w:r>
      <w:r w:rsidRPr="00C43F1B">
        <w:rPr>
          <w:rFonts w:hint="cs"/>
          <w:rtl/>
        </w:rPr>
        <w:t xml:space="preserve">מטה </w:t>
      </w:r>
      <w:r w:rsidRPr="00C43F1B">
        <w:rPr>
          <w:rtl/>
        </w:rPr>
        <w:t xml:space="preserve">משרד הבריאות, משרד המשפטים, נש"ם, קופות החולים, הסתדרות הרופאים </w:t>
      </w:r>
      <w:r w:rsidRPr="00C43F1B">
        <w:rPr>
          <w:rFonts w:hint="cs"/>
          <w:rtl/>
        </w:rPr>
        <w:t>ב</w:t>
      </w:r>
      <w:r w:rsidRPr="00C43F1B">
        <w:rPr>
          <w:rtl/>
        </w:rPr>
        <w:t>ישראל ונציגות ארגוני נשים</w:t>
      </w:r>
      <w:r w:rsidRPr="00C43F1B">
        <w:rPr>
          <w:rFonts w:hint="cs"/>
          <w:rtl/>
        </w:rPr>
        <w:t>.</w:t>
      </w:r>
    </w:p>
    <w:p w14:paraId="16E4CC53" w14:textId="77777777" w:rsidR="00417266" w:rsidRPr="00C43F1B" w:rsidRDefault="00417266" w:rsidP="00513F33">
      <w:pPr>
        <w:pStyle w:val="ac"/>
        <w:rPr>
          <w:rtl/>
        </w:rPr>
      </w:pPr>
      <w:r>
        <w:rPr>
          <w:rFonts w:hint="cs"/>
          <w:rtl/>
        </w:rPr>
        <w:t xml:space="preserve">מאז ינואר 2018 לא קיים </w:t>
      </w:r>
      <w:r w:rsidRPr="00C43F1B">
        <w:rPr>
          <w:rFonts w:hint="cs"/>
          <w:rtl/>
        </w:rPr>
        <w:t xml:space="preserve">הצוות </w:t>
      </w:r>
      <w:r w:rsidRPr="00C43F1B">
        <w:rPr>
          <w:rtl/>
        </w:rPr>
        <w:t xml:space="preserve">ישיבות נוספות </w:t>
      </w:r>
      <w:r w:rsidRPr="00C43F1B">
        <w:rPr>
          <w:rFonts w:hint="cs"/>
          <w:rtl/>
        </w:rPr>
        <w:t xml:space="preserve">כדי </w:t>
      </w:r>
      <w:r>
        <w:rPr>
          <w:rFonts w:hint="cs"/>
          <w:rtl/>
        </w:rPr>
        <w:t>לתת מענה למכלול ההיבטים של הנושא ולהשלים את הכנת הנוהל</w:t>
      </w:r>
      <w:r w:rsidRPr="00C43F1B">
        <w:rPr>
          <w:rtl/>
        </w:rPr>
        <w:t xml:space="preserve">. </w:t>
      </w:r>
    </w:p>
    <w:p w14:paraId="46377AFB" w14:textId="77777777" w:rsidR="00417266" w:rsidRPr="00951880" w:rsidRDefault="00417266" w:rsidP="00513F33">
      <w:pPr>
        <w:pStyle w:val="af2"/>
        <w:rPr>
          <w:rtl/>
        </w:rPr>
      </w:pPr>
      <w:r w:rsidRPr="00951880">
        <w:rPr>
          <w:rFonts w:hint="eastAsia"/>
          <w:rtl/>
        </w:rPr>
        <w:lastRenderedPageBreak/>
        <w:t>משרד</w:t>
      </w:r>
      <w:r w:rsidRPr="00951880">
        <w:rPr>
          <w:rtl/>
        </w:rPr>
        <w:t xml:space="preserve"> </w:t>
      </w:r>
      <w:r w:rsidRPr="00951880">
        <w:rPr>
          <w:rFonts w:hint="eastAsia"/>
          <w:rtl/>
        </w:rPr>
        <w:t>הבריאות</w:t>
      </w:r>
      <w:r w:rsidRPr="00951880">
        <w:rPr>
          <w:rtl/>
        </w:rPr>
        <w:t xml:space="preserve"> </w:t>
      </w:r>
      <w:r w:rsidRPr="00951880">
        <w:rPr>
          <w:rFonts w:hint="eastAsia"/>
          <w:rtl/>
        </w:rPr>
        <w:t>מסר</w:t>
      </w:r>
      <w:r w:rsidRPr="00951880">
        <w:rPr>
          <w:rtl/>
        </w:rPr>
        <w:t xml:space="preserve"> </w:t>
      </w:r>
      <w:r w:rsidRPr="00951880">
        <w:rPr>
          <w:rFonts w:hint="eastAsia"/>
          <w:rtl/>
        </w:rPr>
        <w:t>בתשובתו</w:t>
      </w:r>
      <w:r w:rsidRPr="00951880">
        <w:rPr>
          <w:rtl/>
        </w:rPr>
        <w:t xml:space="preserve"> </w:t>
      </w:r>
      <w:r w:rsidRPr="00951880">
        <w:rPr>
          <w:rFonts w:hint="eastAsia"/>
          <w:rtl/>
        </w:rPr>
        <w:t>כי</w:t>
      </w:r>
      <w:r w:rsidRPr="00951880">
        <w:rPr>
          <w:rtl/>
        </w:rPr>
        <w:t xml:space="preserve"> </w:t>
      </w:r>
      <w:r>
        <w:rPr>
          <w:rFonts w:hint="cs"/>
          <w:rtl/>
        </w:rPr>
        <w:t>ה</w:t>
      </w:r>
      <w:r w:rsidRPr="00951880">
        <w:rPr>
          <w:rFonts w:hint="eastAsia"/>
          <w:rtl/>
        </w:rPr>
        <w:t>נוהל</w:t>
      </w:r>
      <w:r w:rsidRPr="00951880">
        <w:rPr>
          <w:rtl/>
        </w:rPr>
        <w:t xml:space="preserve"> </w:t>
      </w:r>
      <w:r w:rsidRPr="00951880">
        <w:rPr>
          <w:rFonts w:hint="eastAsia"/>
          <w:rtl/>
        </w:rPr>
        <w:t>למניעת</w:t>
      </w:r>
      <w:r w:rsidRPr="00951880">
        <w:rPr>
          <w:rtl/>
        </w:rPr>
        <w:t xml:space="preserve"> </w:t>
      </w:r>
      <w:r w:rsidRPr="00951880">
        <w:rPr>
          <w:rFonts w:hint="eastAsia"/>
          <w:rtl/>
        </w:rPr>
        <w:t>הטרדה</w:t>
      </w:r>
      <w:r w:rsidRPr="00951880">
        <w:rPr>
          <w:rtl/>
        </w:rPr>
        <w:t xml:space="preserve"> </w:t>
      </w:r>
      <w:r w:rsidRPr="00951880">
        <w:rPr>
          <w:rFonts w:hint="eastAsia"/>
          <w:rtl/>
        </w:rPr>
        <w:t>מינית</w:t>
      </w:r>
      <w:r w:rsidRPr="00951880">
        <w:rPr>
          <w:rtl/>
        </w:rPr>
        <w:t xml:space="preserve"> </w:t>
      </w:r>
      <w:r w:rsidRPr="00951880">
        <w:rPr>
          <w:rFonts w:hint="eastAsia"/>
          <w:rtl/>
        </w:rPr>
        <w:t>במהלך</w:t>
      </w:r>
      <w:r w:rsidRPr="00951880">
        <w:rPr>
          <w:rtl/>
        </w:rPr>
        <w:t xml:space="preserve"> </w:t>
      </w:r>
      <w:r w:rsidRPr="00951880">
        <w:rPr>
          <w:rFonts w:hint="eastAsia"/>
          <w:rtl/>
        </w:rPr>
        <w:t>טיפול</w:t>
      </w:r>
      <w:r w:rsidRPr="00951880">
        <w:rPr>
          <w:rtl/>
        </w:rPr>
        <w:t xml:space="preserve"> </w:t>
      </w:r>
      <w:r w:rsidRPr="00951880">
        <w:rPr>
          <w:rFonts w:hint="eastAsia"/>
          <w:rtl/>
        </w:rPr>
        <w:t>רפואי</w:t>
      </w:r>
      <w:r w:rsidRPr="00951880">
        <w:rPr>
          <w:rtl/>
        </w:rPr>
        <w:t xml:space="preserve"> </w:t>
      </w:r>
      <w:r w:rsidRPr="00951880">
        <w:rPr>
          <w:rFonts w:hint="eastAsia"/>
          <w:rtl/>
        </w:rPr>
        <w:t>מצוי</w:t>
      </w:r>
      <w:r w:rsidRPr="00951880">
        <w:rPr>
          <w:rtl/>
        </w:rPr>
        <w:t xml:space="preserve"> </w:t>
      </w:r>
      <w:r w:rsidRPr="00951880">
        <w:rPr>
          <w:rFonts w:hint="eastAsia"/>
          <w:rtl/>
        </w:rPr>
        <w:t>בהכנה</w:t>
      </w:r>
      <w:r w:rsidRPr="00951880">
        <w:rPr>
          <w:rtl/>
        </w:rPr>
        <w:t xml:space="preserve">. </w:t>
      </w:r>
      <w:r w:rsidRPr="00951880">
        <w:rPr>
          <w:rFonts w:hint="eastAsia"/>
          <w:rtl/>
        </w:rPr>
        <w:t>חלק</w:t>
      </w:r>
      <w:r w:rsidRPr="00951880">
        <w:rPr>
          <w:rtl/>
        </w:rPr>
        <w:t xml:space="preserve"> </w:t>
      </w:r>
      <w:r w:rsidRPr="00951880">
        <w:rPr>
          <w:rFonts w:hint="eastAsia"/>
          <w:rtl/>
        </w:rPr>
        <w:t>מהקושי</w:t>
      </w:r>
      <w:r w:rsidRPr="00951880">
        <w:rPr>
          <w:rtl/>
        </w:rPr>
        <w:t xml:space="preserve"> </w:t>
      </w:r>
      <w:r w:rsidRPr="00951880">
        <w:rPr>
          <w:rFonts w:hint="eastAsia"/>
          <w:rtl/>
        </w:rPr>
        <w:t>בהשלמתו</w:t>
      </w:r>
      <w:r w:rsidRPr="00951880">
        <w:rPr>
          <w:rtl/>
        </w:rPr>
        <w:t xml:space="preserve"> </w:t>
      </w:r>
      <w:r w:rsidRPr="00951880">
        <w:rPr>
          <w:rFonts w:hint="eastAsia"/>
          <w:rtl/>
        </w:rPr>
        <w:t>נובע</w:t>
      </w:r>
      <w:r w:rsidRPr="00951880">
        <w:rPr>
          <w:rtl/>
        </w:rPr>
        <w:t xml:space="preserve"> </w:t>
      </w:r>
      <w:r w:rsidRPr="00951880">
        <w:rPr>
          <w:rFonts w:hint="eastAsia"/>
          <w:rtl/>
        </w:rPr>
        <w:t>ממגבלות</w:t>
      </w:r>
      <w:r w:rsidRPr="00951880">
        <w:rPr>
          <w:rtl/>
        </w:rPr>
        <w:t xml:space="preserve"> </w:t>
      </w:r>
      <w:r w:rsidRPr="00951880">
        <w:rPr>
          <w:rFonts w:hint="eastAsia"/>
          <w:rtl/>
        </w:rPr>
        <w:t>הסמכות</w:t>
      </w:r>
      <w:r w:rsidRPr="00951880">
        <w:rPr>
          <w:rtl/>
        </w:rPr>
        <w:t xml:space="preserve"> </w:t>
      </w:r>
      <w:r w:rsidRPr="00951880">
        <w:rPr>
          <w:rFonts w:hint="eastAsia"/>
          <w:rtl/>
        </w:rPr>
        <w:t>לדר</w:t>
      </w:r>
      <w:r>
        <w:rPr>
          <w:rFonts w:hint="cs"/>
          <w:rtl/>
        </w:rPr>
        <w:t>ו</w:t>
      </w:r>
      <w:r w:rsidRPr="00951880">
        <w:rPr>
          <w:rFonts w:hint="eastAsia"/>
          <w:rtl/>
        </w:rPr>
        <w:t>ש</w:t>
      </w:r>
      <w:r w:rsidRPr="00951880">
        <w:rPr>
          <w:rtl/>
        </w:rPr>
        <w:t xml:space="preserve"> </w:t>
      </w:r>
      <w:r w:rsidRPr="00951880">
        <w:rPr>
          <w:rFonts w:hint="eastAsia"/>
          <w:rtl/>
        </w:rPr>
        <w:t>מידע</w:t>
      </w:r>
      <w:r w:rsidRPr="00951880">
        <w:rPr>
          <w:rtl/>
        </w:rPr>
        <w:t xml:space="preserve"> </w:t>
      </w:r>
      <w:r w:rsidRPr="00951880">
        <w:rPr>
          <w:rFonts w:hint="eastAsia"/>
          <w:rtl/>
        </w:rPr>
        <w:t>ודיווח</w:t>
      </w:r>
      <w:r w:rsidRPr="00951880">
        <w:rPr>
          <w:rtl/>
        </w:rPr>
        <w:t>.</w:t>
      </w:r>
      <w:r>
        <w:rPr>
          <w:rFonts w:hint="cs"/>
          <w:rtl/>
        </w:rPr>
        <w:t xml:space="preserve"> המשרד הוסיף כי יפנה למשרד המשפטים בהמשך לדיונים שכבר נעשו.</w:t>
      </w:r>
    </w:p>
    <w:p w14:paraId="5828700D" w14:textId="225F89E7" w:rsidR="00513F33" w:rsidRDefault="00417266" w:rsidP="00513F33">
      <w:pPr>
        <w:pStyle w:val="ac"/>
        <w:rPr>
          <w:rtl/>
        </w:rPr>
      </w:pPr>
      <w:r>
        <w:rPr>
          <w:rFonts w:hint="cs"/>
          <w:rtl/>
        </w:rPr>
        <w:t>נמצא</w:t>
      </w:r>
      <w:r w:rsidRPr="00C43F1B">
        <w:rPr>
          <w:rtl/>
        </w:rPr>
        <w:t xml:space="preserve"> חסר בנהלים </w:t>
      </w:r>
      <w:r w:rsidRPr="00C43F1B">
        <w:rPr>
          <w:rFonts w:hint="cs"/>
          <w:rtl/>
        </w:rPr>
        <w:t>ל</w:t>
      </w:r>
      <w:r w:rsidRPr="00C43F1B">
        <w:rPr>
          <w:rtl/>
        </w:rPr>
        <w:t>מניעת הטרד</w:t>
      </w:r>
      <w:r w:rsidRPr="00C43F1B">
        <w:rPr>
          <w:rFonts w:hint="cs"/>
          <w:rtl/>
        </w:rPr>
        <w:t>ה</w:t>
      </w:r>
      <w:r w:rsidRPr="00C43F1B">
        <w:rPr>
          <w:rtl/>
        </w:rPr>
        <w:t xml:space="preserve"> מינית של מטופלים ומטופלות </w:t>
      </w:r>
      <w:r w:rsidRPr="00C43F1B">
        <w:rPr>
          <w:rFonts w:hint="cs"/>
          <w:rtl/>
        </w:rPr>
        <w:t>ב</w:t>
      </w:r>
      <w:r w:rsidRPr="00C43F1B">
        <w:rPr>
          <w:rtl/>
        </w:rPr>
        <w:t>ידי אנשי הצוות הרפואי</w:t>
      </w:r>
      <w:r w:rsidRPr="00C43F1B">
        <w:rPr>
          <w:rFonts w:hint="cs"/>
          <w:rtl/>
        </w:rPr>
        <w:t>.</w:t>
      </w:r>
      <w:r w:rsidRPr="00C43F1B">
        <w:rPr>
          <w:rtl/>
        </w:rPr>
        <w:t xml:space="preserve"> </w:t>
      </w:r>
      <w:r w:rsidRPr="00C43F1B">
        <w:rPr>
          <w:rFonts w:hint="cs"/>
          <w:rtl/>
        </w:rPr>
        <w:t xml:space="preserve">לגבי חלק מההתנהגויות המהוות הטרדה מינית, החוק קובע כי נדרש שההתנהגות תהיה </w:t>
      </w:r>
      <w:r w:rsidRPr="00C43F1B">
        <w:rPr>
          <w:rFonts w:hint="eastAsia"/>
          <w:rtl/>
        </w:rPr>
        <w:t>חוזרת</w:t>
      </w:r>
      <w:r w:rsidRPr="00C43F1B">
        <w:rPr>
          <w:rtl/>
        </w:rPr>
        <w:t xml:space="preserve"> </w:t>
      </w:r>
      <w:r w:rsidRPr="00C43F1B">
        <w:rPr>
          <w:rFonts w:hint="eastAsia"/>
          <w:rtl/>
        </w:rPr>
        <w:t>ונשנית</w:t>
      </w:r>
      <w:r w:rsidRPr="00C43F1B">
        <w:rPr>
          <w:rtl/>
        </w:rPr>
        <w:t xml:space="preserve"> </w:t>
      </w:r>
      <w:r w:rsidRPr="00C43F1B">
        <w:rPr>
          <w:rFonts w:hint="eastAsia"/>
          <w:rtl/>
        </w:rPr>
        <w:t>על</w:t>
      </w:r>
      <w:r w:rsidRPr="00C43F1B">
        <w:rPr>
          <w:rtl/>
        </w:rPr>
        <w:t xml:space="preserve"> </w:t>
      </w:r>
      <w:r w:rsidRPr="00C43F1B">
        <w:rPr>
          <w:rFonts w:hint="eastAsia"/>
          <w:rtl/>
        </w:rPr>
        <w:t>מנת</w:t>
      </w:r>
      <w:r w:rsidRPr="00C43F1B">
        <w:rPr>
          <w:rtl/>
        </w:rPr>
        <w:t xml:space="preserve"> </w:t>
      </w:r>
      <w:r w:rsidRPr="00C43F1B">
        <w:rPr>
          <w:rFonts w:hint="eastAsia"/>
          <w:rtl/>
        </w:rPr>
        <w:t>לבסס</w:t>
      </w:r>
      <w:r w:rsidRPr="00C43F1B">
        <w:rPr>
          <w:rtl/>
        </w:rPr>
        <w:t xml:space="preserve"> </w:t>
      </w:r>
      <w:r w:rsidRPr="00C43F1B">
        <w:rPr>
          <w:rFonts w:hint="eastAsia"/>
          <w:rtl/>
        </w:rPr>
        <w:t>את</w:t>
      </w:r>
      <w:r w:rsidRPr="00C43F1B">
        <w:rPr>
          <w:rtl/>
        </w:rPr>
        <w:t xml:space="preserve"> </w:t>
      </w:r>
      <w:r w:rsidRPr="00C43F1B">
        <w:rPr>
          <w:rFonts w:hint="eastAsia"/>
          <w:rtl/>
        </w:rPr>
        <w:t>העוולה</w:t>
      </w:r>
      <w:r w:rsidRPr="00C43F1B">
        <w:rPr>
          <w:rtl/>
        </w:rPr>
        <w:t xml:space="preserve"> </w:t>
      </w:r>
      <w:r w:rsidRPr="00C43F1B">
        <w:rPr>
          <w:rFonts w:hint="eastAsia"/>
          <w:rtl/>
        </w:rPr>
        <w:t>או</w:t>
      </w:r>
      <w:r w:rsidRPr="00C43F1B">
        <w:rPr>
          <w:rtl/>
        </w:rPr>
        <w:t xml:space="preserve"> </w:t>
      </w:r>
      <w:r w:rsidRPr="00C43F1B">
        <w:rPr>
          <w:rFonts w:hint="eastAsia"/>
          <w:rtl/>
        </w:rPr>
        <w:t>העבירה</w:t>
      </w:r>
      <w:r w:rsidRPr="00C43F1B">
        <w:rPr>
          <w:rtl/>
        </w:rPr>
        <w:t xml:space="preserve">. </w:t>
      </w:r>
      <w:r w:rsidRPr="00C43F1B">
        <w:rPr>
          <w:rFonts w:hint="cs"/>
          <w:rtl/>
        </w:rPr>
        <w:t>בשונה מ</w:t>
      </w:r>
      <w:r w:rsidRPr="00C43F1B">
        <w:rPr>
          <w:rtl/>
        </w:rPr>
        <w:t xml:space="preserve">יחסי מרות במקומות העבודה, המפגש בין איש צוות הרפואה ובין המטופל הוא </w:t>
      </w:r>
      <w:r w:rsidRPr="00C43F1B">
        <w:rPr>
          <w:rFonts w:hint="cs"/>
          <w:rtl/>
        </w:rPr>
        <w:t xml:space="preserve">לרוב </w:t>
      </w:r>
      <w:r w:rsidRPr="00C43F1B">
        <w:rPr>
          <w:rtl/>
        </w:rPr>
        <w:t>חד</w:t>
      </w:r>
      <w:r w:rsidRPr="00C43F1B">
        <w:rPr>
          <w:rFonts w:hint="cs"/>
          <w:rtl/>
        </w:rPr>
        <w:t>-</w:t>
      </w:r>
      <w:r w:rsidRPr="00C43F1B">
        <w:rPr>
          <w:rtl/>
        </w:rPr>
        <w:t xml:space="preserve">פעמי ואיננו </w:t>
      </w:r>
      <w:r w:rsidRPr="00C43F1B">
        <w:rPr>
          <w:rFonts w:hint="eastAsia"/>
          <w:rtl/>
        </w:rPr>
        <w:t>חוזר</w:t>
      </w:r>
      <w:r w:rsidRPr="00C43F1B">
        <w:rPr>
          <w:rtl/>
        </w:rPr>
        <w:t xml:space="preserve"> </w:t>
      </w:r>
      <w:r w:rsidRPr="00C43F1B">
        <w:rPr>
          <w:rFonts w:hint="eastAsia"/>
          <w:rtl/>
        </w:rPr>
        <w:t>ונשנה</w:t>
      </w:r>
      <w:r w:rsidRPr="00C43F1B">
        <w:rPr>
          <w:rFonts w:hint="cs"/>
          <w:rtl/>
        </w:rPr>
        <w:t xml:space="preserve">, </w:t>
      </w:r>
      <w:r>
        <w:rPr>
          <w:rFonts w:hint="cs"/>
          <w:rtl/>
        </w:rPr>
        <w:t>אך הוא נושא מאפיינים ייחודיים אחרים</w:t>
      </w:r>
      <w:r w:rsidRPr="00C43F1B">
        <w:rPr>
          <w:rtl/>
        </w:rPr>
        <w:t xml:space="preserve">. </w:t>
      </w:r>
      <w:r w:rsidRPr="00C43F1B">
        <w:rPr>
          <w:rFonts w:hint="cs"/>
          <w:rtl/>
        </w:rPr>
        <w:t xml:space="preserve">לכן </w:t>
      </w:r>
      <w:r>
        <w:rPr>
          <w:rFonts w:hint="cs"/>
          <w:rtl/>
        </w:rPr>
        <w:t xml:space="preserve">נודעת </w:t>
      </w:r>
      <w:r w:rsidRPr="00C43F1B">
        <w:rPr>
          <w:rtl/>
        </w:rPr>
        <w:t xml:space="preserve">חשיבות רבה </w:t>
      </w:r>
      <w:r w:rsidRPr="00C43F1B">
        <w:rPr>
          <w:rFonts w:hint="eastAsia"/>
          <w:rtl/>
        </w:rPr>
        <w:t>לקביעת</w:t>
      </w:r>
      <w:r w:rsidRPr="00C43F1B">
        <w:rPr>
          <w:rtl/>
        </w:rPr>
        <w:t xml:space="preserve"> נהלים מפורטים שי</w:t>
      </w:r>
      <w:r w:rsidRPr="00C43F1B">
        <w:rPr>
          <w:rFonts w:hint="cs"/>
          <w:rtl/>
        </w:rPr>
        <w:t>י</w:t>
      </w:r>
      <w:r w:rsidRPr="00C43F1B">
        <w:rPr>
          <w:rtl/>
        </w:rPr>
        <w:t xml:space="preserve">תנו מענה </w:t>
      </w:r>
      <w:r w:rsidRPr="00C43F1B">
        <w:rPr>
          <w:rFonts w:hint="cs"/>
          <w:rtl/>
        </w:rPr>
        <w:t xml:space="preserve">למאפיינים </w:t>
      </w:r>
      <w:r>
        <w:rPr>
          <w:rFonts w:hint="cs"/>
          <w:rtl/>
        </w:rPr>
        <w:t>אלו</w:t>
      </w:r>
      <w:r w:rsidRPr="00C43F1B">
        <w:rPr>
          <w:rFonts w:hint="cs"/>
          <w:rtl/>
        </w:rPr>
        <w:t xml:space="preserve"> של הממשק בין מטפלים למטופלים</w:t>
      </w:r>
      <w:r w:rsidRPr="00C00A4F">
        <w:rPr>
          <w:rFonts w:hint="cs"/>
          <w:rtl/>
        </w:rPr>
        <w:t>.</w:t>
      </w:r>
      <w:r w:rsidRPr="004D6F26">
        <w:rPr>
          <w:rtl/>
        </w:rPr>
        <w:t xml:space="preserve"> </w:t>
      </w:r>
      <w:r>
        <w:rPr>
          <w:rFonts w:hint="cs"/>
          <w:rtl/>
        </w:rPr>
        <w:t>מומלץ</w:t>
      </w:r>
      <w:r w:rsidRPr="004D6F26">
        <w:rPr>
          <w:rtl/>
        </w:rPr>
        <w:t xml:space="preserve"> כי</w:t>
      </w:r>
      <w:r>
        <w:rPr>
          <w:rFonts w:hint="cs"/>
          <w:rtl/>
        </w:rPr>
        <w:t xml:space="preserve"> </w:t>
      </w:r>
      <w:r w:rsidRPr="00C43F1B">
        <w:rPr>
          <w:rtl/>
        </w:rPr>
        <w:t xml:space="preserve">משרד הבריאות </w:t>
      </w:r>
      <w:r>
        <w:rPr>
          <w:rFonts w:hint="cs"/>
          <w:rtl/>
        </w:rPr>
        <w:t xml:space="preserve">ישלים את פעולת ההסדרה הנדרשת ויקבע </w:t>
      </w:r>
      <w:r w:rsidRPr="00C43F1B">
        <w:rPr>
          <w:rFonts w:hint="cs"/>
          <w:rtl/>
        </w:rPr>
        <w:t xml:space="preserve">בהקדם </w:t>
      </w:r>
      <w:r w:rsidRPr="00C43F1B">
        <w:rPr>
          <w:rFonts w:hint="eastAsia"/>
          <w:rtl/>
        </w:rPr>
        <w:t>נהלים</w:t>
      </w:r>
      <w:r w:rsidRPr="00C43F1B">
        <w:rPr>
          <w:rtl/>
        </w:rPr>
        <w:t xml:space="preserve"> </w:t>
      </w:r>
      <w:r w:rsidRPr="00C43F1B">
        <w:rPr>
          <w:rFonts w:hint="cs"/>
          <w:rtl/>
        </w:rPr>
        <w:t xml:space="preserve">מפורטים </w:t>
      </w:r>
      <w:r w:rsidRPr="00C43F1B">
        <w:rPr>
          <w:rFonts w:hint="eastAsia"/>
          <w:rtl/>
        </w:rPr>
        <w:t>שיסדירו</w:t>
      </w:r>
      <w:r w:rsidRPr="00C43F1B">
        <w:rPr>
          <w:rtl/>
        </w:rPr>
        <w:t xml:space="preserve"> </w:t>
      </w:r>
      <w:r w:rsidRPr="00C43F1B">
        <w:rPr>
          <w:rFonts w:hint="eastAsia"/>
          <w:rtl/>
        </w:rPr>
        <w:t>את</w:t>
      </w:r>
      <w:r w:rsidRPr="00C43F1B">
        <w:rPr>
          <w:rtl/>
        </w:rPr>
        <w:t xml:space="preserve"> </w:t>
      </w:r>
      <w:r w:rsidRPr="00C43F1B">
        <w:rPr>
          <w:rFonts w:hint="eastAsia"/>
          <w:rtl/>
        </w:rPr>
        <w:t>כל</w:t>
      </w:r>
      <w:r w:rsidRPr="00C43F1B">
        <w:rPr>
          <w:rtl/>
        </w:rPr>
        <w:t xml:space="preserve"> </w:t>
      </w:r>
      <w:r w:rsidRPr="00C43F1B">
        <w:rPr>
          <w:rFonts w:hint="eastAsia"/>
          <w:rtl/>
        </w:rPr>
        <w:t>ההיבטים</w:t>
      </w:r>
      <w:r w:rsidRPr="00C43F1B">
        <w:rPr>
          <w:rtl/>
        </w:rPr>
        <w:t xml:space="preserve"> </w:t>
      </w:r>
      <w:r>
        <w:rPr>
          <w:rFonts w:hint="cs"/>
          <w:rtl/>
        </w:rPr>
        <w:t>ש</w:t>
      </w:r>
      <w:r w:rsidRPr="00C43F1B">
        <w:rPr>
          <w:rFonts w:hint="eastAsia"/>
          <w:rtl/>
        </w:rPr>
        <w:t>ל</w:t>
      </w:r>
      <w:r>
        <w:rPr>
          <w:rFonts w:hint="cs"/>
          <w:rtl/>
        </w:rPr>
        <w:t xml:space="preserve"> </w:t>
      </w:r>
      <w:r w:rsidRPr="00C43F1B">
        <w:rPr>
          <w:rFonts w:hint="eastAsia"/>
          <w:rtl/>
        </w:rPr>
        <w:t>יחסי</w:t>
      </w:r>
      <w:r w:rsidRPr="00C43F1B">
        <w:rPr>
          <w:rtl/>
        </w:rPr>
        <w:t xml:space="preserve"> </w:t>
      </w:r>
      <w:r w:rsidRPr="00C43F1B">
        <w:rPr>
          <w:rFonts w:hint="eastAsia"/>
          <w:rtl/>
        </w:rPr>
        <w:t>מטפל</w:t>
      </w:r>
      <w:r w:rsidRPr="00C43F1B">
        <w:rPr>
          <w:rtl/>
        </w:rPr>
        <w:t xml:space="preserve"> </w:t>
      </w:r>
      <w:r w:rsidRPr="00C43F1B">
        <w:rPr>
          <w:rFonts w:hint="cs"/>
          <w:rtl/>
        </w:rPr>
        <w:t>ו</w:t>
      </w:r>
      <w:r w:rsidRPr="00C43F1B">
        <w:rPr>
          <w:rFonts w:hint="eastAsia"/>
          <w:rtl/>
        </w:rPr>
        <w:t>מטופל</w:t>
      </w:r>
      <w:r w:rsidRPr="00C43F1B">
        <w:rPr>
          <w:rtl/>
        </w:rPr>
        <w:t xml:space="preserve"> </w:t>
      </w:r>
      <w:r>
        <w:rPr>
          <w:rFonts w:hint="cs"/>
          <w:rtl/>
        </w:rPr>
        <w:t xml:space="preserve">תוך מתן </w:t>
      </w:r>
      <w:r w:rsidRPr="00C43F1B">
        <w:rPr>
          <w:rFonts w:hint="cs"/>
          <w:rtl/>
        </w:rPr>
        <w:t>ה</w:t>
      </w:r>
      <w:r w:rsidRPr="00C43F1B">
        <w:rPr>
          <w:rtl/>
        </w:rPr>
        <w:t xml:space="preserve">משקל </w:t>
      </w:r>
      <w:r w:rsidRPr="00C43F1B">
        <w:rPr>
          <w:rFonts w:hint="cs"/>
          <w:rtl/>
        </w:rPr>
        <w:t xml:space="preserve">הראוי </w:t>
      </w:r>
      <w:r w:rsidRPr="00C43F1B">
        <w:rPr>
          <w:rtl/>
        </w:rPr>
        <w:t xml:space="preserve">לזכויותיהם ולכבודם של המטופלים. </w:t>
      </w:r>
    </w:p>
    <w:p w14:paraId="66585643" w14:textId="463A1AF7" w:rsidR="00417266" w:rsidRPr="004D6F26" w:rsidRDefault="00417266" w:rsidP="004C0FFF">
      <w:pPr>
        <w:pStyle w:val="a2"/>
        <w:rPr>
          <w:rtl/>
        </w:rPr>
      </w:pPr>
      <w:r w:rsidRPr="004D6F26">
        <w:rPr>
          <w:rFonts w:hint="eastAsia"/>
          <w:rtl/>
        </w:rPr>
        <w:t>מהמענה</w:t>
      </w:r>
      <w:r w:rsidRPr="004D6F26">
        <w:rPr>
          <w:rtl/>
        </w:rPr>
        <w:t xml:space="preserve"> לשאלונים שהפיץ משרד מבקר המדינה בקרב הממונות בבתי החולים הממשלתיים</w:t>
      </w:r>
      <w:r>
        <w:rPr>
          <w:rFonts w:hint="cs"/>
          <w:rtl/>
        </w:rPr>
        <w:t xml:space="preserve"> עולה</w:t>
      </w:r>
      <w:r w:rsidRPr="004D6F26">
        <w:rPr>
          <w:rtl/>
        </w:rPr>
        <w:t xml:space="preserve"> </w:t>
      </w:r>
      <w:r w:rsidRPr="004D6F26">
        <w:rPr>
          <w:rFonts w:hint="eastAsia"/>
          <w:rtl/>
        </w:rPr>
        <w:t>כי</w:t>
      </w:r>
      <w:r w:rsidRPr="004D6F26">
        <w:rPr>
          <w:rtl/>
        </w:rPr>
        <w:t xml:space="preserve"> </w:t>
      </w:r>
      <w:r w:rsidRPr="004D6F26">
        <w:rPr>
          <w:rFonts w:hint="eastAsia"/>
          <w:rtl/>
        </w:rPr>
        <w:t>חלק</w:t>
      </w:r>
      <w:r w:rsidRPr="004D6F26">
        <w:rPr>
          <w:rtl/>
        </w:rPr>
        <w:t xml:space="preserve"> מן הממונות </w:t>
      </w:r>
      <w:r w:rsidRPr="004D6F26">
        <w:rPr>
          <w:rFonts w:hint="eastAsia"/>
          <w:rtl/>
        </w:rPr>
        <w:t>מעבירות</w:t>
      </w:r>
      <w:r w:rsidRPr="004D6F26">
        <w:rPr>
          <w:rtl/>
        </w:rPr>
        <w:t xml:space="preserve"> את הטיפול בתלונ</w:t>
      </w:r>
      <w:r w:rsidRPr="004D6F26">
        <w:rPr>
          <w:rFonts w:hint="eastAsia"/>
          <w:rtl/>
        </w:rPr>
        <w:t>ות</w:t>
      </w:r>
      <w:r w:rsidRPr="004D6F26">
        <w:rPr>
          <w:rtl/>
        </w:rPr>
        <w:t xml:space="preserve"> </w:t>
      </w:r>
      <w:r>
        <w:rPr>
          <w:rFonts w:hint="cs"/>
          <w:rtl/>
        </w:rPr>
        <w:t>של מטופלות על הטרדה מינית בידי מטפלים</w:t>
      </w:r>
      <w:r w:rsidRPr="004D6F26">
        <w:rPr>
          <w:rtl/>
        </w:rPr>
        <w:t xml:space="preserve"> למנהל המרכז הרפואי, </w:t>
      </w:r>
      <w:r w:rsidRPr="004D6F26">
        <w:rPr>
          <w:rFonts w:hint="eastAsia"/>
          <w:rtl/>
        </w:rPr>
        <w:t>וחלקן</w:t>
      </w:r>
      <w:r w:rsidRPr="004D6F26">
        <w:rPr>
          <w:rtl/>
        </w:rPr>
        <w:t xml:space="preserve"> </w:t>
      </w:r>
      <w:r w:rsidRPr="004D6F26">
        <w:rPr>
          <w:rFonts w:hint="eastAsia"/>
          <w:rtl/>
        </w:rPr>
        <w:t>מעבירות</w:t>
      </w:r>
      <w:r w:rsidRPr="004D6F26">
        <w:rPr>
          <w:rtl/>
        </w:rPr>
        <w:t xml:space="preserve"> את התלונות לטיפול נש"ם.</w:t>
      </w:r>
    </w:p>
    <w:p w14:paraId="1AC48EF2" w14:textId="77777777" w:rsidR="00417266" w:rsidRDefault="00417266" w:rsidP="004C0FFF">
      <w:pPr>
        <w:pStyle w:val="af2"/>
        <w:rPr>
          <w:rtl/>
        </w:rPr>
      </w:pPr>
      <w:r w:rsidRPr="00936B77">
        <w:rPr>
          <w:rFonts w:hint="eastAsia"/>
          <w:rtl/>
        </w:rPr>
        <w:t>משרד</w:t>
      </w:r>
      <w:r w:rsidRPr="00936B77">
        <w:rPr>
          <w:rtl/>
        </w:rPr>
        <w:t xml:space="preserve"> הבריאות מסר בתשובתו </w:t>
      </w:r>
      <w:r w:rsidRPr="00936B77">
        <w:rPr>
          <w:rFonts w:hint="eastAsia"/>
          <w:rtl/>
        </w:rPr>
        <w:t>כי</w:t>
      </w:r>
      <w:r w:rsidRPr="00936B77">
        <w:rPr>
          <w:rtl/>
        </w:rPr>
        <w:t xml:space="preserve"> הנחיות </w:t>
      </w:r>
      <w:r w:rsidRPr="00936B77">
        <w:rPr>
          <w:rFonts w:hint="eastAsia"/>
          <w:rtl/>
        </w:rPr>
        <w:t>נש</w:t>
      </w:r>
      <w:r w:rsidRPr="00936B77">
        <w:rPr>
          <w:rtl/>
        </w:rPr>
        <w:t xml:space="preserve">"ם קובעות </w:t>
      </w:r>
      <w:r>
        <w:rPr>
          <w:rFonts w:hint="cs"/>
          <w:rtl/>
        </w:rPr>
        <w:t>ש</w:t>
      </w:r>
      <w:r w:rsidRPr="00936B77">
        <w:rPr>
          <w:rtl/>
        </w:rPr>
        <w:t xml:space="preserve">הטיפול בתלונות על הטרדות מיניות </w:t>
      </w:r>
      <w:r>
        <w:rPr>
          <w:rFonts w:hint="cs"/>
          <w:rtl/>
        </w:rPr>
        <w:t xml:space="preserve">בידי </w:t>
      </w:r>
      <w:r w:rsidRPr="006D1604">
        <w:rPr>
          <w:rtl/>
        </w:rPr>
        <w:t xml:space="preserve">עובדי מדינה </w:t>
      </w:r>
      <w:r>
        <w:rPr>
          <w:rFonts w:hint="cs"/>
          <w:rtl/>
        </w:rPr>
        <w:t>יהיה</w:t>
      </w:r>
      <w:r w:rsidRPr="006D1604">
        <w:rPr>
          <w:rtl/>
        </w:rPr>
        <w:t xml:space="preserve"> זהה בין אם המוטרד הוא מטופל </w:t>
      </w:r>
      <w:r>
        <w:rPr>
          <w:rFonts w:hint="cs"/>
          <w:rtl/>
        </w:rPr>
        <w:t xml:space="preserve">ובין אם הוא </w:t>
      </w:r>
      <w:r w:rsidRPr="006D1604">
        <w:rPr>
          <w:rtl/>
        </w:rPr>
        <w:t xml:space="preserve">עובד אחר, </w:t>
      </w:r>
      <w:r w:rsidRPr="006D1604">
        <w:rPr>
          <w:rFonts w:hint="eastAsia"/>
          <w:rtl/>
        </w:rPr>
        <w:t>וציין</w:t>
      </w:r>
      <w:r w:rsidRPr="006D1604">
        <w:rPr>
          <w:rtl/>
        </w:rPr>
        <w:t xml:space="preserve"> </w:t>
      </w:r>
      <w:r w:rsidRPr="006D1604">
        <w:rPr>
          <w:rFonts w:hint="eastAsia"/>
          <w:rtl/>
        </w:rPr>
        <w:t>שלא</w:t>
      </w:r>
      <w:r w:rsidRPr="006D1604">
        <w:rPr>
          <w:rtl/>
        </w:rPr>
        <w:t xml:space="preserve"> </w:t>
      </w:r>
      <w:r w:rsidRPr="006D1604">
        <w:rPr>
          <w:rFonts w:hint="eastAsia"/>
          <w:rtl/>
        </w:rPr>
        <w:t>ידוע</w:t>
      </w:r>
      <w:r w:rsidRPr="006D1604">
        <w:rPr>
          <w:rtl/>
        </w:rPr>
        <w:t xml:space="preserve"> </w:t>
      </w:r>
      <w:r w:rsidRPr="006D1604">
        <w:rPr>
          <w:rFonts w:hint="eastAsia"/>
          <w:rtl/>
        </w:rPr>
        <w:t>לו</w:t>
      </w:r>
      <w:r w:rsidRPr="006D1604">
        <w:rPr>
          <w:rtl/>
        </w:rPr>
        <w:t xml:space="preserve"> </w:t>
      </w:r>
      <w:r w:rsidRPr="006D1604">
        <w:rPr>
          <w:rFonts w:hint="eastAsia"/>
          <w:rtl/>
        </w:rPr>
        <w:t>שממונות</w:t>
      </w:r>
      <w:r w:rsidRPr="006D1604">
        <w:rPr>
          <w:rtl/>
        </w:rPr>
        <w:t xml:space="preserve"> </w:t>
      </w:r>
      <w:r w:rsidRPr="006D1604">
        <w:rPr>
          <w:rFonts w:hint="eastAsia"/>
          <w:rtl/>
        </w:rPr>
        <w:t>בבתי</w:t>
      </w:r>
      <w:r w:rsidRPr="006D1604">
        <w:rPr>
          <w:rtl/>
        </w:rPr>
        <w:t xml:space="preserve"> </w:t>
      </w:r>
      <w:r w:rsidRPr="006D1604">
        <w:rPr>
          <w:rFonts w:hint="eastAsia"/>
          <w:rtl/>
        </w:rPr>
        <w:t>החולים</w:t>
      </w:r>
      <w:r w:rsidRPr="006D1604">
        <w:rPr>
          <w:rtl/>
        </w:rPr>
        <w:t xml:space="preserve"> </w:t>
      </w:r>
      <w:r w:rsidRPr="006D1604">
        <w:rPr>
          <w:rFonts w:hint="eastAsia"/>
          <w:rtl/>
        </w:rPr>
        <w:t>הממשלתיים</w:t>
      </w:r>
      <w:r w:rsidRPr="006D1604">
        <w:rPr>
          <w:rtl/>
        </w:rPr>
        <w:t xml:space="preserve"> </w:t>
      </w:r>
      <w:r w:rsidRPr="006D1604">
        <w:rPr>
          <w:rFonts w:hint="eastAsia"/>
          <w:rtl/>
        </w:rPr>
        <w:t>אינן</w:t>
      </w:r>
      <w:r w:rsidRPr="006D1604">
        <w:rPr>
          <w:rtl/>
        </w:rPr>
        <w:t xml:space="preserve"> </w:t>
      </w:r>
      <w:r w:rsidRPr="006D1604">
        <w:rPr>
          <w:rFonts w:hint="eastAsia"/>
          <w:rtl/>
        </w:rPr>
        <w:t>מכירות</w:t>
      </w:r>
      <w:r w:rsidRPr="006D1604">
        <w:rPr>
          <w:rtl/>
        </w:rPr>
        <w:t xml:space="preserve"> </w:t>
      </w:r>
      <w:r w:rsidRPr="006D1604">
        <w:rPr>
          <w:rFonts w:hint="eastAsia"/>
          <w:rtl/>
        </w:rPr>
        <w:t>את</w:t>
      </w:r>
      <w:r w:rsidRPr="006D1604">
        <w:rPr>
          <w:rtl/>
        </w:rPr>
        <w:t xml:space="preserve"> </w:t>
      </w:r>
      <w:r w:rsidRPr="006D1604">
        <w:rPr>
          <w:rFonts w:hint="eastAsia"/>
          <w:rtl/>
        </w:rPr>
        <w:t>ההנחיה</w:t>
      </w:r>
      <w:r w:rsidRPr="006D1604">
        <w:rPr>
          <w:rtl/>
        </w:rPr>
        <w:t>.</w:t>
      </w:r>
    </w:p>
    <w:p w14:paraId="575C5D19" w14:textId="77777777" w:rsidR="00417266" w:rsidRPr="00A17BB6" w:rsidRDefault="00417266" w:rsidP="004C0FFF">
      <w:pPr>
        <w:pStyle w:val="12"/>
        <w:rPr>
          <w:rtl/>
        </w:rPr>
      </w:pPr>
      <w:r w:rsidRPr="00A17BB6">
        <w:rPr>
          <w:rFonts w:hint="eastAsia"/>
          <w:rtl/>
        </w:rPr>
        <w:t>לנוכח</w:t>
      </w:r>
      <w:r w:rsidRPr="00A17BB6">
        <w:rPr>
          <w:rtl/>
        </w:rPr>
        <w:t xml:space="preserve"> האמור, ובשל החשש כי במציאות המורכבת </w:t>
      </w:r>
      <w:r w:rsidRPr="00A17BB6">
        <w:rPr>
          <w:rFonts w:hint="eastAsia"/>
          <w:rtl/>
        </w:rPr>
        <w:t>גופים</w:t>
      </w:r>
      <w:r w:rsidRPr="00A17BB6">
        <w:rPr>
          <w:rtl/>
        </w:rPr>
        <w:t xml:space="preserve"> שונים </w:t>
      </w:r>
      <w:r w:rsidRPr="00A17BB6">
        <w:rPr>
          <w:rFonts w:hint="cs"/>
          <w:rtl/>
        </w:rPr>
        <w:t xml:space="preserve">אינם </w:t>
      </w:r>
      <w:r w:rsidRPr="00A17BB6">
        <w:rPr>
          <w:rtl/>
        </w:rPr>
        <w:t>מיישמים את הוראות החוק</w:t>
      </w:r>
      <w:r w:rsidRPr="00A17BB6">
        <w:rPr>
          <w:rFonts w:hint="cs"/>
          <w:rtl/>
        </w:rPr>
        <w:t xml:space="preserve"> בצורה אחידה</w:t>
      </w:r>
      <w:r>
        <w:rPr>
          <w:rFonts w:hint="cs"/>
          <w:rtl/>
        </w:rPr>
        <w:t>,</w:t>
      </w:r>
      <w:r w:rsidRPr="00A17BB6">
        <w:rPr>
          <w:rtl/>
        </w:rPr>
        <w:t xml:space="preserve"> משרד מבקר המדינה </w:t>
      </w:r>
      <w:r w:rsidRPr="00A17BB6">
        <w:rPr>
          <w:rFonts w:hint="cs"/>
          <w:rtl/>
        </w:rPr>
        <w:t>סבור</w:t>
      </w:r>
      <w:r w:rsidRPr="00A17BB6">
        <w:rPr>
          <w:rtl/>
        </w:rPr>
        <w:t xml:space="preserve"> </w:t>
      </w:r>
      <w:r>
        <w:rPr>
          <w:rFonts w:hint="cs"/>
          <w:rtl/>
        </w:rPr>
        <w:t xml:space="preserve">כי </w:t>
      </w:r>
      <w:r w:rsidRPr="00A17BB6">
        <w:rPr>
          <w:rFonts w:hint="cs"/>
          <w:rtl/>
        </w:rPr>
        <w:t xml:space="preserve">ראוי שנש"ם, שהיא האחראית </w:t>
      </w:r>
      <w:r>
        <w:rPr>
          <w:rFonts w:hint="cs"/>
          <w:rtl/>
        </w:rPr>
        <w:t>ע</w:t>
      </w:r>
      <w:r w:rsidRPr="00A17BB6">
        <w:rPr>
          <w:rFonts w:hint="cs"/>
          <w:rtl/>
        </w:rPr>
        <w:t>ל</w:t>
      </w:r>
      <w:r>
        <w:rPr>
          <w:rFonts w:hint="cs"/>
          <w:rtl/>
        </w:rPr>
        <w:t xml:space="preserve"> ה</w:t>
      </w:r>
      <w:r w:rsidRPr="00A17BB6">
        <w:rPr>
          <w:rFonts w:hint="cs"/>
          <w:rtl/>
        </w:rPr>
        <w:t xml:space="preserve">ממונות למניעת הטרדה מינית בבתי החולים הממשלתיים, </w:t>
      </w:r>
      <w:r>
        <w:rPr>
          <w:rFonts w:hint="cs"/>
          <w:rtl/>
        </w:rPr>
        <w:t>תחדד את ההנחיות בעניין זה</w:t>
      </w:r>
      <w:r w:rsidRPr="00A17BB6">
        <w:rPr>
          <w:rtl/>
        </w:rPr>
        <w:t>.</w:t>
      </w:r>
      <w:r w:rsidRPr="00A17BB6">
        <w:rPr>
          <w:rFonts w:hint="cs"/>
          <w:rtl/>
        </w:rPr>
        <w:t xml:space="preserve"> </w:t>
      </w:r>
    </w:p>
    <w:p w14:paraId="1303B741" w14:textId="77777777" w:rsidR="00417266" w:rsidRPr="00C43F1B" w:rsidRDefault="00417266" w:rsidP="004C0FFF">
      <w:pPr>
        <w:pStyle w:val="414"/>
        <w:rPr>
          <w:rtl/>
        </w:rPr>
      </w:pPr>
      <w:r w:rsidRPr="00C43F1B">
        <w:rPr>
          <w:rFonts w:hint="cs"/>
          <w:rtl/>
        </w:rPr>
        <w:t>הדרכים להגשת תלונות על הטרדות מיניות</w:t>
      </w:r>
      <w:r>
        <w:rPr>
          <w:rFonts w:hint="cs"/>
          <w:rtl/>
        </w:rPr>
        <w:t xml:space="preserve"> במערכת הבריאות</w:t>
      </w:r>
    </w:p>
    <w:p w14:paraId="7FC5F4B3" w14:textId="77777777" w:rsidR="00417266" w:rsidRPr="00DC1403" w:rsidRDefault="00417266" w:rsidP="00DC1403">
      <w:pPr>
        <w:pStyle w:val="a0"/>
        <w:numPr>
          <w:ilvl w:val="0"/>
          <w:numId w:val="36"/>
        </w:numPr>
      </w:pPr>
      <w:r w:rsidRPr="007D5C93">
        <w:rPr>
          <w:rStyle w:val="Heading7Char"/>
          <w:rFonts w:eastAsiaTheme="minorHAnsi" w:hint="eastAsia"/>
          <w:b/>
          <w:color w:val="004E6C"/>
          <w:spacing w:val="0"/>
          <w:rtl/>
        </w:rPr>
        <w:t>נגישות</w:t>
      </w:r>
      <w:r w:rsidRPr="007D5C93">
        <w:rPr>
          <w:rStyle w:val="Heading7Char"/>
          <w:rFonts w:eastAsiaTheme="minorHAnsi"/>
          <w:b/>
          <w:color w:val="004E6C"/>
          <w:spacing w:val="0"/>
          <w:rtl/>
        </w:rPr>
        <w:t xml:space="preserve"> </w:t>
      </w:r>
      <w:r w:rsidRPr="007D5C93">
        <w:rPr>
          <w:rStyle w:val="Heading7Char"/>
          <w:rFonts w:eastAsiaTheme="minorHAnsi" w:hint="eastAsia"/>
          <w:b/>
          <w:color w:val="004E6C"/>
          <w:spacing w:val="0"/>
          <w:rtl/>
        </w:rPr>
        <w:t>הגשת</w:t>
      </w:r>
      <w:r w:rsidRPr="007D5C93">
        <w:rPr>
          <w:rStyle w:val="Heading7Char"/>
          <w:rFonts w:eastAsiaTheme="minorHAnsi"/>
          <w:b/>
          <w:color w:val="004E6C"/>
          <w:spacing w:val="0"/>
          <w:rtl/>
        </w:rPr>
        <w:t xml:space="preserve"> </w:t>
      </w:r>
      <w:r w:rsidRPr="007D5C93">
        <w:rPr>
          <w:rStyle w:val="Heading7Char"/>
          <w:rFonts w:eastAsiaTheme="minorHAnsi" w:hint="eastAsia"/>
          <w:b/>
          <w:color w:val="004E6C"/>
          <w:spacing w:val="0"/>
          <w:rtl/>
        </w:rPr>
        <w:t>תלונות</w:t>
      </w:r>
      <w:r w:rsidRPr="007D5C93">
        <w:rPr>
          <w:rStyle w:val="Heading7Char"/>
          <w:rFonts w:eastAsiaTheme="minorHAnsi"/>
          <w:b/>
          <w:color w:val="004E6C"/>
          <w:spacing w:val="0"/>
          <w:rtl/>
        </w:rPr>
        <w:t xml:space="preserve"> </w:t>
      </w:r>
      <w:r w:rsidRPr="007D5C93">
        <w:rPr>
          <w:rStyle w:val="Heading7Char"/>
          <w:rFonts w:eastAsiaTheme="minorHAnsi" w:hint="eastAsia"/>
          <w:b/>
          <w:color w:val="004E6C"/>
          <w:spacing w:val="0"/>
          <w:rtl/>
        </w:rPr>
        <w:t>באתר</w:t>
      </w:r>
      <w:r w:rsidRPr="007D5C93">
        <w:rPr>
          <w:rStyle w:val="Heading7Char"/>
          <w:rFonts w:eastAsiaTheme="minorHAnsi"/>
          <w:b/>
          <w:color w:val="004E6C"/>
          <w:spacing w:val="0"/>
          <w:rtl/>
        </w:rPr>
        <w:t xml:space="preserve"> </w:t>
      </w:r>
      <w:r w:rsidRPr="007D5C93">
        <w:rPr>
          <w:rStyle w:val="Heading7Char"/>
          <w:rFonts w:eastAsiaTheme="minorHAnsi" w:hint="eastAsia"/>
          <w:b/>
          <w:color w:val="004E6C"/>
          <w:spacing w:val="0"/>
          <w:rtl/>
        </w:rPr>
        <w:t>משרד</w:t>
      </w:r>
      <w:r w:rsidRPr="007D5C93">
        <w:rPr>
          <w:rStyle w:val="Heading7Char"/>
          <w:rFonts w:eastAsiaTheme="minorHAnsi"/>
          <w:b/>
          <w:color w:val="004E6C"/>
          <w:spacing w:val="0"/>
          <w:rtl/>
        </w:rPr>
        <w:t xml:space="preserve"> </w:t>
      </w:r>
      <w:r w:rsidRPr="007D5C93">
        <w:rPr>
          <w:rStyle w:val="Heading7Char"/>
          <w:rFonts w:eastAsiaTheme="minorHAnsi" w:hint="eastAsia"/>
          <w:b/>
          <w:color w:val="004E6C"/>
          <w:spacing w:val="0"/>
          <w:rtl/>
        </w:rPr>
        <w:t>הבריאות</w:t>
      </w:r>
      <w:r w:rsidRPr="007D5C93">
        <w:rPr>
          <w:rStyle w:val="Heading7Char"/>
          <w:rFonts w:eastAsiaTheme="minorHAnsi" w:hint="cs"/>
          <w:b/>
          <w:color w:val="004E6C"/>
          <w:spacing w:val="0"/>
          <w:rtl/>
        </w:rPr>
        <w:t>:</w:t>
      </w:r>
      <w:r w:rsidRPr="007D5C93">
        <w:rPr>
          <w:rFonts w:hint="cs"/>
          <w:color w:val="004E6C"/>
          <w:rtl/>
        </w:rPr>
        <w:t xml:space="preserve"> </w:t>
      </w:r>
      <w:r w:rsidRPr="00DC1403">
        <w:rPr>
          <w:rFonts w:hint="cs"/>
          <w:rtl/>
        </w:rPr>
        <w:t xml:space="preserve">תלונות על הטרדה מינית ניתן להגיש ישירות גם לנציבות קבילות הציבור למקצועות הרפואה, בנוסף לאפשרות להתלונן במוסדות הבריאות עצמם. </w:t>
      </w:r>
    </w:p>
    <w:p w14:paraId="6572C3F9" w14:textId="77777777" w:rsidR="00417266" w:rsidRPr="00C43F1B" w:rsidRDefault="00417266" w:rsidP="00DC1403">
      <w:pPr>
        <w:pStyle w:val="ac"/>
        <w:rPr>
          <w:rtl/>
        </w:rPr>
      </w:pPr>
      <w:r w:rsidRPr="00C43F1B">
        <w:rPr>
          <w:rFonts w:hint="cs"/>
          <w:rtl/>
        </w:rPr>
        <w:t xml:space="preserve">באתר </w:t>
      </w:r>
      <w:r>
        <w:rPr>
          <w:rFonts w:hint="cs"/>
          <w:rtl/>
        </w:rPr>
        <w:t xml:space="preserve">המרשתת של משרד הבריאות אין קישור לאתר הנציבות, גם לא תחת הקישור "פניות הציבור". </w:t>
      </w:r>
      <w:r w:rsidRPr="00C43F1B">
        <w:rPr>
          <w:rFonts w:hint="cs"/>
          <w:rtl/>
        </w:rPr>
        <w:t>לכן קיים חשש שנפגעות לא יהיו מודעות לקיומה של הנציבות</w:t>
      </w:r>
      <w:r>
        <w:rPr>
          <w:rFonts w:hint="cs"/>
          <w:rtl/>
        </w:rPr>
        <w:t>.</w:t>
      </w:r>
    </w:p>
    <w:p w14:paraId="51AFF7F4" w14:textId="77777777" w:rsidR="00417266" w:rsidRPr="007D5C93" w:rsidRDefault="00417266" w:rsidP="007D5C93">
      <w:pPr>
        <w:pStyle w:val="a0"/>
      </w:pPr>
      <w:r w:rsidRPr="007D5C93">
        <w:rPr>
          <w:rStyle w:val="Heading7Char"/>
          <w:rFonts w:eastAsiaTheme="minorHAnsi" w:hint="eastAsia"/>
          <w:b/>
          <w:color w:val="004E6C"/>
          <w:spacing w:val="0"/>
          <w:rtl/>
        </w:rPr>
        <w:t>ריבוי</w:t>
      </w:r>
      <w:r w:rsidRPr="007D5C93">
        <w:rPr>
          <w:rStyle w:val="Heading7Char"/>
          <w:rFonts w:eastAsiaTheme="minorHAnsi"/>
          <w:b/>
          <w:color w:val="004E6C"/>
          <w:spacing w:val="0"/>
          <w:rtl/>
        </w:rPr>
        <w:t xml:space="preserve"> </w:t>
      </w:r>
      <w:r w:rsidRPr="007D5C93">
        <w:rPr>
          <w:rStyle w:val="Heading7Char"/>
          <w:rFonts w:eastAsiaTheme="minorHAnsi" w:hint="cs"/>
          <w:b/>
          <w:color w:val="004E6C"/>
          <w:spacing w:val="0"/>
          <w:rtl/>
        </w:rPr>
        <w:t>ה</w:t>
      </w:r>
      <w:r w:rsidRPr="007D5C93">
        <w:rPr>
          <w:rStyle w:val="Heading7Char"/>
          <w:rFonts w:eastAsiaTheme="minorHAnsi" w:hint="eastAsia"/>
          <w:b/>
          <w:color w:val="004E6C"/>
          <w:spacing w:val="0"/>
          <w:rtl/>
        </w:rPr>
        <w:t>גופים</w:t>
      </w:r>
      <w:r w:rsidRPr="007D5C93">
        <w:rPr>
          <w:rStyle w:val="Heading7Char"/>
          <w:rFonts w:eastAsiaTheme="minorHAnsi"/>
          <w:b/>
          <w:color w:val="004E6C"/>
          <w:spacing w:val="0"/>
          <w:rtl/>
        </w:rPr>
        <w:t xml:space="preserve"> </w:t>
      </w:r>
      <w:r w:rsidRPr="007D5C93">
        <w:rPr>
          <w:rStyle w:val="Heading7Char"/>
          <w:rFonts w:eastAsiaTheme="minorHAnsi" w:hint="eastAsia"/>
          <w:b/>
          <w:color w:val="004E6C"/>
          <w:spacing w:val="0"/>
          <w:rtl/>
        </w:rPr>
        <w:t>המקבלים</w:t>
      </w:r>
      <w:r w:rsidRPr="007D5C93">
        <w:rPr>
          <w:rStyle w:val="Heading7Char"/>
          <w:rFonts w:eastAsiaTheme="minorHAnsi"/>
          <w:b/>
          <w:color w:val="004E6C"/>
          <w:spacing w:val="0"/>
          <w:rtl/>
        </w:rPr>
        <w:t xml:space="preserve"> </w:t>
      </w:r>
      <w:r w:rsidRPr="007D5C93">
        <w:rPr>
          <w:rStyle w:val="Heading7Char"/>
          <w:rFonts w:eastAsiaTheme="minorHAnsi" w:hint="eastAsia"/>
          <w:b/>
          <w:color w:val="004E6C"/>
          <w:spacing w:val="0"/>
          <w:rtl/>
        </w:rPr>
        <w:t>תלונות</w:t>
      </w:r>
      <w:r w:rsidRPr="007D5C93">
        <w:rPr>
          <w:rStyle w:val="Heading7Char"/>
          <w:rFonts w:eastAsiaTheme="minorHAnsi" w:hint="cs"/>
          <w:b/>
          <w:color w:val="004E6C"/>
          <w:spacing w:val="0"/>
          <w:rtl/>
        </w:rPr>
        <w:t>:</w:t>
      </w:r>
      <w:r w:rsidRPr="007D5C93">
        <w:rPr>
          <w:rFonts w:hint="cs"/>
          <w:rtl/>
        </w:rPr>
        <w:t xml:space="preserve"> לעיתים תלונות מגיעות לגורמים שונים במשרד הבריאות: ליחידת הדין המשמעתי, המטפלת בהליכי משמעת נגד כל העובדים במקצועות הרפואיים והפרא-רפואיים לפי הוראות החקיקה הרלוונטיות לכל מקצוע; לממונה על מניעת </w:t>
      </w:r>
      <w:r w:rsidRPr="007D5C93">
        <w:rPr>
          <w:rFonts w:hint="cs"/>
          <w:rtl/>
        </w:rPr>
        <w:lastRenderedPageBreak/>
        <w:t xml:space="preserve">הטרדות מיניות או למנהלת המחלקה לטיפול באלימות במשפחה ותקיפה מינית. גורמים אלו אינם מבררים את התלונות אלא מעבירים אותן לנציבות קבילות הציבור למקצועות הרפואה. </w:t>
      </w:r>
    </w:p>
    <w:p w14:paraId="2A71CD68" w14:textId="77777777" w:rsidR="00417266" w:rsidRPr="00C43F1B" w:rsidRDefault="00417266" w:rsidP="00DC1403">
      <w:pPr>
        <w:pStyle w:val="af2"/>
        <w:rPr>
          <w:rtl/>
        </w:rPr>
      </w:pPr>
      <w:r w:rsidRPr="00C43F1B">
        <w:rPr>
          <w:rFonts w:hint="cs"/>
          <w:rtl/>
        </w:rPr>
        <w:t>יצוין</w:t>
      </w:r>
      <w:r w:rsidRPr="00C43F1B">
        <w:rPr>
          <w:rtl/>
        </w:rPr>
        <w:t xml:space="preserve"> כי מרכזי הסיוע לנפגעי ונפגעות תקיפה מינית - שה</w:t>
      </w:r>
      <w:r w:rsidRPr="00C43F1B">
        <w:rPr>
          <w:rFonts w:hint="cs"/>
          <w:rtl/>
        </w:rPr>
        <w:t>ם</w:t>
      </w:r>
      <w:r w:rsidRPr="00C43F1B">
        <w:rPr>
          <w:rtl/>
        </w:rPr>
        <w:t xml:space="preserve"> </w:t>
      </w:r>
      <w:r w:rsidRPr="00C43F1B">
        <w:rPr>
          <w:rFonts w:hint="cs"/>
          <w:rtl/>
        </w:rPr>
        <w:t>ה</w:t>
      </w:r>
      <w:r w:rsidRPr="00C43F1B">
        <w:rPr>
          <w:rtl/>
        </w:rPr>
        <w:t>גוף הראשו</w:t>
      </w:r>
      <w:r w:rsidRPr="00C43F1B">
        <w:rPr>
          <w:rFonts w:hint="cs"/>
          <w:rtl/>
        </w:rPr>
        <w:t>ן</w:t>
      </w:r>
      <w:r w:rsidRPr="00C43F1B">
        <w:rPr>
          <w:rtl/>
        </w:rPr>
        <w:t xml:space="preserve"> </w:t>
      </w:r>
      <w:r w:rsidRPr="00C43F1B">
        <w:rPr>
          <w:rFonts w:hint="cs"/>
          <w:rtl/>
        </w:rPr>
        <w:t>ש</w:t>
      </w:r>
      <w:r w:rsidRPr="00C43F1B">
        <w:rPr>
          <w:rtl/>
        </w:rPr>
        <w:t xml:space="preserve">אליו פונות נפגעות רבות - </w:t>
      </w:r>
      <w:r w:rsidRPr="00C43F1B">
        <w:rPr>
          <w:rFonts w:hint="eastAsia"/>
          <w:rtl/>
        </w:rPr>
        <w:t>לא</w:t>
      </w:r>
      <w:r w:rsidRPr="00C43F1B">
        <w:rPr>
          <w:rtl/>
        </w:rPr>
        <w:t xml:space="preserve"> </w:t>
      </w:r>
      <w:r w:rsidRPr="00C43F1B">
        <w:rPr>
          <w:rFonts w:hint="eastAsia"/>
          <w:rtl/>
        </w:rPr>
        <w:t>הכירו</w:t>
      </w:r>
      <w:r w:rsidRPr="00C43F1B">
        <w:rPr>
          <w:rtl/>
        </w:rPr>
        <w:t xml:space="preserve"> </w:t>
      </w:r>
      <w:r w:rsidRPr="00C43F1B">
        <w:rPr>
          <w:rFonts w:hint="eastAsia"/>
          <w:rtl/>
        </w:rPr>
        <w:t>את</w:t>
      </w:r>
      <w:r w:rsidRPr="00C43F1B">
        <w:rPr>
          <w:rtl/>
        </w:rPr>
        <w:t xml:space="preserve"> </w:t>
      </w:r>
      <w:r w:rsidRPr="00C43F1B">
        <w:rPr>
          <w:rFonts w:hint="eastAsia"/>
          <w:rtl/>
        </w:rPr>
        <w:t>נציבות</w:t>
      </w:r>
      <w:r w:rsidRPr="00C43F1B">
        <w:rPr>
          <w:rtl/>
        </w:rPr>
        <w:t xml:space="preserve"> </w:t>
      </w:r>
      <w:r w:rsidRPr="00C43F1B">
        <w:rPr>
          <w:rFonts w:hint="eastAsia"/>
          <w:rtl/>
        </w:rPr>
        <w:t>קבילות</w:t>
      </w:r>
      <w:r w:rsidRPr="00C43F1B">
        <w:rPr>
          <w:rtl/>
        </w:rPr>
        <w:t xml:space="preserve"> </w:t>
      </w:r>
      <w:r w:rsidRPr="00C43F1B">
        <w:rPr>
          <w:rFonts w:hint="eastAsia"/>
          <w:rtl/>
        </w:rPr>
        <w:t>הציבור</w:t>
      </w:r>
      <w:r w:rsidRPr="00C43F1B">
        <w:rPr>
          <w:rtl/>
        </w:rPr>
        <w:t xml:space="preserve"> </w:t>
      </w:r>
      <w:r w:rsidRPr="00C43F1B">
        <w:rPr>
          <w:rFonts w:hint="eastAsia"/>
          <w:rtl/>
        </w:rPr>
        <w:t>למקצועות</w:t>
      </w:r>
      <w:r w:rsidRPr="00C43F1B">
        <w:rPr>
          <w:rtl/>
        </w:rPr>
        <w:t xml:space="preserve"> </w:t>
      </w:r>
      <w:r w:rsidRPr="00C43F1B">
        <w:rPr>
          <w:rFonts w:hint="eastAsia"/>
          <w:rtl/>
        </w:rPr>
        <w:t>הרפואה</w:t>
      </w:r>
      <w:r w:rsidRPr="00C43F1B">
        <w:rPr>
          <w:rtl/>
        </w:rPr>
        <w:t xml:space="preserve"> </w:t>
      </w:r>
      <w:r w:rsidRPr="00C43F1B">
        <w:rPr>
          <w:rFonts w:hint="eastAsia"/>
          <w:rtl/>
        </w:rPr>
        <w:t>ולא</w:t>
      </w:r>
      <w:r w:rsidRPr="00C43F1B">
        <w:rPr>
          <w:rtl/>
        </w:rPr>
        <w:t xml:space="preserve"> </w:t>
      </w:r>
      <w:r w:rsidRPr="00C43F1B">
        <w:rPr>
          <w:rFonts w:hint="eastAsia"/>
          <w:rtl/>
        </w:rPr>
        <w:t>ידעו</w:t>
      </w:r>
      <w:r w:rsidRPr="00C43F1B">
        <w:rPr>
          <w:rtl/>
        </w:rPr>
        <w:t xml:space="preserve"> </w:t>
      </w:r>
      <w:r w:rsidRPr="00C43F1B">
        <w:rPr>
          <w:rFonts w:hint="eastAsia"/>
          <w:rtl/>
        </w:rPr>
        <w:t>להפנות</w:t>
      </w:r>
      <w:r w:rsidRPr="00C43F1B">
        <w:rPr>
          <w:rtl/>
        </w:rPr>
        <w:t xml:space="preserve"> </w:t>
      </w:r>
      <w:r w:rsidRPr="00C43F1B">
        <w:rPr>
          <w:rFonts w:hint="cs"/>
          <w:rtl/>
        </w:rPr>
        <w:t>אליה</w:t>
      </w:r>
      <w:r w:rsidRPr="00C43F1B">
        <w:rPr>
          <w:rtl/>
        </w:rPr>
        <w:t xml:space="preserve"> </w:t>
      </w:r>
      <w:r w:rsidRPr="00C43F1B">
        <w:rPr>
          <w:rFonts w:hint="eastAsia"/>
          <w:rtl/>
        </w:rPr>
        <w:t>מתלוננות</w:t>
      </w:r>
      <w:r w:rsidRPr="00C43F1B">
        <w:rPr>
          <w:rtl/>
        </w:rPr>
        <w:t xml:space="preserve"> </w:t>
      </w:r>
      <w:r w:rsidRPr="00C43F1B">
        <w:rPr>
          <w:rFonts w:hint="eastAsia"/>
          <w:rtl/>
        </w:rPr>
        <w:t>שפנו</w:t>
      </w:r>
      <w:r w:rsidRPr="00C43F1B">
        <w:rPr>
          <w:rtl/>
        </w:rPr>
        <w:t xml:space="preserve"> </w:t>
      </w:r>
      <w:r w:rsidRPr="00C43F1B">
        <w:rPr>
          <w:rFonts w:hint="eastAsia"/>
          <w:rtl/>
        </w:rPr>
        <w:t>אליה</w:t>
      </w:r>
      <w:r w:rsidRPr="00C43F1B">
        <w:rPr>
          <w:rFonts w:hint="cs"/>
          <w:rtl/>
        </w:rPr>
        <w:t>ם</w:t>
      </w:r>
      <w:r w:rsidRPr="00C43F1B">
        <w:rPr>
          <w:rStyle w:val="FootnoteReference"/>
          <w:sz w:val="24"/>
          <w:rtl/>
        </w:rPr>
        <w:footnoteReference w:id="83"/>
      </w:r>
      <w:r w:rsidRPr="00C43F1B">
        <w:rPr>
          <w:rFonts w:hint="cs"/>
          <w:rtl/>
        </w:rPr>
        <w:t>.</w:t>
      </w:r>
      <w:r w:rsidRPr="00C43F1B">
        <w:rPr>
          <w:rtl/>
        </w:rPr>
        <w:t xml:space="preserve"> </w:t>
      </w:r>
    </w:p>
    <w:p w14:paraId="729E275E" w14:textId="77777777" w:rsidR="00417266" w:rsidRDefault="00417266" w:rsidP="00DC1403">
      <w:pPr>
        <w:pStyle w:val="ac"/>
        <w:rPr>
          <w:rtl/>
        </w:rPr>
      </w:pPr>
      <w:r>
        <w:rPr>
          <w:rFonts w:hint="cs"/>
          <w:rtl/>
        </w:rPr>
        <w:t xml:space="preserve">מוצע כי </w:t>
      </w:r>
      <w:r w:rsidRPr="00C43F1B">
        <w:rPr>
          <w:rFonts w:hint="cs"/>
          <w:rtl/>
        </w:rPr>
        <w:t xml:space="preserve">משרד הבריאות </w:t>
      </w:r>
      <w:r>
        <w:rPr>
          <w:rFonts w:hint="cs"/>
          <w:rtl/>
        </w:rPr>
        <w:t>י</w:t>
      </w:r>
      <w:r w:rsidRPr="00C43F1B">
        <w:rPr>
          <w:rFonts w:hint="cs"/>
          <w:rtl/>
        </w:rPr>
        <w:t>פרסם לציבור כי הנציבות היא הגורם המטפל בתלונות על הטרדה מינית,</w:t>
      </w:r>
      <w:r>
        <w:rPr>
          <w:rFonts w:hint="cs"/>
          <w:rtl/>
        </w:rPr>
        <w:t xml:space="preserve"> כדי שהתלונות ינותבו ישירות לנציבות</w:t>
      </w:r>
      <w:r w:rsidRPr="00C43F1B">
        <w:rPr>
          <w:rFonts w:hint="cs"/>
          <w:rtl/>
        </w:rPr>
        <w:t xml:space="preserve">. </w:t>
      </w:r>
    </w:p>
    <w:p w14:paraId="53D963AF" w14:textId="77777777" w:rsidR="00417266" w:rsidRPr="00B10F64" w:rsidRDefault="00417266" w:rsidP="00DC1403">
      <w:pPr>
        <w:pStyle w:val="af2"/>
        <w:rPr>
          <w:rtl/>
        </w:rPr>
      </w:pPr>
      <w:r>
        <w:rPr>
          <w:rFonts w:hint="cs"/>
          <w:rtl/>
        </w:rPr>
        <w:t>משרד הבריאות מסר בתשובתו כי הוא מקבל את הערת מבקר המדינה בדבר הצורך בהצגת הפניה ברורה באתר המשרד אל נציבות קבילות הציבור למקצועות הרפואה בכל הנוגע לתלונות על הטרדה מינית, וכי הוא יפעל לתקן את הליקוי.</w:t>
      </w:r>
    </w:p>
    <w:p w14:paraId="74510869" w14:textId="77777777" w:rsidR="00417266" w:rsidRPr="00C43F1B" w:rsidRDefault="00417266" w:rsidP="00DC1403">
      <w:pPr>
        <w:pStyle w:val="414"/>
        <w:rPr>
          <w:rtl/>
        </w:rPr>
      </w:pPr>
      <w:r w:rsidRPr="00C43F1B">
        <w:rPr>
          <w:rFonts w:hint="cs"/>
          <w:rtl/>
        </w:rPr>
        <w:t>בירור תלונות על הטרדות מיניות במהלך טיפול רפואי</w:t>
      </w:r>
    </w:p>
    <w:p w14:paraId="57C01314" w14:textId="77777777" w:rsidR="00417266" w:rsidRDefault="00417266" w:rsidP="00DC1403">
      <w:pPr>
        <w:pStyle w:val="100"/>
        <w:rPr>
          <w:rtl/>
        </w:rPr>
      </w:pPr>
      <w:r w:rsidRPr="00C43F1B">
        <w:rPr>
          <w:rFonts w:hint="cs"/>
          <w:rtl/>
        </w:rPr>
        <w:t xml:space="preserve">נציבות קבילות הציבור למקצועות הרפואה מבררת תלונות במגוון רחב ביותר של תחומים, ובכלל זה תלונות על הטרדה מינית </w:t>
      </w:r>
      <w:r>
        <w:rPr>
          <w:rFonts w:hint="cs"/>
          <w:rtl/>
        </w:rPr>
        <w:t>של</w:t>
      </w:r>
      <w:r w:rsidRPr="00C43F1B">
        <w:rPr>
          <w:rFonts w:hint="cs"/>
          <w:rtl/>
        </w:rPr>
        <w:t xml:space="preserve"> מטופלות ומטופלים במהלך טיפול רפואי. </w:t>
      </w:r>
      <w:r w:rsidRPr="00C43F1B">
        <w:rPr>
          <w:rtl/>
        </w:rPr>
        <w:t>הבירור נעשה באמצעות הנציב או אחד מיועציו</w:t>
      </w:r>
      <w:r w:rsidRPr="00C43F1B">
        <w:rPr>
          <w:rFonts w:hint="cs"/>
          <w:rtl/>
        </w:rPr>
        <w:t>.</w:t>
      </w:r>
      <w:r w:rsidRPr="00C43F1B">
        <w:t xml:space="preserve"> </w:t>
      </w:r>
      <w:r w:rsidRPr="00C43F1B">
        <w:rPr>
          <w:rtl/>
        </w:rPr>
        <w:t xml:space="preserve">הבירור מתנהל בדרכים שונות, </w:t>
      </w:r>
      <w:r w:rsidRPr="00C43F1B">
        <w:rPr>
          <w:rFonts w:hint="cs"/>
          <w:rtl/>
        </w:rPr>
        <w:t xml:space="preserve">ובהן </w:t>
      </w:r>
      <w:r w:rsidRPr="00C43F1B">
        <w:rPr>
          <w:rtl/>
        </w:rPr>
        <w:t>קבלת ייעו</w:t>
      </w:r>
      <w:r w:rsidRPr="00C43F1B">
        <w:rPr>
          <w:rFonts w:hint="cs"/>
          <w:rtl/>
        </w:rPr>
        <w:t>ץ ממומחה רפואי,</w:t>
      </w:r>
      <w:r w:rsidRPr="00C43F1B">
        <w:rPr>
          <w:rtl/>
        </w:rPr>
        <w:t xml:space="preserve"> עריכת שימועים ושיחות הבהרה, ו</w:t>
      </w:r>
      <w:r w:rsidRPr="00C43F1B">
        <w:rPr>
          <w:rFonts w:hint="cs"/>
          <w:rtl/>
        </w:rPr>
        <w:t>במקרי</w:t>
      </w:r>
      <w:r w:rsidRPr="00C43F1B">
        <w:rPr>
          <w:rtl/>
        </w:rPr>
        <w:t>ם המתאימים</w:t>
      </w:r>
      <w:r w:rsidRPr="00C43F1B">
        <w:rPr>
          <w:rFonts w:hint="cs"/>
          <w:rtl/>
        </w:rPr>
        <w:t xml:space="preserve"> </w:t>
      </w:r>
      <w:r w:rsidRPr="00C43F1B">
        <w:rPr>
          <w:rtl/>
        </w:rPr>
        <w:t>הקמה של ועדת בדיקה שממנה הנציב לפי סעיף 21 לחוק זכויות החול</w:t>
      </w:r>
      <w:r w:rsidRPr="00C43F1B">
        <w:rPr>
          <w:rFonts w:hint="cs"/>
          <w:rtl/>
        </w:rPr>
        <w:t>ה</w:t>
      </w:r>
      <w:r w:rsidRPr="00C43F1B">
        <w:t>.</w:t>
      </w:r>
      <w:r w:rsidRPr="00C43F1B">
        <w:rPr>
          <w:rFonts w:hint="cs"/>
          <w:rtl/>
        </w:rPr>
        <w:t xml:space="preserve"> בסמכות הנציבות לקבל ידיעה או תלונה על מעשה או מחדל שיש בו חשד סביר לפגיעה בזכות כלשהי של חולה, לבדוק את הרשומות הרפואיות הנוגעות לאותו חולה ולקבל כל מידע שתדרוש לצורך בירור התלונה. סמכות זו עוגנה בחוזר מנכ"ל </w:t>
      </w:r>
      <w:r>
        <w:rPr>
          <w:rFonts w:hint="cs"/>
          <w:rtl/>
        </w:rPr>
        <w:t xml:space="preserve">משנת 2006 שכותרתו </w:t>
      </w:r>
      <w:r w:rsidRPr="00C43F1B">
        <w:rPr>
          <w:rFonts w:hint="cs"/>
          <w:rtl/>
        </w:rPr>
        <w:t>"</w:t>
      </w:r>
      <w:r w:rsidRPr="00C43F1B">
        <w:rPr>
          <w:rFonts w:hint="eastAsia"/>
          <w:rtl/>
        </w:rPr>
        <w:t>העברת</w:t>
      </w:r>
      <w:r w:rsidRPr="00C43F1B">
        <w:rPr>
          <w:rtl/>
        </w:rPr>
        <w:t xml:space="preserve"> </w:t>
      </w:r>
      <w:r w:rsidRPr="00C43F1B">
        <w:rPr>
          <w:rFonts w:hint="eastAsia"/>
          <w:rtl/>
        </w:rPr>
        <w:t>רשומות</w:t>
      </w:r>
      <w:r w:rsidRPr="00C43F1B">
        <w:rPr>
          <w:rtl/>
        </w:rPr>
        <w:t xml:space="preserve"> </w:t>
      </w:r>
      <w:r w:rsidRPr="00C43F1B">
        <w:rPr>
          <w:rFonts w:hint="eastAsia"/>
          <w:rtl/>
        </w:rPr>
        <w:t>רפואיות</w:t>
      </w:r>
      <w:r w:rsidRPr="00C43F1B">
        <w:rPr>
          <w:rtl/>
        </w:rPr>
        <w:t xml:space="preserve"> </w:t>
      </w:r>
      <w:r w:rsidRPr="00C43F1B">
        <w:rPr>
          <w:rFonts w:hint="eastAsia"/>
          <w:rtl/>
        </w:rPr>
        <w:t>לנציב</w:t>
      </w:r>
      <w:r w:rsidRPr="00C43F1B">
        <w:rPr>
          <w:rtl/>
        </w:rPr>
        <w:t xml:space="preserve"> </w:t>
      </w:r>
      <w:r w:rsidRPr="00C43F1B">
        <w:rPr>
          <w:rFonts w:hint="eastAsia"/>
          <w:rtl/>
        </w:rPr>
        <w:t>קבילות</w:t>
      </w:r>
      <w:r w:rsidRPr="00C43F1B">
        <w:rPr>
          <w:rtl/>
        </w:rPr>
        <w:t xml:space="preserve"> </w:t>
      </w:r>
      <w:r w:rsidRPr="00C43F1B">
        <w:rPr>
          <w:rFonts w:hint="eastAsia"/>
          <w:rtl/>
        </w:rPr>
        <w:t>הציבור</w:t>
      </w:r>
      <w:r w:rsidRPr="00C43F1B">
        <w:rPr>
          <w:rFonts w:hint="cs"/>
          <w:rtl/>
        </w:rPr>
        <w:t>". נוסף על פניות הציבור הנציבות מטפלת גם בפניות בעלי תפקידים במשרד הבריאות, במשטרה ובפרקליטות המדינה ולעיתים מתחילה בבירור בעקבות תביעה אזרחית או ידיעות בתקשורת.</w:t>
      </w:r>
      <w:r>
        <w:rPr>
          <w:rFonts w:hint="cs"/>
          <w:rtl/>
        </w:rPr>
        <w:t xml:space="preserve"> </w:t>
      </w:r>
      <w:r w:rsidRPr="00C43F1B">
        <w:rPr>
          <w:rFonts w:hint="cs"/>
          <w:rtl/>
        </w:rPr>
        <w:t>הנציבות פועלת לפי המלצות ועדת ההיגוי</w:t>
      </w:r>
      <w:r>
        <w:rPr>
          <w:rStyle w:val="FootnoteReference"/>
          <w:rFonts w:hint="cs"/>
          <w:sz w:val="24"/>
          <w:rtl/>
        </w:rPr>
        <w:t xml:space="preserve"> </w:t>
      </w:r>
      <w:r>
        <w:rPr>
          <w:rFonts w:hint="cs"/>
          <w:rtl/>
        </w:rPr>
        <w:t>של אגף השירות במשרד הבריאות</w:t>
      </w:r>
      <w:r w:rsidRPr="00C43F1B">
        <w:rPr>
          <w:rFonts w:hint="cs"/>
          <w:rtl/>
        </w:rPr>
        <w:t xml:space="preserve"> המנוסחות כנוהל, אשר פורסמו במרץ 2017.</w:t>
      </w:r>
    </w:p>
    <w:p w14:paraId="2E2E9755" w14:textId="77777777" w:rsidR="00417266" w:rsidRPr="00C43F1B" w:rsidRDefault="00417266" w:rsidP="00AD7076">
      <w:pPr>
        <w:pStyle w:val="100"/>
        <w:rPr>
          <w:rtl/>
        </w:rPr>
      </w:pPr>
      <w:r w:rsidRPr="00C43F1B">
        <w:rPr>
          <w:rFonts w:hint="cs"/>
          <w:rtl/>
        </w:rPr>
        <w:t xml:space="preserve">בחודשים ינואר עד אוגוסט 2018 נפתחו בנציבות 24 תיקים </w:t>
      </w:r>
      <w:r>
        <w:rPr>
          <w:rFonts w:hint="cs"/>
          <w:rtl/>
        </w:rPr>
        <w:t>בשל</w:t>
      </w:r>
      <w:r w:rsidRPr="00C43F1B">
        <w:rPr>
          <w:rFonts w:hint="cs"/>
          <w:rtl/>
        </w:rPr>
        <w:t xml:space="preserve"> הטרדה מינית של מטופלים ומטופלות. בשנת 2015 טיפלה הנציבות ב-14 תיקים, בשנת 2016 טיפלה ב-8 תיקים ובשנת 2017 - ב-9 תיקים. </w:t>
      </w:r>
    </w:p>
    <w:p w14:paraId="0CC25FD1" w14:textId="77777777" w:rsidR="00417266" w:rsidRPr="00A54AF3" w:rsidRDefault="00417266" w:rsidP="00AD7076">
      <w:pPr>
        <w:pStyle w:val="100"/>
        <w:rPr>
          <w:rtl/>
        </w:rPr>
      </w:pPr>
      <w:r>
        <w:rPr>
          <w:rFonts w:hint="cs"/>
          <w:rtl/>
        </w:rPr>
        <w:t>נמצאו שלושה ליקויים בפעילות הנציבות בנוגע לטיפול בהטרדות מיניות:</w:t>
      </w:r>
    </w:p>
    <w:p w14:paraId="6B270B9A" w14:textId="77777777" w:rsidR="00417266" w:rsidRPr="00C43F1B" w:rsidRDefault="00417266" w:rsidP="00AD7076">
      <w:pPr>
        <w:pStyle w:val="a0"/>
        <w:numPr>
          <w:ilvl w:val="0"/>
          <w:numId w:val="37"/>
        </w:numPr>
        <w:rPr>
          <w:rtl/>
        </w:rPr>
      </w:pPr>
      <w:r w:rsidRPr="00C43F1B">
        <w:rPr>
          <w:rFonts w:hint="cs"/>
          <w:rtl/>
        </w:rPr>
        <w:t>האופן שבו יש לטפל בתלונה על הטרדה מינית אינו דומה לאופן הטיפול בתלונ</w:t>
      </w:r>
      <w:r>
        <w:rPr>
          <w:rFonts w:hint="cs"/>
          <w:rtl/>
        </w:rPr>
        <w:t>ות</w:t>
      </w:r>
      <w:r w:rsidRPr="00C43F1B">
        <w:rPr>
          <w:rFonts w:hint="cs"/>
          <w:rtl/>
        </w:rPr>
        <w:t xml:space="preserve"> על עביר</w:t>
      </w:r>
      <w:r>
        <w:rPr>
          <w:rFonts w:hint="cs"/>
          <w:rtl/>
        </w:rPr>
        <w:t>ות</w:t>
      </w:r>
      <w:r w:rsidRPr="00C43F1B">
        <w:rPr>
          <w:rFonts w:hint="cs"/>
          <w:rtl/>
        </w:rPr>
        <w:t xml:space="preserve"> משמעת אחר</w:t>
      </w:r>
      <w:r>
        <w:rPr>
          <w:rFonts w:hint="cs"/>
          <w:rtl/>
        </w:rPr>
        <w:t>ו</w:t>
      </w:r>
      <w:r w:rsidRPr="00C43F1B">
        <w:rPr>
          <w:rFonts w:hint="cs"/>
          <w:rtl/>
        </w:rPr>
        <w:t xml:space="preserve">ת. בדיון בוועדת הכנסת לקידום מעמד האישה ביום 9.2.16 ציין נציב תלונות הציבור למקצועות הרפואה כי </w:t>
      </w:r>
      <w:r>
        <w:rPr>
          <w:rFonts w:hint="cs"/>
          <w:rtl/>
        </w:rPr>
        <w:t xml:space="preserve">אין צוות ייעודי שרכש הכשרה מקצועית </w:t>
      </w:r>
      <w:r w:rsidRPr="00C43F1B">
        <w:rPr>
          <w:rFonts w:hint="cs"/>
          <w:rtl/>
        </w:rPr>
        <w:t>לצורך בירור תלונות על הטרדה מינית.</w:t>
      </w:r>
    </w:p>
    <w:p w14:paraId="7906CBEA" w14:textId="2A639D61" w:rsidR="00417266" w:rsidRPr="00C06AE0" w:rsidRDefault="00417266" w:rsidP="00365D63">
      <w:pPr>
        <w:pStyle w:val="a0"/>
        <w:rPr>
          <w:rtl/>
        </w:rPr>
      </w:pPr>
      <w:r w:rsidRPr="00C06AE0">
        <w:rPr>
          <w:rFonts w:hint="eastAsia"/>
          <w:rtl/>
        </w:rPr>
        <w:lastRenderedPageBreak/>
        <w:t>הנוהל</w:t>
      </w:r>
      <w:r w:rsidRPr="00C06AE0">
        <w:rPr>
          <w:rtl/>
        </w:rPr>
        <w:t xml:space="preserve"> </w:t>
      </w:r>
      <w:r w:rsidRPr="00C06AE0">
        <w:rPr>
          <w:rFonts w:hint="eastAsia"/>
          <w:rtl/>
        </w:rPr>
        <w:t>אינו</w:t>
      </w:r>
      <w:r w:rsidRPr="00C06AE0">
        <w:rPr>
          <w:rtl/>
        </w:rPr>
        <w:t xml:space="preserve"> </w:t>
      </w:r>
      <w:r w:rsidRPr="00C06AE0">
        <w:rPr>
          <w:rFonts w:hint="eastAsia"/>
          <w:rtl/>
        </w:rPr>
        <w:t>מסדיר</w:t>
      </w:r>
      <w:r w:rsidRPr="00C06AE0">
        <w:rPr>
          <w:rtl/>
        </w:rPr>
        <w:t xml:space="preserve"> את </w:t>
      </w:r>
      <w:r w:rsidRPr="00C06AE0">
        <w:rPr>
          <w:rFonts w:hint="eastAsia"/>
          <w:rtl/>
        </w:rPr>
        <w:t>סמכויות</w:t>
      </w:r>
      <w:r w:rsidRPr="00C06AE0">
        <w:rPr>
          <w:rtl/>
        </w:rPr>
        <w:t xml:space="preserve"> הבירור </w:t>
      </w:r>
      <w:r>
        <w:rPr>
          <w:rFonts w:hint="cs"/>
          <w:rtl/>
        </w:rPr>
        <w:t>כלפי</w:t>
      </w:r>
      <w:r w:rsidRPr="00C06AE0">
        <w:rPr>
          <w:rtl/>
        </w:rPr>
        <w:t xml:space="preserve"> </w:t>
      </w:r>
      <w:r w:rsidRPr="00C06AE0">
        <w:rPr>
          <w:rFonts w:hint="eastAsia"/>
          <w:rtl/>
        </w:rPr>
        <w:t>הנילון</w:t>
      </w:r>
      <w:r w:rsidRPr="00C06AE0">
        <w:rPr>
          <w:rtl/>
        </w:rPr>
        <w:t xml:space="preserve"> </w:t>
      </w:r>
      <w:r>
        <w:rPr>
          <w:rFonts w:hint="cs"/>
          <w:rtl/>
        </w:rPr>
        <w:t xml:space="preserve">וכלפי </w:t>
      </w:r>
      <w:r w:rsidRPr="00C06AE0">
        <w:rPr>
          <w:rtl/>
        </w:rPr>
        <w:t xml:space="preserve">המתלונן </w:t>
      </w:r>
      <w:r w:rsidRPr="00C06AE0">
        <w:rPr>
          <w:rFonts w:hint="eastAsia"/>
          <w:rtl/>
        </w:rPr>
        <w:t>ואינ</w:t>
      </w:r>
      <w:r>
        <w:rPr>
          <w:rFonts w:hint="cs"/>
          <w:rtl/>
        </w:rPr>
        <w:t>ו</w:t>
      </w:r>
      <w:r w:rsidRPr="00C06AE0">
        <w:rPr>
          <w:rtl/>
        </w:rPr>
        <w:t xml:space="preserve"> </w:t>
      </w:r>
      <w:r w:rsidRPr="00C06AE0">
        <w:rPr>
          <w:rFonts w:hint="eastAsia"/>
          <w:rtl/>
        </w:rPr>
        <w:t>מסמיך</w:t>
      </w:r>
      <w:r w:rsidRPr="00C06AE0">
        <w:rPr>
          <w:rtl/>
        </w:rPr>
        <w:t xml:space="preserve"> את הנציבות </w:t>
      </w:r>
      <w:r>
        <w:rPr>
          <w:rFonts w:hint="cs"/>
          <w:rtl/>
        </w:rPr>
        <w:t>לנקוט</w:t>
      </w:r>
      <w:r w:rsidRPr="00C06AE0">
        <w:rPr>
          <w:rtl/>
        </w:rPr>
        <w:t xml:space="preserve"> צעדי ביניים משמעתיים </w:t>
      </w:r>
      <w:r w:rsidRPr="00C06AE0">
        <w:rPr>
          <w:rFonts w:hint="eastAsia"/>
          <w:rtl/>
        </w:rPr>
        <w:t>בשלב</w:t>
      </w:r>
      <w:r w:rsidRPr="00C06AE0">
        <w:rPr>
          <w:rtl/>
        </w:rPr>
        <w:t xml:space="preserve"> בירור התלונה</w:t>
      </w:r>
      <w:r>
        <w:rPr>
          <w:rFonts w:hint="cs"/>
          <w:rtl/>
        </w:rPr>
        <w:t>,</w:t>
      </w:r>
      <w:r w:rsidRPr="00C06AE0">
        <w:rPr>
          <w:rtl/>
        </w:rPr>
        <w:t xml:space="preserve"> </w:t>
      </w:r>
      <w:r w:rsidRPr="00C06AE0">
        <w:rPr>
          <w:rFonts w:hint="eastAsia"/>
          <w:rtl/>
        </w:rPr>
        <w:t>כגון</w:t>
      </w:r>
      <w:r w:rsidRPr="00C06AE0">
        <w:rPr>
          <w:rtl/>
        </w:rPr>
        <w:t xml:space="preserve"> השעיה לימים ספורים עד לבירור ראשוני או הרחקת </w:t>
      </w:r>
      <w:r w:rsidRPr="00C06AE0">
        <w:rPr>
          <w:rFonts w:hint="eastAsia"/>
          <w:rtl/>
        </w:rPr>
        <w:t>הנילון</w:t>
      </w:r>
      <w:r w:rsidRPr="00C06AE0">
        <w:rPr>
          <w:rtl/>
        </w:rPr>
        <w:t xml:space="preserve"> </w:t>
      </w:r>
      <w:r w:rsidRPr="00C06AE0">
        <w:rPr>
          <w:rFonts w:hint="eastAsia"/>
          <w:rtl/>
        </w:rPr>
        <w:t>מהמתלוננת</w:t>
      </w:r>
      <w:r w:rsidRPr="00C06AE0">
        <w:rPr>
          <w:rtl/>
        </w:rPr>
        <w:t xml:space="preserve"> </w:t>
      </w:r>
      <w:r w:rsidRPr="00C06AE0">
        <w:rPr>
          <w:rFonts w:hint="eastAsia"/>
          <w:rtl/>
        </w:rPr>
        <w:t>כשמדובר</w:t>
      </w:r>
      <w:r w:rsidRPr="00C06AE0">
        <w:rPr>
          <w:rtl/>
        </w:rPr>
        <w:t xml:space="preserve"> </w:t>
      </w:r>
      <w:r w:rsidRPr="00C06AE0">
        <w:rPr>
          <w:rFonts w:hint="eastAsia"/>
          <w:rtl/>
        </w:rPr>
        <w:t>בטיפול</w:t>
      </w:r>
      <w:r w:rsidRPr="00C06AE0">
        <w:rPr>
          <w:rtl/>
        </w:rPr>
        <w:t xml:space="preserve"> </w:t>
      </w:r>
      <w:r w:rsidRPr="00C06AE0">
        <w:rPr>
          <w:rFonts w:hint="eastAsia"/>
          <w:rtl/>
        </w:rPr>
        <w:t>מתמשך</w:t>
      </w:r>
      <w:r w:rsidRPr="00C06AE0">
        <w:rPr>
          <w:rtl/>
        </w:rPr>
        <w:t>.</w:t>
      </w:r>
    </w:p>
    <w:p w14:paraId="1C9BE0EC" w14:textId="77777777" w:rsidR="00417266" w:rsidRPr="00C43F1B" w:rsidRDefault="00417266" w:rsidP="00365D63">
      <w:pPr>
        <w:pStyle w:val="ac"/>
        <w:rPr>
          <w:rtl/>
        </w:rPr>
      </w:pPr>
      <w:r>
        <w:rPr>
          <w:rFonts w:hint="cs"/>
          <w:rtl/>
        </w:rPr>
        <w:t>הנוהל אינו מסדיר</w:t>
      </w:r>
      <w:r w:rsidRPr="00C43F1B">
        <w:rPr>
          <w:rFonts w:hint="cs"/>
          <w:rtl/>
        </w:rPr>
        <w:t xml:space="preserve"> את הצדדים המהותיים של הטיפול </w:t>
      </w:r>
      <w:r>
        <w:rPr>
          <w:rFonts w:hint="cs"/>
          <w:rtl/>
        </w:rPr>
        <w:t>בתלונה אלא עוסק</w:t>
      </w:r>
      <w:r w:rsidRPr="00C43F1B">
        <w:rPr>
          <w:rFonts w:hint="cs"/>
          <w:rtl/>
        </w:rPr>
        <w:t xml:space="preserve"> בצדדים הטכניים של קבלת תלונה</w:t>
      </w:r>
      <w:r w:rsidRPr="0088414B">
        <w:rPr>
          <w:rStyle w:val="FootnoteReference"/>
          <w:sz w:val="24"/>
          <w:rtl/>
        </w:rPr>
        <w:footnoteReference w:id="84"/>
      </w:r>
      <w:r w:rsidRPr="0088414B">
        <w:rPr>
          <w:rFonts w:hint="cs"/>
          <w:rtl/>
        </w:rPr>
        <w:t xml:space="preserve">. </w:t>
      </w:r>
    </w:p>
    <w:p w14:paraId="4AB400B1" w14:textId="77777777" w:rsidR="00417266" w:rsidRPr="00C43F1B" w:rsidRDefault="00417266" w:rsidP="00365D63">
      <w:pPr>
        <w:pStyle w:val="ac"/>
        <w:rPr>
          <w:rtl/>
        </w:rPr>
      </w:pPr>
      <w:r>
        <w:rPr>
          <w:rFonts w:hint="cs"/>
          <w:rtl/>
        </w:rPr>
        <w:t xml:space="preserve">מוצע כי </w:t>
      </w:r>
      <w:r w:rsidRPr="00C43F1B">
        <w:rPr>
          <w:rFonts w:hint="cs"/>
          <w:rtl/>
        </w:rPr>
        <w:t xml:space="preserve">משרד הבריאות </w:t>
      </w:r>
      <w:r>
        <w:rPr>
          <w:rFonts w:hint="cs"/>
          <w:rtl/>
        </w:rPr>
        <w:t xml:space="preserve">יבחן תיקון הנוהל בדגש על </w:t>
      </w:r>
      <w:r w:rsidRPr="00C43F1B">
        <w:rPr>
          <w:rFonts w:hint="cs"/>
          <w:rtl/>
        </w:rPr>
        <w:t>הליך הטיפול בתלונות המתקבלות בנציבות. כן עליו לדאוג שהטיפול בתלונות בנושא הטרדות מיניות, הדורש הכשרה ייחודית ל</w:t>
      </w:r>
      <w:r>
        <w:rPr>
          <w:rFonts w:hint="cs"/>
          <w:rtl/>
        </w:rPr>
        <w:t xml:space="preserve">שם </w:t>
      </w:r>
      <w:r w:rsidRPr="00C43F1B">
        <w:rPr>
          <w:rFonts w:hint="cs"/>
          <w:rtl/>
        </w:rPr>
        <w:t xml:space="preserve">מניעת פגיעה נוספת במתלוננת, ייעשה בידי עובדים שיוכשרו לטיפול בנפגעות עבירות מין והטרדה מינית. </w:t>
      </w:r>
    </w:p>
    <w:p w14:paraId="5C3BF384" w14:textId="77777777" w:rsidR="00417266" w:rsidRPr="00C43F1B" w:rsidRDefault="00417266" w:rsidP="00365D63">
      <w:pPr>
        <w:pStyle w:val="a0"/>
        <w:rPr>
          <w:rtl/>
        </w:rPr>
      </w:pPr>
      <w:r w:rsidRPr="00C43F1B">
        <w:rPr>
          <w:rFonts w:hint="cs"/>
          <w:rtl/>
        </w:rPr>
        <w:t xml:space="preserve">גם נציבות קבילות הציבור למקצועות הרפואה וגם נש"ם מקבלות תלונות על אנשי הצוות הרפואי שהם עובדי מדינה (כגון רופאים בבתי החולים הממשלתיים). יצוין כי נש"ם היא הגוף האחראי למשמעת של עובדי המדינה, </w:t>
      </w:r>
      <w:r>
        <w:rPr>
          <w:rFonts w:hint="cs"/>
          <w:rtl/>
        </w:rPr>
        <w:t xml:space="preserve">ויש לה </w:t>
      </w:r>
      <w:r w:rsidRPr="00C43F1B">
        <w:rPr>
          <w:rFonts w:hint="cs"/>
          <w:rtl/>
        </w:rPr>
        <w:t>ניסיון בטיפול בהטרדות מיניות, ונציבות קבילות הציבור למקצועות הרפואה היא הגוף המקצועי לבירור תלונות על הטרדה מינית במהלך טיפול רפואי.</w:t>
      </w:r>
    </w:p>
    <w:p w14:paraId="4A24F13E" w14:textId="77777777" w:rsidR="00417266" w:rsidRPr="00C43F1B" w:rsidRDefault="00417266" w:rsidP="00365D63">
      <w:pPr>
        <w:pStyle w:val="ac"/>
        <w:rPr>
          <w:rtl/>
        </w:rPr>
      </w:pPr>
      <w:r>
        <w:rPr>
          <w:rFonts w:hint="cs"/>
          <w:rtl/>
        </w:rPr>
        <w:t>אף ש</w:t>
      </w:r>
      <w:r w:rsidRPr="00C43F1B">
        <w:rPr>
          <w:rFonts w:hint="cs"/>
          <w:rtl/>
        </w:rPr>
        <w:t>נש"ם ונציבות קבילות הציבור למקצועות הרפואה מחזיקות שתיהן בסמכויות לבירור תלונות על הטרדה מינית</w:t>
      </w:r>
      <w:r>
        <w:rPr>
          <w:rFonts w:hint="cs"/>
          <w:rtl/>
        </w:rPr>
        <w:t xml:space="preserve">, </w:t>
      </w:r>
      <w:r w:rsidRPr="00C43F1B">
        <w:rPr>
          <w:rFonts w:hint="cs"/>
          <w:rtl/>
        </w:rPr>
        <w:t>לא נמצא</w:t>
      </w:r>
      <w:r>
        <w:rPr>
          <w:rFonts w:hint="cs"/>
          <w:rtl/>
        </w:rPr>
        <w:t xml:space="preserve"> שהוסדרו יחסי העבודה או נקבעו מנגנוני תיאום ביניהן</w:t>
      </w:r>
      <w:r w:rsidRPr="00C43F1B">
        <w:rPr>
          <w:rFonts w:hint="cs"/>
          <w:rtl/>
        </w:rPr>
        <w:t xml:space="preserve">. </w:t>
      </w:r>
    </w:p>
    <w:p w14:paraId="08BF5634" w14:textId="77777777" w:rsidR="00417266" w:rsidRPr="00C43F1B" w:rsidRDefault="00417266" w:rsidP="00365D63">
      <w:pPr>
        <w:pStyle w:val="af2"/>
        <w:rPr>
          <w:rtl/>
        </w:rPr>
      </w:pPr>
      <w:r w:rsidRPr="00C43F1B">
        <w:rPr>
          <w:rFonts w:hint="cs"/>
          <w:rtl/>
        </w:rPr>
        <w:t>העדכון ההדדי של נש"ם ונציבות קבילות הציבור למקצועות הרפואה חשוב במיוחד כשמדובר בסוגיות רפואיות מובהקות</w:t>
      </w:r>
      <w:r>
        <w:rPr>
          <w:rFonts w:hint="cs"/>
          <w:rtl/>
        </w:rPr>
        <w:t>,</w:t>
      </w:r>
      <w:r w:rsidRPr="00C43F1B">
        <w:rPr>
          <w:rFonts w:hint="cs"/>
          <w:rtl/>
        </w:rPr>
        <w:t xml:space="preserve"> שהן בתחום המומחיות של נציבות</w:t>
      </w:r>
      <w:r>
        <w:rPr>
          <w:rFonts w:hint="cs"/>
          <w:rtl/>
        </w:rPr>
        <w:t xml:space="preserve"> הקבילות</w:t>
      </w:r>
      <w:r w:rsidRPr="00C43F1B">
        <w:rPr>
          <w:rFonts w:hint="cs"/>
          <w:rtl/>
        </w:rPr>
        <w:t xml:space="preserve">. הוא חיוני גם כדי למנוע מצב שבו תלונות על אותו נילון יוגשו הן לנש"ם והן לנציבות </w:t>
      </w:r>
      <w:r>
        <w:rPr>
          <w:rFonts w:hint="cs"/>
          <w:rtl/>
        </w:rPr>
        <w:t>ה</w:t>
      </w:r>
      <w:r w:rsidRPr="00C43F1B">
        <w:rPr>
          <w:rFonts w:hint="cs"/>
          <w:rtl/>
        </w:rPr>
        <w:t>קבילות והן לא ידעו על כך, והדבר יוביל לטיפול מקביל ובלתי יעיל, ואפילו להכרעות שונות.</w:t>
      </w:r>
    </w:p>
    <w:p w14:paraId="47694EC7" w14:textId="77777777" w:rsidR="00417266" w:rsidRDefault="00417266" w:rsidP="00365D63">
      <w:pPr>
        <w:pStyle w:val="af2"/>
        <w:rPr>
          <w:rtl/>
        </w:rPr>
      </w:pPr>
      <w:r w:rsidRPr="00680ADB">
        <w:rPr>
          <w:rFonts w:hint="eastAsia"/>
          <w:rtl/>
        </w:rPr>
        <w:t>משרד</w:t>
      </w:r>
      <w:r w:rsidRPr="00680ADB">
        <w:rPr>
          <w:rtl/>
        </w:rPr>
        <w:t xml:space="preserve"> הבריאות מסר </w:t>
      </w:r>
      <w:r w:rsidRPr="00CC2550">
        <w:rPr>
          <w:rFonts w:hint="eastAsia"/>
          <w:rtl/>
        </w:rPr>
        <w:t>כי</w:t>
      </w:r>
      <w:r w:rsidRPr="00CC2550">
        <w:rPr>
          <w:rtl/>
        </w:rPr>
        <w:t xml:space="preserve"> </w:t>
      </w:r>
      <w:r>
        <w:rPr>
          <w:rFonts w:hint="cs"/>
          <w:rtl/>
        </w:rPr>
        <w:t>ל</w:t>
      </w:r>
      <w:r w:rsidRPr="00CC2550">
        <w:rPr>
          <w:rtl/>
        </w:rPr>
        <w:t xml:space="preserve">כל תלונה אופי שונה ואין דרך מוגדרת מראש לטיפול בתלונות. עם זאת, </w:t>
      </w:r>
      <w:r>
        <w:rPr>
          <w:rFonts w:hint="cs"/>
          <w:rtl/>
        </w:rPr>
        <w:t xml:space="preserve">לפי </w:t>
      </w:r>
      <w:r w:rsidRPr="00680ADB">
        <w:rPr>
          <w:rtl/>
        </w:rPr>
        <w:t xml:space="preserve">הנחיות </w:t>
      </w:r>
      <w:r w:rsidRPr="00680ADB">
        <w:rPr>
          <w:rFonts w:hint="eastAsia"/>
          <w:rtl/>
        </w:rPr>
        <w:t>נש</w:t>
      </w:r>
      <w:r w:rsidRPr="00680ADB">
        <w:rPr>
          <w:rtl/>
        </w:rPr>
        <w:t xml:space="preserve">"ם </w:t>
      </w:r>
      <w:r>
        <w:rPr>
          <w:rFonts w:hint="cs"/>
          <w:rtl/>
        </w:rPr>
        <w:t xml:space="preserve">יש </w:t>
      </w:r>
      <w:r w:rsidRPr="00680ADB">
        <w:rPr>
          <w:rtl/>
        </w:rPr>
        <w:t xml:space="preserve">להעביר כל תלונה על הטרדה מינית כנגד עובד מדינה </w:t>
      </w:r>
      <w:r w:rsidRPr="00680ADB">
        <w:rPr>
          <w:rFonts w:hint="eastAsia"/>
          <w:rtl/>
        </w:rPr>
        <w:t>לטיפול</w:t>
      </w:r>
      <w:r>
        <w:rPr>
          <w:rFonts w:hint="cs"/>
          <w:rtl/>
        </w:rPr>
        <w:t>ה,</w:t>
      </w:r>
      <w:r w:rsidRPr="00680ADB">
        <w:rPr>
          <w:rtl/>
        </w:rPr>
        <w:t xml:space="preserve"> </w:t>
      </w:r>
      <w:r w:rsidRPr="00680ADB">
        <w:rPr>
          <w:rFonts w:hint="eastAsia"/>
          <w:rtl/>
        </w:rPr>
        <w:t>ומשרד</w:t>
      </w:r>
      <w:r w:rsidRPr="00680ADB">
        <w:rPr>
          <w:rtl/>
        </w:rPr>
        <w:t xml:space="preserve"> </w:t>
      </w:r>
      <w:r w:rsidRPr="00680ADB">
        <w:rPr>
          <w:rFonts w:hint="eastAsia"/>
          <w:rtl/>
        </w:rPr>
        <w:t>הבריאות</w:t>
      </w:r>
      <w:r w:rsidRPr="00680ADB">
        <w:rPr>
          <w:rtl/>
        </w:rPr>
        <w:t xml:space="preserve"> </w:t>
      </w:r>
      <w:r w:rsidRPr="00680ADB">
        <w:rPr>
          <w:rFonts w:hint="eastAsia"/>
          <w:rtl/>
        </w:rPr>
        <w:t>פועל</w:t>
      </w:r>
      <w:r w:rsidRPr="00680ADB">
        <w:rPr>
          <w:rtl/>
        </w:rPr>
        <w:t xml:space="preserve"> </w:t>
      </w:r>
      <w:r>
        <w:rPr>
          <w:rFonts w:hint="cs"/>
          <w:rtl/>
        </w:rPr>
        <w:t xml:space="preserve">לפי </w:t>
      </w:r>
      <w:r w:rsidRPr="00680ADB">
        <w:rPr>
          <w:rFonts w:hint="eastAsia"/>
          <w:rtl/>
        </w:rPr>
        <w:t>הנחיות</w:t>
      </w:r>
      <w:r w:rsidRPr="00680ADB">
        <w:rPr>
          <w:rtl/>
        </w:rPr>
        <w:t xml:space="preserve"> </w:t>
      </w:r>
      <w:r w:rsidRPr="00680ADB">
        <w:rPr>
          <w:rFonts w:hint="eastAsia"/>
          <w:rtl/>
        </w:rPr>
        <w:t>אלו</w:t>
      </w:r>
      <w:r w:rsidRPr="00680ADB">
        <w:rPr>
          <w:rtl/>
        </w:rPr>
        <w:t xml:space="preserve"> </w:t>
      </w:r>
      <w:r w:rsidRPr="00680ADB">
        <w:rPr>
          <w:rFonts w:hint="eastAsia"/>
          <w:rtl/>
        </w:rPr>
        <w:t>ואינו</w:t>
      </w:r>
      <w:r w:rsidRPr="00680ADB">
        <w:rPr>
          <w:rtl/>
        </w:rPr>
        <w:t xml:space="preserve"> </w:t>
      </w:r>
      <w:r w:rsidRPr="00680ADB">
        <w:rPr>
          <w:rFonts w:hint="eastAsia"/>
          <w:rtl/>
        </w:rPr>
        <w:t>מברר</w:t>
      </w:r>
      <w:r w:rsidRPr="00680ADB">
        <w:rPr>
          <w:rtl/>
        </w:rPr>
        <w:t xml:space="preserve"> </w:t>
      </w:r>
      <w:r w:rsidRPr="00680ADB">
        <w:rPr>
          <w:rFonts w:hint="eastAsia"/>
          <w:rtl/>
        </w:rPr>
        <w:t>במקביל</w:t>
      </w:r>
      <w:r w:rsidRPr="00680ADB">
        <w:rPr>
          <w:rtl/>
        </w:rPr>
        <w:t xml:space="preserve"> </w:t>
      </w:r>
      <w:r w:rsidRPr="00680ADB">
        <w:rPr>
          <w:rFonts w:hint="eastAsia"/>
          <w:rtl/>
        </w:rPr>
        <w:t>תלונות</w:t>
      </w:r>
      <w:r w:rsidRPr="00680ADB">
        <w:rPr>
          <w:rtl/>
        </w:rPr>
        <w:t xml:space="preserve"> </w:t>
      </w:r>
      <w:r w:rsidRPr="00680ADB">
        <w:rPr>
          <w:rFonts w:hint="eastAsia"/>
          <w:rtl/>
        </w:rPr>
        <w:t>כנגד</w:t>
      </w:r>
      <w:r w:rsidRPr="00680ADB">
        <w:rPr>
          <w:rtl/>
        </w:rPr>
        <w:t xml:space="preserve"> </w:t>
      </w:r>
      <w:r w:rsidRPr="00680ADB">
        <w:rPr>
          <w:rFonts w:hint="eastAsia"/>
          <w:rtl/>
        </w:rPr>
        <w:t>עובדי</w:t>
      </w:r>
      <w:r w:rsidRPr="00680ADB">
        <w:rPr>
          <w:rtl/>
        </w:rPr>
        <w:t xml:space="preserve"> </w:t>
      </w:r>
      <w:r w:rsidRPr="00680ADB">
        <w:rPr>
          <w:rFonts w:hint="eastAsia"/>
          <w:rtl/>
        </w:rPr>
        <w:t>מדינה</w:t>
      </w:r>
      <w:r w:rsidRPr="00680ADB">
        <w:rPr>
          <w:rtl/>
        </w:rPr>
        <w:t>.</w:t>
      </w:r>
      <w:r>
        <w:rPr>
          <w:rFonts w:hint="cs"/>
          <w:rtl/>
        </w:rPr>
        <w:t xml:space="preserve"> עוד מסר המשרד כי יקדם עם נש"ם את טיוב הקשר בין המשרדים בנוגע למידע על עבירות משמעת של עובדי מדינה ובכלל זה בעלי מקצועות הבריאות בנושא הטרדה מינית.</w:t>
      </w:r>
    </w:p>
    <w:p w14:paraId="50369158" w14:textId="77777777" w:rsidR="00417266" w:rsidRPr="003C3215" w:rsidRDefault="00417266" w:rsidP="00365D63">
      <w:pPr>
        <w:pStyle w:val="af2"/>
        <w:rPr>
          <w:rtl/>
        </w:rPr>
      </w:pPr>
      <w:r>
        <w:rPr>
          <w:rFonts w:hint="cs"/>
          <w:rtl/>
        </w:rPr>
        <w:t>נש"ם מסרה בתשובתה כי בעקבות זיהוי הבעייתיות התקיימה בפברואר 2019 פגישה עם נציבות קבילות הציבור למקצועות הרפואה, ושני הגופים עובדים במשותף על הכנת נוהל המסדיר את תחומי העבודה.</w:t>
      </w:r>
    </w:p>
    <w:p w14:paraId="44299161" w14:textId="77777777" w:rsidR="00417266" w:rsidRPr="00C43F1B" w:rsidRDefault="00417266" w:rsidP="00365D63">
      <w:pPr>
        <w:pStyle w:val="ac"/>
        <w:rPr>
          <w:sz w:val="24"/>
          <w:rtl/>
        </w:rPr>
      </w:pPr>
      <w:r w:rsidRPr="00C43F1B">
        <w:rPr>
          <w:rFonts w:hint="cs"/>
          <w:rtl/>
        </w:rPr>
        <w:lastRenderedPageBreak/>
        <w:t xml:space="preserve">משרד מבקר המדינה </w:t>
      </w:r>
      <w:r>
        <w:rPr>
          <w:rFonts w:hint="cs"/>
          <w:rtl/>
        </w:rPr>
        <w:t xml:space="preserve">רואה בחיוב את תשובות משרד הבריאות ונש"ם כי יפעלו להסדרת יחסי העבודה ביניהם. </w:t>
      </w:r>
    </w:p>
    <w:p w14:paraId="68E5FB1E" w14:textId="77777777" w:rsidR="00417266" w:rsidRPr="00C43F1B" w:rsidRDefault="00417266" w:rsidP="00365D63">
      <w:pPr>
        <w:pStyle w:val="316"/>
        <w:rPr>
          <w:rtl/>
        </w:rPr>
      </w:pPr>
      <w:r w:rsidRPr="00C43F1B">
        <w:rPr>
          <w:rFonts w:hint="cs"/>
          <w:rtl/>
        </w:rPr>
        <w:t>הטרד</w:t>
      </w:r>
      <w:r>
        <w:rPr>
          <w:rFonts w:hint="cs"/>
          <w:rtl/>
        </w:rPr>
        <w:t>ה</w:t>
      </w:r>
      <w:r w:rsidRPr="00C43F1B">
        <w:rPr>
          <w:rFonts w:hint="cs"/>
          <w:rtl/>
        </w:rPr>
        <w:t xml:space="preserve"> מינית של נשות הצוות הרפואי בידי מטופלים</w:t>
      </w:r>
    </w:p>
    <w:p w14:paraId="704A451D" w14:textId="77777777" w:rsidR="00417266" w:rsidRPr="00C43F1B" w:rsidRDefault="00417266" w:rsidP="00365D63">
      <w:pPr>
        <w:pStyle w:val="100"/>
        <w:rPr>
          <w:rtl/>
        </w:rPr>
      </w:pPr>
      <w:r w:rsidRPr="002377D2">
        <w:rPr>
          <w:rFonts w:hint="cs"/>
          <w:rtl/>
        </w:rPr>
        <w:t>מ</w:t>
      </w:r>
      <w:r w:rsidRPr="002377D2">
        <w:rPr>
          <w:rtl/>
        </w:rPr>
        <w:t>חקר ש</w:t>
      </w:r>
      <w:r w:rsidRPr="002377D2">
        <w:rPr>
          <w:rFonts w:hint="cs"/>
          <w:rtl/>
        </w:rPr>
        <w:t>נ</w:t>
      </w:r>
      <w:r w:rsidRPr="002377D2">
        <w:rPr>
          <w:rtl/>
        </w:rPr>
        <w:t xml:space="preserve">ערך בקרב 434 נשים </w:t>
      </w:r>
      <w:r w:rsidRPr="002377D2">
        <w:rPr>
          <w:rFonts w:hint="cs"/>
          <w:rtl/>
        </w:rPr>
        <w:t>ב</w:t>
      </w:r>
      <w:r w:rsidRPr="002377D2">
        <w:rPr>
          <w:rtl/>
        </w:rPr>
        <w:t>צוות הרפואי ב</w:t>
      </w:r>
      <w:r w:rsidRPr="002377D2">
        <w:rPr>
          <w:rFonts w:hint="eastAsia"/>
          <w:rtl/>
        </w:rPr>
        <w:t>ש</w:t>
      </w:r>
      <w:r w:rsidRPr="000F1C32">
        <w:rPr>
          <w:rFonts w:hint="eastAsia"/>
          <w:rtl/>
        </w:rPr>
        <w:t>לושה</w:t>
      </w:r>
      <w:r w:rsidRPr="002377D2">
        <w:rPr>
          <w:rtl/>
        </w:rPr>
        <w:t xml:space="preserve"> בתי חולים</w:t>
      </w:r>
      <w:r>
        <w:rPr>
          <w:rFonts w:hint="cs"/>
          <w:rtl/>
        </w:rPr>
        <w:t xml:space="preserve"> בארץ</w:t>
      </w:r>
      <w:r w:rsidRPr="002377D2">
        <w:rPr>
          <w:rtl/>
        </w:rPr>
        <w:t xml:space="preserve"> מצא כי </w:t>
      </w:r>
      <w:r>
        <w:rPr>
          <w:rFonts w:hint="cs"/>
          <w:rtl/>
        </w:rPr>
        <w:t xml:space="preserve">כ-95% מהמשתתפות (411 משיבות) חוו הטרדה מינית בידי מטופלים או מלוויהם. </w:t>
      </w:r>
      <w:r w:rsidRPr="002377D2">
        <w:rPr>
          <w:rFonts w:hint="cs"/>
          <w:rtl/>
        </w:rPr>
        <w:t>כ-</w:t>
      </w:r>
      <w:r w:rsidRPr="002377D2">
        <w:rPr>
          <w:rtl/>
        </w:rPr>
        <w:t>55</w:t>
      </w:r>
      <w:r w:rsidRPr="002377D2">
        <w:rPr>
          <w:rFonts w:hint="cs"/>
          <w:rtl/>
        </w:rPr>
        <w:t>%</w:t>
      </w:r>
      <w:r w:rsidRPr="002377D2">
        <w:rPr>
          <w:rtl/>
        </w:rPr>
        <w:t xml:space="preserve"> </w:t>
      </w:r>
      <w:r w:rsidRPr="002377D2">
        <w:rPr>
          <w:rFonts w:hint="cs"/>
          <w:rtl/>
        </w:rPr>
        <w:t xml:space="preserve">מהן </w:t>
      </w:r>
      <w:r w:rsidRPr="002377D2">
        <w:rPr>
          <w:rtl/>
        </w:rPr>
        <w:t>נחשפו להערות מיניות, לסיפורים או לבדיחות בעלי אופי מיני</w:t>
      </w:r>
      <w:r w:rsidRPr="002377D2">
        <w:rPr>
          <w:rFonts w:hint="cs"/>
          <w:rtl/>
        </w:rPr>
        <w:t>;</w:t>
      </w:r>
      <w:r w:rsidRPr="002377D2">
        <w:rPr>
          <w:rtl/>
        </w:rPr>
        <w:t xml:space="preserve"> </w:t>
      </w:r>
      <w:r w:rsidRPr="002377D2">
        <w:rPr>
          <w:rFonts w:hint="cs"/>
          <w:rtl/>
        </w:rPr>
        <w:t>כ-</w:t>
      </w:r>
      <w:r w:rsidRPr="002377D2">
        <w:rPr>
          <w:rtl/>
        </w:rPr>
        <w:t>30</w:t>
      </w:r>
      <w:r w:rsidRPr="002377D2">
        <w:rPr>
          <w:rFonts w:hint="cs"/>
          <w:rtl/>
        </w:rPr>
        <w:t>%</w:t>
      </w:r>
      <w:r w:rsidRPr="002377D2">
        <w:rPr>
          <w:rtl/>
        </w:rPr>
        <w:t xml:space="preserve"> נחשפו להערות מיניות גסות</w:t>
      </w:r>
      <w:r w:rsidRPr="002377D2">
        <w:rPr>
          <w:rFonts w:hint="cs"/>
          <w:rtl/>
        </w:rPr>
        <w:t>;</w:t>
      </w:r>
      <w:r w:rsidRPr="002377D2">
        <w:rPr>
          <w:rtl/>
        </w:rPr>
        <w:t xml:space="preserve"> </w:t>
      </w:r>
      <w:r w:rsidRPr="002377D2">
        <w:rPr>
          <w:rFonts w:hint="cs"/>
          <w:rtl/>
        </w:rPr>
        <w:t>כ-</w:t>
      </w:r>
      <w:r w:rsidRPr="002377D2">
        <w:rPr>
          <w:rtl/>
        </w:rPr>
        <w:t>35</w:t>
      </w:r>
      <w:r w:rsidRPr="002377D2">
        <w:rPr>
          <w:rFonts w:hint="cs"/>
          <w:rtl/>
        </w:rPr>
        <w:t xml:space="preserve">% </w:t>
      </w:r>
      <w:r w:rsidRPr="002377D2">
        <w:rPr>
          <w:rtl/>
        </w:rPr>
        <w:t>לתשומת לב מינית לא רצויה (קרבה פיזית מוגזמת, מבטים חודרים) ו</w:t>
      </w:r>
      <w:r w:rsidRPr="002377D2">
        <w:rPr>
          <w:rFonts w:hint="cs"/>
          <w:rtl/>
        </w:rPr>
        <w:t>כ-</w:t>
      </w:r>
      <w:r w:rsidRPr="002377D2">
        <w:rPr>
          <w:rtl/>
        </w:rPr>
        <w:t>38</w:t>
      </w:r>
      <w:r w:rsidRPr="002377D2">
        <w:rPr>
          <w:rFonts w:hint="cs"/>
          <w:rtl/>
        </w:rPr>
        <w:t>%</w:t>
      </w:r>
      <w:r w:rsidRPr="002377D2">
        <w:rPr>
          <w:rtl/>
        </w:rPr>
        <w:t xml:space="preserve"> למגע שגרם להן אי</w:t>
      </w:r>
      <w:r w:rsidRPr="002377D2">
        <w:rPr>
          <w:rFonts w:hint="cs"/>
          <w:rtl/>
        </w:rPr>
        <w:t>-</w:t>
      </w:r>
      <w:r w:rsidRPr="002377D2">
        <w:rPr>
          <w:rtl/>
        </w:rPr>
        <w:t xml:space="preserve">נוחות. </w:t>
      </w:r>
      <w:r w:rsidRPr="002377D2">
        <w:rPr>
          <w:rFonts w:hint="cs"/>
          <w:rtl/>
        </w:rPr>
        <w:t>כ-</w:t>
      </w:r>
      <w:r w:rsidRPr="002377D2">
        <w:rPr>
          <w:rtl/>
        </w:rPr>
        <w:t>12</w:t>
      </w:r>
      <w:r w:rsidRPr="002377D2">
        <w:rPr>
          <w:rFonts w:hint="cs"/>
          <w:rtl/>
        </w:rPr>
        <w:t>%</w:t>
      </w:r>
      <w:r w:rsidRPr="002377D2">
        <w:rPr>
          <w:rtl/>
        </w:rPr>
        <w:t xml:space="preserve"> מהנשאלות דיווחו על נשיקה בלתי צפויה, </w:t>
      </w:r>
      <w:r w:rsidRPr="002377D2">
        <w:rPr>
          <w:rFonts w:hint="cs"/>
          <w:rtl/>
        </w:rPr>
        <w:t>כ-</w:t>
      </w:r>
      <w:r w:rsidRPr="002377D2">
        <w:rPr>
          <w:rtl/>
        </w:rPr>
        <w:t>7.6</w:t>
      </w:r>
      <w:r w:rsidRPr="002377D2">
        <w:rPr>
          <w:rFonts w:hint="cs"/>
          <w:rtl/>
        </w:rPr>
        <w:t>%</w:t>
      </w:r>
      <w:r w:rsidRPr="002377D2">
        <w:rPr>
          <w:rtl/>
        </w:rPr>
        <w:t xml:space="preserve"> דיווחו על מגע במקום אינטימי ו</w:t>
      </w:r>
      <w:r w:rsidRPr="002377D2">
        <w:rPr>
          <w:rFonts w:hint="cs"/>
          <w:rtl/>
        </w:rPr>
        <w:t>כ-1.5% - על</w:t>
      </w:r>
      <w:r w:rsidRPr="002377D2">
        <w:rPr>
          <w:rtl/>
        </w:rPr>
        <w:t xml:space="preserve"> איום באונס</w:t>
      </w:r>
      <w:r w:rsidRPr="002377D2">
        <w:t>.</w:t>
      </w:r>
      <w:r w:rsidRPr="002377D2">
        <w:rPr>
          <w:rFonts w:hint="cs"/>
          <w:rtl/>
        </w:rPr>
        <w:t xml:space="preserve"> </w:t>
      </w:r>
      <w:r w:rsidRPr="002377D2">
        <w:rPr>
          <w:rtl/>
        </w:rPr>
        <w:t>רופאות דיווחו על מידת חשיפה גבוהה לביטויי מיניות מילוליים, להצעות לקיום קשר רומנטי ולהתנהגויות כמו נשיקה בלתי צפויה. לעומתן, נשים בכוח העזר סבלו יותר מנגיעות מיניות במקומות אינטימיים ומאיומים באו</w:t>
      </w:r>
      <w:r w:rsidRPr="002377D2">
        <w:rPr>
          <w:rFonts w:hint="cs"/>
          <w:rtl/>
        </w:rPr>
        <w:t>נס</w:t>
      </w:r>
      <w:r w:rsidRPr="002377D2">
        <w:rPr>
          <w:rStyle w:val="FootnoteReference"/>
          <w:sz w:val="24"/>
          <w:rtl/>
        </w:rPr>
        <w:footnoteReference w:id="85"/>
      </w:r>
      <w:r w:rsidRPr="002377D2">
        <w:rPr>
          <w:rFonts w:hint="cs"/>
          <w:rtl/>
        </w:rPr>
        <w:t>.</w:t>
      </w:r>
      <w:r w:rsidRPr="00C43F1B">
        <w:rPr>
          <w:rFonts w:hint="cs"/>
          <w:rtl/>
        </w:rPr>
        <w:t xml:space="preserve"> </w:t>
      </w:r>
    </w:p>
    <w:p w14:paraId="7AEA4A4F" w14:textId="77777777" w:rsidR="00417266" w:rsidRPr="00C43F1B" w:rsidRDefault="00417266" w:rsidP="00365D63">
      <w:pPr>
        <w:pStyle w:val="100"/>
        <w:rPr>
          <w:rtl/>
        </w:rPr>
      </w:pPr>
      <w:r w:rsidRPr="00C43F1B">
        <w:rPr>
          <w:rFonts w:hint="cs"/>
          <w:rtl/>
        </w:rPr>
        <w:t xml:space="preserve">ההתייחסות להטרדות של נשים בצוותים רפואיים בידי מטופלים מעלה קשיים </w:t>
      </w:r>
      <w:r>
        <w:rPr>
          <w:rFonts w:hint="cs"/>
          <w:rtl/>
        </w:rPr>
        <w:t>ייחודיים:</w:t>
      </w:r>
      <w:r w:rsidRPr="00C43F1B">
        <w:rPr>
          <w:rFonts w:hint="cs"/>
          <w:rtl/>
        </w:rPr>
        <w:t xml:space="preserve"> </w:t>
      </w:r>
    </w:p>
    <w:p w14:paraId="5002F088" w14:textId="77777777" w:rsidR="00417266" w:rsidRPr="00C43F1B" w:rsidRDefault="00417266" w:rsidP="00365D63">
      <w:pPr>
        <w:pStyle w:val="a0"/>
        <w:numPr>
          <w:ilvl w:val="0"/>
          <w:numId w:val="38"/>
        </w:numPr>
      </w:pPr>
      <w:r w:rsidRPr="00C43F1B">
        <w:rPr>
          <w:rFonts w:hint="eastAsia"/>
          <w:rtl/>
        </w:rPr>
        <w:t>מטופל</w:t>
      </w:r>
      <w:r w:rsidRPr="00C43F1B">
        <w:rPr>
          <w:rtl/>
        </w:rPr>
        <w:t xml:space="preserve"> </w:t>
      </w:r>
      <w:r w:rsidRPr="00C43F1B">
        <w:rPr>
          <w:rFonts w:hint="cs"/>
          <w:rtl/>
        </w:rPr>
        <w:t xml:space="preserve">המטריד </w:t>
      </w:r>
      <w:r>
        <w:rPr>
          <w:rFonts w:hint="cs"/>
          <w:rtl/>
        </w:rPr>
        <w:t>מטפלת</w:t>
      </w:r>
      <w:r w:rsidRPr="00C43F1B">
        <w:rPr>
          <w:rtl/>
        </w:rPr>
        <w:t xml:space="preserve"> </w:t>
      </w:r>
      <w:r w:rsidRPr="00C43F1B">
        <w:rPr>
          <w:rFonts w:hint="cs"/>
          <w:rtl/>
        </w:rPr>
        <w:t>ב</w:t>
      </w:r>
      <w:r w:rsidRPr="00C43F1B">
        <w:rPr>
          <w:rFonts w:hint="eastAsia"/>
          <w:rtl/>
        </w:rPr>
        <w:t>צוות</w:t>
      </w:r>
      <w:r w:rsidRPr="00C43F1B">
        <w:rPr>
          <w:rtl/>
        </w:rPr>
        <w:t xml:space="preserve"> </w:t>
      </w:r>
      <w:r w:rsidRPr="00C43F1B">
        <w:rPr>
          <w:rFonts w:hint="eastAsia"/>
          <w:rtl/>
        </w:rPr>
        <w:t>הרפואי</w:t>
      </w:r>
      <w:r w:rsidRPr="00C43F1B">
        <w:rPr>
          <w:rFonts w:hint="cs"/>
          <w:rtl/>
        </w:rPr>
        <w:t xml:space="preserve"> תלוי בה</w:t>
      </w:r>
      <w:r w:rsidRPr="00C43F1B">
        <w:rPr>
          <w:rtl/>
        </w:rPr>
        <w:t xml:space="preserve">, </w:t>
      </w:r>
      <w:r w:rsidRPr="00C43F1B">
        <w:rPr>
          <w:rFonts w:hint="cs"/>
          <w:rtl/>
        </w:rPr>
        <w:t>והיא מחויבת לעבודה ו</w:t>
      </w:r>
      <w:r>
        <w:rPr>
          <w:rFonts w:hint="cs"/>
          <w:rtl/>
        </w:rPr>
        <w:t xml:space="preserve">לכאורה </w:t>
      </w:r>
      <w:r w:rsidRPr="00C43F1B">
        <w:rPr>
          <w:rFonts w:hint="cs"/>
          <w:rtl/>
        </w:rPr>
        <w:t xml:space="preserve">אינה רשאית לוותר על ביצוע בדיקה או על מתן טיפול ולסכן את בריאותו של המטופל משום שהטריד אותה. </w:t>
      </w:r>
    </w:p>
    <w:p w14:paraId="7312B9ED" w14:textId="77777777" w:rsidR="00417266" w:rsidRPr="00C43F1B" w:rsidRDefault="00417266" w:rsidP="00365D63">
      <w:pPr>
        <w:pStyle w:val="a0"/>
      </w:pPr>
      <w:r>
        <w:rPr>
          <w:rFonts w:hint="cs"/>
          <w:rtl/>
        </w:rPr>
        <w:t>במקרים שבהם המטפלת סובלת מ</w:t>
      </w:r>
      <w:r w:rsidRPr="00C43F1B">
        <w:rPr>
          <w:rFonts w:hint="eastAsia"/>
          <w:rtl/>
        </w:rPr>
        <w:t>הטרד</w:t>
      </w:r>
      <w:r>
        <w:rPr>
          <w:rFonts w:hint="cs"/>
          <w:rtl/>
        </w:rPr>
        <w:t>ה</w:t>
      </w:r>
      <w:r w:rsidRPr="00C43F1B">
        <w:rPr>
          <w:rtl/>
        </w:rPr>
        <w:t xml:space="preserve"> מינית </w:t>
      </w:r>
      <w:r>
        <w:rPr>
          <w:rFonts w:hint="cs"/>
          <w:rtl/>
        </w:rPr>
        <w:t xml:space="preserve">בידי מטופל, אין </w:t>
      </w:r>
      <w:r w:rsidRPr="00C43F1B">
        <w:rPr>
          <w:rtl/>
        </w:rPr>
        <w:t xml:space="preserve">יחסי </w:t>
      </w:r>
      <w:r>
        <w:rPr>
          <w:rFonts w:hint="cs"/>
          <w:rtl/>
        </w:rPr>
        <w:t xml:space="preserve">תלות או </w:t>
      </w:r>
      <w:r w:rsidRPr="00C43F1B">
        <w:rPr>
          <w:rtl/>
        </w:rPr>
        <w:t xml:space="preserve">מרות </w:t>
      </w:r>
      <w:r w:rsidRPr="00C43F1B">
        <w:rPr>
          <w:rFonts w:hint="cs"/>
          <w:rtl/>
        </w:rPr>
        <w:t xml:space="preserve">שבהם יד </w:t>
      </w:r>
      <w:r w:rsidRPr="00C43F1B">
        <w:rPr>
          <w:rtl/>
        </w:rPr>
        <w:t>המטרידים</w:t>
      </w:r>
      <w:r w:rsidRPr="00C43F1B">
        <w:rPr>
          <w:rFonts w:hint="cs"/>
          <w:rtl/>
        </w:rPr>
        <w:t xml:space="preserve"> על העליונה</w:t>
      </w:r>
      <w:r>
        <w:rPr>
          <w:rFonts w:hint="cs"/>
          <w:rtl/>
        </w:rPr>
        <w:t>,</w:t>
      </w:r>
      <w:r w:rsidRPr="00C43F1B">
        <w:rPr>
          <w:rtl/>
        </w:rPr>
        <w:t xml:space="preserve"> </w:t>
      </w:r>
      <w:r>
        <w:rPr>
          <w:rFonts w:hint="cs"/>
          <w:rtl/>
        </w:rPr>
        <w:t xml:space="preserve">ולכן, </w:t>
      </w:r>
      <w:r w:rsidRPr="00C43F1B">
        <w:rPr>
          <w:rFonts w:hint="cs"/>
          <w:rtl/>
        </w:rPr>
        <w:t>לפי החוק</w:t>
      </w:r>
      <w:r w:rsidRPr="00C43F1B">
        <w:rPr>
          <w:rtl/>
        </w:rPr>
        <w:t xml:space="preserve"> </w:t>
      </w:r>
      <w:r w:rsidRPr="00C43F1B">
        <w:rPr>
          <w:rFonts w:hint="cs"/>
          <w:rtl/>
        </w:rPr>
        <w:t>לגבי חלק מההתנהגויות האסורות</w:t>
      </w:r>
      <w:r>
        <w:rPr>
          <w:rFonts w:hint="cs"/>
          <w:rtl/>
        </w:rPr>
        <w:t xml:space="preserve"> </w:t>
      </w:r>
      <w:r w:rsidRPr="00C43F1B">
        <w:rPr>
          <w:rtl/>
        </w:rPr>
        <w:t xml:space="preserve">ההטרדה צריכה להיות חוזרת ונשנית. מאחר שחזרתיות </w:t>
      </w:r>
      <w:r w:rsidRPr="00C43F1B">
        <w:rPr>
          <w:rFonts w:hint="cs"/>
          <w:rtl/>
        </w:rPr>
        <w:t>לרוב אינה</w:t>
      </w:r>
      <w:r w:rsidRPr="00C43F1B">
        <w:rPr>
          <w:rtl/>
        </w:rPr>
        <w:t xml:space="preserve"> מאפיינת מפגש של מטפל ומטופל</w:t>
      </w:r>
      <w:r>
        <w:rPr>
          <w:rFonts w:hint="cs"/>
          <w:rtl/>
        </w:rPr>
        <w:t xml:space="preserve"> (לעומת יחסי עבודה ממושכים)</w:t>
      </w:r>
      <w:r w:rsidRPr="00C43F1B">
        <w:rPr>
          <w:rtl/>
        </w:rPr>
        <w:t xml:space="preserve">, החוק </w:t>
      </w:r>
      <w:r w:rsidRPr="00C43F1B">
        <w:rPr>
          <w:rFonts w:hint="cs"/>
          <w:rtl/>
        </w:rPr>
        <w:t xml:space="preserve">אינו </w:t>
      </w:r>
      <w:r w:rsidRPr="00C43F1B">
        <w:rPr>
          <w:rtl/>
        </w:rPr>
        <w:t>נותן מענה ל</w:t>
      </w:r>
      <w:r w:rsidRPr="00C43F1B">
        <w:rPr>
          <w:rFonts w:hint="cs"/>
          <w:rtl/>
        </w:rPr>
        <w:t>נשות</w:t>
      </w:r>
      <w:r w:rsidRPr="00C43F1B">
        <w:rPr>
          <w:rtl/>
        </w:rPr>
        <w:t xml:space="preserve"> צוות רפואי שמוטרד</w:t>
      </w:r>
      <w:r w:rsidRPr="00C43F1B">
        <w:rPr>
          <w:rFonts w:hint="cs"/>
          <w:rtl/>
        </w:rPr>
        <w:t>ות</w:t>
      </w:r>
      <w:r w:rsidRPr="00C43F1B">
        <w:rPr>
          <w:rtl/>
        </w:rPr>
        <w:t xml:space="preserve"> </w:t>
      </w:r>
      <w:r w:rsidRPr="00C43F1B">
        <w:rPr>
          <w:rFonts w:hint="cs"/>
          <w:rtl/>
        </w:rPr>
        <w:t>ב</w:t>
      </w:r>
      <w:r w:rsidRPr="00C43F1B">
        <w:rPr>
          <w:rtl/>
        </w:rPr>
        <w:t>ידי מטופלים בעת עבודת</w:t>
      </w:r>
      <w:r w:rsidRPr="00C43F1B">
        <w:rPr>
          <w:rFonts w:hint="cs"/>
          <w:rtl/>
        </w:rPr>
        <w:t>ן</w:t>
      </w:r>
      <w:r w:rsidRPr="00C43F1B">
        <w:t>.</w:t>
      </w:r>
    </w:p>
    <w:p w14:paraId="609607CB" w14:textId="77777777" w:rsidR="00417266" w:rsidRPr="00C43F1B" w:rsidRDefault="00417266" w:rsidP="00FA0FB3">
      <w:pPr>
        <w:pStyle w:val="ac"/>
        <w:rPr>
          <w:rtl/>
        </w:rPr>
      </w:pPr>
      <w:r w:rsidRPr="00C43F1B">
        <w:rPr>
          <w:rFonts w:hint="cs"/>
          <w:rtl/>
        </w:rPr>
        <w:t xml:space="preserve">משרד הבריאות </w:t>
      </w:r>
      <w:r>
        <w:rPr>
          <w:rFonts w:hint="cs"/>
          <w:rtl/>
        </w:rPr>
        <w:t>לא ערך סקר</w:t>
      </w:r>
      <w:r w:rsidRPr="00C43F1B">
        <w:rPr>
          <w:rFonts w:hint="cs"/>
          <w:rtl/>
        </w:rPr>
        <w:t xml:space="preserve"> על היקף ההטרדות של נשים וגברים בצוותים הרפואיים בידי מטופלים. מדובר בתופעה שאין להקל בה ראש, בראש ובראשונה כיוון שאנשי הצוות הרפואי </w:t>
      </w:r>
      <w:r>
        <w:rPr>
          <w:rFonts w:hint="cs"/>
          <w:rtl/>
        </w:rPr>
        <w:t xml:space="preserve">לכאורה </w:t>
      </w:r>
      <w:r w:rsidRPr="00C43F1B">
        <w:rPr>
          <w:rFonts w:hint="cs"/>
          <w:rtl/>
        </w:rPr>
        <w:t xml:space="preserve">אינם יכולים להתעלם מהחולים אף אם הטרידו אותם. משרד מבקר המדינה מעיר למשרד הבריאות כי עליו להיות ער לקיומם של אירועים כגון אלו ולבחון את </w:t>
      </w:r>
      <w:r>
        <w:rPr>
          <w:rFonts w:hint="cs"/>
          <w:rtl/>
        </w:rPr>
        <w:t>היקף</w:t>
      </w:r>
      <w:r w:rsidRPr="00C43F1B">
        <w:rPr>
          <w:rFonts w:hint="cs"/>
          <w:rtl/>
        </w:rPr>
        <w:t xml:space="preserve"> התופעה. כמו כן עליו לקיים עבודת מטה ולהכריע כיצד לפעול להגבר</w:t>
      </w:r>
      <w:r>
        <w:rPr>
          <w:rFonts w:hint="cs"/>
          <w:rtl/>
        </w:rPr>
        <w:t>ת</w:t>
      </w:r>
      <w:r w:rsidRPr="00C43F1B">
        <w:rPr>
          <w:rFonts w:hint="cs"/>
          <w:rtl/>
        </w:rPr>
        <w:t xml:space="preserve"> המודעות להתנהגויות המהוות הטרדה מינית בידי מטופלים, ואילו כלים יש להקנות לצוותים הרפואיים </w:t>
      </w:r>
      <w:r>
        <w:rPr>
          <w:rFonts w:hint="cs"/>
          <w:rtl/>
        </w:rPr>
        <w:t xml:space="preserve">לשם </w:t>
      </w:r>
      <w:r w:rsidRPr="00C43F1B">
        <w:rPr>
          <w:rFonts w:hint="cs"/>
          <w:rtl/>
        </w:rPr>
        <w:t>התמודד</w:t>
      </w:r>
      <w:r>
        <w:rPr>
          <w:rFonts w:hint="cs"/>
          <w:rtl/>
        </w:rPr>
        <w:t>ות</w:t>
      </w:r>
      <w:r w:rsidRPr="00C43F1B">
        <w:rPr>
          <w:rFonts w:hint="cs"/>
          <w:rtl/>
        </w:rPr>
        <w:t xml:space="preserve"> איתה. </w:t>
      </w:r>
    </w:p>
    <w:p w14:paraId="394EEDCF" w14:textId="77777777" w:rsidR="00417266" w:rsidRDefault="00417266" w:rsidP="00FA0FB3">
      <w:pPr>
        <w:pStyle w:val="ac"/>
        <w:jc w:val="center"/>
        <w:rPr>
          <w:rFonts w:ascii="Arial" w:hAnsi="Arial" w:cs="Arial"/>
          <w:sz w:val="36"/>
          <w:rtl/>
        </w:rPr>
      </w:pPr>
      <w:r w:rsidRPr="00C43F1B">
        <w:rPr>
          <w:rFonts w:ascii="Segoe UI Symbol" w:hAnsi="Segoe UI Symbol" w:cs="Segoe UI Symbol" w:hint="cs"/>
          <w:sz w:val="36"/>
          <w:rtl/>
        </w:rPr>
        <w:t>✰</w:t>
      </w:r>
    </w:p>
    <w:p w14:paraId="6D73BF01" w14:textId="77777777" w:rsidR="00417266" w:rsidRPr="00C43F1B" w:rsidRDefault="00417266" w:rsidP="00FA0FB3">
      <w:pPr>
        <w:pStyle w:val="ac"/>
        <w:rPr>
          <w:rtl/>
        </w:rPr>
      </w:pPr>
      <w:r w:rsidRPr="00C43F1B">
        <w:rPr>
          <w:rFonts w:hint="cs"/>
          <w:rtl/>
        </w:rPr>
        <w:lastRenderedPageBreak/>
        <w:t xml:space="preserve">משרד מבקר המדינה </w:t>
      </w:r>
      <w:r>
        <w:rPr>
          <w:rFonts w:hint="cs"/>
          <w:rtl/>
        </w:rPr>
        <w:t>מציין</w:t>
      </w:r>
      <w:r w:rsidRPr="00C43F1B">
        <w:rPr>
          <w:rFonts w:hint="cs"/>
          <w:rtl/>
        </w:rPr>
        <w:t xml:space="preserve"> כי לנוכח שלל האוכלוסיות והמוסדות שבאחריות</w:t>
      </w:r>
      <w:r>
        <w:rPr>
          <w:rFonts w:hint="cs"/>
          <w:rtl/>
        </w:rPr>
        <w:t xml:space="preserve"> משרד הבריאות</w:t>
      </w:r>
      <w:r w:rsidRPr="00C43F1B">
        <w:rPr>
          <w:rFonts w:hint="cs"/>
          <w:rtl/>
        </w:rPr>
        <w:t xml:space="preserve"> מתחייבת הסדרה כוללת של דרכי המניעה</w:t>
      </w:r>
      <w:r>
        <w:rPr>
          <w:rFonts w:hint="cs"/>
          <w:rtl/>
        </w:rPr>
        <w:t xml:space="preserve"> של הטרדה מינית</w:t>
      </w:r>
      <w:r w:rsidRPr="00C43F1B">
        <w:rPr>
          <w:rFonts w:hint="cs"/>
          <w:rtl/>
        </w:rPr>
        <w:t xml:space="preserve"> והטיפול בתלונות על הטרד</w:t>
      </w:r>
      <w:r>
        <w:rPr>
          <w:rFonts w:hint="cs"/>
          <w:rtl/>
        </w:rPr>
        <w:t>ה</w:t>
      </w:r>
      <w:r w:rsidRPr="00C43F1B">
        <w:rPr>
          <w:rFonts w:hint="cs"/>
          <w:rtl/>
        </w:rPr>
        <w:t xml:space="preserve"> מינית באופן המותאם למאפיינים הייחודיים של מוסדות מערכת הבריאות</w:t>
      </w:r>
      <w:r>
        <w:rPr>
          <w:rFonts w:hint="cs"/>
          <w:rtl/>
        </w:rPr>
        <w:t xml:space="preserve"> למיניהם</w:t>
      </w:r>
      <w:r w:rsidRPr="00C43F1B">
        <w:rPr>
          <w:rFonts w:hint="cs"/>
          <w:rtl/>
        </w:rPr>
        <w:t>. כמו כן עליו לקבוע הנחיות לטיפול בתלונות במקרים שבהם המתלוננות או הנילונים אינם עובדי משרד הבריאות.</w:t>
      </w:r>
    </w:p>
    <w:p w14:paraId="0C738AB1" w14:textId="77777777" w:rsidR="00417266" w:rsidRDefault="00417266" w:rsidP="00417266">
      <w:pPr>
        <w:spacing w:line="269" w:lineRule="auto"/>
        <w:rPr>
          <w:b/>
          <w:bCs/>
          <w:rtl/>
        </w:rPr>
      </w:pPr>
    </w:p>
    <w:p w14:paraId="479C6F8F" w14:textId="77777777" w:rsidR="00417266" w:rsidRDefault="00417266" w:rsidP="00417266">
      <w:pPr>
        <w:bidi w:val="0"/>
        <w:spacing w:after="200" w:line="276" w:lineRule="auto"/>
        <w:rPr>
          <w:rFonts w:eastAsiaTheme="majorEastAsia"/>
          <w:bCs/>
          <w:szCs w:val="32"/>
          <w:rtl/>
        </w:rPr>
      </w:pPr>
      <w:r>
        <w:rPr>
          <w:rtl/>
        </w:rPr>
        <w:br w:type="page"/>
      </w:r>
    </w:p>
    <w:p w14:paraId="577090D2" w14:textId="77777777" w:rsidR="00417266" w:rsidRPr="00C43F1B" w:rsidRDefault="00417266" w:rsidP="00FA0FB3">
      <w:pPr>
        <w:pStyle w:val="218"/>
      </w:pPr>
      <w:r w:rsidRPr="00FA0FB3">
        <w:rPr>
          <w:rStyle w:val="218Char"/>
          <w:rFonts w:hint="cs"/>
          <w:rtl/>
        </w:rPr>
        <w:lastRenderedPageBreak/>
        <w:t>הטיפול</w:t>
      </w:r>
      <w:r w:rsidRPr="00C43F1B">
        <w:rPr>
          <w:rFonts w:hint="cs"/>
          <w:rtl/>
        </w:rPr>
        <w:t xml:space="preserve"> בהטרדות מיניות במערכת החינוך </w:t>
      </w:r>
    </w:p>
    <w:p w14:paraId="43A63404" w14:textId="77777777" w:rsidR="00417266" w:rsidRDefault="00417266" w:rsidP="00FA0FB3">
      <w:pPr>
        <w:pStyle w:val="100"/>
        <w:rPr>
          <w:rtl/>
        </w:rPr>
      </w:pPr>
      <w:r w:rsidRPr="00C43F1B">
        <w:rPr>
          <w:rFonts w:hint="cs"/>
          <w:rtl/>
        </w:rPr>
        <w:t xml:space="preserve">משרד החינוך </w:t>
      </w:r>
      <w:r w:rsidRPr="00C43F1B">
        <w:rPr>
          <w:rtl/>
        </w:rPr>
        <w:t xml:space="preserve">אחראי </w:t>
      </w:r>
      <w:r w:rsidRPr="00C43F1B">
        <w:rPr>
          <w:rFonts w:hint="cs"/>
          <w:rtl/>
        </w:rPr>
        <w:t>ל</w:t>
      </w:r>
      <w:r w:rsidRPr="00C43F1B">
        <w:rPr>
          <w:rtl/>
        </w:rPr>
        <w:t>מערכת ה</w:t>
      </w:r>
      <w:r w:rsidRPr="00C43F1B">
        <w:rPr>
          <w:rFonts w:hint="cs"/>
          <w:rtl/>
        </w:rPr>
        <w:t>חינוך</w:t>
      </w:r>
      <w:r w:rsidRPr="00C43F1B">
        <w:t> </w:t>
      </w:r>
      <w:r w:rsidRPr="00C43F1B">
        <w:rPr>
          <w:rtl/>
        </w:rPr>
        <w:t>בישראל, ובכלל זה</w:t>
      </w:r>
      <w:r w:rsidRPr="00C43F1B">
        <w:rPr>
          <w:rFonts w:hint="cs"/>
          <w:rtl/>
        </w:rPr>
        <w:t xml:space="preserve"> גני הילדים,</w:t>
      </w:r>
      <w:r w:rsidRPr="00C43F1B">
        <w:t> </w:t>
      </w:r>
      <w:r w:rsidRPr="00C43F1B">
        <w:rPr>
          <w:rFonts w:hint="cs"/>
          <w:rtl/>
        </w:rPr>
        <w:t>בתי הספר, מערכת ההשכלה הגבוהה</w:t>
      </w:r>
      <w:r w:rsidRPr="00C43F1B">
        <w:t> </w:t>
      </w:r>
      <w:r w:rsidRPr="00C43F1B">
        <w:rPr>
          <w:rtl/>
        </w:rPr>
        <w:t>ו</w:t>
      </w:r>
      <w:r>
        <w:rPr>
          <w:rFonts w:hint="cs"/>
          <w:rtl/>
        </w:rPr>
        <w:t xml:space="preserve">מוסדות </w:t>
      </w:r>
      <w:r w:rsidRPr="00C43F1B">
        <w:rPr>
          <w:rFonts w:hint="cs"/>
          <w:rtl/>
        </w:rPr>
        <w:t>החינוך הבלתי פורמלי</w:t>
      </w:r>
      <w:r w:rsidRPr="00C43F1B">
        <w:rPr>
          <w:vertAlign w:val="superscript"/>
          <w:rtl/>
        </w:rPr>
        <w:footnoteReference w:id="86"/>
      </w:r>
      <w:r w:rsidRPr="00C43F1B">
        <w:rPr>
          <w:rFonts w:hint="cs"/>
          <w:rtl/>
        </w:rPr>
        <w:t>. בשנת הלימודים התשע"</w:t>
      </w:r>
      <w:r>
        <w:rPr>
          <w:rFonts w:hint="cs"/>
          <w:rtl/>
        </w:rPr>
        <w:t>ח</w:t>
      </w:r>
      <w:r w:rsidRPr="00C43F1B">
        <w:rPr>
          <w:vertAlign w:val="superscript"/>
          <w:rtl/>
        </w:rPr>
        <w:footnoteReference w:id="87"/>
      </w:r>
      <w:r w:rsidRPr="00C43F1B">
        <w:rPr>
          <w:rFonts w:hint="cs"/>
          <w:vertAlign w:val="superscript"/>
          <w:rtl/>
        </w:rPr>
        <w:t xml:space="preserve"> </w:t>
      </w:r>
      <w:r w:rsidRPr="00C43F1B">
        <w:rPr>
          <w:rFonts w:hint="cs"/>
          <w:rtl/>
        </w:rPr>
        <w:t>היו באחריותו כ-1</w:t>
      </w:r>
      <w:r>
        <w:rPr>
          <w:rFonts w:hint="cs"/>
          <w:rtl/>
        </w:rPr>
        <w:t>75</w:t>
      </w:r>
      <w:r w:rsidRPr="00C43F1B">
        <w:rPr>
          <w:rFonts w:hint="cs"/>
          <w:rtl/>
        </w:rPr>
        <w:t>,000 עובדי הוראה</w:t>
      </w:r>
      <w:r>
        <w:rPr>
          <w:rFonts w:hint="cs"/>
          <w:rtl/>
        </w:rPr>
        <w:t xml:space="preserve"> ו-20,300 גננות</w:t>
      </w:r>
      <w:r w:rsidRPr="00C43F1B">
        <w:rPr>
          <w:rFonts w:hint="cs"/>
          <w:rtl/>
        </w:rPr>
        <w:t>, ובמערכת החינוך למדו כ-2.2 מיליון תלמידים (כולל גני הילדים, ולא כולל הסטודנטים במערכת ההשכלה הגבוהה)</w:t>
      </w:r>
      <w:r w:rsidRPr="00C43F1B">
        <w:rPr>
          <w:vertAlign w:val="superscript"/>
          <w:rtl/>
        </w:rPr>
        <w:footnoteReference w:id="88"/>
      </w:r>
      <w:r w:rsidRPr="00C43F1B">
        <w:rPr>
          <w:rFonts w:hint="cs"/>
          <w:rtl/>
        </w:rPr>
        <w:t>.</w:t>
      </w:r>
      <w:r>
        <w:rPr>
          <w:rFonts w:hint="cs"/>
          <w:rtl/>
        </w:rPr>
        <w:t xml:space="preserve"> </w:t>
      </w:r>
    </w:p>
    <w:p w14:paraId="0E3A0F8A" w14:textId="77777777" w:rsidR="00417266" w:rsidRPr="00BB287A" w:rsidRDefault="00417266" w:rsidP="00FA0FB3">
      <w:pPr>
        <w:pStyle w:val="100"/>
        <w:rPr>
          <w:b/>
          <w:bCs/>
          <w:rtl/>
        </w:rPr>
      </w:pPr>
      <w:r>
        <w:rPr>
          <w:rFonts w:hint="cs"/>
          <w:rtl/>
        </w:rPr>
        <w:t xml:space="preserve">עובדי ההוראה המלמדים בבתי הספר היסודיים ובמוסדות החינוך המיוחד וחלק מהמלמדים בחטיבות ביניים </w:t>
      </w:r>
      <w:r w:rsidRPr="00C43F1B">
        <w:rPr>
          <w:rFonts w:hint="cs"/>
          <w:rtl/>
        </w:rPr>
        <w:t>הם עובדי משרד החינוך</w:t>
      </w:r>
      <w:r w:rsidRPr="00C43F1B">
        <w:rPr>
          <w:rStyle w:val="FootnoteReference"/>
          <w:sz w:val="24"/>
          <w:rtl/>
        </w:rPr>
        <w:footnoteReference w:id="89"/>
      </w:r>
      <w:r w:rsidRPr="00C43F1B">
        <w:rPr>
          <w:rFonts w:hint="cs"/>
          <w:rtl/>
        </w:rPr>
        <w:t xml:space="preserve">; </w:t>
      </w:r>
      <w:r>
        <w:rPr>
          <w:rFonts w:hint="cs"/>
          <w:rtl/>
        </w:rPr>
        <w:t>עובדי ההוראה המלמדים בחטיבות העליונות וחלק מהמלמדים בחטיבות הביניים הם</w:t>
      </w:r>
      <w:r w:rsidRPr="00C43F1B">
        <w:rPr>
          <w:rFonts w:hint="cs"/>
          <w:rtl/>
        </w:rPr>
        <w:t xml:space="preserve"> עובדי הרשויות המקומיות ורשתות חינוך פרטיות</w:t>
      </w:r>
      <w:r w:rsidRPr="00C43F1B">
        <w:rPr>
          <w:rStyle w:val="FootnoteReference"/>
          <w:sz w:val="24"/>
          <w:rtl/>
        </w:rPr>
        <w:footnoteReference w:id="90"/>
      </w:r>
      <w:r w:rsidRPr="00C43F1B">
        <w:rPr>
          <w:rFonts w:hint="cs"/>
          <w:rtl/>
        </w:rPr>
        <w:t xml:space="preserve">; חלק </w:t>
      </w:r>
      <w:r>
        <w:rPr>
          <w:rFonts w:hint="cs"/>
          <w:rtl/>
        </w:rPr>
        <w:t>מ</w:t>
      </w:r>
      <w:r w:rsidRPr="00C43F1B">
        <w:rPr>
          <w:rFonts w:hint="cs"/>
          <w:rtl/>
        </w:rPr>
        <w:t xml:space="preserve">עובדי </w:t>
      </w:r>
      <w:r>
        <w:rPr>
          <w:rFonts w:hint="cs"/>
          <w:rtl/>
        </w:rPr>
        <w:t>ה</w:t>
      </w:r>
      <w:r w:rsidRPr="00C43F1B">
        <w:rPr>
          <w:rFonts w:hint="cs"/>
          <w:rtl/>
        </w:rPr>
        <w:t>הוראה מועסקים באמצעות גופים מתווכים</w:t>
      </w:r>
      <w:r w:rsidRPr="00C43F1B">
        <w:rPr>
          <w:rStyle w:val="FootnoteReference"/>
          <w:sz w:val="24"/>
          <w:rtl/>
        </w:rPr>
        <w:footnoteReference w:id="91"/>
      </w:r>
      <w:r w:rsidRPr="00C43F1B">
        <w:rPr>
          <w:rFonts w:hint="cs"/>
          <w:rtl/>
        </w:rPr>
        <w:t xml:space="preserve"> (כלל עובדי ההוראה שאינם עובדי משרד החינוך ייקראו להלן - עובדי בעלויות). נוסף על עובדי ההוראה יש במערכת החינוך עובדים המשמשים כוח עזר תומך למערך החינוך וההוראה, כגון עובדי אבטחה, ניקיון ותחזוקה וסייעות בגנים (להלן -</w:t>
      </w:r>
      <w:r w:rsidRPr="00C43F1B">
        <w:rPr>
          <w:rFonts w:hint="cs"/>
          <w:b/>
          <w:bCs/>
          <w:rtl/>
        </w:rPr>
        <w:t xml:space="preserve"> </w:t>
      </w:r>
      <w:r w:rsidRPr="00C43F1B">
        <w:rPr>
          <w:rFonts w:hint="cs"/>
          <w:rtl/>
        </w:rPr>
        <w:t>עובדי מינהלה)</w:t>
      </w:r>
      <w:r>
        <w:rPr>
          <w:rFonts w:hint="cs"/>
          <w:rtl/>
        </w:rPr>
        <w:t xml:space="preserve"> שהם ברובם עובדי הרשויות המקומיות ורשתות חינוך פרטיות</w:t>
      </w:r>
      <w:r w:rsidRPr="00C43F1B">
        <w:rPr>
          <w:rFonts w:hint="cs"/>
          <w:rtl/>
        </w:rPr>
        <w:t xml:space="preserve">. </w:t>
      </w:r>
    </w:p>
    <w:p w14:paraId="24C0716E" w14:textId="77777777" w:rsidR="00417266" w:rsidRDefault="00417266" w:rsidP="00FA0FB3">
      <w:pPr>
        <w:pStyle w:val="100"/>
        <w:rPr>
          <w:sz w:val="24"/>
          <w:rtl/>
        </w:rPr>
      </w:pPr>
      <w:r w:rsidRPr="00C43F1B">
        <w:rPr>
          <w:rFonts w:hint="cs"/>
          <w:sz w:val="24"/>
          <w:rtl/>
        </w:rPr>
        <w:t xml:space="preserve">במערכת החינוך </w:t>
      </w:r>
      <w:r w:rsidRPr="00C43F1B">
        <w:rPr>
          <w:sz w:val="24"/>
          <w:rtl/>
        </w:rPr>
        <w:t>הטרד</w:t>
      </w:r>
      <w:r w:rsidRPr="00C43F1B">
        <w:rPr>
          <w:rFonts w:hint="cs"/>
          <w:sz w:val="24"/>
          <w:rtl/>
        </w:rPr>
        <w:t>ה</w:t>
      </w:r>
      <w:r w:rsidRPr="00C43F1B">
        <w:rPr>
          <w:sz w:val="24"/>
          <w:rtl/>
        </w:rPr>
        <w:t xml:space="preserve"> מינית יכול</w:t>
      </w:r>
      <w:r w:rsidRPr="00C43F1B">
        <w:rPr>
          <w:rFonts w:hint="cs"/>
          <w:sz w:val="24"/>
          <w:rtl/>
        </w:rPr>
        <w:t xml:space="preserve">ה להתרחש </w:t>
      </w:r>
      <w:r w:rsidRPr="00C43F1B">
        <w:rPr>
          <w:sz w:val="24"/>
          <w:rtl/>
        </w:rPr>
        <w:t>בין תלמידים</w:t>
      </w:r>
      <w:r>
        <w:rPr>
          <w:rFonts w:hint="cs"/>
          <w:sz w:val="24"/>
          <w:rtl/>
        </w:rPr>
        <w:t>,</w:t>
      </w:r>
      <w:r w:rsidRPr="00C43F1B">
        <w:rPr>
          <w:rFonts w:hint="cs"/>
          <w:sz w:val="24"/>
          <w:rtl/>
        </w:rPr>
        <w:t xml:space="preserve"> </w:t>
      </w:r>
      <w:r w:rsidRPr="00C43F1B">
        <w:rPr>
          <w:sz w:val="24"/>
          <w:rtl/>
        </w:rPr>
        <w:t xml:space="preserve">בין בגירים לתלמידים </w:t>
      </w:r>
      <w:r w:rsidRPr="00C43F1B">
        <w:rPr>
          <w:rFonts w:hint="cs"/>
          <w:sz w:val="24"/>
          <w:rtl/>
        </w:rPr>
        <w:t>ו</w:t>
      </w:r>
      <w:r w:rsidRPr="00C43F1B">
        <w:rPr>
          <w:sz w:val="24"/>
          <w:rtl/>
        </w:rPr>
        <w:t xml:space="preserve">בין בגירים. </w:t>
      </w:r>
      <w:r w:rsidRPr="00C43F1B">
        <w:rPr>
          <w:rFonts w:hint="cs"/>
          <w:sz w:val="24"/>
          <w:rtl/>
        </w:rPr>
        <w:t>חוזרי מנכ"ל משרד החינוך עוסקים בנפרד ב</w:t>
      </w:r>
      <w:r w:rsidRPr="00C43F1B">
        <w:rPr>
          <w:sz w:val="24"/>
          <w:rtl/>
        </w:rPr>
        <w:t>כל אחד מהממשקים הללו</w:t>
      </w:r>
      <w:r w:rsidRPr="00C43F1B">
        <w:rPr>
          <w:rFonts w:hint="cs"/>
          <w:sz w:val="24"/>
          <w:rtl/>
        </w:rPr>
        <w:t>.</w:t>
      </w:r>
    </w:p>
    <w:p w14:paraId="0C6D2A5B" w14:textId="77777777" w:rsidR="00417266" w:rsidRDefault="00417266" w:rsidP="00FA0FB3">
      <w:pPr>
        <w:pStyle w:val="100"/>
        <w:rPr>
          <w:sz w:val="24"/>
          <w:rtl/>
        </w:rPr>
      </w:pPr>
      <w:r w:rsidRPr="00187BF4">
        <w:rPr>
          <w:rFonts w:hint="eastAsia"/>
          <w:sz w:val="24"/>
          <w:rtl/>
        </w:rPr>
        <w:t>מערכת</w:t>
      </w:r>
      <w:r w:rsidRPr="00187BF4">
        <w:rPr>
          <w:sz w:val="24"/>
          <w:rtl/>
        </w:rPr>
        <w:t xml:space="preserve"> החינוך </w:t>
      </w:r>
      <w:r w:rsidRPr="00187BF4">
        <w:rPr>
          <w:rFonts w:hint="eastAsia"/>
          <w:sz w:val="24"/>
          <w:rtl/>
        </w:rPr>
        <w:t>הפורמלית</w:t>
      </w:r>
      <w:r w:rsidRPr="00187BF4">
        <w:rPr>
          <w:sz w:val="24"/>
          <w:rtl/>
        </w:rPr>
        <w:t xml:space="preserve"> היא מקום שבו שוהים הילדים באופן יומיומי, </w:t>
      </w:r>
      <w:r w:rsidRPr="00187BF4">
        <w:rPr>
          <w:rFonts w:hint="eastAsia"/>
          <w:sz w:val="24"/>
          <w:rtl/>
        </w:rPr>
        <w:t>והם</w:t>
      </w:r>
      <w:r w:rsidRPr="00187BF4">
        <w:rPr>
          <w:sz w:val="24"/>
          <w:rtl/>
        </w:rPr>
        <w:t xml:space="preserve"> </w:t>
      </w:r>
      <w:r w:rsidRPr="00187BF4">
        <w:rPr>
          <w:rFonts w:hint="eastAsia"/>
          <w:sz w:val="24"/>
          <w:rtl/>
        </w:rPr>
        <w:t>עלולים</w:t>
      </w:r>
      <w:r w:rsidRPr="00187BF4">
        <w:rPr>
          <w:sz w:val="24"/>
          <w:rtl/>
        </w:rPr>
        <w:t xml:space="preserve"> </w:t>
      </w:r>
      <w:r w:rsidRPr="00187BF4">
        <w:rPr>
          <w:rFonts w:hint="eastAsia"/>
          <w:sz w:val="24"/>
          <w:rtl/>
        </w:rPr>
        <w:t>להיחשף</w:t>
      </w:r>
      <w:r w:rsidRPr="00187BF4">
        <w:rPr>
          <w:sz w:val="24"/>
          <w:rtl/>
        </w:rPr>
        <w:t xml:space="preserve"> </w:t>
      </w:r>
      <w:r w:rsidRPr="00187BF4">
        <w:rPr>
          <w:rFonts w:hint="eastAsia"/>
          <w:sz w:val="24"/>
          <w:rtl/>
        </w:rPr>
        <w:t>בה</w:t>
      </w:r>
      <w:r w:rsidRPr="00187BF4">
        <w:rPr>
          <w:sz w:val="24"/>
          <w:rtl/>
        </w:rPr>
        <w:t xml:space="preserve"> </w:t>
      </w:r>
      <w:r w:rsidRPr="00187BF4">
        <w:rPr>
          <w:rFonts w:hint="eastAsia"/>
          <w:sz w:val="24"/>
          <w:rtl/>
        </w:rPr>
        <w:t>ל</w:t>
      </w:r>
      <w:r w:rsidRPr="00187BF4">
        <w:rPr>
          <w:sz w:val="24"/>
          <w:rtl/>
        </w:rPr>
        <w:t xml:space="preserve">הטרדה מינית בידי ילדים אחרים </w:t>
      </w:r>
      <w:r w:rsidRPr="00187BF4">
        <w:rPr>
          <w:rFonts w:hint="eastAsia"/>
          <w:sz w:val="24"/>
          <w:rtl/>
        </w:rPr>
        <w:t>או</w:t>
      </w:r>
      <w:r w:rsidRPr="00187BF4">
        <w:rPr>
          <w:sz w:val="24"/>
          <w:rtl/>
        </w:rPr>
        <w:t xml:space="preserve"> בידי בגירים. </w:t>
      </w:r>
    </w:p>
    <w:p w14:paraId="0D0347E0" w14:textId="77777777" w:rsidR="00417266" w:rsidRPr="00187BF4" w:rsidRDefault="00417266" w:rsidP="00FA0FB3">
      <w:pPr>
        <w:pStyle w:val="af3"/>
        <w:rPr>
          <w:rtl/>
        </w:rPr>
      </w:pPr>
      <w:r w:rsidRPr="00C8274C">
        <w:rPr>
          <w:rFonts w:hint="eastAsia"/>
          <w:rtl/>
        </w:rPr>
        <w:t>לדעת</w:t>
      </w:r>
      <w:r w:rsidRPr="00C8274C">
        <w:rPr>
          <w:rtl/>
        </w:rPr>
        <w:t xml:space="preserve"> משרד מבקר המדינה, מכאן </w:t>
      </w:r>
      <w:r w:rsidRPr="00C8274C">
        <w:rPr>
          <w:rFonts w:hint="eastAsia"/>
          <w:rtl/>
        </w:rPr>
        <w:t>חובתו</w:t>
      </w:r>
      <w:r w:rsidRPr="00C8274C">
        <w:rPr>
          <w:rtl/>
        </w:rPr>
        <w:t xml:space="preserve"> המוגברת </w:t>
      </w:r>
      <w:r w:rsidRPr="00C8274C">
        <w:rPr>
          <w:rFonts w:hint="eastAsia"/>
          <w:rtl/>
        </w:rPr>
        <w:t>של</w:t>
      </w:r>
      <w:r w:rsidRPr="00C8274C">
        <w:rPr>
          <w:rtl/>
        </w:rPr>
        <w:t xml:space="preserve"> משרד החינוך להטמיע </w:t>
      </w:r>
      <w:r w:rsidRPr="00C8274C">
        <w:rPr>
          <w:rFonts w:hint="eastAsia"/>
          <w:rtl/>
        </w:rPr>
        <w:t>במערכת</w:t>
      </w:r>
      <w:r w:rsidRPr="00C8274C">
        <w:rPr>
          <w:rtl/>
        </w:rPr>
        <w:t xml:space="preserve"> החינוך ערכי</w:t>
      </w:r>
      <w:r w:rsidRPr="00C8274C">
        <w:rPr>
          <w:rFonts w:hint="eastAsia"/>
          <w:rtl/>
        </w:rPr>
        <w:t>ם</w:t>
      </w:r>
      <w:r w:rsidRPr="00C8274C">
        <w:rPr>
          <w:rtl/>
        </w:rPr>
        <w:t xml:space="preserve"> </w:t>
      </w:r>
      <w:r w:rsidRPr="00C8274C">
        <w:rPr>
          <w:rFonts w:hint="eastAsia"/>
          <w:rtl/>
        </w:rPr>
        <w:t>של</w:t>
      </w:r>
      <w:r w:rsidRPr="00C8274C">
        <w:rPr>
          <w:rtl/>
        </w:rPr>
        <w:t xml:space="preserve"> כבוד האדם המכוונים למניעה מראש של הטרדות מיניות, לטפל באופן ראוי ומעמיק </w:t>
      </w:r>
      <w:r w:rsidRPr="00C8274C">
        <w:rPr>
          <w:rFonts w:hint="eastAsia"/>
          <w:rtl/>
        </w:rPr>
        <w:t>בכל</w:t>
      </w:r>
      <w:r w:rsidRPr="00C8274C">
        <w:rPr>
          <w:rtl/>
        </w:rPr>
        <w:t xml:space="preserve"> אירוע של הטרדה מינית, </w:t>
      </w:r>
      <w:r w:rsidRPr="00C8274C">
        <w:rPr>
          <w:rFonts w:hint="eastAsia"/>
          <w:rtl/>
        </w:rPr>
        <w:t>להקנות</w:t>
      </w:r>
      <w:r w:rsidRPr="00C8274C">
        <w:rPr>
          <w:rtl/>
        </w:rPr>
        <w:t xml:space="preserve"> כלים להתמודדות עם הטרדות מיניות ולחנך כנגד תופעה חברתית זו כבר בגיל </w:t>
      </w:r>
      <w:r w:rsidRPr="00C8274C">
        <w:rPr>
          <w:rFonts w:hint="eastAsia"/>
          <w:rtl/>
        </w:rPr>
        <w:t>ה</w:t>
      </w:r>
      <w:r w:rsidRPr="00C8274C">
        <w:rPr>
          <w:rtl/>
        </w:rPr>
        <w:t>ילדות, כדי ליצור חברה בוגרת מתוקנת ומכבדת</w:t>
      </w:r>
      <w:r w:rsidRPr="00187BF4">
        <w:rPr>
          <w:rtl/>
        </w:rPr>
        <w:t xml:space="preserve">. </w:t>
      </w:r>
    </w:p>
    <w:p w14:paraId="51E91159" w14:textId="77777777" w:rsidR="00417266" w:rsidRPr="00C43F1B" w:rsidRDefault="00417266" w:rsidP="00417266">
      <w:pPr>
        <w:pStyle w:val="ListParagraph"/>
        <w:spacing w:line="269" w:lineRule="auto"/>
        <w:ind w:left="-2"/>
        <w:rPr>
          <w:rtl/>
        </w:rPr>
      </w:pPr>
    </w:p>
    <w:p w14:paraId="754B6D47" w14:textId="77777777" w:rsidR="00417266" w:rsidRPr="00C43F1B" w:rsidRDefault="00417266" w:rsidP="00FA0FB3">
      <w:pPr>
        <w:pStyle w:val="316"/>
        <w:rPr>
          <w:rtl/>
        </w:rPr>
      </w:pPr>
      <w:r w:rsidRPr="00C43F1B">
        <w:rPr>
          <w:rFonts w:hint="cs"/>
          <w:rtl/>
        </w:rPr>
        <w:lastRenderedPageBreak/>
        <w:t>הטרדות מיניות של קטינים בידי בגירים</w:t>
      </w:r>
    </w:p>
    <w:p w14:paraId="0EC11EFE" w14:textId="77777777" w:rsidR="00417266" w:rsidRPr="00C43F1B" w:rsidRDefault="00417266" w:rsidP="00FA0FB3">
      <w:pPr>
        <w:pStyle w:val="100"/>
        <w:rPr>
          <w:rtl/>
        </w:rPr>
      </w:pPr>
      <w:r w:rsidRPr="00C43F1B">
        <w:rPr>
          <w:rFonts w:hint="cs"/>
          <w:rtl/>
        </w:rPr>
        <w:t xml:space="preserve">הטרדות מיניות של תלמידים ותלמידות </w:t>
      </w:r>
      <w:r>
        <w:rPr>
          <w:rFonts w:hint="cs"/>
          <w:rtl/>
        </w:rPr>
        <w:t xml:space="preserve">מצד </w:t>
      </w:r>
      <w:r w:rsidRPr="00C43F1B">
        <w:rPr>
          <w:rFonts w:hint="cs"/>
          <w:rtl/>
        </w:rPr>
        <w:t xml:space="preserve">בגירים - עובדי הוראה או עובדי מינהלה - הן חמורות במיוחד מחמת הבדלי הגילים ומחמת יחסי המרות והכוח. </w:t>
      </w:r>
    </w:p>
    <w:p w14:paraId="10335DD9" w14:textId="77777777" w:rsidR="00417266" w:rsidRDefault="00417266" w:rsidP="00FA0FB3">
      <w:pPr>
        <w:pStyle w:val="100"/>
        <w:rPr>
          <w:rtl/>
        </w:rPr>
      </w:pPr>
      <w:r w:rsidRPr="00C43F1B">
        <w:rPr>
          <w:rFonts w:hint="cs"/>
          <w:rtl/>
        </w:rPr>
        <w:t xml:space="preserve">בסקרי ניטור </w:t>
      </w:r>
      <w:r>
        <w:rPr>
          <w:rFonts w:hint="cs"/>
          <w:rtl/>
        </w:rPr>
        <w:t xml:space="preserve">של </w:t>
      </w:r>
      <w:r w:rsidRPr="00C43F1B">
        <w:rPr>
          <w:rFonts w:hint="cs"/>
          <w:rtl/>
        </w:rPr>
        <w:t>רמת האלימות בבתי הספר על פי דיווחי תלמידים שער</w:t>
      </w:r>
      <w:r>
        <w:rPr>
          <w:rFonts w:hint="cs"/>
          <w:rtl/>
        </w:rPr>
        <w:t xml:space="preserve">כה </w:t>
      </w:r>
      <w:r w:rsidRPr="005A4DC0">
        <w:rPr>
          <w:rFonts w:hint="cs"/>
          <w:rtl/>
        </w:rPr>
        <w:t>הרשות הארצית למדידה והערכה בחינו</w:t>
      </w:r>
      <w:r>
        <w:rPr>
          <w:rFonts w:hint="cs"/>
          <w:rtl/>
        </w:rPr>
        <w:t>ך</w:t>
      </w:r>
      <w:r w:rsidRPr="00C43F1B">
        <w:rPr>
          <w:rFonts w:hint="cs"/>
          <w:rtl/>
        </w:rPr>
        <w:t xml:space="preserve"> </w:t>
      </w:r>
      <w:r>
        <w:rPr>
          <w:rFonts w:hint="cs"/>
          <w:rtl/>
        </w:rPr>
        <w:t>(</w:t>
      </w:r>
      <w:r w:rsidRPr="00C43F1B">
        <w:rPr>
          <w:rFonts w:hint="cs"/>
          <w:rtl/>
        </w:rPr>
        <w:t>ראמ"ה</w:t>
      </w:r>
      <w:r>
        <w:rPr>
          <w:rFonts w:hint="cs"/>
          <w:rtl/>
        </w:rPr>
        <w:t>)</w:t>
      </w:r>
      <w:r w:rsidRPr="00C43F1B">
        <w:rPr>
          <w:rFonts w:hint="cs"/>
          <w:rtl/>
        </w:rPr>
        <w:t xml:space="preserve"> בינואר 2018 דיווחו </w:t>
      </w:r>
      <w:r>
        <w:rPr>
          <w:rFonts w:hint="cs"/>
          <w:rtl/>
        </w:rPr>
        <w:t xml:space="preserve">בממוצע </w:t>
      </w:r>
      <w:r w:rsidRPr="00C43F1B">
        <w:rPr>
          <w:rFonts w:hint="cs"/>
          <w:rtl/>
        </w:rPr>
        <w:t>4% מהתלמידים על הערות בעלות כוונות מיניות של אנשי צוות בית הספר, ו</w:t>
      </w:r>
      <w:r>
        <w:rPr>
          <w:rFonts w:hint="cs"/>
          <w:rtl/>
        </w:rPr>
        <w:t xml:space="preserve">בממוצע </w:t>
      </w:r>
      <w:r w:rsidRPr="00C43F1B">
        <w:rPr>
          <w:rFonts w:hint="cs"/>
          <w:rtl/>
        </w:rPr>
        <w:t xml:space="preserve">2% דיווחו על נגיעות של אנשי הצוות </w:t>
      </w:r>
      <w:r>
        <w:rPr>
          <w:rFonts w:hint="cs"/>
          <w:rtl/>
        </w:rPr>
        <w:t xml:space="preserve">שהיו </w:t>
      </w:r>
      <w:r w:rsidRPr="00C43F1B">
        <w:rPr>
          <w:rFonts w:hint="cs"/>
          <w:rtl/>
        </w:rPr>
        <w:t xml:space="preserve">בעלות אופי מיני או במקומות אינטימיים. </w:t>
      </w:r>
    </w:p>
    <w:p w14:paraId="38CD1A1F" w14:textId="77777777" w:rsidR="00417266" w:rsidRDefault="00417266" w:rsidP="00FA0FB3">
      <w:pPr>
        <w:pStyle w:val="100"/>
        <w:rPr>
          <w:rtl/>
        </w:rPr>
      </w:pPr>
      <w:r w:rsidRPr="00C43F1B">
        <w:rPr>
          <w:rFonts w:hint="cs"/>
          <w:rtl/>
        </w:rPr>
        <w:t xml:space="preserve">לאירוע הטרדה מינית שבו מעורבים בגיר וקטין יש השפעה על כלל האוכלוסייה הבית-ספרית. הטיפול באירועים כאלה נחלק </w:t>
      </w:r>
      <w:r>
        <w:rPr>
          <w:rFonts w:hint="cs"/>
          <w:rtl/>
        </w:rPr>
        <w:t>בין גורמים שונים במערכת החינוך.</w:t>
      </w:r>
      <w:r w:rsidRPr="00C43F1B">
        <w:rPr>
          <w:rFonts w:hint="cs"/>
          <w:rtl/>
        </w:rPr>
        <w:t xml:space="preserve"> </w:t>
      </w:r>
    </w:p>
    <w:p w14:paraId="49C95A4C" w14:textId="29416FC0" w:rsidR="00417266" w:rsidRPr="00FA0FB3" w:rsidRDefault="00417266" w:rsidP="00FA0FB3">
      <w:pPr>
        <w:pStyle w:val="a8"/>
        <w:bidi w:val="0"/>
        <w:rPr>
          <w:spacing w:val="-10"/>
          <w:rtl/>
        </w:rPr>
      </w:pPr>
      <w:r w:rsidRPr="00FA0FB3">
        <w:rPr>
          <w:rFonts w:hint="eastAsia"/>
          <w:spacing w:val="-10"/>
          <w:rtl/>
        </w:rPr>
        <w:t>תרשים</w:t>
      </w:r>
      <w:r w:rsidRPr="00FA0FB3">
        <w:rPr>
          <w:spacing w:val="-10"/>
          <w:rtl/>
        </w:rPr>
        <w:t xml:space="preserve"> </w:t>
      </w:r>
      <w:r w:rsidRPr="00FA0FB3">
        <w:rPr>
          <w:rFonts w:hint="cs"/>
          <w:spacing w:val="-10"/>
          <w:rtl/>
        </w:rPr>
        <w:t>20</w:t>
      </w:r>
      <w:r w:rsidRPr="00FA0FB3">
        <w:rPr>
          <w:spacing w:val="-10"/>
          <w:rtl/>
        </w:rPr>
        <w:t xml:space="preserve">: </w:t>
      </w:r>
      <w:r w:rsidRPr="00FA0FB3">
        <w:rPr>
          <w:rFonts w:hint="eastAsia"/>
          <w:b/>
          <w:bCs/>
          <w:spacing w:val="-10"/>
          <w:rtl/>
        </w:rPr>
        <w:t>הגורמים</w:t>
      </w:r>
      <w:r w:rsidRPr="00FA0FB3">
        <w:rPr>
          <w:b/>
          <w:bCs/>
          <w:spacing w:val="-10"/>
          <w:rtl/>
        </w:rPr>
        <w:t xml:space="preserve"> במערכת החינוך המטפלים </w:t>
      </w:r>
      <w:r w:rsidRPr="00FA0FB3">
        <w:rPr>
          <w:rFonts w:hint="eastAsia"/>
          <w:b/>
          <w:bCs/>
          <w:spacing w:val="-10"/>
          <w:rtl/>
        </w:rPr>
        <w:t>באירוע</w:t>
      </w:r>
      <w:r w:rsidRPr="00FA0FB3">
        <w:rPr>
          <w:b/>
          <w:bCs/>
          <w:spacing w:val="-10"/>
          <w:rtl/>
        </w:rPr>
        <w:t xml:space="preserve"> הטרדה מינית </w:t>
      </w:r>
      <w:r w:rsidRPr="00FA0FB3">
        <w:rPr>
          <w:rFonts w:hint="eastAsia"/>
          <w:b/>
          <w:bCs/>
          <w:spacing w:val="-10"/>
          <w:rtl/>
        </w:rPr>
        <w:t>של</w:t>
      </w:r>
      <w:r w:rsidRPr="00FA0FB3">
        <w:rPr>
          <w:b/>
          <w:bCs/>
          <w:spacing w:val="-10"/>
          <w:rtl/>
        </w:rPr>
        <w:t xml:space="preserve"> </w:t>
      </w:r>
      <w:r w:rsidRPr="00FA0FB3">
        <w:rPr>
          <w:rFonts w:hint="eastAsia"/>
          <w:b/>
          <w:bCs/>
          <w:spacing w:val="-10"/>
          <w:rtl/>
        </w:rPr>
        <w:t>קטין</w:t>
      </w:r>
      <w:r w:rsidRPr="00FA0FB3">
        <w:rPr>
          <w:b/>
          <w:bCs/>
          <w:spacing w:val="-10"/>
          <w:rtl/>
        </w:rPr>
        <w:t xml:space="preserve"> </w:t>
      </w:r>
      <w:r w:rsidRPr="00FA0FB3">
        <w:rPr>
          <w:rFonts w:hint="eastAsia"/>
          <w:b/>
          <w:bCs/>
          <w:spacing w:val="-10"/>
          <w:rtl/>
        </w:rPr>
        <w:t>בידי</w:t>
      </w:r>
      <w:r w:rsidRPr="00FA0FB3">
        <w:rPr>
          <w:b/>
          <w:bCs/>
          <w:spacing w:val="-10"/>
          <w:rtl/>
        </w:rPr>
        <w:t xml:space="preserve"> </w:t>
      </w:r>
      <w:r w:rsidRPr="00FA0FB3">
        <w:rPr>
          <w:rFonts w:hint="eastAsia"/>
          <w:b/>
          <w:bCs/>
          <w:spacing w:val="-10"/>
          <w:rtl/>
        </w:rPr>
        <w:t>בגיר</w:t>
      </w:r>
    </w:p>
    <w:p w14:paraId="4C99EC27" w14:textId="77777777" w:rsidR="00417266" w:rsidRDefault="00417266" w:rsidP="00946AB7">
      <w:pPr>
        <w:pStyle w:val="a8"/>
        <w:rPr>
          <w:rtl/>
        </w:rPr>
      </w:pPr>
      <w:r>
        <w:rPr>
          <w:noProof/>
          <w:rtl/>
        </w:rPr>
        <w:drawing>
          <wp:inline distT="0" distB="0" distL="0" distR="0" wp14:anchorId="1AFD1B3F" wp14:editId="7B0AF8C1">
            <wp:extent cx="5220335" cy="2854960"/>
            <wp:effectExtent l="0" t="0" r="0" b="2540"/>
            <wp:docPr id="57"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הגורמים במערכת החינוך המטפלים באירוע הטרדה מינית-0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20335" cy="2854960"/>
                    </a:xfrm>
                    <a:prstGeom prst="rect">
                      <a:avLst/>
                    </a:prstGeom>
                  </pic:spPr>
                </pic:pic>
              </a:graphicData>
            </a:graphic>
          </wp:inline>
        </w:drawing>
      </w:r>
    </w:p>
    <w:p w14:paraId="48056624" w14:textId="77777777" w:rsidR="00417266" w:rsidRPr="008A7328" w:rsidRDefault="00417266" w:rsidP="00946AB7">
      <w:pPr>
        <w:pStyle w:val="aa"/>
        <w:rPr>
          <w:rtl/>
        </w:rPr>
      </w:pPr>
      <w:r w:rsidRPr="008A7328">
        <w:rPr>
          <w:rFonts w:hint="eastAsia"/>
          <w:rtl/>
        </w:rPr>
        <w:t>לפי</w:t>
      </w:r>
      <w:r w:rsidRPr="008A7328">
        <w:rPr>
          <w:rtl/>
        </w:rPr>
        <w:t xml:space="preserve"> </w:t>
      </w:r>
      <w:r w:rsidRPr="008A7328">
        <w:rPr>
          <w:rFonts w:hint="eastAsia"/>
          <w:rtl/>
        </w:rPr>
        <w:t>נתוני</w:t>
      </w:r>
      <w:r w:rsidRPr="008A7328">
        <w:rPr>
          <w:rtl/>
        </w:rPr>
        <w:t xml:space="preserve"> </w:t>
      </w:r>
      <w:r w:rsidRPr="008A7328">
        <w:rPr>
          <w:rFonts w:hint="eastAsia"/>
          <w:rtl/>
        </w:rPr>
        <w:t>משרד</w:t>
      </w:r>
      <w:r w:rsidRPr="008A7328">
        <w:rPr>
          <w:rtl/>
        </w:rPr>
        <w:t xml:space="preserve"> </w:t>
      </w:r>
      <w:r w:rsidRPr="008A7328">
        <w:rPr>
          <w:rFonts w:hint="eastAsia"/>
          <w:rtl/>
        </w:rPr>
        <w:t>החינוך</w:t>
      </w:r>
      <w:r w:rsidRPr="008A7328">
        <w:rPr>
          <w:rtl/>
        </w:rPr>
        <w:t xml:space="preserve">, </w:t>
      </w:r>
      <w:r w:rsidRPr="008A7328">
        <w:rPr>
          <w:rFonts w:hint="eastAsia"/>
          <w:rtl/>
        </w:rPr>
        <w:t>בעיבוד</w:t>
      </w:r>
      <w:r w:rsidRPr="008A7328">
        <w:rPr>
          <w:rtl/>
        </w:rPr>
        <w:t xml:space="preserve"> </w:t>
      </w:r>
      <w:r w:rsidRPr="008A7328">
        <w:rPr>
          <w:rFonts w:hint="eastAsia"/>
          <w:rtl/>
        </w:rPr>
        <w:t>משרד</w:t>
      </w:r>
      <w:r w:rsidRPr="008A7328">
        <w:rPr>
          <w:rtl/>
        </w:rPr>
        <w:t xml:space="preserve"> </w:t>
      </w:r>
      <w:r w:rsidRPr="008A7328">
        <w:rPr>
          <w:rFonts w:hint="eastAsia"/>
          <w:rtl/>
        </w:rPr>
        <w:t>מבקר</w:t>
      </w:r>
      <w:r w:rsidRPr="008A7328">
        <w:rPr>
          <w:rtl/>
        </w:rPr>
        <w:t xml:space="preserve"> </w:t>
      </w:r>
      <w:r w:rsidRPr="008A7328">
        <w:rPr>
          <w:rFonts w:hint="eastAsia"/>
          <w:rtl/>
        </w:rPr>
        <w:t>המדינה</w:t>
      </w:r>
      <w:r w:rsidRPr="008A7328">
        <w:rPr>
          <w:rtl/>
        </w:rPr>
        <w:t>.</w:t>
      </w:r>
    </w:p>
    <w:p w14:paraId="46EBF7ED" w14:textId="77777777" w:rsidR="00417266" w:rsidRPr="00C43F1B" w:rsidRDefault="00417266" w:rsidP="00946AB7">
      <w:pPr>
        <w:pStyle w:val="414"/>
        <w:rPr>
          <w:rtl/>
        </w:rPr>
      </w:pPr>
      <w:r w:rsidRPr="00C43F1B">
        <w:rPr>
          <w:rFonts w:hint="cs"/>
          <w:rtl/>
        </w:rPr>
        <w:t>חוזר המנכ"ל המסדיר את הטיפול בפגיעה מינית בידי בגירים</w:t>
      </w:r>
    </w:p>
    <w:p w14:paraId="554D9696" w14:textId="77777777" w:rsidR="00417266" w:rsidRPr="00C43F1B" w:rsidRDefault="00417266" w:rsidP="00946AB7">
      <w:pPr>
        <w:pStyle w:val="100"/>
        <w:rPr>
          <w:rtl/>
        </w:rPr>
      </w:pPr>
      <w:r w:rsidRPr="00C43F1B">
        <w:rPr>
          <w:rFonts w:hint="cs"/>
          <w:rtl/>
        </w:rPr>
        <w:t xml:space="preserve">חוזר </w:t>
      </w:r>
      <w:r>
        <w:rPr>
          <w:rFonts w:hint="cs"/>
          <w:rtl/>
        </w:rPr>
        <w:t>ה</w:t>
      </w:r>
      <w:r w:rsidRPr="00C43F1B">
        <w:rPr>
          <w:rFonts w:hint="cs"/>
          <w:rtl/>
        </w:rPr>
        <w:t>מנכ"ל משנת 2015 שכותרתו "אקלים חינוכי מיטבי והתמודדות מוסדות חינוך עם אירועי אלימות וסיכון"</w:t>
      </w:r>
      <w:r w:rsidRPr="00C43F1B">
        <w:rPr>
          <w:rStyle w:val="FootnoteReference"/>
          <w:sz w:val="24"/>
          <w:rtl/>
        </w:rPr>
        <w:footnoteReference w:id="92"/>
      </w:r>
      <w:r w:rsidRPr="00C43F1B">
        <w:rPr>
          <w:rFonts w:hint="cs"/>
          <w:rtl/>
        </w:rPr>
        <w:t xml:space="preserve"> (להלן - חוזר אקלים חינוכי) הוא החוזר העוסק בהתמודדות עם מעשי אלימות בקרב תלמידים, והוא עוסק גם בפגיעה של עובדי הוראה בתלמידים ובילדי הגן. חוזר אקלים חינוכי מגדיר את ההתנהגויות המהוות פגיעה של עובדי הוראה בתלמידים ובילדי הגן ומפרט את </w:t>
      </w:r>
      <w:r w:rsidRPr="00C43F1B">
        <w:rPr>
          <w:rFonts w:hint="cs"/>
          <w:rtl/>
        </w:rPr>
        <w:lastRenderedPageBreak/>
        <w:t>הצעדים שנדרש לבצע כשעולה החשד לפגיעה. החוזר קובע כי מנהל בית הספר הוא הממונה על תהליך הטיפול באירוע.</w:t>
      </w:r>
    </w:p>
    <w:p w14:paraId="61439639" w14:textId="77777777" w:rsidR="00417266" w:rsidRPr="00C43F1B" w:rsidRDefault="00417266" w:rsidP="00946AB7">
      <w:pPr>
        <w:pStyle w:val="100"/>
        <w:rPr>
          <w:rtl/>
        </w:rPr>
      </w:pPr>
      <w:r w:rsidRPr="00C43F1B">
        <w:rPr>
          <w:rFonts w:hint="cs"/>
          <w:rtl/>
        </w:rPr>
        <w:t xml:space="preserve">חוזר אקלים חינוכי מציין שני סוגי פגיעה בידי עובדי הוראה: הראשונה - </w:t>
      </w:r>
      <w:r w:rsidRPr="00C43F1B">
        <w:rPr>
          <w:rFonts w:hint="eastAsia"/>
          <w:rtl/>
        </w:rPr>
        <w:t>פגיעה</w:t>
      </w:r>
      <w:r w:rsidRPr="00C43F1B">
        <w:rPr>
          <w:rtl/>
        </w:rPr>
        <w:t xml:space="preserve"> </w:t>
      </w:r>
      <w:r w:rsidRPr="00C43F1B">
        <w:rPr>
          <w:rFonts w:hint="eastAsia"/>
          <w:rtl/>
        </w:rPr>
        <w:t>המחייבת</w:t>
      </w:r>
      <w:r w:rsidRPr="00C43F1B">
        <w:rPr>
          <w:rtl/>
        </w:rPr>
        <w:t xml:space="preserve"> </w:t>
      </w:r>
      <w:r w:rsidRPr="00C43F1B">
        <w:rPr>
          <w:rFonts w:hint="eastAsia"/>
          <w:rtl/>
        </w:rPr>
        <w:t>טיפול</w:t>
      </w:r>
      <w:r w:rsidRPr="00C43F1B">
        <w:rPr>
          <w:rtl/>
        </w:rPr>
        <w:t xml:space="preserve"> </w:t>
      </w:r>
      <w:r w:rsidRPr="00C43F1B">
        <w:rPr>
          <w:rFonts w:hint="eastAsia"/>
          <w:rtl/>
        </w:rPr>
        <w:t>במסגרת</w:t>
      </w:r>
      <w:r w:rsidRPr="00C43F1B">
        <w:rPr>
          <w:rtl/>
        </w:rPr>
        <w:t xml:space="preserve"> </w:t>
      </w:r>
      <w:r w:rsidRPr="00C43F1B">
        <w:rPr>
          <w:rFonts w:hint="eastAsia"/>
          <w:rtl/>
        </w:rPr>
        <w:t>החינוכית</w:t>
      </w:r>
      <w:r w:rsidRPr="00C43F1B">
        <w:rPr>
          <w:rFonts w:hint="cs"/>
          <w:rtl/>
        </w:rPr>
        <w:t>, ואם מדובר בפגיעה חוזרת -</w:t>
      </w:r>
      <w:r w:rsidRPr="00C43F1B">
        <w:rPr>
          <w:rtl/>
        </w:rPr>
        <w:t xml:space="preserve"> </w:t>
      </w:r>
      <w:r w:rsidRPr="00C43F1B">
        <w:rPr>
          <w:rFonts w:hint="eastAsia"/>
          <w:rtl/>
        </w:rPr>
        <w:t>דיווח</w:t>
      </w:r>
      <w:r w:rsidRPr="00C43F1B">
        <w:rPr>
          <w:rtl/>
        </w:rPr>
        <w:t xml:space="preserve"> </w:t>
      </w:r>
      <w:r w:rsidRPr="00C43F1B">
        <w:rPr>
          <w:rFonts w:hint="cs"/>
          <w:rtl/>
        </w:rPr>
        <w:t xml:space="preserve">למפקח במחוז, </w:t>
      </w:r>
      <w:r w:rsidRPr="00C43F1B">
        <w:rPr>
          <w:rFonts w:hint="eastAsia"/>
          <w:rtl/>
        </w:rPr>
        <w:t>ואינה</w:t>
      </w:r>
      <w:r w:rsidRPr="00C43F1B">
        <w:rPr>
          <w:rtl/>
        </w:rPr>
        <w:t xml:space="preserve"> </w:t>
      </w:r>
      <w:r w:rsidRPr="00C43F1B">
        <w:rPr>
          <w:rFonts w:hint="eastAsia"/>
          <w:rtl/>
        </w:rPr>
        <w:t>מח</w:t>
      </w:r>
      <w:r>
        <w:rPr>
          <w:rFonts w:hint="cs"/>
          <w:rtl/>
        </w:rPr>
        <w:t>י</w:t>
      </w:r>
      <w:r w:rsidRPr="00C43F1B">
        <w:rPr>
          <w:rFonts w:hint="eastAsia"/>
          <w:rtl/>
        </w:rPr>
        <w:t>יבת</w:t>
      </w:r>
      <w:r w:rsidRPr="00C43F1B">
        <w:rPr>
          <w:rtl/>
        </w:rPr>
        <w:t xml:space="preserve"> </w:t>
      </w:r>
      <w:r w:rsidRPr="00C43F1B">
        <w:rPr>
          <w:rFonts w:hint="eastAsia"/>
          <w:rtl/>
        </w:rPr>
        <w:t>דיווח</w:t>
      </w:r>
      <w:r w:rsidRPr="00C43F1B">
        <w:rPr>
          <w:rtl/>
        </w:rPr>
        <w:t xml:space="preserve"> </w:t>
      </w:r>
      <w:r w:rsidRPr="00C43F1B">
        <w:rPr>
          <w:rFonts w:hint="eastAsia"/>
          <w:rtl/>
        </w:rPr>
        <w:t>למשטרה</w:t>
      </w:r>
      <w:r w:rsidRPr="00C43F1B">
        <w:rPr>
          <w:rFonts w:hint="cs"/>
          <w:rtl/>
        </w:rPr>
        <w:t xml:space="preserve"> או לרשויות ה</w:t>
      </w:r>
      <w:r w:rsidRPr="00C43F1B">
        <w:rPr>
          <w:rtl/>
        </w:rPr>
        <w:t xml:space="preserve">רווחה. </w:t>
      </w:r>
      <w:r w:rsidRPr="00C43F1B">
        <w:rPr>
          <w:rFonts w:hint="cs"/>
          <w:rtl/>
        </w:rPr>
        <w:t>כ</w:t>
      </w:r>
      <w:r w:rsidRPr="00C43F1B">
        <w:rPr>
          <w:rFonts w:hint="eastAsia"/>
          <w:rtl/>
        </w:rPr>
        <w:t>פגיעה</w:t>
      </w:r>
      <w:r w:rsidRPr="00C43F1B">
        <w:rPr>
          <w:rtl/>
        </w:rPr>
        <w:t xml:space="preserve"> </w:t>
      </w:r>
      <w:r w:rsidRPr="00C43F1B">
        <w:rPr>
          <w:rFonts w:hint="cs"/>
          <w:rtl/>
        </w:rPr>
        <w:t xml:space="preserve">כזו </w:t>
      </w:r>
      <w:r w:rsidRPr="00C43F1B">
        <w:rPr>
          <w:rFonts w:hint="eastAsia"/>
          <w:rtl/>
        </w:rPr>
        <w:t>הוגדרה</w:t>
      </w:r>
      <w:r w:rsidRPr="00C43F1B">
        <w:rPr>
          <w:rtl/>
        </w:rPr>
        <w:t xml:space="preserve"> "פגיעה </w:t>
      </w:r>
      <w:r w:rsidRPr="00C43F1B">
        <w:rPr>
          <w:rFonts w:hint="eastAsia"/>
          <w:rtl/>
        </w:rPr>
        <w:t>מילולית</w:t>
      </w:r>
      <w:r w:rsidRPr="00C43F1B">
        <w:rPr>
          <w:rtl/>
        </w:rPr>
        <w:t xml:space="preserve"> - </w:t>
      </w:r>
      <w:r w:rsidRPr="00C43F1B">
        <w:rPr>
          <w:rFonts w:hint="eastAsia"/>
          <w:rtl/>
        </w:rPr>
        <w:t>אמירה</w:t>
      </w:r>
      <w:r w:rsidRPr="00C43F1B">
        <w:rPr>
          <w:rtl/>
        </w:rPr>
        <w:t xml:space="preserve"> </w:t>
      </w:r>
      <w:r w:rsidRPr="00C43F1B">
        <w:rPr>
          <w:rFonts w:hint="eastAsia"/>
          <w:rtl/>
        </w:rPr>
        <w:t>שיש</w:t>
      </w:r>
      <w:r w:rsidRPr="00C43F1B">
        <w:rPr>
          <w:rtl/>
        </w:rPr>
        <w:t xml:space="preserve"> </w:t>
      </w:r>
      <w:r w:rsidRPr="00C43F1B">
        <w:rPr>
          <w:rFonts w:hint="eastAsia"/>
          <w:rtl/>
        </w:rPr>
        <w:t>בה</w:t>
      </w:r>
      <w:r w:rsidRPr="00C43F1B">
        <w:rPr>
          <w:rtl/>
        </w:rPr>
        <w:t xml:space="preserve"> </w:t>
      </w:r>
      <w:r w:rsidRPr="00C43F1B">
        <w:rPr>
          <w:rFonts w:hint="eastAsia"/>
          <w:rtl/>
        </w:rPr>
        <w:t>לעג</w:t>
      </w:r>
      <w:r w:rsidRPr="00C43F1B">
        <w:rPr>
          <w:rtl/>
        </w:rPr>
        <w:t xml:space="preserve">, </w:t>
      </w:r>
      <w:r w:rsidRPr="00C43F1B">
        <w:rPr>
          <w:rFonts w:hint="eastAsia"/>
          <w:rtl/>
        </w:rPr>
        <w:t>העלבה</w:t>
      </w:r>
      <w:r w:rsidRPr="00C43F1B">
        <w:rPr>
          <w:rtl/>
        </w:rPr>
        <w:t xml:space="preserve"> </w:t>
      </w:r>
      <w:r w:rsidRPr="00C43F1B">
        <w:rPr>
          <w:rFonts w:hint="eastAsia"/>
          <w:rtl/>
        </w:rPr>
        <w:t>או</w:t>
      </w:r>
      <w:r w:rsidRPr="00C43F1B">
        <w:rPr>
          <w:rtl/>
        </w:rPr>
        <w:t xml:space="preserve"> </w:t>
      </w:r>
      <w:r w:rsidRPr="00C43F1B">
        <w:rPr>
          <w:rFonts w:hint="eastAsia"/>
          <w:rtl/>
        </w:rPr>
        <w:t>השפלה</w:t>
      </w:r>
      <w:r w:rsidRPr="00C43F1B">
        <w:rPr>
          <w:rtl/>
        </w:rPr>
        <w:t xml:space="preserve">", </w:t>
      </w:r>
      <w:r w:rsidRPr="00C43F1B">
        <w:rPr>
          <w:rFonts w:hint="eastAsia"/>
          <w:rtl/>
        </w:rPr>
        <w:t>ופגיעה</w:t>
      </w:r>
      <w:r w:rsidRPr="00C43F1B">
        <w:rPr>
          <w:rtl/>
        </w:rPr>
        <w:t xml:space="preserve"> </w:t>
      </w:r>
      <w:r w:rsidRPr="00C43F1B">
        <w:rPr>
          <w:rFonts w:hint="eastAsia"/>
          <w:rtl/>
        </w:rPr>
        <w:t>מילולית</w:t>
      </w:r>
      <w:r w:rsidRPr="00C43F1B">
        <w:rPr>
          <w:rtl/>
        </w:rPr>
        <w:t xml:space="preserve"> </w:t>
      </w:r>
      <w:r w:rsidRPr="00C43F1B">
        <w:rPr>
          <w:rFonts w:hint="eastAsia"/>
          <w:rtl/>
        </w:rPr>
        <w:t>חוזרת</w:t>
      </w:r>
      <w:r w:rsidRPr="00C43F1B">
        <w:rPr>
          <w:rtl/>
        </w:rPr>
        <w:t xml:space="preserve"> </w:t>
      </w:r>
      <w:r w:rsidRPr="00C43F1B">
        <w:rPr>
          <w:rFonts w:hint="eastAsia"/>
          <w:rtl/>
        </w:rPr>
        <w:t>ונשנית</w:t>
      </w:r>
      <w:r w:rsidRPr="00C43F1B">
        <w:rPr>
          <w:rtl/>
        </w:rPr>
        <w:t xml:space="preserve">. </w:t>
      </w:r>
      <w:r w:rsidRPr="00C43F1B">
        <w:rPr>
          <w:rFonts w:hint="cs"/>
          <w:rtl/>
        </w:rPr>
        <w:t xml:space="preserve">השנייה - פגיעה המחייבת דיווח על פי חוק העונשין, התשל"ז-1977 (להלן - חוק העונשין), לעובד סוציאלי לפי חוק הנוער או למשטרה, דיווח למפקח במחוז והתערבות במסגרת החינוכית. כפגיעה כזו הוגדרו עבירות של תקיפה או התעללות ועבירות מין - אונס, בעילה אסורה בהסכמה, מעשה סדום, מעשה מגונה. </w:t>
      </w:r>
    </w:p>
    <w:p w14:paraId="4CDE62E9" w14:textId="77777777" w:rsidR="00417266" w:rsidRPr="00C43F1B" w:rsidRDefault="00417266" w:rsidP="00946AB7">
      <w:pPr>
        <w:pStyle w:val="af3"/>
        <w:rPr>
          <w:rtl/>
        </w:rPr>
      </w:pPr>
      <w:r w:rsidRPr="00C43F1B">
        <w:rPr>
          <w:rFonts w:hint="cs"/>
          <w:rtl/>
        </w:rPr>
        <w:t>חוזר אקלים חינוכי</w:t>
      </w:r>
      <w:r>
        <w:rPr>
          <w:rFonts w:hint="cs"/>
          <w:rtl/>
        </w:rPr>
        <w:t xml:space="preserve">, בפרק העוסק בפגיעה של </w:t>
      </w:r>
      <w:r w:rsidRPr="00A97F30">
        <w:rPr>
          <w:rFonts w:hint="eastAsia"/>
          <w:rtl/>
        </w:rPr>
        <w:t>עובדי</w:t>
      </w:r>
      <w:r w:rsidRPr="00A97F30">
        <w:rPr>
          <w:rtl/>
        </w:rPr>
        <w:t xml:space="preserve"> </w:t>
      </w:r>
      <w:r w:rsidRPr="00A97F30">
        <w:rPr>
          <w:rFonts w:hint="eastAsia"/>
          <w:rtl/>
        </w:rPr>
        <w:t>הוראה</w:t>
      </w:r>
      <w:r>
        <w:rPr>
          <w:rFonts w:hint="cs"/>
          <w:rtl/>
        </w:rPr>
        <w:t xml:space="preserve"> בתלמידים ובילדי גן,</w:t>
      </w:r>
      <w:r w:rsidRPr="00C43F1B">
        <w:rPr>
          <w:rFonts w:hint="cs"/>
          <w:rtl/>
        </w:rPr>
        <w:t xml:space="preserve"> נעדר התייחסות </w:t>
      </w:r>
      <w:r>
        <w:rPr>
          <w:rFonts w:hint="cs"/>
          <w:rtl/>
        </w:rPr>
        <w:t xml:space="preserve">ספציפית </w:t>
      </w:r>
      <w:r w:rsidRPr="00C43F1B">
        <w:rPr>
          <w:rFonts w:hint="cs"/>
          <w:rtl/>
        </w:rPr>
        <w:t>לכל סוגי ההתנהגויות המהוות הטרדה מינית לפי החוק למניעת הטרדה מינית, למעט מעשים מגונים. כמו כן, החוזר איננו דורש תיעוד של האירועים ושל הטיפול בהם. היעדר התיעוד איננו מאפשר מעקב אחר פגיע</w:t>
      </w:r>
      <w:r>
        <w:rPr>
          <w:rFonts w:hint="cs"/>
          <w:rtl/>
        </w:rPr>
        <w:t>ות</w:t>
      </w:r>
      <w:r w:rsidRPr="00C43F1B">
        <w:rPr>
          <w:rFonts w:hint="cs"/>
          <w:rtl/>
        </w:rPr>
        <w:t xml:space="preserve"> מיני</w:t>
      </w:r>
      <w:r>
        <w:rPr>
          <w:rFonts w:hint="cs"/>
          <w:rtl/>
        </w:rPr>
        <w:t>ו</w:t>
      </w:r>
      <w:r w:rsidRPr="00C43F1B">
        <w:rPr>
          <w:rFonts w:hint="cs"/>
          <w:rtl/>
        </w:rPr>
        <w:t>ת והטרד</w:t>
      </w:r>
      <w:r>
        <w:rPr>
          <w:rFonts w:hint="cs"/>
          <w:rtl/>
        </w:rPr>
        <w:t>ות</w:t>
      </w:r>
      <w:r w:rsidRPr="00C43F1B">
        <w:rPr>
          <w:rFonts w:hint="cs"/>
          <w:rtl/>
        </w:rPr>
        <w:t xml:space="preserve"> מיני</w:t>
      </w:r>
      <w:r>
        <w:rPr>
          <w:rFonts w:hint="cs"/>
          <w:rtl/>
        </w:rPr>
        <w:t>ו</w:t>
      </w:r>
      <w:r w:rsidRPr="00C43F1B">
        <w:rPr>
          <w:rFonts w:hint="cs"/>
          <w:rtl/>
        </w:rPr>
        <w:t>ת ואחר הטיפול בה</w:t>
      </w:r>
      <w:r>
        <w:rPr>
          <w:rFonts w:hint="cs"/>
          <w:rtl/>
        </w:rPr>
        <w:t>ן</w:t>
      </w:r>
      <w:r w:rsidRPr="00C43F1B">
        <w:rPr>
          <w:rFonts w:hint="cs"/>
          <w:rtl/>
        </w:rPr>
        <w:t xml:space="preserve">. </w:t>
      </w:r>
    </w:p>
    <w:p w14:paraId="396F8DC1" w14:textId="77777777" w:rsidR="00417266" w:rsidRDefault="00417266" w:rsidP="00946AB7">
      <w:pPr>
        <w:pStyle w:val="100"/>
        <w:rPr>
          <w:rtl/>
        </w:rPr>
      </w:pPr>
      <w:r w:rsidRPr="00C43F1B">
        <w:rPr>
          <w:rFonts w:hint="cs"/>
          <w:rtl/>
        </w:rPr>
        <w:t>יצוין כי החוזר אינו מפרט מה הם "מעשים מגונים" ואינו מביא דוגמאות למעשים כאלה מחיי היומיום במערכת הבית-ספרית.</w:t>
      </w:r>
    </w:p>
    <w:p w14:paraId="526A7266" w14:textId="77777777" w:rsidR="00417266" w:rsidRDefault="00417266" w:rsidP="00946AB7">
      <w:pPr>
        <w:pStyle w:val="100"/>
        <w:rPr>
          <w:rtl/>
        </w:rPr>
      </w:pPr>
      <w:r w:rsidRPr="008D4374">
        <w:rPr>
          <w:rFonts w:hint="eastAsia"/>
          <w:rtl/>
        </w:rPr>
        <w:t>משרד</w:t>
      </w:r>
      <w:r w:rsidRPr="008D4374">
        <w:rPr>
          <w:rtl/>
        </w:rPr>
        <w:t xml:space="preserve"> החינוך </w:t>
      </w:r>
      <w:r>
        <w:rPr>
          <w:rFonts w:hint="cs"/>
          <w:rtl/>
        </w:rPr>
        <w:t>מסר בתגובתו כי חוזר אקלים חינוכי אינו נעדר התייחסות להתנהגויות המהוות הטרדה מינית, שכן ניתן למצוא בסעיפים שונים התייחסות לחוק, אף אם לא אוזכר במפורש. עם זאת ציין משרד החינוך כי לאור הערות מבקר המדינה הוא ישקול לפרט בחוזר המנכ"ל את סוגי העבירות לפי הדינים השונים לרבות החוק למניעת הטרדה מינית.</w:t>
      </w:r>
    </w:p>
    <w:p w14:paraId="7D4D668C" w14:textId="77777777" w:rsidR="00417266" w:rsidRDefault="00417266" w:rsidP="00946AB7">
      <w:pPr>
        <w:pStyle w:val="af3"/>
        <w:rPr>
          <w:rtl/>
        </w:rPr>
      </w:pPr>
      <w:r>
        <w:rPr>
          <w:rFonts w:hint="cs"/>
          <w:rtl/>
        </w:rPr>
        <w:t xml:space="preserve">משרד מבקר המדינה בדעה כי חשוב לאזכר בחוזר את ההתנהגויות המהוות הטרדה מינית לשם הטמעת הוראות החוק. </w:t>
      </w:r>
      <w:r w:rsidRPr="00C43F1B">
        <w:rPr>
          <w:rFonts w:hint="cs"/>
          <w:rtl/>
        </w:rPr>
        <w:t xml:space="preserve">על </w:t>
      </w:r>
      <w:r>
        <w:rPr>
          <w:rFonts w:hint="cs"/>
          <w:rtl/>
        </w:rPr>
        <w:t xml:space="preserve">כן מוצע כי משרד החינוך יעדכן </w:t>
      </w:r>
      <w:r w:rsidRPr="00C43F1B">
        <w:rPr>
          <w:rFonts w:hint="cs"/>
          <w:rtl/>
        </w:rPr>
        <w:t>את חוזר אקלים חינוכי ו</w:t>
      </w:r>
      <w:r>
        <w:rPr>
          <w:rFonts w:hint="cs"/>
          <w:rtl/>
        </w:rPr>
        <w:t>י</w:t>
      </w:r>
      <w:r w:rsidRPr="00C43F1B">
        <w:rPr>
          <w:rFonts w:hint="cs"/>
          <w:rtl/>
        </w:rPr>
        <w:t>כלול בו התייחסות מפורשת להתנהגו</w:t>
      </w:r>
      <w:r>
        <w:rPr>
          <w:rFonts w:hint="cs"/>
          <w:rtl/>
        </w:rPr>
        <w:t>יו</w:t>
      </w:r>
      <w:r w:rsidRPr="00C43F1B">
        <w:rPr>
          <w:rFonts w:hint="cs"/>
          <w:rtl/>
        </w:rPr>
        <w:t xml:space="preserve">ת </w:t>
      </w:r>
      <w:r>
        <w:rPr>
          <w:rFonts w:hint="cs"/>
          <w:rtl/>
        </w:rPr>
        <w:t xml:space="preserve">שנאסרו בחוק. כמו כן, יש מקום </w:t>
      </w:r>
      <w:r w:rsidRPr="00C43F1B">
        <w:rPr>
          <w:rFonts w:hint="cs"/>
          <w:rtl/>
        </w:rPr>
        <w:t>לקבוע נהלים לתיעוד אירועי ההטרדות והפגיעה המינית</w:t>
      </w:r>
      <w:r>
        <w:rPr>
          <w:rFonts w:hint="cs"/>
          <w:rtl/>
        </w:rPr>
        <w:t xml:space="preserve"> של עובדי הוראה בתלמידים</w:t>
      </w:r>
      <w:r w:rsidRPr="00C43F1B">
        <w:rPr>
          <w:rFonts w:hint="cs"/>
          <w:rtl/>
        </w:rPr>
        <w:t xml:space="preserve"> והטיפול בהם </w:t>
      </w:r>
      <w:r>
        <w:rPr>
          <w:rFonts w:hint="cs"/>
          <w:rtl/>
        </w:rPr>
        <w:t>באופן שיאפשר מעקב אחר הטיפול בתלונות</w:t>
      </w:r>
      <w:r w:rsidRPr="00C43F1B">
        <w:rPr>
          <w:rFonts w:hint="cs"/>
          <w:rtl/>
        </w:rPr>
        <w:t xml:space="preserve">. </w:t>
      </w:r>
    </w:p>
    <w:p w14:paraId="208BCA45" w14:textId="77777777" w:rsidR="00417266" w:rsidRPr="00C43F1B" w:rsidRDefault="00417266" w:rsidP="00946AB7">
      <w:pPr>
        <w:pStyle w:val="414"/>
        <w:rPr>
          <w:rtl/>
        </w:rPr>
      </w:pPr>
      <w:r w:rsidRPr="00C43F1B">
        <w:rPr>
          <w:rFonts w:hint="cs"/>
          <w:rtl/>
        </w:rPr>
        <w:t>הטיפול המשמעתי בעובדי הוראה המועסקים בידי משרד החינוך</w:t>
      </w:r>
    </w:p>
    <w:p w14:paraId="59131D4F" w14:textId="77777777" w:rsidR="00417266" w:rsidRDefault="00417266" w:rsidP="00946AB7">
      <w:pPr>
        <w:pStyle w:val="100"/>
        <w:rPr>
          <w:rtl/>
        </w:rPr>
      </w:pPr>
      <w:r>
        <w:rPr>
          <w:rFonts w:hint="cs"/>
          <w:rtl/>
        </w:rPr>
        <w:t xml:space="preserve">אגף בכיר (משמעת וטוהר המידות) במשרד החינוך (להלן - </w:t>
      </w:r>
      <w:r w:rsidRPr="00C43F1B">
        <w:rPr>
          <w:rFonts w:hint="cs"/>
          <w:rtl/>
        </w:rPr>
        <w:t xml:space="preserve">אגף </w:t>
      </w:r>
      <w:r>
        <w:rPr>
          <w:rFonts w:hint="cs"/>
          <w:rtl/>
        </w:rPr>
        <w:t>ה</w:t>
      </w:r>
      <w:r w:rsidRPr="00C43F1B">
        <w:rPr>
          <w:rFonts w:hint="cs"/>
          <w:rtl/>
        </w:rPr>
        <w:t>משמעת במשה"ח</w:t>
      </w:r>
      <w:r>
        <w:rPr>
          <w:rFonts w:hint="cs"/>
          <w:rtl/>
        </w:rPr>
        <w:t>)</w:t>
      </w:r>
      <w:r w:rsidRPr="00C43F1B">
        <w:rPr>
          <w:rFonts w:hint="cs"/>
          <w:rtl/>
        </w:rPr>
        <w:t xml:space="preserve"> מרכז את הטיפול בכל עבירות המשמעת במשרד החינוך. </w:t>
      </w:r>
      <w:r>
        <w:rPr>
          <w:rFonts w:hint="cs"/>
          <w:rtl/>
        </w:rPr>
        <w:t>ה</w:t>
      </w:r>
      <w:r w:rsidRPr="00C43F1B">
        <w:rPr>
          <w:rFonts w:hint="cs"/>
          <w:rtl/>
        </w:rPr>
        <w:t>אגף ניסח את הנהלים לטיפול בעבירות משמעת של עובדי משרד החינוך והטמיע אותם במחוזות. סגני מנהלי המחוזות מטפלים בעבירות המשמעת, והאגף מרכז את המידע, מנחה את סגני מנהלי המחוזות ומייעץ להם. כמו כן, האגף מטפל בהליכים המשמעתיים הנוגעים להטרדות מיניות של תלמידים ותלמידות בידי עובדי משרד החינוך; מקבל דיווחים על עבירות משמעת, בכלל זה הטרדות מיניות, מסגני מנהלי המחוז</w:t>
      </w:r>
      <w:r>
        <w:rPr>
          <w:rFonts w:hint="cs"/>
          <w:rtl/>
        </w:rPr>
        <w:t>ות</w:t>
      </w:r>
      <w:r w:rsidRPr="00C43F1B">
        <w:rPr>
          <w:rFonts w:hint="cs"/>
          <w:rtl/>
        </w:rPr>
        <w:t xml:space="preserve"> ועורך שימוע לנילונים; מברר את עובדות התלונה עם סגן מנהל המחוז, מנהל בית הספר והיועצות</w:t>
      </w:r>
      <w:r>
        <w:rPr>
          <w:rFonts w:hint="cs"/>
          <w:rtl/>
        </w:rPr>
        <w:t>, ו</w:t>
      </w:r>
      <w:r w:rsidRPr="00C43F1B">
        <w:rPr>
          <w:rFonts w:hint="cs"/>
          <w:rtl/>
        </w:rPr>
        <w:t xml:space="preserve">לאחר הבירור הראשוני </w:t>
      </w:r>
      <w:r>
        <w:rPr>
          <w:rFonts w:hint="cs"/>
          <w:rtl/>
        </w:rPr>
        <w:t>הוא</w:t>
      </w:r>
      <w:r w:rsidRPr="00C43F1B">
        <w:rPr>
          <w:rFonts w:hint="cs"/>
          <w:rtl/>
        </w:rPr>
        <w:t xml:space="preserve"> ממליץ למנכ"ל משרד החינוך על דרכי הטיפול בנילון. </w:t>
      </w:r>
      <w:r>
        <w:rPr>
          <w:rFonts w:hint="cs"/>
          <w:rtl/>
        </w:rPr>
        <w:lastRenderedPageBreak/>
        <w:t xml:space="preserve">במסגרת הבירור </w:t>
      </w:r>
      <w:r w:rsidRPr="00C43F1B">
        <w:rPr>
          <w:rFonts w:hint="cs"/>
          <w:rtl/>
        </w:rPr>
        <w:t>האגף מתייעץ מפעם לפעם עם אגף המשמעת בנש</w:t>
      </w:r>
      <w:r w:rsidRPr="00C43F1B">
        <w:rPr>
          <w:rtl/>
        </w:rPr>
        <w:t>"</w:t>
      </w:r>
      <w:r w:rsidRPr="00C43F1B">
        <w:rPr>
          <w:rFonts w:hint="cs"/>
          <w:rtl/>
        </w:rPr>
        <w:t>ם.</w:t>
      </w:r>
      <w:r>
        <w:rPr>
          <w:rFonts w:hint="cs"/>
          <w:rtl/>
        </w:rPr>
        <w:t xml:space="preserve"> בשנת 2018 </w:t>
      </w:r>
      <w:r w:rsidRPr="008E7629">
        <w:rPr>
          <w:rtl/>
        </w:rPr>
        <w:t xml:space="preserve">טיפל אגף המשמעת </w:t>
      </w:r>
      <w:r w:rsidRPr="008E7629">
        <w:rPr>
          <w:rFonts w:hint="eastAsia"/>
          <w:rtl/>
        </w:rPr>
        <w:t>במשה</w:t>
      </w:r>
      <w:r w:rsidRPr="008E7629">
        <w:rPr>
          <w:rtl/>
        </w:rPr>
        <w:t xml:space="preserve">"ח ב-61 </w:t>
      </w:r>
      <w:r w:rsidRPr="008E7629">
        <w:rPr>
          <w:rFonts w:hint="eastAsia"/>
          <w:rtl/>
        </w:rPr>
        <w:t>תיקים</w:t>
      </w:r>
      <w:r w:rsidRPr="008E7629">
        <w:rPr>
          <w:rtl/>
        </w:rPr>
        <w:t xml:space="preserve"> </w:t>
      </w:r>
      <w:r w:rsidRPr="008E7629">
        <w:rPr>
          <w:rFonts w:hint="eastAsia"/>
          <w:rtl/>
        </w:rPr>
        <w:t>שעסקו</w:t>
      </w:r>
      <w:r w:rsidRPr="008E7629">
        <w:rPr>
          <w:rtl/>
        </w:rPr>
        <w:t xml:space="preserve"> </w:t>
      </w:r>
      <w:r w:rsidRPr="008E7629">
        <w:rPr>
          <w:rFonts w:hint="eastAsia"/>
          <w:rtl/>
        </w:rPr>
        <w:t>בהטרדה</w:t>
      </w:r>
      <w:r w:rsidRPr="008E7629">
        <w:rPr>
          <w:rtl/>
        </w:rPr>
        <w:t xml:space="preserve"> מינית </w:t>
      </w:r>
      <w:r w:rsidRPr="008E7629">
        <w:rPr>
          <w:rFonts w:hint="eastAsia"/>
          <w:rtl/>
        </w:rPr>
        <w:t>של</w:t>
      </w:r>
      <w:r w:rsidRPr="008E7629">
        <w:rPr>
          <w:rtl/>
        </w:rPr>
        <w:t xml:space="preserve"> </w:t>
      </w:r>
      <w:r w:rsidRPr="008E7629">
        <w:rPr>
          <w:rFonts w:hint="eastAsia"/>
          <w:rtl/>
        </w:rPr>
        <w:t>קטין</w:t>
      </w:r>
      <w:r w:rsidRPr="008E7629">
        <w:rPr>
          <w:rtl/>
        </w:rPr>
        <w:t xml:space="preserve"> </w:t>
      </w:r>
      <w:r>
        <w:rPr>
          <w:rFonts w:hint="cs"/>
          <w:rtl/>
        </w:rPr>
        <w:t xml:space="preserve">מצד </w:t>
      </w:r>
      <w:r w:rsidRPr="008E7629">
        <w:rPr>
          <w:rFonts w:hint="eastAsia"/>
          <w:rtl/>
        </w:rPr>
        <w:t>בגיר</w:t>
      </w:r>
      <w:r w:rsidRPr="008E7629">
        <w:rPr>
          <w:rtl/>
        </w:rPr>
        <w:t xml:space="preserve">. </w:t>
      </w:r>
      <w:r w:rsidRPr="008E7629">
        <w:rPr>
          <w:rFonts w:hint="eastAsia"/>
          <w:rtl/>
        </w:rPr>
        <w:t>בשנת</w:t>
      </w:r>
      <w:r w:rsidRPr="008E7629">
        <w:rPr>
          <w:rtl/>
        </w:rPr>
        <w:t xml:space="preserve"> 2019 </w:t>
      </w:r>
      <w:r w:rsidRPr="008E7629">
        <w:rPr>
          <w:rFonts w:hint="eastAsia"/>
          <w:rtl/>
        </w:rPr>
        <w:t>טיפל</w:t>
      </w:r>
      <w:r w:rsidRPr="008E7629">
        <w:rPr>
          <w:rtl/>
        </w:rPr>
        <w:t xml:space="preserve"> </w:t>
      </w:r>
      <w:r w:rsidRPr="008E7629">
        <w:rPr>
          <w:rFonts w:hint="eastAsia"/>
          <w:rtl/>
        </w:rPr>
        <w:t>האגף</w:t>
      </w:r>
      <w:r w:rsidRPr="008E7629">
        <w:rPr>
          <w:rtl/>
        </w:rPr>
        <w:t xml:space="preserve"> </w:t>
      </w:r>
      <w:r w:rsidRPr="008E7629">
        <w:rPr>
          <w:rFonts w:hint="eastAsia"/>
          <w:rtl/>
        </w:rPr>
        <w:t>ב</w:t>
      </w:r>
      <w:r w:rsidRPr="008E7629">
        <w:rPr>
          <w:rtl/>
        </w:rPr>
        <w:t xml:space="preserve">-47 </w:t>
      </w:r>
      <w:r w:rsidRPr="008E7629">
        <w:rPr>
          <w:rFonts w:hint="eastAsia"/>
          <w:rtl/>
        </w:rPr>
        <w:t>תיקים</w:t>
      </w:r>
      <w:r w:rsidRPr="008E7629">
        <w:rPr>
          <w:rtl/>
        </w:rPr>
        <w:t xml:space="preserve"> שעסקו ב</w:t>
      </w:r>
      <w:r>
        <w:rPr>
          <w:rFonts w:hint="cs"/>
          <w:rtl/>
        </w:rPr>
        <w:t>תיקים מסוג זה</w:t>
      </w:r>
      <w:r w:rsidRPr="008E7629">
        <w:rPr>
          <w:rtl/>
        </w:rPr>
        <w:t>.</w:t>
      </w:r>
    </w:p>
    <w:p w14:paraId="4EC93C1A" w14:textId="77777777" w:rsidR="00417266" w:rsidRDefault="00417266" w:rsidP="00946AB7">
      <w:pPr>
        <w:pStyle w:val="100"/>
        <w:rPr>
          <w:rtl/>
        </w:rPr>
      </w:pPr>
      <w:r w:rsidRPr="00C43F1B">
        <w:rPr>
          <w:rFonts w:hint="cs"/>
          <w:rtl/>
        </w:rPr>
        <w:t>הסדרי המשמעת החלים על עובדי הוראה שהם עובדי משרד החינוך מעוגנים בתקשי"ר ובחוק שירות המדינה (משמעת), וכן בתקנון שירות עובדי הוראה.</w:t>
      </w:r>
    </w:p>
    <w:p w14:paraId="20880207" w14:textId="77777777" w:rsidR="00417266" w:rsidRDefault="00417266" w:rsidP="00946AB7">
      <w:pPr>
        <w:pStyle w:val="af3"/>
        <w:rPr>
          <w:rtl/>
        </w:rPr>
      </w:pPr>
      <w:r w:rsidRPr="000442CD">
        <w:rPr>
          <w:rFonts w:hint="eastAsia"/>
          <w:rtl/>
        </w:rPr>
        <w:t>כיום</w:t>
      </w:r>
      <w:r w:rsidRPr="000442CD">
        <w:rPr>
          <w:rtl/>
        </w:rPr>
        <w:t xml:space="preserve"> אמצעי המשמעת שמשרד החינוך נוקט נגד עובדיו שהטרידו מינית תלמידים הם מוגבלים. </w:t>
      </w:r>
      <w:r w:rsidRPr="000442CD">
        <w:rPr>
          <w:rFonts w:hint="eastAsia"/>
          <w:rtl/>
        </w:rPr>
        <w:t>להלן</w:t>
      </w:r>
      <w:r w:rsidRPr="000442CD">
        <w:rPr>
          <w:rtl/>
        </w:rPr>
        <w:t xml:space="preserve"> </w:t>
      </w:r>
      <w:r w:rsidRPr="000442CD">
        <w:rPr>
          <w:rFonts w:hint="eastAsia"/>
          <w:rtl/>
        </w:rPr>
        <w:t>הפרטים</w:t>
      </w:r>
      <w:r w:rsidRPr="00845872">
        <w:rPr>
          <w:rtl/>
        </w:rPr>
        <w:t>.</w:t>
      </w:r>
    </w:p>
    <w:p w14:paraId="6C627CE4" w14:textId="77777777" w:rsidR="00417266" w:rsidRPr="00D478AA" w:rsidRDefault="00417266" w:rsidP="00D478AA">
      <w:pPr>
        <w:pStyle w:val="a0"/>
        <w:numPr>
          <w:ilvl w:val="0"/>
          <w:numId w:val="39"/>
        </w:numPr>
        <w:rPr>
          <w:rtl/>
        </w:rPr>
      </w:pPr>
      <w:r w:rsidRPr="00946B07">
        <w:rPr>
          <w:rStyle w:val="Heading7Char"/>
          <w:rFonts w:eastAsiaTheme="minorHAnsi" w:hint="eastAsia"/>
          <w:b/>
          <w:color w:val="004E6C"/>
          <w:spacing w:val="0"/>
          <w:rtl/>
        </w:rPr>
        <w:t>אפשרות</w:t>
      </w:r>
      <w:r w:rsidRPr="00946B07">
        <w:rPr>
          <w:rStyle w:val="Heading7Char"/>
          <w:rFonts w:eastAsiaTheme="minorHAnsi"/>
          <w:b/>
          <w:color w:val="004E6C"/>
          <w:spacing w:val="0"/>
          <w:rtl/>
        </w:rPr>
        <w:t xml:space="preserve"> </w:t>
      </w:r>
      <w:r w:rsidRPr="00946B07">
        <w:rPr>
          <w:rStyle w:val="Heading7Char"/>
          <w:rFonts w:eastAsiaTheme="minorHAnsi" w:hint="cs"/>
          <w:b/>
          <w:color w:val="004E6C"/>
          <w:spacing w:val="0"/>
          <w:rtl/>
        </w:rPr>
        <w:t>מוגבלת ל</w:t>
      </w:r>
      <w:r w:rsidRPr="00946B07">
        <w:rPr>
          <w:rStyle w:val="Heading7Char"/>
          <w:rFonts w:eastAsiaTheme="minorHAnsi" w:hint="eastAsia"/>
          <w:b/>
          <w:color w:val="004E6C"/>
          <w:spacing w:val="0"/>
          <w:rtl/>
        </w:rPr>
        <w:t>העמדה</w:t>
      </w:r>
      <w:r w:rsidRPr="00946B07">
        <w:rPr>
          <w:rStyle w:val="Heading7Char"/>
          <w:rFonts w:eastAsiaTheme="minorHAnsi"/>
          <w:b/>
          <w:color w:val="004E6C"/>
          <w:spacing w:val="0"/>
          <w:rtl/>
        </w:rPr>
        <w:t xml:space="preserve"> לדין משמעתי </w:t>
      </w:r>
      <w:r w:rsidRPr="00946B07">
        <w:rPr>
          <w:rStyle w:val="Heading7Char"/>
          <w:rFonts w:eastAsiaTheme="minorHAnsi" w:hint="eastAsia"/>
          <w:b/>
          <w:color w:val="004E6C"/>
          <w:spacing w:val="0"/>
          <w:rtl/>
        </w:rPr>
        <w:t>בנש</w:t>
      </w:r>
      <w:r w:rsidRPr="00946B07">
        <w:rPr>
          <w:rStyle w:val="Heading7Char"/>
          <w:rFonts w:eastAsiaTheme="minorHAnsi"/>
          <w:b/>
          <w:color w:val="004E6C"/>
          <w:spacing w:val="0"/>
          <w:rtl/>
        </w:rPr>
        <w:t>"ם</w:t>
      </w:r>
      <w:r w:rsidRPr="00946B07">
        <w:rPr>
          <w:rStyle w:val="Heading7Char"/>
          <w:rFonts w:eastAsiaTheme="minorHAnsi" w:hint="cs"/>
          <w:b/>
          <w:color w:val="004E6C"/>
          <w:spacing w:val="0"/>
          <w:rtl/>
        </w:rPr>
        <w:t>:</w:t>
      </w:r>
      <w:r w:rsidRPr="00946B07">
        <w:rPr>
          <w:rFonts w:hint="cs"/>
          <w:color w:val="004E6C"/>
          <w:rtl/>
        </w:rPr>
        <w:t xml:space="preserve"> </w:t>
      </w:r>
      <w:r w:rsidRPr="00D478AA">
        <w:rPr>
          <w:rFonts w:hint="cs"/>
          <w:rtl/>
        </w:rPr>
        <w:t>בשנת 2014 פנתה מנהלת אגף המשמעת במשה"ח למנהל אגף המשמעת בנש"ם דאז ופירטה את המגבלות הקיימות בטיפול המשמעתי בעובדי הוראה החשודים בביצוע עבירת אלימות כלפי קטינים. כך ציינה כי "משטרת ישראל היא הגוף היחידי המוסמך לחקור את החשדות ואשר לו הכלים לגבות עדויות מהתלמידים הקטינים שנפגעו לכאורה". אך הוסיפה כי מטעמים שונים "מרביתן של תלונות אלו אינן מתגבשות לכדי הליכים פליליים". היא הדגישה כי "במצב דברים זה ובאין למשרד או לאגף המשמעת בנש"ם הכלים לגבות עדויות מקטינים ולבצע חקירה של אירועים מסוג אלה, הרי שהמשרד עומד בפני שוקת שבורה אל מול חוסר היכולת להמשיך בטיפול משמעתי או אחר בעניינו של אותו עובד הוראה שחשוד בנקיטת אלימות כלפי קטינים".</w:t>
      </w:r>
    </w:p>
    <w:p w14:paraId="4BA0800A" w14:textId="77777777" w:rsidR="00417266" w:rsidRPr="003475B5" w:rsidRDefault="00417266" w:rsidP="00175053">
      <w:pPr>
        <w:pStyle w:val="af2"/>
      </w:pPr>
      <w:r>
        <w:rPr>
          <w:rFonts w:hint="cs"/>
          <w:rtl/>
        </w:rPr>
        <w:t xml:space="preserve">אגף המשמעת בנש"ם הבהיר בתשובתו כי יש ביכולתו ובסמכותו להעמיד לדין עובד הוראה שהוגשה נגדו תלונה למשטרה ונמצאו חומרי חקירה מספיקים להרשעה משמעתית גם ללא חקירת הקטין ועדותו בהליך המשמעתי. אך אם נדרשת חקירת הקטין, </w:t>
      </w:r>
      <w:r w:rsidRPr="003475B5">
        <w:rPr>
          <w:rtl/>
        </w:rPr>
        <w:t>לא ניתן להעמיד לדין</w:t>
      </w:r>
      <w:r>
        <w:rPr>
          <w:rFonts w:hint="cs"/>
          <w:rtl/>
        </w:rPr>
        <w:t xml:space="preserve"> את עובד ההוראה</w:t>
      </w:r>
      <w:r w:rsidRPr="003475B5">
        <w:rPr>
          <w:rtl/>
        </w:rPr>
        <w:t xml:space="preserve"> בבית הדין המשמעתי של </w:t>
      </w:r>
      <w:r w:rsidRPr="003475B5">
        <w:rPr>
          <w:rFonts w:hint="eastAsia"/>
          <w:rtl/>
        </w:rPr>
        <w:t>נש</w:t>
      </w:r>
      <w:r w:rsidRPr="003475B5">
        <w:rPr>
          <w:rtl/>
        </w:rPr>
        <w:t xml:space="preserve">"ם, </w:t>
      </w:r>
      <w:r w:rsidRPr="003475B5">
        <w:rPr>
          <w:rFonts w:hint="eastAsia"/>
          <w:rtl/>
        </w:rPr>
        <w:t>ומשרד</w:t>
      </w:r>
      <w:r w:rsidRPr="003475B5">
        <w:rPr>
          <w:rtl/>
        </w:rPr>
        <w:t xml:space="preserve"> </w:t>
      </w:r>
      <w:r w:rsidRPr="003475B5">
        <w:rPr>
          <w:rFonts w:hint="eastAsia"/>
          <w:rtl/>
        </w:rPr>
        <w:t>החינוך</w:t>
      </w:r>
      <w:r w:rsidRPr="003475B5">
        <w:rPr>
          <w:rtl/>
        </w:rPr>
        <w:t xml:space="preserve"> </w:t>
      </w:r>
      <w:r w:rsidRPr="003475B5">
        <w:rPr>
          <w:rFonts w:hint="eastAsia"/>
          <w:rtl/>
        </w:rPr>
        <w:t>מחויב</w:t>
      </w:r>
      <w:r w:rsidRPr="003475B5">
        <w:rPr>
          <w:rtl/>
        </w:rPr>
        <w:t xml:space="preserve"> </w:t>
      </w:r>
      <w:r w:rsidRPr="003475B5">
        <w:rPr>
          <w:rFonts w:hint="eastAsia"/>
          <w:rtl/>
        </w:rPr>
        <w:t>להמשיך</w:t>
      </w:r>
      <w:r w:rsidRPr="003475B5">
        <w:rPr>
          <w:rtl/>
        </w:rPr>
        <w:t xml:space="preserve"> </w:t>
      </w:r>
      <w:r w:rsidRPr="003475B5">
        <w:rPr>
          <w:rFonts w:hint="eastAsia"/>
          <w:rtl/>
        </w:rPr>
        <w:t>להעסיק</w:t>
      </w:r>
      <w:r>
        <w:rPr>
          <w:rFonts w:hint="cs"/>
          <w:rtl/>
        </w:rPr>
        <w:t>ו</w:t>
      </w:r>
      <w:r w:rsidRPr="003475B5">
        <w:rPr>
          <w:rtl/>
        </w:rPr>
        <w:t>.</w:t>
      </w:r>
    </w:p>
    <w:p w14:paraId="6FC7EBDC" w14:textId="77777777" w:rsidR="00417266" w:rsidRPr="00D478AA" w:rsidRDefault="00417266" w:rsidP="00D478AA">
      <w:pPr>
        <w:pStyle w:val="a0"/>
        <w:rPr>
          <w:rtl/>
        </w:rPr>
      </w:pPr>
      <w:r w:rsidRPr="00946B07">
        <w:rPr>
          <w:rStyle w:val="Heading7Char"/>
          <w:rFonts w:eastAsiaTheme="minorHAnsi" w:hint="eastAsia"/>
          <w:b/>
          <w:color w:val="004E6C"/>
          <w:spacing w:val="0"/>
          <w:rtl/>
        </w:rPr>
        <w:t>היעדר</w:t>
      </w:r>
      <w:r w:rsidRPr="00946B07">
        <w:rPr>
          <w:rStyle w:val="Heading7Char"/>
          <w:rFonts w:eastAsiaTheme="minorHAnsi"/>
          <w:b/>
          <w:color w:val="004E6C"/>
          <w:spacing w:val="0"/>
          <w:rtl/>
        </w:rPr>
        <w:t xml:space="preserve"> אפשרות פיטורים </w:t>
      </w:r>
      <w:r w:rsidRPr="00946B07">
        <w:rPr>
          <w:rStyle w:val="Heading7Char"/>
          <w:rFonts w:eastAsiaTheme="minorHAnsi" w:hint="cs"/>
          <w:b/>
          <w:color w:val="004E6C"/>
          <w:spacing w:val="0"/>
          <w:rtl/>
        </w:rPr>
        <w:t>בידי משרד החינוך:</w:t>
      </w:r>
      <w:r w:rsidRPr="00946B07">
        <w:rPr>
          <w:rStyle w:val="Heading7Char"/>
          <w:rFonts w:eastAsiaTheme="minorHAnsi"/>
          <w:b/>
          <w:color w:val="004E6C"/>
          <w:spacing w:val="0"/>
          <w:rtl/>
        </w:rPr>
        <w:t xml:space="preserve"> </w:t>
      </w:r>
      <w:r w:rsidRPr="00D478AA">
        <w:rPr>
          <w:rFonts w:hint="eastAsia"/>
          <w:rtl/>
        </w:rPr>
        <w:t>אם</w:t>
      </w:r>
      <w:r w:rsidRPr="00D478AA">
        <w:rPr>
          <w:rtl/>
        </w:rPr>
        <w:t xml:space="preserve"> נסגר התיק הפלילי בלא הרשעה, נש"ם לא תמשיך בהליך המשמעתי אלא תפנה את המקרה לטיפול אגף המשמעת במשה"ח. </w:t>
      </w:r>
      <w:r w:rsidRPr="00D478AA">
        <w:rPr>
          <w:rFonts w:hint="eastAsia"/>
          <w:rtl/>
        </w:rPr>
        <w:t>בנסיבות</w:t>
      </w:r>
      <w:r w:rsidRPr="00D478AA">
        <w:rPr>
          <w:rtl/>
        </w:rPr>
        <w:t xml:space="preserve"> אלה </w:t>
      </w:r>
      <w:r w:rsidRPr="00D478AA">
        <w:rPr>
          <w:rFonts w:hint="eastAsia"/>
          <w:rtl/>
        </w:rPr>
        <w:t>הסנקציה</w:t>
      </w:r>
      <w:r w:rsidRPr="00D478AA">
        <w:rPr>
          <w:rtl/>
        </w:rPr>
        <w:t xml:space="preserve"> </w:t>
      </w:r>
      <w:r w:rsidRPr="00D478AA">
        <w:rPr>
          <w:rFonts w:hint="eastAsia"/>
          <w:rtl/>
        </w:rPr>
        <w:t>המשמעתית</w:t>
      </w:r>
      <w:r w:rsidRPr="00D478AA">
        <w:rPr>
          <w:rtl/>
        </w:rPr>
        <w:t xml:space="preserve"> </w:t>
      </w:r>
      <w:r w:rsidRPr="00D478AA">
        <w:rPr>
          <w:rFonts w:hint="eastAsia"/>
          <w:rtl/>
        </w:rPr>
        <w:t>החמורה</w:t>
      </w:r>
      <w:r w:rsidRPr="00D478AA">
        <w:rPr>
          <w:rtl/>
        </w:rPr>
        <w:t xml:space="preserve"> </w:t>
      </w:r>
      <w:r w:rsidRPr="00D478AA">
        <w:rPr>
          <w:rFonts w:hint="eastAsia"/>
          <w:rtl/>
        </w:rPr>
        <w:t>ביותר</w:t>
      </w:r>
      <w:r w:rsidRPr="00D478AA">
        <w:rPr>
          <w:rtl/>
        </w:rPr>
        <w:t xml:space="preserve"> </w:t>
      </w:r>
      <w:r w:rsidRPr="00D478AA">
        <w:rPr>
          <w:rFonts w:hint="cs"/>
          <w:rtl/>
        </w:rPr>
        <w:t xml:space="preserve">המנויה בחוק המשמעת </w:t>
      </w:r>
      <w:r w:rsidRPr="00D478AA">
        <w:rPr>
          <w:rFonts w:hint="eastAsia"/>
          <w:rtl/>
        </w:rPr>
        <w:t>היא</w:t>
      </w:r>
      <w:r w:rsidRPr="00D478AA">
        <w:rPr>
          <w:rtl/>
        </w:rPr>
        <w:t xml:space="preserve"> </w:t>
      </w:r>
      <w:r w:rsidRPr="00D478AA">
        <w:rPr>
          <w:rFonts w:hint="eastAsia"/>
          <w:rtl/>
        </w:rPr>
        <w:t>נזיפה</w:t>
      </w:r>
      <w:r w:rsidRPr="00D478AA">
        <w:rPr>
          <w:rtl/>
        </w:rPr>
        <w:t xml:space="preserve">, </w:t>
      </w:r>
      <w:r w:rsidRPr="00D478AA">
        <w:rPr>
          <w:rFonts w:hint="eastAsia"/>
          <w:rtl/>
        </w:rPr>
        <w:t>ולא</w:t>
      </w:r>
      <w:r w:rsidRPr="00D478AA">
        <w:rPr>
          <w:rtl/>
        </w:rPr>
        <w:t xml:space="preserve"> </w:t>
      </w:r>
      <w:r w:rsidRPr="00D478AA">
        <w:rPr>
          <w:rFonts w:hint="eastAsia"/>
          <w:rtl/>
        </w:rPr>
        <w:t>ניתן</w:t>
      </w:r>
      <w:r w:rsidRPr="00D478AA">
        <w:rPr>
          <w:rtl/>
        </w:rPr>
        <w:t xml:space="preserve"> </w:t>
      </w:r>
      <w:r w:rsidRPr="00D478AA">
        <w:rPr>
          <w:rFonts w:hint="eastAsia"/>
          <w:rtl/>
        </w:rPr>
        <w:t>לפטר</w:t>
      </w:r>
      <w:r w:rsidRPr="00D478AA">
        <w:rPr>
          <w:rtl/>
        </w:rPr>
        <w:t xml:space="preserve"> </w:t>
      </w:r>
      <w:r w:rsidRPr="00D478AA">
        <w:rPr>
          <w:rFonts w:hint="eastAsia"/>
          <w:rtl/>
        </w:rPr>
        <w:t>את</w:t>
      </w:r>
      <w:r w:rsidRPr="00D478AA">
        <w:rPr>
          <w:rtl/>
        </w:rPr>
        <w:t xml:space="preserve"> </w:t>
      </w:r>
      <w:r w:rsidRPr="00D478AA">
        <w:rPr>
          <w:rFonts w:hint="eastAsia"/>
          <w:rtl/>
        </w:rPr>
        <w:t>עובד</w:t>
      </w:r>
      <w:r w:rsidRPr="00D478AA">
        <w:rPr>
          <w:rtl/>
        </w:rPr>
        <w:t xml:space="preserve"> </w:t>
      </w:r>
      <w:r w:rsidRPr="00D478AA">
        <w:rPr>
          <w:rFonts w:hint="eastAsia"/>
          <w:rtl/>
        </w:rPr>
        <w:t>ההוראה</w:t>
      </w:r>
      <w:r w:rsidRPr="00D478AA">
        <w:rPr>
          <w:rtl/>
        </w:rPr>
        <w:t>.</w:t>
      </w:r>
    </w:p>
    <w:p w14:paraId="7D2B2DE4" w14:textId="77777777" w:rsidR="00417266" w:rsidRPr="003475B5" w:rsidRDefault="00417266" w:rsidP="00D478AA">
      <w:pPr>
        <w:pStyle w:val="af2"/>
        <w:rPr>
          <w:rtl/>
        </w:rPr>
      </w:pPr>
      <w:r w:rsidRPr="003475B5">
        <w:rPr>
          <w:rFonts w:hint="eastAsia"/>
          <w:rtl/>
        </w:rPr>
        <w:t>משרד</w:t>
      </w:r>
      <w:r w:rsidRPr="003475B5">
        <w:rPr>
          <w:rtl/>
        </w:rPr>
        <w:t xml:space="preserve"> החינוך רשאי להפסיק </w:t>
      </w:r>
      <w:r>
        <w:rPr>
          <w:rFonts w:hint="cs"/>
          <w:rtl/>
        </w:rPr>
        <w:t xml:space="preserve">את </w:t>
      </w:r>
      <w:r w:rsidRPr="003475B5">
        <w:rPr>
          <w:rtl/>
        </w:rPr>
        <w:t xml:space="preserve">העסקתו של עובד הוראה קבוע בשני הליכים: הליך פיטורים פדגוגיים </w:t>
      </w:r>
      <w:r w:rsidRPr="003475B5">
        <w:rPr>
          <w:rFonts w:hint="eastAsia"/>
          <w:rtl/>
        </w:rPr>
        <w:t>והליך</w:t>
      </w:r>
      <w:r w:rsidRPr="003475B5">
        <w:rPr>
          <w:rtl/>
        </w:rPr>
        <w:t xml:space="preserve"> פיטורי</w:t>
      </w:r>
      <w:r>
        <w:rPr>
          <w:rFonts w:hint="cs"/>
          <w:rtl/>
        </w:rPr>
        <w:t>ם</w:t>
      </w:r>
      <w:r w:rsidRPr="003475B5">
        <w:rPr>
          <w:rtl/>
        </w:rPr>
        <w:t xml:space="preserve"> </w:t>
      </w:r>
      <w:r>
        <w:rPr>
          <w:rFonts w:hint="cs"/>
          <w:rtl/>
        </w:rPr>
        <w:t xml:space="preserve">מחמת </w:t>
      </w:r>
      <w:r w:rsidRPr="003475B5">
        <w:rPr>
          <w:rtl/>
        </w:rPr>
        <w:t xml:space="preserve">אי-התאמה. </w:t>
      </w:r>
    </w:p>
    <w:p w14:paraId="35479D84" w14:textId="77777777" w:rsidR="00417266" w:rsidRDefault="00417266" w:rsidP="00D478AA">
      <w:pPr>
        <w:pStyle w:val="a"/>
      </w:pPr>
      <w:r w:rsidRPr="00C43F1B">
        <w:rPr>
          <w:rFonts w:hint="eastAsia"/>
          <w:rtl/>
        </w:rPr>
        <w:t>חוק</w:t>
      </w:r>
      <w:r w:rsidRPr="00C43F1B">
        <w:rPr>
          <w:rtl/>
        </w:rPr>
        <w:t xml:space="preserve"> </w:t>
      </w:r>
      <w:r w:rsidRPr="00C43F1B">
        <w:rPr>
          <w:rFonts w:hint="eastAsia"/>
          <w:rtl/>
        </w:rPr>
        <w:t>שירות</w:t>
      </w:r>
      <w:r w:rsidRPr="00C43F1B">
        <w:rPr>
          <w:rtl/>
        </w:rPr>
        <w:t xml:space="preserve"> </w:t>
      </w:r>
      <w:r w:rsidRPr="00C43F1B">
        <w:rPr>
          <w:rFonts w:hint="eastAsia"/>
          <w:rtl/>
        </w:rPr>
        <w:t>המדינה</w:t>
      </w:r>
      <w:r w:rsidRPr="00C43F1B">
        <w:rPr>
          <w:rtl/>
        </w:rPr>
        <w:t xml:space="preserve"> (מינויים), </w:t>
      </w:r>
      <w:r w:rsidRPr="00C43F1B">
        <w:rPr>
          <w:rFonts w:hint="eastAsia"/>
          <w:rtl/>
        </w:rPr>
        <w:t>התשי</w:t>
      </w:r>
      <w:r w:rsidRPr="00C43F1B">
        <w:rPr>
          <w:rtl/>
        </w:rPr>
        <w:t xml:space="preserve">"ט-1959, </w:t>
      </w:r>
      <w:r w:rsidRPr="00C43F1B">
        <w:rPr>
          <w:rFonts w:hint="eastAsia"/>
          <w:rtl/>
        </w:rPr>
        <w:t>העניק</w:t>
      </w:r>
      <w:r w:rsidRPr="00C43F1B">
        <w:rPr>
          <w:rtl/>
        </w:rPr>
        <w:t xml:space="preserve"> </w:t>
      </w:r>
      <w:r w:rsidRPr="00C43F1B">
        <w:rPr>
          <w:rFonts w:hint="eastAsia"/>
          <w:rtl/>
        </w:rPr>
        <w:t>לנציב</w:t>
      </w:r>
      <w:r w:rsidRPr="00C43F1B">
        <w:rPr>
          <w:rtl/>
        </w:rPr>
        <w:t xml:space="preserve"> </w:t>
      </w:r>
      <w:r w:rsidRPr="00C43F1B">
        <w:rPr>
          <w:rFonts w:hint="eastAsia"/>
          <w:rtl/>
        </w:rPr>
        <w:t>שירות</w:t>
      </w:r>
      <w:r w:rsidRPr="00C43F1B">
        <w:rPr>
          <w:rtl/>
        </w:rPr>
        <w:t xml:space="preserve"> </w:t>
      </w:r>
      <w:r w:rsidRPr="00C43F1B">
        <w:rPr>
          <w:rFonts w:hint="eastAsia"/>
          <w:rtl/>
        </w:rPr>
        <w:t>המדינה</w:t>
      </w:r>
      <w:r w:rsidRPr="00C43F1B">
        <w:rPr>
          <w:rtl/>
        </w:rPr>
        <w:t xml:space="preserve"> </w:t>
      </w:r>
      <w:r w:rsidRPr="00C43F1B">
        <w:rPr>
          <w:rFonts w:hint="eastAsia"/>
          <w:rtl/>
        </w:rPr>
        <w:t>סמכות</w:t>
      </w:r>
      <w:r w:rsidRPr="00C43F1B">
        <w:rPr>
          <w:rtl/>
        </w:rPr>
        <w:t xml:space="preserve"> </w:t>
      </w:r>
      <w:r w:rsidRPr="00C43F1B">
        <w:rPr>
          <w:rFonts w:hint="eastAsia"/>
          <w:rtl/>
        </w:rPr>
        <w:t>לפטר</w:t>
      </w:r>
      <w:r w:rsidRPr="00C43F1B">
        <w:rPr>
          <w:rtl/>
        </w:rPr>
        <w:t xml:space="preserve"> </w:t>
      </w:r>
      <w:r w:rsidRPr="00C43F1B">
        <w:rPr>
          <w:rFonts w:hint="eastAsia"/>
          <w:rtl/>
        </w:rPr>
        <w:t>או</w:t>
      </w:r>
      <w:r w:rsidRPr="00C43F1B">
        <w:rPr>
          <w:rtl/>
        </w:rPr>
        <w:t xml:space="preserve"> </w:t>
      </w:r>
      <w:r w:rsidRPr="00D478AA">
        <w:rPr>
          <w:rFonts w:hint="eastAsia"/>
          <w:rtl/>
        </w:rPr>
        <w:t>להפסיק</w:t>
      </w:r>
      <w:r w:rsidRPr="00C43F1B">
        <w:rPr>
          <w:rtl/>
        </w:rPr>
        <w:t xml:space="preserve"> </w:t>
      </w:r>
      <w:r w:rsidRPr="00C43F1B">
        <w:rPr>
          <w:rFonts w:hint="eastAsia"/>
          <w:rtl/>
        </w:rPr>
        <w:t>את</w:t>
      </w:r>
      <w:r w:rsidRPr="00C43F1B">
        <w:rPr>
          <w:rtl/>
        </w:rPr>
        <w:t xml:space="preserve"> </w:t>
      </w:r>
      <w:r w:rsidRPr="00C43F1B">
        <w:rPr>
          <w:rFonts w:hint="eastAsia"/>
          <w:rtl/>
        </w:rPr>
        <w:t>עבודתו</w:t>
      </w:r>
      <w:r w:rsidRPr="00C43F1B">
        <w:rPr>
          <w:rtl/>
        </w:rPr>
        <w:t xml:space="preserve"> </w:t>
      </w:r>
      <w:r w:rsidRPr="00C43F1B">
        <w:rPr>
          <w:rFonts w:hint="eastAsia"/>
          <w:rtl/>
        </w:rPr>
        <w:t>של</w:t>
      </w:r>
      <w:r w:rsidRPr="00C43F1B">
        <w:rPr>
          <w:rtl/>
        </w:rPr>
        <w:t xml:space="preserve"> </w:t>
      </w:r>
      <w:r w:rsidRPr="00C43F1B">
        <w:rPr>
          <w:rFonts w:hint="eastAsia"/>
          <w:rtl/>
        </w:rPr>
        <w:t>עובד</w:t>
      </w:r>
      <w:r w:rsidRPr="00C43F1B">
        <w:rPr>
          <w:rtl/>
        </w:rPr>
        <w:t xml:space="preserve"> </w:t>
      </w:r>
      <w:r w:rsidRPr="00C43F1B">
        <w:rPr>
          <w:rFonts w:hint="eastAsia"/>
          <w:rtl/>
        </w:rPr>
        <w:t>המדינה</w:t>
      </w:r>
      <w:r w:rsidRPr="00C43F1B">
        <w:rPr>
          <w:rtl/>
        </w:rPr>
        <w:t xml:space="preserve"> </w:t>
      </w:r>
      <w:r w:rsidRPr="00C43F1B">
        <w:rPr>
          <w:rFonts w:hint="eastAsia"/>
          <w:rtl/>
        </w:rPr>
        <w:t>שאינו</w:t>
      </w:r>
      <w:r w:rsidRPr="00C43F1B">
        <w:rPr>
          <w:rtl/>
        </w:rPr>
        <w:t xml:space="preserve"> </w:t>
      </w:r>
      <w:r w:rsidRPr="00C43F1B">
        <w:rPr>
          <w:rFonts w:hint="eastAsia"/>
          <w:rtl/>
        </w:rPr>
        <w:t>מתאים</w:t>
      </w:r>
      <w:r w:rsidRPr="00C43F1B">
        <w:rPr>
          <w:rtl/>
        </w:rPr>
        <w:t xml:space="preserve"> </w:t>
      </w:r>
      <w:r w:rsidRPr="00C43F1B">
        <w:rPr>
          <w:rFonts w:hint="eastAsia"/>
          <w:rtl/>
        </w:rPr>
        <w:t>למלא</w:t>
      </w:r>
      <w:r w:rsidRPr="00C43F1B">
        <w:rPr>
          <w:rtl/>
        </w:rPr>
        <w:t xml:space="preserve"> </w:t>
      </w:r>
      <w:r w:rsidRPr="00C43F1B">
        <w:rPr>
          <w:rFonts w:hint="eastAsia"/>
          <w:rtl/>
        </w:rPr>
        <w:t>את</w:t>
      </w:r>
      <w:r w:rsidRPr="00C43F1B">
        <w:rPr>
          <w:rtl/>
        </w:rPr>
        <w:t xml:space="preserve"> </w:t>
      </w:r>
      <w:r w:rsidRPr="00C43F1B">
        <w:rPr>
          <w:rFonts w:hint="eastAsia"/>
          <w:rtl/>
        </w:rPr>
        <w:t>תפקידו</w:t>
      </w:r>
      <w:r w:rsidRPr="00C43F1B">
        <w:rPr>
          <w:rtl/>
        </w:rPr>
        <w:t xml:space="preserve"> </w:t>
      </w:r>
      <w:r w:rsidRPr="00C43F1B">
        <w:rPr>
          <w:rFonts w:hint="eastAsia"/>
          <w:rtl/>
        </w:rPr>
        <w:t>שלא</w:t>
      </w:r>
      <w:r w:rsidRPr="00C43F1B">
        <w:rPr>
          <w:rtl/>
        </w:rPr>
        <w:t xml:space="preserve"> </w:t>
      </w:r>
      <w:r w:rsidRPr="00C43F1B">
        <w:rPr>
          <w:rFonts w:hint="eastAsia"/>
          <w:rtl/>
        </w:rPr>
        <w:t>מחמת</w:t>
      </w:r>
      <w:r w:rsidRPr="00C43F1B">
        <w:rPr>
          <w:rtl/>
        </w:rPr>
        <w:t xml:space="preserve"> </w:t>
      </w:r>
      <w:r w:rsidRPr="00C43F1B">
        <w:rPr>
          <w:rFonts w:hint="eastAsia"/>
          <w:rtl/>
        </w:rPr>
        <w:t>עבירת</w:t>
      </w:r>
      <w:r w:rsidRPr="00C43F1B">
        <w:rPr>
          <w:rtl/>
        </w:rPr>
        <w:t xml:space="preserve"> </w:t>
      </w:r>
      <w:r w:rsidRPr="00C43F1B">
        <w:rPr>
          <w:rFonts w:hint="eastAsia"/>
          <w:rtl/>
        </w:rPr>
        <w:t>משמעת</w:t>
      </w:r>
      <w:r w:rsidRPr="00C43F1B">
        <w:rPr>
          <w:rtl/>
        </w:rPr>
        <w:t xml:space="preserve"> </w:t>
      </w:r>
      <w:r w:rsidRPr="00C43F1B">
        <w:rPr>
          <w:rFonts w:hint="eastAsia"/>
          <w:rtl/>
        </w:rPr>
        <w:t>אלא</w:t>
      </w:r>
      <w:r w:rsidRPr="00C43F1B">
        <w:rPr>
          <w:rtl/>
        </w:rPr>
        <w:t xml:space="preserve"> </w:t>
      </w:r>
      <w:r w:rsidRPr="00C43F1B">
        <w:rPr>
          <w:rFonts w:hint="eastAsia"/>
          <w:rtl/>
        </w:rPr>
        <w:t>מחמת</w:t>
      </w:r>
      <w:r w:rsidRPr="00C43F1B">
        <w:rPr>
          <w:rtl/>
        </w:rPr>
        <w:t xml:space="preserve"> </w:t>
      </w:r>
      <w:r w:rsidRPr="00C43F1B">
        <w:rPr>
          <w:rFonts w:hint="eastAsia"/>
          <w:rtl/>
        </w:rPr>
        <w:t>אי</w:t>
      </w:r>
      <w:r w:rsidRPr="00C43F1B">
        <w:rPr>
          <w:rtl/>
        </w:rPr>
        <w:t xml:space="preserve">-התאמה. </w:t>
      </w:r>
      <w:r w:rsidRPr="00C43F1B">
        <w:rPr>
          <w:rFonts w:hint="eastAsia"/>
          <w:rtl/>
        </w:rPr>
        <w:t>נוהל</w:t>
      </w:r>
      <w:r w:rsidRPr="00C43F1B">
        <w:rPr>
          <w:rFonts w:hint="cs"/>
          <w:rtl/>
        </w:rPr>
        <w:t xml:space="preserve"> נש"ם בנושא</w:t>
      </w:r>
      <w:r w:rsidRPr="00C43F1B">
        <w:rPr>
          <w:rtl/>
        </w:rPr>
        <w:t xml:space="preserve"> </w:t>
      </w:r>
      <w:r w:rsidRPr="00C43F1B">
        <w:rPr>
          <w:rFonts w:hint="eastAsia"/>
          <w:rtl/>
        </w:rPr>
        <w:t>פיטורי</w:t>
      </w:r>
      <w:r w:rsidRPr="00C43F1B">
        <w:rPr>
          <w:rFonts w:hint="cs"/>
          <w:rtl/>
        </w:rPr>
        <w:t>ם מחמת</w:t>
      </w:r>
      <w:r w:rsidRPr="00C43F1B">
        <w:rPr>
          <w:rtl/>
        </w:rPr>
        <w:t xml:space="preserve"> </w:t>
      </w:r>
      <w:r w:rsidRPr="00C43F1B">
        <w:rPr>
          <w:rFonts w:hint="eastAsia"/>
          <w:rtl/>
        </w:rPr>
        <w:t>אי</w:t>
      </w:r>
      <w:r w:rsidRPr="00C43F1B">
        <w:rPr>
          <w:rFonts w:hint="cs"/>
          <w:rtl/>
        </w:rPr>
        <w:t>-</w:t>
      </w:r>
      <w:r w:rsidRPr="00C43F1B">
        <w:rPr>
          <w:rFonts w:hint="eastAsia"/>
          <w:rtl/>
        </w:rPr>
        <w:t>התאמה</w:t>
      </w:r>
      <w:r w:rsidRPr="00C43F1B">
        <w:rPr>
          <w:rtl/>
        </w:rPr>
        <w:t xml:space="preserve"> </w:t>
      </w:r>
      <w:r w:rsidRPr="00C43F1B">
        <w:rPr>
          <w:rFonts w:hint="cs"/>
          <w:rtl/>
        </w:rPr>
        <w:t>מ</w:t>
      </w:r>
      <w:r w:rsidRPr="00C43F1B">
        <w:rPr>
          <w:rtl/>
        </w:rPr>
        <w:t>אציל סמכות זו למנ</w:t>
      </w:r>
      <w:r w:rsidRPr="00C43F1B">
        <w:rPr>
          <w:rFonts w:hint="cs"/>
          <w:rtl/>
        </w:rPr>
        <w:t>כ"לי</w:t>
      </w:r>
      <w:r w:rsidRPr="00C43F1B">
        <w:rPr>
          <w:rtl/>
        </w:rPr>
        <w:t xml:space="preserve"> משרדי הממשלה. </w:t>
      </w:r>
    </w:p>
    <w:p w14:paraId="21322BE9" w14:textId="375E2FDA" w:rsidR="00417266" w:rsidRDefault="00417266" w:rsidP="00D478AA">
      <w:pPr>
        <w:pStyle w:val="a"/>
        <w:numPr>
          <w:ilvl w:val="1"/>
          <w:numId w:val="40"/>
        </w:numPr>
      </w:pPr>
      <w:r w:rsidRPr="0089598C">
        <w:rPr>
          <w:rFonts w:hint="cs"/>
          <w:rtl/>
        </w:rPr>
        <w:t xml:space="preserve">משרד החינוך </w:t>
      </w:r>
      <w:r>
        <w:rPr>
          <w:rFonts w:hint="cs"/>
          <w:rtl/>
        </w:rPr>
        <w:t>השיב כי ההליך המקביל לפיטורי אי-התאמה של עובד מדינה לפי התקשי"ר, הוא הליך</w:t>
      </w:r>
      <w:r w:rsidRPr="0089598C">
        <w:rPr>
          <w:rFonts w:hint="cs"/>
          <w:rtl/>
        </w:rPr>
        <w:t xml:space="preserve"> הפיטורים הפדגוגיים </w:t>
      </w:r>
      <w:r>
        <w:rPr>
          <w:rFonts w:hint="cs"/>
          <w:rtl/>
        </w:rPr>
        <w:t>של עובדי ההוראה. הליך זה מוסדר</w:t>
      </w:r>
      <w:r w:rsidRPr="0089598C">
        <w:rPr>
          <w:rtl/>
        </w:rPr>
        <w:t xml:space="preserve"> </w:t>
      </w:r>
      <w:r>
        <w:rPr>
          <w:rFonts w:hint="cs"/>
          <w:rtl/>
        </w:rPr>
        <w:t>ב</w:t>
      </w:r>
      <w:r w:rsidRPr="00DF37C4">
        <w:rPr>
          <w:rtl/>
        </w:rPr>
        <w:t>תקנון שירות עובדי הוראה</w:t>
      </w:r>
      <w:r>
        <w:rPr>
          <w:rFonts w:hint="cs"/>
          <w:rtl/>
        </w:rPr>
        <w:t>,</w:t>
      </w:r>
      <w:r w:rsidRPr="00DF37C4">
        <w:rPr>
          <w:rtl/>
        </w:rPr>
        <w:t xml:space="preserve"> שנקבע בשיתוף ארגוני המורים, </w:t>
      </w:r>
      <w:r>
        <w:rPr>
          <w:rFonts w:hint="cs"/>
          <w:rtl/>
        </w:rPr>
        <w:t>ו</w:t>
      </w:r>
      <w:r w:rsidRPr="00DF37C4">
        <w:rPr>
          <w:rtl/>
        </w:rPr>
        <w:t xml:space="preserve">הוא </w:t>
      </w:r>
      <w:r>
        <w:rPr>
          <w:rFonts w:hint="cs"/>
          <w:rtl/>
        </w:rPr>
        <w:t xml:space="preserve">מאפשר </w:t>
      </w:r>
      <w:r w:rsidRPr="00DF37C4">
        <w:rPr>
          <w:rtl/>
        </w:rPr>
        <w:t xml:space="preserve">פיטורי עובדי הוראה במקרים שאינם </w:t>
      </w:r>
      <w:r>
        <w:rPr>
          <w:rFonts w:hint="cs"/>
          <w:rtl/>
        </w:rPr>
        <w:t xml:space="preserve">מאפשרים לנקוט את </w:t>
      </w:r>
      <w:r w:rsidRPr="00DF37C4">
        <w:rPr>
          <w:rtl/>
        </w:rPr>
        <w:t xml:space="preserve">הליך הפיטורים הקבוע בתקשי"ר. זהו הליך </w:t>
      </w:r>
      <w:r w:rsidRPr="00DF37C4">
        <w:rPr>
          <w:rtl/>
        </w:rPr>
        <w:lastRenderedPageBreak/>
        <w:t xml:space="preserve">ממושך </w:t>
      </w:r>
      <w:r>
        <w:rPr>
          <w:rFonts w:hint="cs"/>
          <w:rtl/>
        </w:rPr>
        <w:t xml:space="preserve">שנמשך יותר </w:t>
      </w:r>
      <w:r w:rsidRPr="00DF37C4">
        <w:rPr>
          <w:rtl/>
        </w:rPr>
        <w:t>משנה</w:t>
      </w:r>
      <w:r>
        <w:rPr>
          <w:rFonts w:hint="cs"/>
          <w:rtl/>
        </w:rPr>
        <w:t>,</w:t>
      </w:r>
      <w:r w:rsidRPr="00DF37C4">
        <w:rPr>
          <w:rtl/>
        </w:rPr>
        <w:t xml:space="preserve"> </w:t>
      </w:r>
      <w:r>
        <w:rPr>
          <w:rFonts w:hint="cs"/>
          <w:rtl/>
        </w:rPr>
        <w:t>ו</w:t>
      </w:r>
      <w:r w:rsidRPr="00DF37C4">
        <w:rPr>
          <w:rtl/>
        </w:rPr>
        <w:t>במהלכו עובד ההוראה ממשיך ללמד</w:t>
      </w:r>
      <w:r>
        <w:rPr>
          <w:rFonts w:hint="cs"/>
          <w:rtl/>
        </w:rPr>
        <w:t>.</w:t>
      </w:r>
      <w:r w:rsidRPr="00DF37C4">
        <w:rPr>
          <w:rtl/>
        </w:rPr>
        <w:t xml:space="preserve"> הנהלת בית הספר </w:t>
      </w:r>
      <w:r>
        <w:rPr>
          <w:rFonts w:hint="cs"/>
          <w:rtl/>
        </w:rPr>
        <w:t>צופה בו</w:t>
      </w:r>
      <w:r w:rsidRPr="00DF37C4">
        <w:rPr>
          <w:rtl/>
        </w:rPr>
        <w:t xml:space="preserve"> </w:t>
      </w:r>
      <w:r>
        <w:rPr>
          <w:rFonts w:hint="cs"/>
          <w:rtl/>
        </w:rPr>
        <w:t xml:space="preserve">כשהוא </w:t>
      </w:r>
      <w:r w:rsidRPr="00DF37C4">
        <w:rPr>
          <w:rtl/>
        </w:rPr>
        <w:t>מנהל את שיעור</w:t>
      </w:r>
      <w:r>
        <w:rPr>
          <w:rFonts w:hint="cs"/>
          <w:rtl/>
        </w:rPr>
        <w:t>ים</w:t>
      </w:r>
      <w:r w:rsidRPr="00DF37C4">
        <w:rPr>
          <w:rtl/>
        </w:rPr>
        <w:t xml:space="preserve">, </w:t>
      </w:r>
      <w:r>
        <w:rPr>
          <w:rFonts w:hint="cs"/>
          <w:rtl/>
        </w:rPr>
        <w:t>ו</w:t>
      </w:r>
      <w:r w:rsidRPr="00DF37C4">
        <w:rPr>
          <w:rtl/>
        </w:rPr>
        <w:t>מהות ההליך היא קביעה כי כשל בתפקידו כמורה בכיתה</w:t>
      </w:r>
      <w:r>
        <w:rPr>
          <w:rFonts w:hint="cs"/>
          <w:rtl/>
        </w:rPr>
        <w:t>.</w:t>
      </w:r>
    </w:p>
    <w:p w14:paraId="3B9E63D0" w14:textId="77777777" w:rsidR="00417266" w:rsidRDefault="00417266" w:rsidP="00D478AA">
      <w:pPr>
        <w:pStyle w:val="ab"/>
        <w:rPr>
          <w:rtl/>
        </w:rPr>
      </w:pPr>
      <w:r w:rsidRPr="00D478AA">
        <w:rPr>
          <w:rFonts w:hint="eastAsia"/>
          <w:rtl/>
        </w:rPr>
        <w:t>הליך</w:t>
      </w:r>
      <w:r w:rsidRPr="004008A0">
        <w:rPr>
          <w:rtl/>
        </w:rPr>
        <w:t xml:space="preserve"> פיטורים פדגוגיים</w:t>
      </w:r>
      <w:r>
        <w:rPr>
          <w:rFonts w:hint="cs"/>
          <w:rtl/>
        </w:rPr>
        <w:t xml:space="preserve"> זה</w:t>
      </w:r>
      <w:r w:rsidRPr="004008A0">
        <w:rPr>
          <w:rtl/>
        </w:rPr>
        <w:t xml:space="preserve"> </w:t>
      </w:r>
      <w:r w:rsidRPr="004008A0">
        <w:rPr>
          <w:rFonts w:hint="cs"/>
          <w:rtl/>
        </w:rPr>
        <w:t>אינו</w:t>
      </w:r>
      <w:r w:rsidRPr="004008A0">
        <w:rPr>
          <w:rtl/>
        </w:rPr>
        <w:t xml:space="preserve"> </w:t>
      </w:r>
      <w:r>
        <w:rPr>
          <w:rFonts w:hint="cs"/>
          <w:rtl/>
        </w:rPr>
        <w:t xml:space="preserve">יכול לשמש </w:t>
      </w:r>
      <w:r w:rsidRPr="004008A0">
        <w:rPr>
          <w:rtl/>
        </w:rPr>
        <w:t xml:space="preserve">הליך פיטורים בעקבות תלונות על הטרדה מינית. </w:t>
      </w:r>
      <w:r>
        <w:rPr>
          <w:rFonts w:hint="cs"/>
          <w:rtl/>
        </w:rPr>
        <w:t>תקנון שירות עובדי הוראה אינו קובע תנאים מתאימים להליך פיטורים בשל הטרדה מינית</w:t>
      </w:r>
      <w:r w:rsidRPr="004008A0">
        <w:rPr>
          <w:rtl/>
        </w:rPr>
        <w:t xml:space="preserve">. </w:t>
      </w:r>
    </w:p>
    <w:p w14:paraId="1F813F20" w14:textId="77777777" w:rsidR="00417266" w:rsidRPr="003475B5" w:rsidRDefault="00417266" w:rsidP="00D478AA">
      <w:pPr>
        <w:pStyle w:val="ab"/>
        <w:rPr>
          <w:rtl/>
        </w:rPr>
      </w:pPr>
      <w:r w:rsidRPr="003475B5">
        <w:rPr>
          <w:rFonts w:hint="eastAsia"/>
          <w:rtl/>
        </w:rPr>
        <w:t>נמצא</w:t>
      </w:r>
      <w:r w:rsidRPr="003475B5">
        <w:rPr>
          <w:rtl/>
        </w:rPr>
        <w:t xml:space="preserve"> כי </w:t>
      </w:r>
      <w:r w:rsidRPr="003475B5">
        <w:rPr>
          <w:rFonts w:hint="eastAsia"/>
          <w:rtl/>
        </w:rPr>
        <w:t>משרד</w:t>
      </w:r>
      <w:r w:rsidRPr="003475B5">
        <w:rPr>
          <w:rtl/>
        </w:rPr>
        <w:t xml:space="preserve"> החינוך נמנע משימוש בהליך פיטורי</w:t>
      </w:r>
      <w:r>
        <w:rPr>
          <w:rFonts w:hint="cs"/>
          <w:rtl/>
        </w:rPr>
        <w:t>ם מחמת אי-התאמה</w:t>
      </w:r>
      <w:r w:rsidRPr="003475B5">
        <w:rPr>
          <w:rtl/>
        </w:rPr>
        <w:t xml:space="preserve">. </w:t>
      </w:r>
    </w:p>
    <w:p w14:paraId="347C7783" w14:textId="77777777" w:rsidR="00417266" w:rsidRPr="00C43F1B" w:rsidRDefault="00417266" w:rsidP="00D478AA">
      <w:pPr>
        <w:pStyle w:val="ad"/>
        <w:rPr>
          <w:rtl/>
        </w:rPr>
      </w:pPr>
      <w:r>
        <w:rPr>
          <w:rFonts w:hint="cs"/>
          <w:rtl/>
        </w:rPr>
        <w:t xml:space="preserve">כך </w:t>
      </w:r>
      <w:r w:rsidRPr="00C43F1B">
        <w:rPr>
          <w:rFonts w:hint="cs"/>
          <w:rtl/>
        </w:rPr>
        <w:t>לדוגמה</w:t>
      </w:r>
      <w:r>
        <w:rPr>
          <w:rFonts w:hint="cs"/>
          <w:rtl/>
        </w:rPr>
        <w:t xml:space="preserve">, </w:t>
      </w:r>
      <w:r w:rsidRPr="00C43F1B">
        <w:rPr>
          <w:rFonts w:hint="cs"/>
          <w:rtl/>
        </w:rPr>
        <w:t xml:space="preserve">מורה שהורים דיווחו למנהלת מוסד חינוכי כי הטריד מינית אך לא הוגשה נגדו תלונה רשמית למשטרה המשיך לעבוד. כשלוש שנים לאחר הגשת התלונה קיבל אגף המשמעת במשה"ח דיווח נוסף על הטרדה מינית </w:t>
      </w:r>
      <w:r>
        <w:rPr>
          <w:rFonts w:hint="cs"/>
          <w:rtl/>
        </w:rPr>
        <w:t>מצד</w:t>
      </w:r>
      <w:r w:rsidRPr="00C43F1B">
        <w:rPr>
          <w:rFonts w:hint="cs"/>
          <w:rtl/>
        </w:rPr>
        <w:t xml:space="preserve"> אותו מורה. נפתח נגדו תיק פלילי במשטרה והוא הושעה השעיה דחופה עד לסיום הליך הבירור הפלילי. בעקבות סגירת התיק הפלילי מחוסר ראיות נסגר גם התיק המשמעתי, והמורה חזר ללמד בכפוף להרחקתו מהעיר שבה הוגשה התלונה. כעבור שנתיים נוספות התקבל באגף המשמעת במשה"ח דיווח חדש על הטרדה מינית של תלמידה בידי אותו מורה, וכעבור שנתיים התקבל דיווח רביעי. בשני המקרים האחרונים סירבו ההורים להגיש תלונה במשטרה, ולכן לא פתחה נש"ם בהליך משמעתי.</w:t>
      </w:r>
    </w:p>
    <w:p w14:paraId="29227E42" w14:textId="77777777" w:rsidR="00417266" w:rsidRPr="00C43F1B" w:rsidRDefault="00417266" w:rsidP="00D478AA">
      <w:pPr>
        <w:pStyle w:val="ad"/>
        <w:rPr>
          <w:sz w:val="24"/>
          <w:rtl/>
        </w:rPr>
      </w:pPr>
      <w:r w:rsidRPr="00C43F1B">
        <w:rPr>
          <w:rFonts w:hint="cs"/>
          <w:sz w:val="24"/>
          <w:rtl/>
        </w:rPr>
        <w:t>ביוני 2016 פנתה מנהלת אגף המשמעת במשה"ח אל מחלקת הייעוץ המשפטי של משרד החינוך וביקשה לדעת מה עמדתה לגבי המשך העסקתו של אותו מורה, שבמשך שבע שנים התקבלו עליו תלונות ודיווחים על הטרדות מיניות. תשובת מחלקת הייעוץ המשפטי הייתה שבכוונתה לפנות למחלקה למשפט העבודה בפרקליטות המדינה כדי לגבש הליך שיביא לפיטורים בעילה של אי-התאמה. מחלקת הייעוץ המשפטי לא קידמה את הנושא, וביולי 2017 פנתה אליה שוב מנהלת אגף המשמעת במשה"ח בבקשה לפתוח בהליך פיטורים מחמת אי-התאמה, אך לא קיבלה אישור ממחלקת הייעוץ המשפטי</w:t>
      </w:r>
      <w:r w:rsidRPr="00C43F1B">
        <w:rPr>
          <w:sz w:val="24"/>
          <w:rtl/>
        </w:rPr>
        <w:t>.</w:t>
      </w:r>
      <w:r w:rsidRPr="00C43F1B">
        <w:rPr>
          <w:rFonts w:hint="cs"/>
          <w:sz w:val="24"/>
          <w:rtl/>
        </w:rPr>
        <w:t xml:space="preserve"> </w:t>
      </w:r>
    </w:p>
    <w:p w14:paraId="14789E8E" w14:textId="77777777" w:rsidR="00417266" w:rsidRDefault="00417266" w:rsidP="00D478AA">
      <w:pPr>
        <w:pStyle w:val="ad"/>
        <w:rPr>
          <w:rtl/>
        </w:rPr>
      </w:pPr>
      <w:r>
        <w:rPr>
          <w:rFonts w:hint="cs"/>
          <w:rtl/>
        </w:rPr>
        <w:t>אגף המשמעת במשה"ח מסר בתגובתו מאוגוסט 2019 כי יקדם בברכה מהלך של פיטורים מחמת אי-התאמה של עובדי המשרד.</w:t>
      </w:r>
      <w:r w:rsidRPr="006C6AC2">
        <w:rPr>
          <w:rtl/>
        </w:rPr>
        <w:t xml:space="preserve"> משרד החינוך </w:t>
      </w:r>
      <w:r>
        <w:rPr>
          <w:rFonts w:hint="cs"/>
          <w:rtl/>
        </w:rPr>
        <w:t>מסר כי כל טיפול בהתנהגות בלתי מותאמת של עובד הוראה צריך שייעשה מול ארגון העובדים היציג.</w:t>
      </w:r>
    </w:p>
    <w:p w14:paraId="0228FE51" w14:textId="77777777" w:rsidR="00417266" w:rsidRPr="003A5FA5" w:rsidRDefault="00417266" w:rsidP="00D478AA">
      <w:pPr>
        <w:pStyle w:val="ab"/>
        <w:rPr>
          <w:rtl/>
        </w:rPr>
      </w:pPr>
      <w:r>
        <w:rPr>
          <w:rFonts w:hint="cs"/>
          <w:rtl/>
        </w:rPr>
        <w:t>על משרד החינוך לבחון קביעת אמות מידה לבחירת מקרים של הטרדות מיניות שבהם ייעשה שימוש בהליך פיטורים מחמת אי-התאמה.</w:t>
      </w:r>
    </w:p>
    <w:p w14:paraId="3A59CCD2" w14:textId="77777777" w:rsidR="00E75790" w:rsidRDefault="00E75790">
      <w:pPr>
        <w:bidi w:val="0"/>
        <w:spacing w:after="200" w:line="276" w:lineRule="auto"/>
        <w:rPr>
          <w:rStyle w:val="Heading7Char"/>
          <w:rtl/>
        </w:rPr>
      </w:pPr>
      <w:r>
        <w:rPr>
          <w:rStyle w:val="Heading7Char"/>
          <w:rtl/>
        </w:rPr>
        <w:br w:type="page"/>
      </w:r>
    </w:p>
    <w:p w14:paraId="1B949140" w14:textId="65CE6732" w:rsidR="00417266" w:rsidRPr="005C552D" w:rsidRDefault="00417266" w:rsidP="005C552D">
      <w:pPr>
        <w:pStyle w:val="a0"/>
      </w:pPr>
      <w:r w:rsidRPr="00AA321D">
        <w:rPr>
          <w:rStyle w:val="Heading7Char"/>
          <w:rFonts w:eastAsiaTheme="minorHAnsi" w:hint="eastAsia"/>
          <w:b/>
          <w:color w:val="004E6C"/>
          <w:spacing w:val="0"/>
          <w:rtl/>
        </w:rPr>
        <w:lastRenderedPageBreak/>
        <w:t>אישורי</w:t>
      </w:r>
      <w:r w:rsidRPr="00AA321D">
        <w:rPr>
          <w:rStyle w:val="Heading7Char"/>
          <w:rFonts w:eastAsiaTheme="minorHAnsi"/>
          <w:b/>
          <w:color w:val="004E6C"/>
          <w:spacing w:val="0"/>
          <w:rtl/>
        </w:rPr>
        <w:t xml:space="preserve"> </w:t>
      </w:r>
      <w:r w:rsidRPr="00AA321D">
        <w:rPr>
          <w:rStyle w:val="Heading7Char"/>
          <w:rFonts w:eastAsiaTheme="minorHAnsi" w:hint="eastAsia"/>
          <w:b/>
          <w:color w:val="004E6C"/>
          <w:spacing w:val="0"/>
          <w:rtl/>
        </w:rPr>
        <w:t>העסקה</w:t>
      </w:r>
      <w:r w:rsidRPr="00AA321D">
        <w:rPr>
          <w:rStyle w:val="Heading7Char"/>
          <w:rFonts w:eastAsiaTheme="minorHAnsi"/>
          <w:b/>
          <w:color w:val="004E6C"/>
          <w:spacing w:val="0"/>
          <w:rtl/>
        </w:rPr>
        <w:t xml:space="preserve"> </w:t>
      </w:r>
      <w:r w:rsidRPr="00AA321D">
        <w:rPr>
          <w:rStyle w:val="Heading7Char"/>
          <w:rFonts w:eastAsiaTheme="minorHAnsi" w:hint="eastAsia"/>
          <w:b/>
          <w:color w:val="004E6C"/>
          <w:spacing w:val="0"/>
          <w:rtl/>
        </w:rPr>
        <w:t>לעובדי</w:t>
      </w:r>
      <w:r w:rsidRPr="00AA321D">
        <w:rPr>
          <w:rStyle w:val="Heading7Char"/>
          <w:rFonts w:eastAsiaTheme="minorHAnsi"/>
          <w:b/>
          <w:color w:val="004E6C"/>
          <w:spacing w:val="0"/>
          <w:rtl/>
        </w:rPr>
        <w:t xml:space="preserve"> </w:t>
      </w:r>
      <w:r w:rsidRPr="00AA321D">
        <w:rPr>
          <w:rStyle w:val="Heading7Char"/>
          <w:rFonts w:eastAsiaTheme="minorHAnsi" w:hint="eastAsia"/>
          <w:b/>
          <w:color w:val="004E6C"/>
          <w:spacing w:val="0"/>
          <w:rtl/>
        </w:rPr>
        <w:t>הוראה</w:t>
      </w:r>
      <w:r w:rsidRPr="00AA321D">
        <w:rPr>
          <w:rStyle w:val="Heading7Char"/>
          <w:rFonts w:eastAsiaTheme="minorHAnsi" w:hint="cs"/>
          <w:b/>
          <w:color w:val="004E6C"/>
          <w:spacing w:val="0"/>
          <w:rtl/>
        </w:rPr>
        <w:t>:</w:t>
      </w:r>
      <w:r w:rsidRPr="00AA321D">
        <w:rPr>
          <w:rStyle w:val="Heading7Char"/>
          <w:rFonts w:eastAsiaTheme="minorHAnsi"/>
          <w:bCs w:val="0"/>
          <w:color w:val="004E6C"/>
          <w:spacing w:val="0"/>
          <w:rtl/>
        </w:rPr>
        <w:t xml:space="preserve"> </w:t>
      </w:r>
      <w:r w:rsidRPr="005C552D">
        <w:rPr>
          <w:rFonts w:hint="cs"/>
          <w:rtl/>
        </w:rPr>
        <w:t>לגבי עובדי בעלויות שהתלוננו נגדם על הטרדה מינית, משרד החינוך פועל להפסקת העסקתם באמצעות הוועדה המייעצת למנכ"ל המשרד לעניין מתן אישור העסקה לעובדי הוראה</w:t>
      </w:r>
      <w:r w:rsidRPr="005C552D">
        <w:rPr>
          <w:rStyle w:val="FootnoteReference"/>
          <w:vertAlign w:val="baseline"/>
          <w:rtl/>
        </w:rPr>
        <w:footnoteReference w:id="93"/>
      </w:r>
      <w:r w:rsidRPr="005C552D">
        <w:rPr>
          <w:rFonts w:hint="cs"/>
          <w:rtl/>
        </w:rPr>
        <w:t>. הוועדה בוחנת את נסיבות התלונות ורשאית לבטל אישור העסקה אף כשאין הרשעה פלילית או משמעתית</w:t>
      </w:r>
      <w:r w:rsidRPr="005C552D">
        <w:rPr>
          <w:rStyle w:val="FootnoteReference"/>
          <w:vertAlign w:val="baseline"/>
          <w:rtl/>
        </w:rPr>
        <w:footnoteReference w:id="94"/>
      </w:r>
      <w:r w:rsidRPr="005C552D">
        <w:rPr>
          <w:rFonts w:hint="cs"/>
          <w:rtl/>
        </w:rPr>
        <w:t xml:space="preserve">. אם החליטה הוועדה לבטל אישור העסקה לעובד ההוראה, נדרשת הבעלות לפטרו. הוועדה איננה נוקטת כלי זה כנגד עובדי הוראה המועסקים על ידי משרד החינוך. </w:t>
      </w:r>
    </w:p>
    <w:p w14:paraId="46EAAC80" w14:textId="77777777" w:rsidR="00417266" w:rsidRPr="000442CD" w:rsidRDefault="00417266" w:rsidP="00923DB7">
      <w:pPr>
        <w:pStyle w:val="af3"/>
        <w:rPr>
          <w:rtl/>
        </w:rPr>
      </w:pPr>
      <w:r>
        <w:rPr>
          <w:rFonts w:hint="cs"/>
          <w:rtl/>
        </w:rPr>
        <w:t xml:space="preserve">עולה מן האמור לעיל כי במקרה שבו תלונת הטרדה מינית של קטין כנגד עובד הוראה לא הגיעה לכלל הרשעה פלילית, נש"ם לא תחקור את הקטין ולכן לא תעמיד לדין את עובד ההוראה; משרד החינוך לא יפעיל את נוהל הפיטורים מחמת אי-התאמה; ולא יימצא מענה גם בתקנון שירות עובדי הוראה. רק אם עובד ההוראה הוא עובד בעלות יהיה אפשר לכנס את הוועדה המייעצת למנכ"ל לצורך ביטול אישור ההעסקה שלו. </w:t>
      </w:r>
    </w:p>
    <w:p w14:paraId="7B54C1D3" w14:textId="77777777" w:rsidR="00417266" w:rsidRPr="003F1C3E" w:rsidRDefault="00417266" w:rsidP="00923DB7">
      <w:pPr>
        <w:pStyle w:val="af3"/>
        <w:rPr>
          <w:rtl/>
        </w:rPr>
      </w:pPr>
      <w:r w:rsidRPr="00AF25EB">
        <w:rPr>
          <w:rFonts w:hint="eastAsia"/>
          <w:rtl/>
        </w:rPr>
        <w:t>המצב</w:t>
      </w:r>
      <w:r w:rsidRPr="00AF25EB">
        <w:rPr>
          <w:rtl/>
        </w:rPr>
        <w:t xml:space="preserve"> </w:t>
      </w:r>
      <w:r w:rsidRPr="00AF25EB">
        <w:rPr>
          <w:rFonts w:hint="eastAsia"/>
          <w:rtl/>
        </w:rPr>
        <w:t>הנוכחי</w:t>
      </w:r>
      <w:r w:rsidRPr="00AF25EB">
        <w:rPr>
          <w:rtl/>
        </w:rPr>
        <w:t xml:space="preserve">, </w:t>
      </w:r>
      <w:r w:rsidRPr="00AF25EB">
        <w:rPr>
          <w:rFonts w:hint="eastAsia"/>
          <w:rtl/>
        </w:rPr>
        <w:t>שבו</w:t>
      </w:r>
      <w:r w:rsidRPr="00AF25EB">
        <w:rPr>
          <w:rtl/>
        </w:rPr>
        <w:t xml:space="preserve"> </w:t>
      </w:r>
      <w:r w:rsidRPr="00AF25EB">
        <w:rPr>
          <w:rFonts w:hint="eastAsia"/>
          <w:rtl/>
        </w:rPr>
        <w:t>מורים</w:t>
      </w:r>
      <w:r w:rsidRPr="00AF25EB">
        <w:rPr>
          <w:rtl/>
        </w:rPr>
        <w:t xml:space="preserve"> </w:t>
      </w:r>
      <w:r>
        <w:rPr>
          <w:rFonts w:hint="cs"/>
          <w:rtl/>
        </w:rPr>
        <w:t>אשר חזרו ו</w:t>
      </w:r>
      <w:r w:rsidRPr="00AF25EB">
        <w:rPr>
          <w:rFonts w:hint="eastAsia"/>
          <w:rtl/>
        </w:rPr>
        <w:t>הטרידו</w:t>
      </w:r>
      <w:r w:rsidRPr="00AF25EB">
        <w:rPr>
          <w:rtl/>
        </w:rPr>
        <w:t xml:space="preserve"> </w:t>
      </w:r>
      <w:r w:rsidRPr="00AF25EB">
        <w:rPr>
          <w:rFonts w:hint="eastAsia"/>
          <w:rtl/>
        </w:rPr>
        <w:t>מינית</w:t>
      </w:r>
      <w:r w:rsidRPr="00AF25EB">
        <w:rPr>
          <w:rtl/>
        </w:rPr>
        <w:t xml:space="preserve"> </w:t>
      </w:r>
      <w:r w:rsidRPr="00AF25EB">
        <w:rPr>
          <w:rFonts w:hint="eastAsia"/>
          <w:rtl/>
        </w:rPr>
        <w:t>תלמידות</w:t>
      </w:r>
      <w:r w:rsidRPr="00AF25EB">
        <w:rPr>
          <w:rtl/>
        </w:rPr>
        <w:t xml:space="preserve"> </w:t>
      </w:r>
      <w:r w:rsidRPr="00AF25EB">
        <w:rPr>
          <w:rFonts w:hint="eastAsia"/>
          <w:rtl/>
        </w:rPr>
        <w:t>ותלמידים</w:t>
      </w:r>
      <w:r w:rsidRPr="00AF25EB">
        <w:rPr>
          <w:rtl/>
        </w:rPr>
        <w:t xml:space="preserve"> </w:t>
      </w:r>
      <w:r>
        <w:rPr>
          <w:rFonts w:hint="cs"/>
          <w:rtl/>
        </w:rPr>
        <w:t>אך התלונה נגדם לא התגבשה לכדי הרשעה פלילית יכולים להמשיך</w:t>
      </w:r>
      <w:r w:rsidRPr="00AF25EB">
        <w:rPr>
          <w:rtl/>
        </w:rPr>
        <w:t xml:space="preserve"> </w:t>
      </w:r>
      <w:r w:rsidRPr="00AF25EB">
        <w:rPr>
          <w:rFonts w:hint="eastAsia"/>
          <w:rtl/>
        </w:rPr>
        <w:t>בעבודתם</w:t>
      </w:r>
      <w:r w:rsidRPr="00AF25EB">
        <w:rPr>
          <w:rtl/>
        </w:rPr>
        <w:t xml:space="preserve">, </w:t>
      </w:r>
      <w:r>
        <w:rPr>
          <w:rFonts w:hint="cs"/>
          <w:rtl/>
        </w:rPr>
        <w:t>דורש הסדרה מטעם משרד החינוך, למניעת הישנות מקרים ולהגנה על התלמידים.</w:t>
      </w:r>
    </w:p>
    <w:p w14:paraId="7FD15E75" w14:textId="77777777" w:rsidR="00417266" w:rsidRPr="00C43F1B" w:rsidRDefault="00417266" w:rsidP="00E65B31">
      <w:pPr>
        <w:pStyle w:val="414"/>
        <w:rPr>
          <w:rtl/>
        </w:rPr>
      </w:pPr>
      <w:r w:rsidRPr="00C43F1B">
        <w:rPr>
          <w:rFonts w:hint="cs"/>
          <w:rtl/>
        </w:rPr>
        <w:t>ניהול מידע על פוגעים</w:t>
      </w:r>
    </w:p>
    <w:p w14:paraId="0EC4D5A8" w14:textId="77777777" w:rsidR="00417266" w:rsidRDefault="00417266" w:rsidP="00E65B31">
      <w:pPr>
        <w:pStyle w:val="100"/>
        <w:rPr>
          <w:rtl/>
        </w:rPr>
      </w:pPr>
      <w:r w:rsidRPr="00C43F1B">
        <w:rPr>
          <w:rFonts w:hint="cs"/>
          <w:rtl/>
        </w:rPr>
        <w:t>חוזר אקלים חינוכי קובע כי "הממונה על אגף [המשמעת במשה"ח] ינהל מאגר מידע שיכלול את כל הדיווחים המגיעים אליו. מאגר המידע יהיה נגיש לנציגי מחלקת הייעוץ המשפטי של המשרד, לאחראים לנושא בשפ"</w:t>
      </w:r>
      <w:r>
        <w:rPr>
          <w:rFonts w:hint="cs"/>
          <w:rtl/>
        </w:rPr>
        <w:t>י</w:t>
      </w:r>
      <w:r w:rsidRPr="00C43F1B" w:rsidDel="00322C90">
        <w:rPr>
          <w:rFonts w:hint="cs"/>
          <w:rtl/>
        </w:rPr>
        <w:t xml:space="preserve"> </w:t>
      </w:r>
      <w:r w:rsidRPr="00C43F1B">
        <w:rPr>
          <w:rFonts w:hint="cs"/>
          <w:rtl/>
        </w:rPr>
        <w:t xml:space="preserve">ולמשטרה". </w:t>
      </w:r>
    </w:p>
    <w:p w14:paraId="6DEBB301" w14:textId="77777777" w:rsidR="00417266" w:rsidRPr="00C43F1B" w:rsidRDefault="00417266" w:rsidP="00E65B31">
      <w:pPr>
        <w:pStyle w:val="af3"/>
        <w:rPr>
          <w:rtl/>
        </w:rPr>
      </w:pPr>
      <w:r w:rsidRPr="00C43F1B">
        <w:rPr>
          <w:rFonts w:hint="cs"/>
          <w:rtl/>
        </w:rPr>
        <w:t>מבדיקת משרד מבקר המדינה עולה כי התיקים המתנהלים באגף המשמעת במשה"ח אינם מרוכזים במקום אחד: סגני מנהלי המחוזות מנהלים במחשביהם רישום של תיקי המשמעת המתנהלים במחוז, ואגף המשמעת מנהל רישום נפרד של התיקים. כדי לאתר תיקים ישנים יש לבצע חיפוש בכמה מקומות: המידע שבידי סגני מנהלי המחוזות; המידע שבתיקיות המחשב באגף המשמעת במשה"ח ואף המידע במערכת הדואר האלקטרוני.</w:t>
      </w:r>
    </w:p>
    <w:p w14:paraId="409E872E" w14:textId="77777777" w:rsidR="00417266" w:rsidRDefault="00417266" w:rsidP="00E65B31">
      <w:pPr>
        <w:pStyle w:val="100"/>
        <w:rPr>
          <w:rtl/>
        </w:rPr>
      </w:pPr>
      <w:r w:rsidRPr="00C43F1B">
        <w:rPr>
          <w:rFonts w:hint="cs"/>
          <w:rtl/>
        </w:rPr>
        <w:t xml:space="preserve">בשנת 2005 הוחלט באגף החשב הכללי במשרד האוצר על הקמת מערכת "סביבת עבודה רוחבית" (להלן - מערכת סע"ר), המיועדת לניהול תוכן ארגוני. מערכת סע"ר </w:t>
      </w:r>
      <w:r>
        <w:rPr>
          <w:rFonts w:hint="cs"/>
          <w:rtl/>
        </w:rPr>
        <w:t>מספקת</w:t>
      </w:r>
      <w:r w:rsidRPr="00C43F1B">
        <w:rPr>
          <w:rFonts w:hint="cs"/>
          <w:rtl/>
        </w:rPr>
        <w:t xml:space="preserve"> למשרדי הממשלה סביבת עבודה ממוחשבת אחידה וקלה לתפעול לצורך ניהול מסמכים, ניהול לשכה ודואר, ניהול ארכיונים משרדיים, ניהול תהליכי עבודה וניהול רשומות</w:t>
      </w:r>
      <w:r w:rsidRPr="00C43F1B">
        <w:rPr>
          <w:rStyle w:val="FootnoteReference"/>
          <w:sz w:val="24"/>
          <w:rtl/>
        </w:rPr>
        <w:footnoteReference w:id="95"/>
      </w:r>
      <w:r w:rsidRPr="00C43F1B">
        <w:rPr>
          <w:rFonts w:hint="cs"/>
          <w:rtl/>
        </w:rPr>
        <w:t xml:space="preserve">. </w:t>
      </w:r>
    </w:p>
    <w:p w14:paraId="5D322893" w14:textId="77777777" w:rsidR="00417266" w:rsidRDefault="00417266" w:rsidP="00E65B31">
      <w:pPr>
        <w:pStyle w:val="100"/>
        <w:rPr>
          <w:rtl/>
        </w:rPr>
      </w:pPr>
      <w:r w:rsidRPr="00C43F1B">
        <w:rPr>
          <w:rFonts w:hint="cs"/>
          <w:rtl/>
        </w:rPr>
        <w:lastRenderedPageBreak/>
        <w:t xml:space="preserve">משרד החינוך </w:t>
      </w:r>
      <w:r>
        <w:rPr>
          <w:rFonts w:hint="cs"/>
          <w:rtl/>
        </w:rPr>
        <w:t>מסר</w:t>
      </w:r>
      <w:r w:rsidRPr="00C43F1B">
        <w:rPr>
          <w:rFonts w:hint="cs"/>
          <w:rtl/>
        </w:rPr>
        <w:t xml:space="preserve"> כבר בשנת 2010 </w:t>
      </w:r>
      <w:r>
        <w:rPr>
          <w:rFonts w:hint="cs"/>
          <w:rtl/>
        </w:rPr>
        <w:t xml:space="preserve">כי יפעל </w:t>
      </w:r>
      <w:r w:rsidRPr="00C43F1B">
        <w:rPr>
          <w:rFonts w:hint="cs"/>
          <w:rtl/>
        </w:rPr>
        <w:t>להטמיע את מערכת סע"ר</w:t>
      </w:r>
      <w:r w:rsidRPr="00C43F1B">
        <w:rPr>
          <w:rStyle w:val="FootnoteReference"/>
          <w:sz w:val="24"/>
          <w:rtl/>
        </w:rPr>
        <w:footnoteReference w:id="96"/>
      </w:r>
      <w:r>
        <w:rPr>
          <w:rFonts w:hint="cs"/>
          <w:rtl/>
        </w:rPr>
        <w:t xml:space="preserve">. המערכת עלתה לאוויר ביולי 2017, ורק </w:t>
      </w:r>
      <w:r w:rsidRPr="00C43F1B">
        <w:rPr>
          <w:rFonts w:hint="cs"/>
          <w:rtl/>
        </w:rPr>
        <w:t xml:space="preserve">בשנת 2018 הוכנסה לעבודה </w:t>
      </w:r>
      <w:r>
        <w:rPr>
          <w:rFonts w:hint="cs"/>
          <w:rtl/>
        </w:rPr>
        <w:t xml:space="preserve">מלאה </w:t>
      </w:r>
      <w:r w:rsidRPr="00C43F1B">
        <w:rPr>
          <w:rFonts w:hint="cs"/>
          <w:rtl/>
        </w:rPr>
        <w:t>באגף המשמעת ובמחוזות. עד מועד הביקורת</w:t>
      </w:r>
      <w:r w:rsidRPr="007032D2">
        <w:rPr>
          <w:rFonts w:hint="cs"/>
          <w:rtl/>
        </w:rPr>
        <w:t xml:space="preserve"> </w:t>
      </w:r>
      <w:r>
        <w:rPr>
          <w:rFonts w:hint="cs"/>
          <w:rtl/>
        </w:rPr>
        <w:t xml:space="preserve">הוזנו </w:t>
      </w:r>
      <w:r w:rsidRPr="00C43F1B">
        <w:rPr>
          <w:rFonts w:hint="cs"/>
          <w:rtl/>
        </w:rPr>
        <w:t xml:space="preserve">למערכת רק תיקים חדשים שנפתחו. </w:t>
      </w:r>
    </w:p>
    <w:p w14:paraId="34EDE933" w14:textId="77777777" w:rsidR="00417266" w:rsidRPr="00C43F1B" w:rsidRDefault="00417266" w:rsidP="00E65B31">
      <w:pPr>
        <w:pStyle w:val="af3"/>
        <w:rPr>
          <w:rtl/>
        </w:rPr>
      </w:pPr>
      <w:r w:rsidRPr="00C43F1B">
        <w:rPr>
          <w:rFonts w:hint="cs"/>
          <w:rtl/>
        </w:rPr>
        <w:t xml:space="preserve">המידע על עובדי הוראה פוגעים איננו מרוכז במאגר מידע אחד, והדבר מקשה על אגף המשמעת במשה"ח לזהות פוגעים סדרתיים. למשרד החינוך אין תמונה מלאה </w:t>
      </w:r>
      <w:r>
        <w:rPr>
          <w:rFonts w:hint="cs"/>
          <w:rtl/>
        </w:rPr>
        <w:t>של</w:t>
      </w:r>
      <w:r w:rsidRPr="00C43F1B">
        <w:rPr>
          <w:rFonts w:hint="cs"/>
          <w:rtl/>
        </w:rPr>
        <w:t xml:space="preserve"> מספר ההליכים המשמעתיים שהתקיימו בעקבות תלונות על הטרדות מיניות, ובכך נמנע ממנו לעקוב אחר מהלך הטיפול בתיקים ולאתר פוגעים סדרתיים. </w:t>
      </w:r>
    </w:p>
    <w:p w14:paraId="040C619D" w14:textId="77777777" w:rsidR="00417266" w:rsidRPr="005A4F4C" w:rsidRDefault="00417266" w:rsidP="00E65B31">
      <w:pPr>
        <w:pStyle w:val="100"/>
        <w:rPr>
          <w:rtl/>
        </w:rPr>
      </w:pPr>
      <w:r>
        <w:rPr>
          <w:rFonts w:hint="cs"/>
          <w:rtl/>
        </w:rPr>
        <w:t>אגף המשמעת במשה"ח מסר בתשובתו כי הכנסת מידע למערכת תלויה בפתיחת תיקי המשמעת במחוזות, ואין במערכת מידע על אירועי משמעת שהטיפול בהם מתבצע במחוזות ולא נפתח תיק משמעת בגינם. האגף יבחן אם יש מקום לעדכן את דיווחי המשמעת. ועוד ציין כי הוא בוחן מערכת מחשובית חדישה שתרכז את המידע באופן המיטבי.</w:t>
      </w:r>
    </w:p>
    <w:p w14:paraId="6401B22E" w14:textId="77777777" w:rsidR="00417266" w:rsidRPr="006A7729" w:rsidRDefault="00417266" w:rsidP="00E65B31">
      <w:pPr>
        <w:pStyle w:val="af3"/>
        <w:rPr>
          <w:rtl/>
        </w:rPr>
      </w:pPr>
      <w:r w:rsidRPr="00EA5C82">
        <w:rPr>
          <w:rFonts w:hint="eastAsia"/>
          <w:rtl/>
        </w:rPr>
        <w:t>לדעת</w:t>
      </w:r>
      <w:r w:rsidRPr="00EA5C82">
        <w:rPr>
          <w:rtl/>
        </w:rPr>
        <w:t xml:space="preserve"> משרד מבקר המדינה, המצב הנוכחי</w:t>
      </w:r>
      <w:r>
        <w:rPr>
          <w:rFonts w:hint="cs"/>
          <w:rtl/>
        </w:rPr>
        <w:t>,</w:t>
      </w:r>
      <w:r w:rsidRPr="00EA5C82">
        <w:rPr>
          <w:rtl/>
        </w:rPr>
        <w:t xml:space="preserve"> שבו המידע על אודות בגירים הפוגעים בקטינים פזור בין המחוזות ללא פיקוח ושמירה על הנתונים</w:t>
      </w:r>
      <w:r>
        <w:rPr>
          <w:rFonts w:hint="cs"/>
          <w:rtl/>
        </w:rPr>
        <w:t>,</w:t>
      </w:r>
      <w:r w:rsidRPr="00EA5C82">
        <w:rPr>
          <w:rtl/>
        </w:rPr>
        <w:t xml:space="preserve"> </w:t>
      </w:r>
      <w:r>
        <w:rPr>
          <w:rFonts w:hint="cs"/>
          <w:rtl/>
        </w:rPr>
        <w:t>אינו תקין,</w:t>
      </w:r>
      <w:r w:rsidRPr="00EA5C82">
        <w:rPr>
          <w:rtl/>
        </w:rPr>
        <w:t xml:space="preserve"> משום שבהיעדר ריכוז מסודר של הנתונים עלולים הפוגעים לחזור ולפגוע בתלמידים. </w:t>
      </w:r>
      <w:r w:rsidRPr="00C527B6">
        <w:rPr>
          <w:rFonts w:hint="cs"/>
          <w:sz w:val="24"/>
          <w:rtl/>
        </w:rPr>
        <w:t>משרד החינוך נדרש להעביר את כל נתוני אגף המשמעת למערכת סע"ר</w:t>
      </w:r>
      <w:r>
        <w:rPr>
          <w:rFonts w:hint="cs"/>
          <w:sz w:val="24"/>
          <w:rtl/>
        </w:rPr>
        <w:t>,</w:t>
      </w:r>
      <w:r w:rsidRPr="00C527B6">
        <w:rPr>
          <w:rFonts w:hint="cs"/>
          <w:sz w:val="24"/>
          <w:rtl/>
        </w:rPr>
        <w:t xml:space="preserve"> </w:t>
      </w:r>
      <w:r>
        <w:rPr>
          <w:rFonts w:hint="cs"/>
          <w:sz w:val="24"/>
          <w:rtl/>
        </w:rPr>
        <w:t xml:space="preserve">כדי שכל </w:t>
      </w:r>
      <w:r w:rsidRPr="00C527B6">
        <w:rPr>
          <w:rFonts w:hint="cs"/>
          <w:sz w:val="24"/>
          <w:rtl/>
        </w:rPr>
        <w:t>המידע בנושא</w:t>
      </w:r>
      <w:r>
        <w:rPr>
          <w:rFonts w:hint="cs"/>
          <w:sz w:val="24"/>
          <w:rtl/>
        </w:rPr>
        <w:t xml:space="preserve"> יאוחד</w:t>
      </w:r>
      <w:r w:rsidRPr="00C527B6">
        <w:rPr>
          <w:rFonts w:hint="cs"/>
          <w:sz w:val="24"/>
          <w:rtl/>
        </w:rPr>
        <w:t xml:space="preserve"> במערכת ממוחשבת אחת ויחידה </w:t>
      </w:r>
      <w:r w:rsidRPr="00EA5C82">
        <w:rPr>
          <w:rtl/>
        </w:rPr>
        <w:t xml:space="preserve">עם הרשאות מסודרות </w:t>
      </w:r>
      <w:r w:rsidRPr="00EA5C82">
        <w:rPr>
          <w:rFonts w:hint="eastAsia"/>
          <w:rtl/>
        </w:rPr>
        <w:t>באופן</w:t>
      </w:r>
      <w:r w:rsidRPr="00EA5C82">
        <w:rPr>
          <w:rtl/>
        </w:rPr>
        <w:t xml:space="preserve"> </w:t>
      </w:r>
      <w:r w:rsidRPr="00EA5C82">
        <w:rPr>
          <w:rFonts w:hint="eastAsia"/>
          <w:rtl/>
        </w:rPr>
        <w:t>השומר</w:t>
      </w:r>
      <w:r w:rsidRPr="00EA5C82">
        <w:rPr>
          <w:rtl/>
        </w:rPr>
        <w:t xml:space="preserve"> </w:t>
      </w:r>
      <w:r w:rsidRPr="00EA5C82">
        <w:rPr>
          <w:rFonts w:hint="eastAsia"/>
          <w:rtl/>
        </w:rPr>
        <w:t>על</w:t>
      </w:r>
      <w:r w:rsidRPr="00EA5C82">
        <w:rPr>
          <w:rtl/>
        </w:rPr>
        <w:t xml:space="preserve"> </w:t>
      </w:r>
      <w:r w:rsidRPr="00EA5C82">
        <w:rPr>
          <w:rFonts w:hint="eastAsia"/>
          <w:rtl/>
        </w:rPr>
        <w:t>פרטיות</w:t>
      </w:r>
      <w:r>
        <w:rPr>
          <w:rFonts w:hint="cs"/>
          <w:rtl/>
        </w:rPr>
        <w:t xml:space="preserve"> הגורמים המעורבים</w:t>
      </w:r>
      <w:r w:rsidRPr="00EA5C82">
        <w:rPr>
          <w:rtl/>
        </w:rPr>
        <w:t xml:space="preserve">. </w:t>
      </w:r>
    </w:p>
    <w:p w14:paraId="73F2F2E0" w14:textId="77777777" w:rsidR="00417266" w:rsidRPr="00C43F1B" w:rsidRDefault="00417266" w:rsidP="00E65B31">
      <w:pPr>
        <w:pStyle w:val="414"/>
        <w:rPr>
          <w:rtl/>
        </w:rPr>
      </w:pPr>
      <w:r w:rsidRPr="00C43F1B">
        <w:rPr>
          <w:rFonts w:hint="cs"/>
          <w:rtl/>
        </w:rPr>
        <w:t>הטיפול המשמעתי בהטרדות מיניות בידי עובדי בעלויות</w:t>
      </w:r>
    </w:p>
    <w:p w14:paraId="5520DB00" w14:textId="77777777" w:rsidR="00417266" w:rsidRPr="00C43F1B" w:rsidRDefault="00417266" w:rsidP="00E65B31">
      <w:pPr>
        <w:pStyle w:val="100"/>
        <w:rPr>
          <w:rtl/>
        </w:rPr>
      </w:pPr>
      <w:r w:rsidRPr="00C43F1B">
        <w:rPr>
          <w:rFonts w:hint="cs"/>
          <w:rtl/>
        </w:rPr>
        <w:t>הטיפול בהטרדות מיניות שבהם נחשדים עובד</w:t>
      </w:r>
      <w:r>
        <w:rPr>
          <w:rFonts w:hint="cs"/>
          <w:rtl/>
        </w:rPr>
        <w:t>י</w:t>
      </w:r>
      <w:r w:rsidRPr="00C43F1B">
        <w:rPr>
          <w:rFonts w:hint="cs"/>
          <w:rtl/>
        </w:rPr>
        <w:t xml:space="preserve"> הוראה שאינ</w:t>
      </w:r>
      <w:r>
        <w:rPr>
          <w:rFonts w:hint="cs"/>
          <w:rtl/>
        </w:rPr>
        <w:t>ם</w:t>
      </w:r>
      <w:r w:rsidRPr="00C43F1B">
        <w:rPr>
          <w:rFonts w:hint="cs"/>
          <w:rtl/>
        </w:rPr>
        <w:t xml:space="preserve"> עובד</w:t>
      </w:r>
      <w:r>
        <w:rPr>
          <w:rFonts w:hint="cs"/>
          <w:rtl/>
        </w:rPr>
        <w:t>י</w:t>
      </w:r>
      <w:r w:rsidRPr="00C43F1B">
        <w:rPr>
          <w:rFonts w:hint="cs"/>
          <w:rtl/>
        </w:rPr>
        <w:t xml:space="preserve"> משרד החינוך נעשה על ידי המעסיק הישיר של העובד</w:t>
      </w:r>
      <w:r>
        <w:rPr>
          <w:rFonts w:hint="cs"/>
          <w:rtl/>
        </w:rPr>
        <w:t xml:space="preserve"> (הבעלות) -</w:t>
      </w:r>
      <w:r w:rsidRPr="00C43F1B">
        <w:rPr>
          <w:rFonts w:hint="cs"/>
          <w:rtl/>
        </w:rPr>
        <w:t xml:space="preserve"> לא על ידי סגני המנהלים במחוזות משרד החינוך ולא בידי אגף המשמעת במשה"ח. כל בעלות קבעה נהלים משלה לטיפול בהטרדות מיניות</w:t>
      </w:r>
      <w:r>
        <w:rPr>
          <w:rFonts w:hint="cs"/>
          <w:rtl/>
        </w:rPr>
        <w:t>,</w:t>
      </w:r>
      <w:r w:rsidRPr="00C43F1B">
        <w:rPr>
          <w:rFonts w:hint="cs"/>
          <w:rtl/>
        </w:rPr>
        <w:t xml:space="preserve"> ורמת הטיפול תלויה במחויבות הנהלתה.</w:t>
      </w:r>
    </w:p>
    <w:p w14:paraId="553DE9A1" w14:textId="77777777" w:rsidR="00417266" w:rsidRPr="00C43F1B" w:rsidRDefault="00417266" w:rsidP="00E65B31">
      <w:pPr>
        <w:pStyle w:val="af3"/>
        <w:rPr>
          <w:rtl/>
        </w:rPr>
      </w:pPr>
      <w:r w:rsidRPr="00C43F1B">
        <w:rPr>
          <w:rFonts w:hint="eastAsia"/>
          <w:rtl/>
        </w:rPr>
        <w:t>משרד</w:t>
      </w:r>
      <w:r w:rsidRPr="00C43F1B">
        <w:rPr>
          <w:rtl/>
        </w:rPr>
        <w:t xml:space="preserve"> </w:t>
      </w:r>
      <w:r w:rsidRPr="00C43F1B">
        <w:rPr>
          <w:rFonts w:hint="eastAsia"/>
          <w:rtl/>
        </w:rPr>
        <w:t>החינוך</w:t>
      </w:r>
      <w:r w:rsidRPr="00C43F1B">
        <w:rPr>
          <w:rtl/>
        </w:rPr>
        <w:t xml:space="preserve"> </w:t>
      </w:r>
      <w:r w:rsidRPr="00C43F1B">
        <w:rPr>
          <w:rFonts w:hint="cs"/>
          <w:rtl/>
        </w:rPr>
        <w:t>אינו</w:t>
      </w:r>
      <w:r w:rsidRPr="00C43F1B">
        <w:rPr>
          <w:rtl/>
        </w:rPr>
        <w:t xml:space="preserve"> </w:t>
      </w:r>
      <w:r w:rsidRPr="00C43F1B">
        <w:rPr>
          <w:rFonts w:hint="eastAsia"/>
          <w:rtl/>
        </w:rPr>
        <w:t>מפקח</w:t>
      </w:r>
      <w:r w:rsidRPr="00C43F1B">
        <w:rPr>
          <w:rtl/>
        </w:rPr>
        <w:t xml:space="preserve"> </w:t>
      </w:r>
      <w:r w:rsidRPr="00C43F1B">
        <w:rPr>
          <w:rFonts w:hint="cs"/>
          <w:rtl/>
        </w:rPr>
        <w:t>על טיפולן של הבעלויות</w:t>
      </w:r>
      <w:r w:rsidRPr="00C43F1B">
        <w:rPr>
          <w:rtl/>
        </w:rPr>
        <w:t xml:space="preserve"> </w:t>
      </w:r>
      <w:r w:rsidRPr="00C43F1B">
        <w:rPr>
          <w:rFonts w:hint="cs"/>
          <w:rtl/>
        </w:rPr>
        <w:t>ב</w:t>
      </w:r>
      <w:r w:rsidRPr="00C43F1B">
        <w:rPr>
          <w:rFonts w:hint="eastAsia"/>
          <w:rtl/>
        </w:rPr>
        <w:t>הטרד</w:t>
      </w:r>
      <w:r w:rsidRPr="00C43F1B">
        <w:rPr>
          <w:rFonts w:hint="cs"/>
          <w:rtl/>
        </w:rPr>
        <w:t>ות</w:t>
      </w:r>
      <w:r w:rsidRPr="00C43F1B">
        <w:rPr>
          <w:rtl/>
        </w:rPr>
        <w:t xml:space="preserve"> </w:t>
      </w:r>
      <w:r w:rsidRPr="00C43F1B">
        <w:rPr>
          <w:rFonts w:hint="eastAsia"/>
          <w:rtl/>
        </w:rPr>
        <w:t>מיני</w:t>
      </w:r>
      <w:r w:rsidRPr="00C43F1B">
        <w:rPr>
          <w:rFonts w:hint="cs"/>
          <w:rtl/>
        </w:rPr>
        <w:t>ו</w:t>
      </w:r>
      <w:r w:rsidRPr="00C43F1B">
        <w:rPr>
          <w:rFonts w:hint="eastAsia"/>
          <w:rtl/>
        </w:rPr>
        <w:t>ת</w:t>
      </w:r>
      <w:r w:rsidRPr="00C43F1B">
        <w:rPr>
          <w:rFonts w:hint="cs"/>
          <w:rtl/>
        </w:rPr>
        <w:t xml:space="preserve">: הוא אינו מוודא שהבעלויות הכינו תקנון מותאם, הוא אינו יודע אם הטיפול בתלונות נעשה בהתאם להוראות החוק, ואין לו מידע על מורים נילונים שיאפשר לו למנוע מהם לעבור מבית ספר אחד לאחר. </w:t>
      </w:r>
      <w:r w:rsidRPr="00C43F1B">
        <w:rPr>
          <w:rFonts w:hint="eastAsia"/>
          <w:rtl/>
        </w:rPr>
        <w:t>אגף</w:t>
      </w:r>
      <w:r w:rsidRPr="00C43F1B">
        <w:rPr>
          <w:rtl/>
        </w:rPr>
        <w:t xml:space="preserve"> </w:t>
      </w:r>
      <w:r w:rsidRPr="00C43F1B">
        <w:rPr>
          <w:rFonts w:hint="cs"/>
          <w:rtl/>
        </w:rPr>
        <w:t>ה</w:t>
      </w:r>
      <w:r w:rsidRPr="00C43F1B">
        <w:rPr>
          <w:rtl/>
        </w:rPr>
        <w:t xml:space="preserve">משמעת </w:t>
      </w:r>
      <w:r w:rsidRPr="00C43F1B">
        <w:rPr>
          <w:rFonts w:hint="cs"/>
          <w:rtl/>
        </w:rPr>
        <w:t>ב</w:t>
      </w:r>
      <w:r w:rsidRPr="00C43F1B">
        <w:rPr>
          <w:rFonts w:hint="eastAsia"/>
          <w:rtl/>
        </w:rPr>
        <w:t>משה</w:t>
      </w:r>
      <w:r w:rsidRPr="00C43F1B">
        <w:rPr>
          <w:rtl/>
        </w:rPr>
        <w:t xml:space="preserve">"ח </w:t>
      </w:r>
      <w:r w:rsidRPr="00C43F1B">
        <w:rPr>
          <w:rFonts w:hint="eastAsia"/>
          <w:rtl/>
        </w:rPr>
        <w:t>יכול</w:t>
      </w:r>
      <w:r w:rsidRPr="00C43F1B">
        <w:rPr>
          <w:rtl/>
        </w:rPr>
        <w:t xml:space="preserve"> </w:t>
      </w:r>
      <w:r w:rsidRPr="00C43F1B">
        <w:rPr>
          <w:rFonts w:hint="eastAsia"/>
          <w:rtl/>
        </w:rPr>
        <w:t>להמליץ</w:t>
      </w:r>
      <w:r w:rsidRPr="00C43F1B">
        <w:rPr>
          <w:rtl/>
        </w:rPr>
        <w:t xml:space="preserve"> </w:t>
      </w:r>
      <w:r w:rsidRPr="00C43F1B">
        <w:rPr>
          <w:rFonts w:hint="cs"/>
          <w:rtl/>
        </w:rPr>
        <w:t>לבעלות</w:t>
      </w:r>
      <w:r w:rsidRPr="00C43F1B">
        <w:rPr>
          <w:rtl/>
        </w:rPr>
        <w:t xml:space="preserve"> על דרכי הפעולה, אך הוראותיו אינן מחייבות </w:t>
      </w:r>
      <w:r>
        <w:rPr>
          <w:rFonts w:hint="cs"/>
          <w:rtl/>
        </w:rPr>
        <w:t>אותה</w:t>
      </w:r>
      <w:r w:rsidRPr="00C43F1B">
        <w:rPr>
          <w:rtl/>
        </w:rPr>
        <w:t>, וה</w:t>
      </w:r>
      <w:r w:rsidRPr="00C43F1B">
        <w:rPr>
          <w:rFonts w:hint="cs"/>
          <w:rtl/>
        </w:rPr>
        <w:t xml:space="preserve">וא אינו דורש </w:t>
      </w:r>
      <w:r>
        <w:rPr>
          <w:rFonts w:hint="cs"/>
          <w:rtl/>
        </w:rPr>
        <w:t>ממנה</w:t>
      </w:r>
      <w:r w:rsidRPr="00C43F1B">
        <w:rPr>
          <w:rtl/>
        </w:rPr>
        <w:t xml:space="preserve"> </w:t>
      </w:r>
      <w:r w:rsidRPr="00C43F1B">
        <w:rPr>
          <w:rFonts w:hint="cs"/>
          <w:rtl/>
        </w:rPr>
        <w:t xml:space="preserve">לדווח לו עם סיום </w:t>
      </w:r>
      <w:r w:rsidRPr="00C43F1B">
        <w:rPr>
          <w:rtl/>
        </w:rPr>
        <w:t xml:space="preserve">הטיפול בתלונה. </w:t>
      </w:r>
    </w:p>
    <w:p w14:paraId="6F89FC92" w14:textId="77777777" w:rsidR="00417266" w:rsidRDefault="00417266" w:rsidP="00E65B31">
      <w:pPr>
        <w:pStyle w:val="100"/>
        <w:rPr>
          <w:rtl/>
        </w:rPr>
      </w:pPr>
      <w:r w:rsidRPr="00C43F1B">
        <w:rPr>
          <w:rFonts w:hint="cs"/>
          <w:rtl/>
        </w:rPr>
        <w:t xml:space="preserve">בפועל הבעלויות מחליטות, לפי שיקול דעתן, אם לדווח לאגף המשמעת במשה"ח על הליך הבירור ותוצאותיו. במצב זה יש חשש שמידע על מורה מטריד לא יועבר ממוסד חינוכי אחד למוסד חינוכי אחר, ולא יהיה לו מידע על סיבת הפיטורין או המעבר של המורה. </w:t>
      </w:r>
    </w:p>
    <w:p w14:paraId="19AD5F4E" w14:textId="77777777" w:rsidR="00417266" w:rsidRPr="00C22921" w:rsidRDefault="00417266" w:rsidP="00E65B31">
      <w:pPr>
        <w:pStyle w:val="100"/>
        <w:rPr>
          <w:rtl/>
        </w:rPr>
      </w:pPr>
      <w:r>
        <w:rPr>
          <w:rFonts w:hint="cs"/>
          <w:rtl/>
        </w:rPr>
        <w:lastRenderedPageBreak/>
        <w:t xml:space="preserve">משרד החינוך מסר בתשובתו כי האחריות הישירה ליישום החוק בבתי הספר שאינם בבעלותו ליישום החוק היא של המעסיק ולא של משרד החינוך. אגף המשמעת במשה"ח ציין כי הוא סבור שצריך לטייב את הליך הפיקוח על הליכי משמעת בבעלויות ככלל ובנוגע להטרדה מינית בפרט. </w:t>
      </w:r>
    </w:p>
    <w:p w14:paraId="1E9181FB" w14:textId="77777777" w:rsidR="00417266" w:rsidRDefault="00417266" w:rsidP="00E65B31">
      <w:pPr>
        <w:pStyle w:val="100"/>
        <w:rPr>
          <w:rtl/>
        </w:rPr>
      </w:pPr>
      <w:r w:rsidRPr="00C43F1B">
        <w:rPr>
          <w:rFonts w:hint="cs"/>
          <w:rtl/>
        </w:rPr>
        <w:t>על החשיבות שבהסקת מסקנות ו</w:t>
      </w:r>
      <w:r>
        <w:rPr>
          <w:rFonts w:hint="cs"/>
          <w:rtl/>
        </w:rPr>
        <w:t>ב</w:t>
      </w:r>
      <w:r w:rsidRPr="00C43F1B">
        <w:rPr>
          <w:rFonts w:hint="cs"/>
          <w:rtl/>
        </w:rPr>
        <w:t xml:space="preserve">שיתוף מידע על הטיפול באירועי הטרדה מינית ניתן ללמוד מן המקרה הזה: מורה ותיק </w:t>
      </w:r>
      <w:r>
        <w:rPr>
          <w:rFonts w:hint="cs"/>
          <w:rtl/>
        </w:rPr>
        <w:t xml:space="preserve">בתיכון </w:t>
      </w:r>
      <w:r w:rsidRPr="00C43F1B">
        <w:rPr>
          <w:rFonts w:hint="cs"/>
          <w:rtl/>
        </w:rPr>
        <w:t>שנטען שהטריד תלמידים רבים במהלך שנותיו כמורה בבית הספר</w:t>
      </w:r>
      <w:r>
        <w:rPr>
          <w:rFonts w:hint="cs"/>
          <w:rtl/>
        </w:rPr>
        <w:t xml:space="preserve">, עזב בשנת 2013 את בית הספר מרצונו, </w:t>
      </w:r>
      <w:r w:rsidRPr="00C43F1B">
        <w:rPr>
          <w:rFonts w:hint="cs"/>
          <w:rtl/>
        </w:rPr>
        <w:t>בעקבות פנייה של תלמיד לשעבר לבית הספר</w:t>
      </w:r>
      <w:r>
        <w:rPr>
          <w:rFonts w:hint="cs"/>
          <w:rtl/>
        </w:rPr>
        <w:t>.</w:t>
      </w:r>
      <w:r w:rsidRPr="00C43F1B">
        <w:rPr>
          <w:rFonts w:hint="cs"/>
          <w:rtl/>
        </w:rPr>
        <w:t xml:space="preserve"> </w:t>
      </w:r>
      <w:r>
        <w:rPr>
          <w:rFonts w:hint="cs"/>
          <w:rtl/>
        </w:rPr>
        <w:t xml:space="preserve">המורה </w:t>
      </w:r>
      <w:r w:rsidRPr="00C43F1B">
        <w:rPr>
          <w:rFonts w:hint="cs"/>
          <w:rtl/>
        </w:rPr>
        <w:t xml:space="preserve">עבר ללמד במוסדות להשכלה גבוהה. לאחר שהתפרסמו התלונות עליו בתקשורת </w:t>
      </w:r>
      <w:r>
        <w:rPr>
          <w:rFonts w:hint="cs"/>
          <w:rtl/>
        </w:rPr>
        <w:t xml:space="preserve">הוא </w:t>
      </w:r>
      <w:r w:rsidRPr="00C43F1B">
        <w:rPr>
          <w:rFonts w:hint="cs"/>
          <w:rtl/>
        </w:rPr>
        <w:t>הושעה מעבודתו.</w:t>
      </w:r>
    </w:p>
    <w:p w14:paraId="23ED2E59" w14:textId="77777777" w:rsidR="00417266" w:rsidRPr="006A7729" w:rsidRDefault="00417266" w:rsidP="00E65B31">
      <w:pPr>
        <w:pStyle w:val="100"/>
        <w:rPr>
          <w:rtl/>
        </w:rPr>
      </w:pPr>
      <w:r w:rsidRPr="006A7729">
        <w:rPr>
          <w:rFonts w:hint="eastAsia"/>
          <w:rtl/>
        </w:rPr>
        <w:t>בית</w:t>
      </w:r>
      <w:r w:rsidRPr="006A7729">
        <w:rPr>
          <w:rtl/>
        </w:rPr>
        <w:t xml:space="preserve"> </w:t>
      </w:r>
      <w:r w:rsidRPr="006A7729">
        <w:rPr>
          <w:rFonts w:hint="eastAsia"/>
          <w:rtl/>
        </w:rPr>
        <w:t>הספר</w:t>
      </w:r>
      <w:r w:rsidRPr="006A7729">
        <w:rPr>
          <w:rtl/>
        </w:rPr>
        <w:t xml:space="preserve"> </w:t>
      </w:r>
      <w:r w:rsidRPr="006A7729">
        <w:rPr>
          <w:rFonts w:hint="eastAsia"/>
          <w:rtl/>
        </w:rPr>
        <w:t>לא</w:t>
      </w:r>
      <w:r w:rsidRPr="006A7729">
        <w:rPr>
          <w:rtl/>
        </w:rPr>
        <w:t xml:space="preserve"> </w:t>
      </w:r>
      <w:r w:rsidRPr="006A7729">
        <w:rPr>
          <w:rFonts w:hint="eastAsia"/>
          <w:rtl/>
        </w:rPr>
        <w:t>עדכן</w:t>
      </w:r>
      <w:r w:rsidRPr="006A7729">
        <w:rPr>
          <w:rtl/>
        </w:rPr>
        <w:t xml:space="preserve"> </w:t>
      </w:r>
      <w:r w:rsidRPr="006A7729">
        <w:rPr>
          <w:rFonts w:hint="eastAsia"/>
          <w:rtl/>
        </w:rPr>
        <w:t>את</w:t>
      </w:r>
      <w:r w:rsidRPr="006A7729">
        <w:rPr>
          <w:rtl/>
        </w:rPr>
        <w:t xml:space="preserve"> </w:t>
      </w:r>
      <w:r w:rsidRPr="006A7729">
        <w:rPr>
          <w:rFonts w:hint="eastAsia"/>
          <w:rtl/>
        </w:rPr>
        <w:t>משרד</w:t>
      </w:r>
      <w:r w:rsidRPr="006A7729">
        <w:rPr>
          <w:rtl/>
        </w:rPr>
        <w:t xml:space="preserve"> </w:t>
      </w:r>
      <w:r w:rsidRPr="006A7729">
        <w:rPr>
          <w:rFonts w:hint="eastAsia"/>
          <w:rtl/>
        </w:rPr>
        <w:t>החינוך</w:t>
      </w:r>
      <w:r w:rsidRPr="006A7729">
        <w:rPr>
          <w:rtl/>
        </w:rPr>
        <w:t xml:space="preserve"> </w:t>
      </w:r>
      <w:r w:rsidRPr="006A7729">
        <w:rPr>
          <w:rFonts w:hint="eastAsia"/>
          <w:rtl/>
        </w:rPr>
        <w:t>על</w:t>
      </w:r>
      <w:r w:rsidRPr="006A7729">
        <w:rPr>
          <w:rtl/>
        </w:rPr>
        <w:t xml:space="preserve"> </w:t>
      </w:r>
      <w:r w:rsidRPr="006A7729">
        <w:rPr>
          <w:rFonts w:hint="eastAsia"/>
          <w:rtl/>
        </w:rPr>
        <w:t>הדיווחים</w:t>
      </w:r>
      <w:r w:rsidRPr="006A7729">
        <w:rPr>
          <w:rtl/>
        </w:rPr>
        <w:t xml:space="preserve"> </w:t>
      </w:r>
      <w:r w:rsidRPr="006A7729">
        <w:rPr>
          <w:rFonts w:hint="eastAsia"/>
          <w:rtl/>
        </w:rPr>
        <w:t>שקיבל</w:t>
      </w:r>
      <w:r w:rsidRPr="006A7729">
        <w:rPr>
          <w:rtl/>
        </w:rPr>
        <w:t xml:space="preserve"> </w:t>
      </w:r>
      <w:r w:rsidRPr="006A7729">
        <w:rPr>
          <w:rFonts w:hint="eastAsia"/>
          <w:rtl/>
        </w:rPr>
        <w:t>מתלמידים</w:t>
      </w:r>
      <w:r w:rsidRPr="006A7729">
        <w:rPr>
          <w:rtl/>
        </w:rPr>
        <w:t xml:space="preserve"> </w:t>
      </w:r>
      <w:r w:rsidRPr="006A7729">
        <w:rPr>
          <w:rFonts w:hint="eastAsia"/>
          <w:rtl/>
        </w:rPr>
        <w:t>לשעבר</w:t>
      </w:r>
      <w:r w:rsidRPr="006A7729">
        <w:rPr>
          <w:rtl/>
        </w:rPr>
        <w:t xml:space="preserve">, </w:t>
      </w:r>
      <w:r w:rsidRPr="006A7729">
        <w:rPr>
          <w:rFonts w:hint="eastAsia"/>
          <w:rtl/>
        </w:rPr>
        <w:t>ועקב</w:t>
      </w:r>
      <w:r w:rsidRPr="006A7729">
        <w:rPr>
          <w:rtl/>
        </w:rPr>
        <w:t xml:space="preserve"> </w:t>
      </w:r>
      <w:r w:rsidRPr="006A7729">
        <w:rPr>
          <w:rFonts w:hint="eastAsia"/>
          <w:rtl/>
        </w:rPr>
        <w:t>כך</w:t>
      </w:r>
      <w:r w:rsidRPr="006A7729">
        <w:rPr>
          <w:rtl/>
        </w:rPr>
        <w:t xml:space="preserve"> </w:t>
      </w:r>
      <w:r w:rsidRPr="006A7729">
        <w:rPr>
          <w:rFonts w:hint="eastAsia"/>
          <w:rtl/>
        </w:rPr>
        <w:t>נמנע</w:t>
      </w:r>
      <w:r w:rsidRPr="006A7729">
        <w:rPr>
          <w:rtl/>
        </w:rPr>
        <w:t xml:space="preserve"> </w:t>
      </w:r>
      <w:r w:rsidRPr="006A7729">
        <w:rPr>
          <w:rFonts w:hint="eastAsia"/>
          <w:rtl/>
        </w:rPr>
        <w:t>מן</w:t>
      </w:r>
      <w:r w:rsidRPr="006A7729">
        <w:rPr>
          <w:rtl/>
        </w:rPr>
        <w:t xml:space="preserve"> </w:t>
      </w:r>
      <w:r w:rsidRPr="006A7729">
        <w:rPr>
          <w:rFonts w:hint="eastAsia"/>
          <w:rtl/>
        </w:rPr>
        <w:t>המשרד</w:t>
      </w:r>
      <w:r w:rsidRPr="006A7729">
        <w:rPr>
          <w:rtl/>
        </w:rPr>
        <w:t xml:space="preserve"> </w:t>
      </w:r>
      <w:r w:rsidRPr="006A7729">
        <w:rPr>
          <w:rFonts w:hint="eastAsia"/>
          <w:rtl/>
        </w:rPr>
        <w:t>לעדכן</w:t>
      </w:r>
      <w:r w:rsidRPr="006A7729">
        <w:rPr>
          <w:rtl/>
        </w:rPr>
        <w:t xml:space="preserve"> </w:t>
      </w:r>
      <w:r w:rsidRPr="006A7729">
        <w:rPr>
          <w:rFonts w:hint="eastAsia"/>
          <w:rtl/>
        </w:rPr>
        <w:t>מוסדות</w:t>
      </w:r>
      <w:r w:rsidRPr="006A7729">
        <w:rPr>
          <w:rtl/>
        </w:rPr>
        <w:t xml:space="preserve"> </w:t>
      </w:r>
      <w:r w:rsidRPr="006A7729">
        <w:rPr>
          <w:rFonts w:hint="eastAsia"/>
          <w:rtl/>
        </w:rPr>
        <w:t>חינוך</w:t>
      </w:r>
      <w:r w:rsidRPr="006A7729">
        <w:rPr>
          <w:rtl/>
        </w:rPr>
        <w:t xml:space="preserve"> </w:t>
      </w:r>
      <w:r w:rsidRPr="006A7729">
        <w:rPr>
          <w:rFonts w:hint="eastAsia"/>
          <w:rtl/>
        </w:rPr>
        <w:t>אחרים</w:t>
      </w:r>
      <w:r w:rsidRPr="006A7729">
        <w:rPr>
          <w:rtl/>
        </w:rPr>
        <w:t xml:space="preserve"> </w:t>
      </w:r>
      <w:r w:rsidRPr="006A7729">
        <w:rPr>
          <w:rFonts w:hint="eastAsia"/>
          <w:rtl/>
        </w:rPr>
        <w:t>בדבר</w:t>
      </w:r>
      <w:r w:rsidRPr="006A7729">
        <w:rPr>
          <w:rtl/>
        </w:rPr>
        <w:t xml:space="preserve"> </w:t>
      </w:r>
      <w:r w:rsidRPr="006A7729">
        <w:rPr>
          <w:rFonts w:hint="eastAsia"/>
          <w:rtl/>
        </w:rPr>
        <w:t>מכלול</w:t>
      </w:r>
      <w:r w:rsidRPr="006A7729">
        <w:rPr>
          <w:rtl/>
        </w:rPr>
        <w:t xml:space="preserve"> </w:t>
      </w:r>
      <w:r w:rsidRPr="006A7729">
        <w:rPr>
          <w:rFonts w:hint="eastAsia"/>
          <w:rtl/>
        </w:rPr>
        <w:t>העובדות</w:t>
      </w:r>
      <w:r w:rsidRPr="006A7729">
        <w:rPr>
          <w:rtl/>
        </w:rPr>
        <w:t xml:space="preserve"> </w:t>
      </w:r>
      <w:r w:rsidRPr="006A7729">
        <w:rPr>
          <w:rFonts w:hint="eastAsia"/>
          <w:rtl/>
        </w:rPr>
        <w:t>הנוגעות</w:t>
      </w:r>
      <w:r w:rsidRPr="006A7729">
        <w:rPr>
          <w:rtl/>
        </w:rPr>
        <w:t xml:space="preserve"> </w:t>
      </w:r>
      <w:r w:rsidRPr="006A7729">
        <w:rPr>
          <w:rFonts w:hint="eastAsia"/>
          <w:rtl/>
        </w:rPr>
        <w:t>למורה</w:t>
      </w:r>
      <w:r w:rsidRPr="006A7729">
        <w:rPr>
          <w:rtl/>
        </w:rPr>
        <w:t xml:space="preserve"> </w:t>
      </w:r>
      <w:r w:rsidRPr="006A7729">
        <w:rPr>
          <w:rFonts w:hint="eastAsia"/>
          <w:rtl/>
        </w:rPr>
        <w:t>זה</w:t>
      </w:r>
      <w:r w:rsidRPr="006A7729">
        <w:rPr>
          <w:rtl/>
        </w:rPr>
        <w:t xml:space="preserve">. </w:t>
      </w:r>
      <w:r w:rsidRPr="006A7729">
        <w:rPr>
          <w:rFonts w:hint="eastAsia"/>
          <w:rtl/>
        </w:rPr>
        <w:t>רק</w:t>
      </w:r>
      <w:r w:rsidRPr="006A7729">
        <w:rPr>
          <w:rtl/>
        </w:rPr>
        <w:t xml:space="preserve"> </w:t>
      </w:r>
      <w:r w:rsidRPr="006A7729">
        <w:rPr>
          <w:rFonts w:hint="eastAsia"/>
          <w:rtl/>
        </w:rPr>
        <w:t>לאחר</w:t>
      </w:r>
      <w:r w:rsidRPr="006A7729">
        <w:rPr>
          <w:rtl/>
        </w:rPr>
        <w:t xml:space="preserve"> </w:t>
      </w:r>
      <w:r w:rsidRPr="006A7729">
        <w:rPr>
          <w:rFonts w:hint="eastAsia"/>
          <w:rtl/>
        </w:rPr>
        <w:t>שהמקרה</w:t>
      </w:r>
      <w:r w:rsidRPr="006A7729">
        <w:rPr>
          <w:rtl/>
        </w:rPr>
        <w:t xml:space="preserve"> </w:t>
      </w:r>
      <w:r w:rsidRPr="006A7729">
        <w:rPr>
          <w:rFonts w:hint="eastAsia"/>
          <w:rtl/>
        </w:rPr>
        <w:t>סוקר</w:t>
      </w:r>
      <w:r w:rsidRPr="006A7729">
        <w:rPr>
          <w:rtl/>
        </w:rPr>
        <w:t xml:space="preserve"> </w:t>
      </w:r>
      <w:r w:rsidRPr="006A7729">
        <w:rPr>
          <w:rFonts w:hint="eastAsia"/>
          <w:rtl/>
        </w:rPr>
        <w:t>רבות</w:t>
      </w:r>
      <w:r w:rsidRPr="006A7729">
        <w:rPr>
          <w:rtl/>
        </w:rPr>
        <w:t xml:space="preserve"> </w:t>
      </w:r>
      <w:r w:rsidRPr="006A7729">
        <w:rPr>
          <w:rFonts w:hint="eastAsia"/>
          <w:rtl/>
        </w:rPr>
        <w:t>באמצעי</w:t>
      </w:r>
      <w:r w:rsidRPr="006A7729">
        <w:rPr>
          <w:rtl/>
        </w:rPr>
        <w:t xml:space="preserve"> </w:t>
      </w:r>
      <w:r w:rsidRPr="006A7729">
        <w:rPr>
          <w:rFonts w:hint="eastAsia"/>
          <w:rtl/>
        </w:rPr>
        <w:t>התקשורת</w:t>
      </w:r>
      <w:r w:rsidRPr="006A7729">
        <w:rPr>
          <w:rtl/>
        </w:rPr>
        <w:t xml:space="preserve"> </w:t>
      </w:r>
      <w:r w:rsidRPr="006A7729">
        <w:rPr>
          <w:rFonts w:hint="eastAsia"/>
          <w:rtl/>
        </w:rPr>
        <w:t>ועורר</w:t>
      </w:r>
      <w:r w:rsidRPr="006A7729">
        <w:rPr>
          <w:rtl/>
        </w:rPr>
        <w:t xml:space="preserve"> </w:t>
      </w:r>
      <w:r w:rsidRPr="006A7729">
        <w:rPr>
          <w:rFonts w:hint="eastAsia"/>
          <w:rtl/>
        </w:rPr>
        <w:t>דיון</w:t>
      </w:r>
      <w:r w:rsidRPr="006A7729">
        <w:rPr>
          <w:rtl/>
        </w:rPr>
        <w:t xml:space="preserve"> </w:t>
      </w:r>
      <w:r w:rsidRPr="006A7729">
        <w:rPr>
          <w:rFonts w:hint="eastAsia"/>
          <w:rtl/>
        </w:rPr>
        <w:t>נרחב</w:t>
      </w:r>
      <w:r w:rsidRPr="006A7729">
        <w:rPr>
          <w:rtl/>
        </w:rPr>
        <w:t xml:space="preserve"> </w:t>
      </w:r>
      <w:r w:rsidRPr="006A7729">
        <w:rPr>
          <w:rFonts w:hint="eastAsia"/>
          <w:rtl/>
        </w:rPr>
        <w:t>בשיח</w:t>
      </w:r>
      <w:r w:rsidRPr="006A7729">
        <w:rPr>
          <w:rtl/>
        </w:rPr>
        <w:t xml:space="preserve"> </w:t>
      </w:r>
      <w:r w:rsidRPr="006A7729">
        <w:rPr>
          <w:rFonts w:hint="eastAsia"/>
          <w:rtl/>
        </w:rPr>
        <w:t>הציבורי</w:t>
      </w:r>
      <w:r w:rsidRPr="006A7729">
        <w:rPr>
          <w:rtl/>
        </w:rPr>
        <w:t xml:space="preserve">, </w:t>
      </w:r>
      <w:r w:rsidRPr="006A7729">
        <w:rPr>
          <w:rFonts w:hint="eastAsia"/>
          <w:rtl/>
        </w:rPr>
        <w:t>הקים</w:t>
      </w:r>
      <w:r w:rsidRPr="006A7729">
        <w:rPr>
          <w:rtl/>
        </w:rPr>
        <w:t xml:space="preserve"> משרד החינוך בתחילת שנת 2018 ועדה </w:t>
      </w:r>
      <w:r w:rsidRPr="006A7729">
        <w:rPr>
          <w:rFonts w:hint="eastAsia"/>
          <w:rtl/>
        </w:rPr>
        <w:t>לבדיקת</w:t>
      </w:r>
      <w:r w:rsidRPr="006A7729">
        <w:rPr>
          <w:rtl/>
        </w:rPr>
        <w:t xml:space="preserve"> האירועים. </w:t>
      </w:r>
      <w:r w:rsidRPr="006A7729">
        <w:rPr>
          <w:rFonts w:hint="eastAsia"/>
          <w:rtl/>
        </w:rPr>
        <w:t>ואולם</w:t>
      </w:r>
      <w:r w:rsidRPr="006A7729">
        <w:rPr>
          <w:rtl/>
        </w:rPr>
        <w:t xml:space="preserve"> </w:t>
      </w:r>
      <w:r>
        <w:rPr>
          <w:rFonts w:hint="cs"/>
          <w:rtl/>
        </w:rPr>
        <w:t>במו</w:t>
      </w:r>
      <w:r w:rsidRPr="006A7729">
        <w:rPr>
          <w:rtl/>
        </w:rPr>
        <w:t xml:space="preserve">עד סיום עבודת הביקורת, </w:t>
      </w:r>
      <w:r>
        <w:rPr>
          <w:rFonts w:hint="cs"/>
          <w:rtl/>
        </w:rPr>
        <w:t>יותר</w:t>
      </w:r>
      <w:r w:rsidRPr="006A7729">
        <w:rPr>
          <w:rtl/>
        </w:rPr>
        <w:t xml:space="preserve"> משנה </w:t>
      </w:r>
      <w:r>
        <w:rPr>
          <w:rFonts w:hint="cs"/>
          <w:rtl/>
        </w:rPr>
        <w:t xml:space="preserve">לאחר </w:t>
      </w:r>
      <w:r w:rsidRPr="006A7729">
        <w:rPr>
          <w:rtl/>
        </w:rPr>
        <w:t xml:space="preserve">מינוי הוועדה, היא </w:t>
      </w:r>
      <w:r>
        <w:rPr>
          <w:rFonts w:hint="cs"/>
          <w:rtl/>
        </w:rPr>
        <w:t>טרם</w:t>
      </w:r>
      <w:r w:rsidRPr="006A7729">
        <w:rPr>
          <w:rtl/>
        </w:rPr>
        <w:t xml:space="preserve"> הגישה את המלצותיה. </w:t>
      </w:r>
    </w:p>
    <w:p w14:paraId="7528C2B8" w14:textId="77777777" w:rsidR="00417266" w:rsidRDefault="00417266" w:rsidP="00E65B31">
      <w:pPr>
        <w:pStyle w:val="af3"/>
        <w:rPr>
          <w:rtl/>
        </w:rPr>
      </w:pPr>
      <w:r w:rsidRPr="00C43F1B">
        <w:rPr>
          <w:rFonts w:hint="cs"/>
          <w:rtl/>
        </w:rPr>
        <w:t xml:space="preserve">משרד מבקר המדינה מעיר למשרד החינוך כי </w:t>
      </w:r>
      <w:r>
        <w:rPr>
          <w:rFonts w:hint="cs"/>
          <w:rtl/>
        </w:rPr>
        <w:t xml:space="preserve">הגם שהאחריות הישירה לעובדי הבעלויות היא של המעסיק ולא של משרד החינוך, </w:t>
      </w:r>
      <w:r w:rsidRPr="00C43F1B">
        <w:rPr>
          <w:rFonts w:hint="cs"/>
          <w:rtl/>
        </w:rPr>
        <w:t xml:space="preserve">אחריותו כמאסדר של כלל מערכת החינוך מחייבת </w:t>
      </w:r>
      <w:r>
        <w:rPr>
          <w:rFonts w:hint="cs"/>
          <w:rtl/>
        </w:rPr>
        <w:t xml:space="preserve">אותו לחדד את ההוראות ולהנחות את </w:t>
      </w:r>
      <w:r w:rsidRPr="00C43F1B">
        <w:rPr>
          <w:rFonts w:hint="cs"/>
          <w:rtl/>
        </w:rPr>
        <w:t xml:space="preserve">בתי הספר שאינם בבעלותו </w:t>
      </w:r>
      <w:r>
        <w:rPr>
          <w:rFonts w:hint="cs"/>
          <w:rtl/>
        </w:rPr>
        <w:t xml:space="preserve">בדבר דרכי הטיפול </w:t>
      </w:r>
      <w:r w:rsidRPr="00C43F1B">
        <w:rPr>
          <w:rFonts w:hint="cs"/>
          <w:rtl/>
        </w:rPr>
        <w:t xml:space="preserve">בתלונות וחשדות לביצוע הטרדות מיניות. יש מקום שמשרד החינוך יקבע נהלים לדיווח על תלונות ואירועים של הטרדה מינית בידי הצוות החינוכי ועל הטיפול בהם. </w:t>
      </w:r>
    </w:p>
    <w:p w14:paraId="4F76C6F0" w14:textId="77777777" w:rsidR="00417266" w:rsidRPr="00C43F1B" w:rsidRDefault="00417266" w:rsidP="00260BF5">
      <w:pPr>
        <w:pStyle w:val="316"/>
        <w:rPr>
          <w:rtl/>
        </w:rPr>
      </w:pPr>
      <w:r w:rsidRPr="00C43F1B">
        <w:rPr>
          <w:rFonts w:hint="eastAsia"/>
          <w:rtl/>
        </w:rPr>
        <w:t>הטרדה</w:t>
      </w:r>
      <w:r w:rsidRPr="00C43F1B">
        <w:rPr>
          <w:rtl/>
        </w:rPr>
        <w:t xml:space="preserve"> </w:t>
      </w:r>
      <w:r w:rsidRPr="00C43F1B">
        <w:rPr>
          <w:rFonts w:hint="eastAsia"/>
          <w:rtl/>
        </w:rPr>
        <w:t>מינית</w:t>
      </w:r>
      <w:r w:rsidRPr="00C43F1B">
        <w:rPr>
          <w:rtl/>
        </w:rPr>
        <w:t xml:space="preserve"> </w:t>
      </w:r>
      <w:r w:rsidRPr="00C43F1B">
        <w:rPr>
          <w:rFonts w:hint="eastAsia"/>
          <w:rtl/>
        </w:rPr>
        <w:t>בין</w:t>
      </w:r>
      <w:r w:rsidRPr="00C43F1B">
        <w:rPr>
          <w:rtl/>
        </w:rPr>
        <w:t xml:space="preserve"> </w:t>
      </w:r>
      <w:r w:rsidRPr="00C43F1B">
        <w:rPr>
          <w:rFonts w:hint="eastAsia"/>
          <w:rtl/>
        </w:rPr>
        <w:t>תלמידים</w:t>
      </w:r>
      <w:r w:rsidRPr="00C43F1B">
        <w:rPr>
          <w:rtl/>
        </w:rPr>
        <w:t xml:space="preserve"> </w:t>
      </w:r>
      <w:r w:rsidRPr="00C43F1B">
        <w:rPr>
          <w:rFonts w:hint="eastAsia"/>
          <w:rtl/>
        </w:rPr>
        <w:t>במוסדות</w:t>
      </w:r>
      <w:r w:rsidRPr="00C43F1B">
        <w:rPr>
          <w:rtl/>
        </w:rPr>
        <w:t xml:space="preserve"> </w:t>
      </w:r>
      <w:r w:rsidRPr="00C43F1B">
        <w:rPr>
          <w:rFonts w:hint="eastAsia"/>
          <w:rtl/>
        </w:rPr>
        <w:t>החינוך</w:t>
      </w:r>
    </w:p>
    <w:p w14:paraId="0A6753E6" w14:textId="77777777" w:rsidR="00417266" w:rsidRPr="00C43F1B" w:rsidRDefault="00417266" w:rsidP="00260BF5">
      <w:pPr>
        <w:pStyle w:val="100"/>
        <w:rPr>
          <w:rtl/>
        </w:rPr>
      </w:pPr>
      <w:r w:rsidRPr="00C43F1B">
        <w:rPr>
          <w:rFonts w:hint="cs"/>
          <w:rtl/>
        </w:rPr>
        <w:t>הטרדה מינית של תלמידים בידי תלמידים אחרים היא מורכבת ומעלה שאלות חינוכיות רבות. לצד העלייה במודעות לקיומה של עבריינות מין בקרב ילדים ובני נוער ולחיוניות הטיפול באוכלוסייה זו</w:t>
      </w:r>
      <w:r w:rsidRPr="00C43F1B">
        <w:rPr>
          <w:rStyle w:val="FootnoteReference"/>
          <w:sz w:val="24"/>
          <w:rtl/>
        </w:rPr>
        <w:footnoteReference w:id="97"/>
      </w:r>
      <w:r w:rsidRPr="00C43F1B">
        <w:rPr>
          <w:rFonts w:hint="cs"/>
          <w:rtl/>
        </w:rPr>
        <w:t>, קיימת תפיסה חינוכית-חברתית הרואה בהתנהגות הפוגענית שלב לגיטימי של גילוי המיניות</w:t>
      </w:r>
      <w:r w:rsidRPr="00C43F1B">
        <w:rPr>
          <w:rStyle w:val="FootnoteReference"/>
          <w:sz w:val="24"/>
          <w:rtl/>
        </w:rPr>
        <w:footnoteReference w:id="98"/>
      </w:r>
      <w:r w:rsidRPr="00C43F1B">
        <w:rPr>
          <w:rFonts w:hint="cs"/>
          <w:rtl/>
        </w:rPr>
        <w:t>. הטיפול בהטרדות מיניות נע בין הרצון לתת תמיכה לתלמידים הנפגעים ובין הצורך לתת תמיכה לפוגע ולהימנע מיצירת סטיגמה שלילית בלתי הפיכה; וכן בין הרצון למנוע את ההתנהגות המינית הפוגענית ובין הרצון להימנע מלסווג התנהגות מינית נורמטיבית כחריגה.</w:t>
      </w:r>
    </w:p>
    <w:p w14:paraId="5B89B39F" w14:textId="77777777" w:rsidR="00417266" w:rsidRPr="00C43F1B" w:rsidRDefault="00417266" w:rsidP="00260BF5">
      <w:pPr>
        <w:pStyle w:val="100"/>
        <w:rPr>
          <w:rtl/>
        </w:rPr>
      </w:pPr>
      <w:r w:rsidRPr="00C43F1B">
        <w:rPr>
          <w:rFonts w:hint="cs"/>
          <w:rtl/>
        </w:rPr>
        <w:t xml:space="preserve">כאמור, בפברואר 2018 התפרסמו נתונים מסקרי הניטור שערכה ראמ"ה על רמת האלימות בבתי הספר על פי דיווחי תלמידים. בסקר השתתפו 24,145 תלמידים בכיתות ד'-י"א ב-448 בתי ספר </w:t>
      </w:r>
      <w:r>
        <w:rPr>
          <w:rFonts w:hint="cs"/>
          <w:rtl/>
        </w:rPr>
        <w:t>ב</w:t>
      </w:r>
      <w:r w:rsidRPr="00C43F1B">
        <w:rPr>
          <w:rFonts w:hint="cs"/>
          <w:rtl/>
        </w:rPr>
        <w:t>חינוך הממלכתי, הממלכתי-דתי והערבי (</w:t>
      </w:r>
      <w:r>
        <w:rPr>
          <w:rFonts w:hint="cs"/>
          <w:rtl/>
        </w:rPr>
        <w:t>בכלל זה</w:t>
      </w:r>
      <w:r w:rsidRPr="00C43F1B">
        <w:rPr>
          <w:rFonts w:hint="cs"/>
          <w:rtl/>
        </w:rPr>
        <w:t xml:space="preserve"> </w:t>
      </w:r>
      <w:r>
        <w:rPr>
          <w:rFonts w:hint="cs"/>
          <w:rtl/>
        </w:rPr>
        <w:t>ה</w:t>
      </w:r>
      <w:r w:rsidRPr="00C43F1B">
        <w:rPr>
          <w:rFonts w:hint="cs"/>
          <w:rtl/>
        </w:rPr>
        <w:t>דרוזי ו</w:t>
      </w:r>
      <w:r>
        <w:rPr>
          <w:rFonts w:hint="cs"/>
          <w:rtl/>
        </w:rPr>
        <w:t>ה</w:t>
      </w:r>
      <w:r w:rsidRPr="00C43F1B">
        <w:rPr>
          <w:rFonts w:hint="cs"/>
          <w:rtl/>
        </w:rPr>
        <w:t xml:space="preserve">בדואי). לא נכללו בסקר בתי הספר </w:t>
      </w:r>
      <w:r w:rsidRPr="00C43F1B">
        <w:rPr>
          <w:rFonts w:hint="cs"/>
          <w:rtl/>
        </w:rPr>
        <w:lastRenderedPageBreak/>
        <w:t>של החינוך המיוחד, בתי ספר חרדיים ובתי ספר במזרח ירושלים. בסקר דיווחו כ-13% מהתלמידים כי בחודש שקדם למועד הסקר נפגעו מאלימות</w:t>
      </w:r>
      <w:r w:rsidRPr="00C43F1B">
        <w:rPr>
          <w:rtl/>
        </w:rPr>
        <w:t xml:space="preserve"> </w:t>
      </w:r>
      <w:r w:rsidRPr="00C43F1B">
        <w:rPr>
          <w:rFonts w:hint="eastAsia"/>
          <w:rtl/>
        </w:rPr>
        <w:t>מינית</w:t>
      </w:r>
      <w:r w:rsidRPr="00C43F1B">
        <w:rPr>
          <w:rtl/>
        </w:rPr>
        <w:t xml:space="preserve"> </w:t>
      </w:r>
      <w:r w:rsidRPr="00C43F1B">
        <w:rPr>
          <w:rFonts w:hint="cs"/>
          <w:rtl/>
        </w:rPr>
        <w:t xml:space="preserve">של </w:t>
      </w:r>
      <w:r w:rsidRPr="00C43F1B">
        <w:rPr>
          <w:rFonts w:hint="eastAsia"/>
          <w:rtl/>
        </w:rPr>
        <w:t>תלמידים</w:t>
      </w:r>
      <w:r w:rsidRPr="00C43F1B">
        <w:rPr>
          <w:rtl/>
        </w:rPr>
        <w:t xml:space="preserve"> </w:t>
      </w:r>
      <w:r w:rsidRPr="00C43F1B">
        <w:rPr>
          <w:rFonts w:hint="eastAsia"/>
          <w:rtl/>
        </w:rPr>
        <w:t>אחרים</w:t>
      </w:r>
      <w:r w:rsidRPr="00C43F1B">
        <w:rPr>
          <w:rStyle w:val="FootnoteReference"/>
          <w:rtl/>
        </w:rPr>
        <w:footnoteReference w:id="99"/>
      </w:r>
      <w:r w:rsidRPr="00C43F1B">
        <w:rPr>
          <w:rFonts w:hint="cs"/>
          <w:rtl/>
        </w:rPr>
        <w:t xml:space="preserve">. </w:t>
      </w:r>
    </w:p>
    <w:p w14:paraId="7F6EDDD8" w14:textId="2F866392" w:rsidR="00417266" w:rsidRPr="00C43F1B" w:rsidRDefault="00417266" w:rsidP="00260BF5">
      <w:pPr>
        <w:pStyle w:val="414"/>
        <w:rPr>
          <w:rtl/>
        </w:rPr>
      </w:pPr>
      <w:r w:rsidRPr="00C43F1B">
        <w:rPr>
          <w:rFonts w:hint="cs"/>
          <w:rtl/>
        </w:rPr>
        <w:t xml:space="preserve">חוזרי </w:t>
      </w:r>
      <w:r>
        <w:rPr>
          <w:rFonts w:hint="cs"/>
          <w:rtl/>
        </w:rPr>
        <w:t>ה</w:t>
      </w:r>
      <w:r w:rsidRPr="00C43F1B">
        <w:rPr>
          <w:rFonts w:hint="cs"/>
          <w:rtl/>
        </w:rPr>
        <w:t>מנכ"ל המסדירים את הטיפול בפגיעה מינית של תלמידים בתלמידים</w:t>
      </w:r>
    </w:p>
    <w:p w14:paraId="02039510" w14:textId="77777777" w:rsidR="00417266" w:rsidRPr="00C43F1B" w:rsidRDefault="00417266" w:rsidP="00260BF5">
      <w:pPr>
        <w:pStyle w:val="a0"/>
        <w:numPr>
          <w:ilvl w:val="0"/>
          <w:numId w:val="41"/>
        </w:numPr>
      </w:pPr>
      <w:r w:rsidRPr="00C43F1B">
        <w:rPr>
          <w:rFonts w:hint="cs"/>
          <w:rtl/>
        </w:rPr>
        <w:t xml:space="preserve">טיפול משרד החינוך במקרים של פגיעה מינית בבתי הספר מוסדר משנת 1999 בחוזר </w:t>
      </w:r>
      <w:r>
        <w:rPr>
          <w:rFonts w:hint="cs"/>
          <w:rtl/>
        </w:rPr>
        <w:t>ה</w:t>
      </w:r>
      <w:r w:rsidRPr="00C43F1B">
        <w:rPr>
          <w:rFonts w:hint="cs"/>
          <w:rtl/>
        </w:rPr>
        <w:t>מנכ"ל תש"ס2</w:t>
      </w:r>
      <w:r>
        <w:rPr>
          <w:rFonts w:hint="cs"/>
          <w:rtl/>
        </w:rPr>
        <w:t>/</w:t>
      </w:r>
      <w:r w:rsidRPr="00C43F1B">
        <w:rPr>
          <w:rFonts w:hint="cs"/>
          <w:rtl/>
        </w:rPr>
        <w:t xml:space="preserve">(א) 1999 - התמודדות מערכת החינוך עם פגיעה מינית של תלמידים בתלמידים (להלן - חוזר פגיעה מינית). </w:t>
      </w:r>
      <w:r>
        <w:rPr>
          <w:rFonts w:hint="cs"/>
          <w:rtl/>
        </w:rPr>
        <w:t>ה</w:t>
      </w:r>
      <w:r w:rsidRPr="00C43F1B">
        <w:rPr>
          <w:rFonts w:hint="cs"/>
          <w:rtl/>
        </w:rPr>
        <w:t>משרד מסר כי כשנתיים לפני מועד הביקורת הוחל בעדכון החוזר.</w:t>
      </w:r>
    </w:p>
    <w:p w14:paraId="13B60811" w14:textId="77777777" w:rsidR="00417266" w:rsidRPr="00C43F1B" w:rsidRDefault="00417266" w:rsidP="00260BF5">
      <w:pPr>
        <w:pStyle w:val="ac"/>
        <w:rPr>
          <w:rtl/>
        </w:rPr>
      </w:pPr>
      <w:r w:rsidRPr="00C43F1B">
        <w:rPr>
          <w:rFonts w:hint="cs"/>
          <w:rtl/>
        </w:rPr>
        <w:t xml:space="preserve">עד מועד סיום הביקורת לא פורסם החוזר המעודכן. </w:t>
      </w:r>
    </w:p>
    <w:p w14:paraId="0A2B7457" w14:textId="77777777" w:rsidR="00417266" w:rsidRDefault="00417266" w:rsidP="00260BF5">
      <w:pPr>
        <w:pStyle w:val="af2"/>
        <w:rPr>
          <w:rtl/>
        </w:rPr>
      </w:pPr>
      <w:r w:rsidRPr="00C43F1B">
        <w:rPr>
          <w:rFonts w:hint="cs"/>
          <w:rtl/>
        </w:rPr>
        <w:t xml:space="preserve">חוזר פגיעה מינית מדגיש כי פגיעה מינית בידי קטינים היא "תופעה קיימת", שההתמודדות עימה כוללת לעיתים הכחשה, הקטנה של חומרת הפגיעה, הטלת ספק בקיומה, האשמת הנפגע או הנפגעת, תחושת אשמה אצל הנפגע או הנפגעת ובסביבתו ועוד. החוזר גם מציין ש"עדיין אין לכל אנשי המקצוע די ידע על התופעה של הקטין הפוגע מינית, על סימני האיתור של התנהגות מינית חריגה ועל הדרכים לטפל בקטין התוקף". </w:t>
      </w:r>
    </w:p>
    <w:p w14:paraId="6541D161" w14:textId="77777777" w:rsidR="00417266" w:rsidRPr="00C43F1B" w:rsidRDefault="00417266" w:rsidP="00260BF5">
      <w:pPr>
        <w:pStyle w:val="af2"/>
      </w:pPr>
      <w:r w:rsidRPr="00C43F1B">
        <w:rPr>
          <w:rFonts w:hint="cs"/>
          <w:rtl/>
        </w:rPr>
        <w:t>חוזר פגיעה מינית קובע טיפול חינוכי משמעתי בעבירות שאינן מחייבות דיווח. החוזר קובע טיפול חינוכי משמעתי רק לגבי חלק מהעבירות המנויות ב</w:t>
      </w:r>
      <w:r w:rsidRPr="00C43F1B">
        <w:rPr>
          <w:rFonts w:hint="eastAsia"/>
          <w:rtl/>
        </w:rPr>
        <w:t>חוק</w:t>
      </w:r>
      <w:r w:rsidRPr="00C43F1B">
        <w:rPr>
          <w:rtl/>
        </w:rPr>
        <w:t xml:space="preserve"> </w:t>
      </w:r>
      <w:r w:rsidRPr="00C43F1B">
        <w:rPr>
          <w:rFonts w:hint="eastAsia"/>
          <w:rtl/>
        </w:rPr>
        <w:t>למניעת</w:t>
      </w:r>
      <w:r w:rsidRPr="00C43F1B">
        <w:rPr>
          <w:rtl/>
        </w:rPr>
        <w:t xml:space="preserve"> </w:t>
      </w:r>
      <w:r w:rsidRPr="00C43F1B">
        <w:rPr>
          <w:rFonts w:hint="eastAsia"/>
          <w:rtl/>
        </w:rPr>
        <w:t>הטרדה</w:t>
      </w:r>
      <w:r w:rsidRPr="00C43F1B">
        <w:rPr>
          <w:rtl/>
        </w:rPr>
        <w:t xml:space="preserve"> </w:t>
      </w:r>
      <w:r w:rsidRPr="00C43F1B">
        <w:rPr>
          <w:rFonts w:hint="eastAsia"/>
          <w:rtl/>
        </w:rPr>
        <w:t>מינית</w:t>
      </w:r>
      <w:r w:rsidRPr="00C43F1B">
        <w:rPr>
          <w:rFonts w:hint="cs"/>
          <w:rtl/>
        </w:rPr>
        <w:t xml:space="preserve"> - הצעות חוזרות בעלות אופי מיני, התייחסויות חוזרות בעלות אופי מיני והתייחסות מבזה ומשפילה המופנית לאדם בנוגע למינו או למיניותו.</w:t>
      </w:r>
    </w:p>
    <w:p w14:paraId="11579FC3" w14:textId="77777777" w:rsidR="00417266" w:rsidRPr="00102EE5" w:rsidRDefault="00417266" w:rsidP="00E3047D">
      <w:pPr>
        <w:pStyle w:val="ac"/>
        <w:rPr>
          <w:rtl/>
        </w:rPr>
      </w:pPr>
      <w:r w:rsidRPr="00C43F1B">
        <w:rPr>
          <w:rFonts w:hint="cs"/>
          <w:rtl/>
        </w:rPr>
        <w:t>חוזרי המנכ"ל מיועדים למנהלי בית הספר ולעובדי ההוראה, ונעזרים ב</w:t>
      </w:r>
      <w:r>
        <w:rPr>
          <w:rFonts w:hint="cs"/>
          <w:rtl/>
        </w:rPr>
        <w:t>הם</w:t>
      </w:r>
      <w:r w:rsidRPr="00C43F1B">
        <w:rPr>
          <w:rFonts w:hint="cs"/>
          <w:rtl/>
        </w:rPr>
        <w:t xml:space="preserve"> ציבור ההורים והציבור הרחב, שרובם אינם בעלי ידע משפטי.</w:t>
      </w:r>
      <w:r>
        <w:rPr>
          <w:rFonts w:hint="cs"/>
          <w:rtl/>
        </w:rPr>
        <w:t xml:space="preserve"> על מנת שהצוותים החינוכיים ידעו לזהות התנהגויות שהן בגדר "הטרדה </w:t>
      </w:r>
      <w:r w:rsidRPr="00102EE5">
        <w:rPr>
          <w:rFonts w:hint="cs"/>
          <w:rtl/>
        </w:rPr>
        <w:t>מינית" ויכירו את דרכי הפעולה הנדרשות מהם, חוזר פגיעה מינית צריך להיות ברור בהגדרת ההתנהגויות. כמו כן, עליו להיות מותאם לחוק.</w:t>
      </w:r>
    </w:p>
    <w:p w14:paraId="20AA5230" w14:textId="77777777" w:rsidR="00417266" w:rsidRDefault="00417266" w:rsidP="00E3047D">
      <w:pPr>
        <w:pStyle w:val="a"/>
      </w:pPr>
      <w:r w:rsidRPr="00102EE5">
        <w:rPr>
          <w:rFonts w:hint="cs"/>
          <w:rtl/>
        </w:rPr>
        <w:t xml:space="preserve">חוזר פגיעה מינית אינו מקשר את ההתנהגויות שבחוק למניעת הטרדה מינית </w:t>
      </w:r>
      <w:r w:rsidRPr="00102EE5">
        <w:rPr>
          <w:rFonts w:hint="cs"/>
          <w:sz w:val="24"/>
          <w:rtl/>
        </w:rPr>
        <w:t>ובחוק</w:t>
      </w:r>
      <w:r w:rsidRPr="00A159BC">
        <w:rPr>
          <w:rFonts w:hint="cs"/>
          <w:sz w:val="24"/>
          <w:rtl/>
        </w:rPr>
        <w:t xml:space="preserve"> העונשין </w:t>
      </w:r>
      <w:r w:rsidRPr="00A159BC">
        <w:rPr>
          <w:rFonts w:hint="eastAsia"/>
          <w:sz w:val="24"/>
          <w:rtl/>
        </w:rPr>
        <w:t>לחיי</w:t>
      </w:r>
      <w:r w:rsidRPr="00A159BC">
        <w:rPr>
          <w:sz w:val="24"/>
          <w:rtl/>
        </w:rPr>
        <w:t xml:space="preserve"> </w:t>
      </w:r>
      <w:r w:rsidRPr="00A159BC">
        <w:rPr>
          <w:rFonts w:hint="eastAsia"/>
          <w:sz w:val="24"/>
          <w:rtl/>
        </w:rPr>
        <w:t>היומיום</w:t>
      </w:r>
      <w:r w:rsidRPr="00A159BC">
        <w:rPr>
          <w:sz w:val="24"/>
          <w:rtl/>
        </w:rPr>
        <w:t xml:space="preserve"> </w:t>
      </w:r>
      <w:r w:rsidRPr="00A159BC">
        <w:rPr>
          <w:rFonts w:hint="eastAsia"/>
          <w:sz w:val="24"/>
          <w:rtl/>
        </w:rPr>
        <w:t>של</w:t>
      </w:r>
      <w:r w:rsidRPr="00A159BC">
        <w:rPr>
          <w:sz w:val="24"/>
          <w:rtl/>
        </w:rPr>
        <w:t xml:space="preserve"> </w:t>
      </w:r>
      <w:r w:rsidRPr="00A159BC">
        <w:rPr>
          <w:rFonts w:hint="eastAsia"/>
          <w:sz w:val="24"/>
          <w:rtl/>
        </w:rPr>
        <w:t>התלמידים</w:t>
      </w:r>
      <w:r>
        <w:rPr>
          <w:rFonts w:hint="cs"/>
          <w:rtl/>
        </w:rPr>
        <w:t xml:space="preserve">. </w:t>
      </w:r>
    </w:p>
    <w:p w14:paraId="79A2805D" w14:textId="45AC6FB4" w:rsidR="00417266" w:rsidRPr="00E3047D" w:rsidRDefault="00417266" w:rsidP="00E3047D">
      <w:pPr>
        <w:pStyle w:val="a"/>
        <w:numPr>
          <w:ilvl w:val="1"/>
          <w:numId w:val="42"/>
        </w:numPr>
      </w:pPr>
      <w:r w:rsidRPr="00E3047D">
        <w:rPr>
          <w:rFonts w:hint="cs"/>
          <w:rtl/>
        </w:rPr>
        <w:t xml:space="preserve">החוזר אינו מתייחס למעשה מגונה, סחיטה באיומים ומעשה מגונה בפומבי כהתנהגויות שהן "הטרדה מינית", אף על פי שהן מוגדרות כך בחוק למניעת הטרדה מינית - וכך מצמצם את מרחב הפעולה של הצוותים. </w:t>
      </w:r>
    </w:p>
    <w:p w14:paraId="0DA79184" w14:textId="24D3BA93" w:rsidR="00417266" w:rsidRPr="005C23D7" w:rsidRDefault="00417266" w:rsidP="005C23D7">
      <w:pPr>
        <w:pStyle w:val="a"/>
        <w:numPr>
          <w:ilvl w:val="1"/>
          <w:numId w:val="42"/>
        </w:numPr>
      </w:pPr>
      <w:r w:rsidRPr="00C43F1B">
        <w:rPr>
          <w:rtl/>
        </w:rPr>
        <w:t>החוזר</w:t>
      </w:r>
      <w:r>
        <w:rPr>
          <w:rFonts w:hint="cs"/>
          <w:rtl/>
        </w:rPr>
        <w:t>, שפורסם בשנת 1999,</w:t>
      </w:r>
      <w:r w:rsidRPr="00C43F1B">
        <w:rPr>
          <w:rtl/>
        </w:rPr>
        <w:t xml:space="preserve"> </w:t>
      </w:r>
      <w:r>
        <w:rPr>
          <w:rFonts w:hint="cs"/>
          <w:rtl/>
        </w:rPr>
        <w:t xml:space="preserve">לא עודכן בעקבות תיקוני החקיקה ולכן </w:t>
      </w:r>
      <w:r w:rsidRPr="00C43F1B">
        <w:rPr>
          <w:rtl/>
        </w:rPr>
        <w:t xml:space="preserve">אינו </w:t>
      </w:r>
      <w:r w:rsidRPr="00C43F1B">
        <w:rPr>
          <w:rFonts w:hint="cs"/>
          <w:rtl/>
        </w:rPr>
        <w:t xml:space="preserve">מציין </w:t>
      </w:r>
      <w:r>
        <w:rPr>
          <w:rFonts w:hint="cs"/>
          <w:rtl/>
        </w:rPr>
        <w:t xml:space="preserve">את </w:t>
      </w:r>
      <w:r w:rsidRPr="005C23D7">
        <w:rPr>
          <w:rFonts w:hint="cs"/>
          <w:rtl/>
        </w:rPr>
        <w:t>ה</w:t>
      </w:r>
      <w:r w:rsidRPr="005C23D7">
        <w:rPr>
          <w:rtl/>
        </w:rPr>
        <w:t xml:space="preserve">עבירה </w:t>
      </w:r>
      <w:r w:rsidRPr="005C23D7">
        <w:rPr>
          <w:rFonts w:hint="eastAsia"/>
          <w:rtl/>
        </w:rPr>
        <w:t>של</w:t>
      </w:r>
      <w:r w:rsidRPr="005C23D7">
        <w:rPr>
          <w:rtl/>
        </w:rPr>
        <w:t xml:space="preserve"> הפצת פרסומים בעלי אופי מיני </w:t>
      </w:r>
      <w:r w:rsidRPr="005C23D7">
        <w:rPr>
          <w:rFonts w:hint="cs"/>
          <w:rtl/>
        </w:rPr>
        <w:t xml:space="preserve">ואת </w:t>
      </w:r>
      <w:r w:rsidRPr="005C23D7">
        <w:rPr>
          <w:rtl/>
        </w:rPr>
        <w:t xml:space="preserve">עבירת </w:t>
      </w:r>
      <w:r w:rsidRPr="005C23D7">
        <w:rPr>
          <w:rFonts w:hint="eastAsia"/>
          <w:rtl/>
        </w:rPr>
        <w:t>ההתנכלות</w:t>
      </w:r>
      <w:r w:rsidRPr="005C23D7">
        <w:rPr>
          <w:rFonts w:hint="cs"/>
          <w:rtl/>
        </w:rPr>
        <w:t>, שהחל משנת 2014 הן</w:t>
      </w:r>
      <w:r w:rsidRPr="005C23D7">
        <w:rPr>
          <w:rtl/>
        </w:rPr>
        <w:t xml:space="preserve"> </w:t>
      </w:r>
      <w:r w:rsidRPr="005C23D7">
        <w:rPr>
          <w:rFonts w:hint="eastAsia"/>
          <w:rtl/>
        </w:rPr>
        <w:t>התנהגויות</w:t>
      </w:r>
      <w:r w:rsidRPr="005C23D7">
        <w:rPr>
          <w:rtl/>
        </w:rPr>
        <w:t xml:space="preserve"> </w:t>
      </w:r>
      <w:r w:rsidRPr="005C23D7">
        <w:rPr>
          <w:rFonts w:hint="eastAsia"/>
          <w:rtl/>
        </w:rPr>
        <w:t>אסורות</w:t>
      </w:r>
      <w:r w:rsidRPr="005C23D7">
        <w:rPr>
          <w:rtl/>
        </w:rPr>
        <w:t xml:space="preserve"> </w:t>
      </w:r>
      <w:r w:rsidRPr="005C23D7">
        <w:rPr>
          <w:rFonts w:hint="eastAsia"/>
          <w:rtl/>
        </w:rPr>
        <w:t>לפי</w:t>
      </w:r>
      <w:r w:rsidRPr="005C23D7">
        <w:rPr>
          <w:rtl/>
        </w:rPr>
        <w:t xml:space="preserve"> </w:t>
      </w:r>
      <w:r w:rsidRPr="005C23D7">
        <w:rPr>
          <w:rFonts w:hint="eastAsia"/>
          <w:rtl/>
        </w:rPr>
        <w:t>החוק</w:t>
      </w:r>
      <w:r w:rsidRPr="005C23D7">
        <w:rPr>
          <w:rtl/>
        </w:rPr>
        <w:t xml:space="preserve"> </w:t>
      </w:r>
      <w:r w:rsidRPr="005C23D7">
        <w:rPr>
          <w:rFonts w:hint="eastAsia"/>
          <w:rtl/>
        </w:rPr>
        <w:t>למניעת</w:t>
      </w:r>
      <w:r w:rsidRPr="005C23D7">
        <w:rPr>
          <w:rtl/>
        </w:rPr>
        <w:t xml:space="preserve"> </w:t>
      </w:r>
      <w:r w:rsidRPr="005C23D7">
        <w:rPr>
          <w:rFonts w:hint="eastAsia"/>
          <w:rtl/>
        </w:rPr>
        <w:t>הטרדה</w:t>
      </w:r>
      <w:r w:rsidRPr="005C23D7">
        <w:rPr>
          <w:rtl/>
        </w:rPr>
        <w:t xml:space="preserve"> </w:t>
      </w:r>
      <w:r w:rsidRPr="005C23D7">
        <w:rPr>
          <w:rFonts w:hint="eastAsia"/>
          <w:rtl/>
        </w:rPr>
        <w:t>מינית</w:t>
      </w:r>
      <w:r w:rsidRPr="005C23D7">
        <w:rPr>
          <w:rFonts w:hint="cs"/>
          <w:rtl/>
        </w:rPr>
        <w:t xml:space="preserve">. </w:t>
      </w:r>
    </w:p>
    <w:p w14:paraId="687E9677" w14:textId="77777777" w:rsidR="00417266" w:rsidRPr="005C23D7" w:rsidRDefault="00417266" w:rsidP="005C23D7">
      <w:pPr>
        <w:pStyle w:val="a"/>
        <w:numPr>
          <w:ilvl w:val="1"/>
          <w:numId w:val="42"/>
        </w:numPr>
        <w:ind w:hanging="397"/>
      </w:pPr>
      <w:r w:rsidRPr="005C23D7">
        <w:rPr>
          <w:rFonts w:hint="eastAsia"/>
          <w:rtl/>
        </w:rPr>
        <w:lastRenderedPageBreak/>
        <w:t>החוזר</w:t>
      </w:r>
      <w:r w:rsidRPr="005C23D7">
        <w:rPr>
          <w:rtl/>
        </w:rPr>
        <w:t xml:space="preserve"> </w:t>
      </w:r>
      <w:r w:rsidRPr="005C23D7">
        <w:rPr>
          <w:rFonts w:hint="eastAsia"/>
          <w:rtl/>
        </w:rPr>
        <w:t>גם</w:t>
      </w:r>
      <w:r w:rsidRPr="005C23D7">
        <w:rPr>
          <w:rtl/>
        </w:rPr>
        <w:t xml:space="preserve"> </w:t>
      </w:r>
      <w:r w:rsidRPr="005C23D7">
        <w:rPr>
          <w:rFonts w:hint="eastAsia"/>
          <w:rtl/>
        </w:rPr>
        <w:t>אינו</w:t>
      </w:r>
      <w:r w:rsidRPr="005C23D7">
        <w:rPr>
          <w:rtl/>
        </w:rPr>
        <w:t xml:space="preserve"> </w:t>
      </w:r>
      <w:r w:rsidRPr="005C23D7">
        <w:rPr>
          <w:rFonts w:hint="eastAsia"/>
          <w:rtl/>
        </w:rPr>
        <w:t>מפרט</w:t>
      </w:r>
      <w:r w:rsidRPr="005C23D7">
        <w:rPr>
          <w:rtl/>
        </w:rPr>
        <w:t xml:space="preserve"> </w:t>
      </w:r>
      <w:r w:rsidRPr="005C23D7">
        <w:rPr>
          <w:rFonts w:hint="eastAsia"/>
          <w:rtl/>
        </w:rPr>
        <w:t>כיצד</w:t>
      </w:r>
      <w:r w:rsidRPr="005C23D7">
        <w:rPr>
          <w:rtl/>
        </w:rPr>
        <w:t xml:space="preserve"> </w:t>
      </w:r>
      <w:r w:rsidRPr="005C23D7">
        <w:rPr>
          <w:rFonts w:hint="eastAsia"/>
          <w:rtl/>
        </w:rPr>
        <w:t>יש</w:t>
      </w:r>
      <w:r w:rsidRPr="005C23D7">
        <w:rPr>
          <w:rtl/>
        </w:rPr>
        <w:t xml:space="preserve"> </w:t>
      </w:r>
      <w:r w:rsidRPr="005C23D7">
        <w:rPr>
          <w:rFonts w:hint="eastAsia"/>
          <w:rtl/>
        </w:rPr>
        <w:t>לטפל</w:t>
      </w:r>
      <w:r w:rsidRPr="005C23D7">
        <w:rPr>
          <w:rtl/>
        </w:rPr>
        <w:t xml:space="preserve"> </w:t>
      </w:r>
      <w:r w:rsidRPr="005C23D7">
        <w:rPr>
          <w:rFonts w:hint="eastAsia"/>
          <w:rtl/>
        </w:rPr>
        <w:t>בהטרדות</w:t>
      </w:r>
      <w:r w:rsidRPr="005C23D7">
        <w:rPr>
          <w:rtl/>
        </w:rPr>
        <w:t xml:space="preserve"> </w:t>
      </w:r>
      <w:r w:rsidRPr="005C23D7">
        <w:rPr>
          <w:rFonts w:hint="eastAsia"/>
          <w:rtl/>
        </w:rPr>
        <w:t>בין</w:t>
      </w:r>
      <w:r w:rsidRPr="005C23D7">
        <w:rPr>
          <w:rtl/>
        </w:rPr>
        <w:t xml:space="preserve"> </w:t>
      </w:r>
      <w:r w:rsidRPr="005C23D7">
        <w:rPr>
          <w:rFonts w:hint="eastAsia"/>
          <w:rtl/>
        </w:rPr>
        <w:t>ילדים</w:t>
      </w:r>
      <w:r w:rsidRPr="005C23D7">
        <w:rPr>
          <w:rtl/>
        </w:rPr>
        <w:t>.</w:t>
      </w:r>
      <w:r w:rsidRPr="005C23D7">
        <w:rPr>
          <w:rFonts w:hint="cs"/>
          <w:rtl/>
        </w:rPr>
        <w:t xml:space="preserve"> </w:t>
      </w:r>
    </w:p>
    <w:p w14:paraId="6DE6567C" w14:textId="77777777" w:rsidR="00417266" w:rsidRPr="005C23D7" w:rsidRDefault="00417266" w:rsidP="005C23D7">
      <w:pPr>
        <w:pStyle w:val="a"/>
        <w:numPr>
          <w:ilvl w:val="1"/>
          <w:numId w:val="42"/>
        </w:numPr>
        <w:ind w:hanging="397"/>
      </w:pPr>
      <w:r w:rsidRPr="005C23D7">
        <w:rPr>
          <w:rFonts w:hint="eastAsia"/>
          <w:rtl/>
        </w:rPr>
        <w:t>הנספח</w:t>
      </w:r>
      <w:r w:rsidRPr="005C23D7">
        <w:rPr>
          <w:rtl/>
        </w:rPr>
        <w:t xml:space="preserve"> לחוזר נועד לסייע למורים לסווג התנהגויות כפגיעה מינית או הטרדה מינית, אך פירוט ההתנהגויות אינו תואם את ההגדרות בחוק למניעת הטרדה מינית ובחוק העונשין. </w:t>
      </w:r>
    </w:p>
    <w:p w14:paraId="23957793" w14:textId="77777777" w:rsidR="00417266" w:rsidRPr="005C23D7" w:rsidRDefault="00417266" w:rsidP="005C23D7">
      <w:pPr>
        <w:pStyle w:val="a"/>
        <w:numPr>
          <w:ilvl w:val="1"/>
          <w:numId w:val="42"/>
        </w:numPr>
        <w:ind w:hanging="397"/>
      </w:pPr>
      <w:r w:rsidRPr="005C23D7">
        <w:rPr>
          <w:rFonts w:hint="cs"/>
          <w:rtl/>
        </w:rPr>
        <w:t>בחוזר</w:t>
      </w:r>
      <w:r w:rsidRPr="005C23D7">
        <w:rPr>
          <w:rtl/>
        </w:rPr>
        <w:t xml:space="preserve"> אין אחידות </w:t>
      </w:r>
      <w:r w:rsidRPr="005C23D7">
        <w:rPr>
          <w:rFonts w:hint="cs"/>
          <w:rtl/>
        </w:rPr>
        <w:t>בנוגע</w:t>
      </w:r>
      <w:r w:rsidRPr="005C23D7">
        <w:rPr>
          <w:rtl/>
        </w:rPr>
        <w:t xml:space="preserve"> לחובת הדיווח. נכתב </w:t>
      </w:r>
      <w:r w:rsidRPr="005C23D7">
        <w:rPr>
          <w:rFonts w:hint="cs"/>
          <w:rtl/>
        </w:rPr>
        <w:t xml:space="preserve">בו </w:t>
      </w:r>
      <w:r w:rsidRPr="005C23D7">
        <w:rPr>
          <w:rtl/>
        </w:rPr>
        <w:t xml:space="preserve">כי רק עבירות המהוות "הטרדה מינית" אינן מחייבות דיווח, אך מנגד הוא קובע כי יש גם התנהגויות של "פגיעה מינית" שאינן מחייבות דיווח. </w:t>
      </w:r>
    </w:p>
    <w:p w14:paraId="30D9E7B2" w14:textId="77777777" w:rsidR="00417266" w:rsidRDefault="00417266" w:rsidP="005C23D7">
      <w:pPr>
        <w:pStyle w:val="a"/>
        <w:numPr>
          <w:ilvl w:val="1"/>
          <w:numId w:val="42"/>
        </w:numPr>
        <w:ind w:hanging="397"/>
        <w:rPr>
          <w:rtl/>
        </w:rPr>
      </w:pPr>
      <w:r w:rsidRPr="005C23D7">
        <w:rPr>
          <w:rFonts w:hint="cs"/>
          <w:rtl/>
        </w:rPr>
        <w:t>החוזר</w:t>
      </w:r>
      <w:r>
        <w:rPr>
          <w:rFonts w:hint="cs"/>
          <w:sz w:val="24"/>
          <w:rtl/>
        </w:rPr>
        <w:t xml:space="preserve"> מגדיר רשימת התנהגויות כ</w:t>
      </w:r>
      <w:r w:rsidRPr="00A159BC">
        <w:rPr>
          <w:rFonts w:hint="cs"/>
          <w:sz w:val="24"/>
          <w:rtl/>
        </w:rPr>
        <w:t xml:space="preserve">"מעשה מגונה בעל אופי </w:t>
      </w:r>
      <w:r>
        <w:rPr>
          <w:rFonts w:hint="cs"/>
          <w:sz w:val="24"/>
          <w:rtl/>
        </w:rPr>
        <w:t>'</w:t>
      </w:r>
      <w:r w:rsidRPr="00A159BC">
        <w:rPr>
          <w:rFonts w:hint="cs"/>
          <w:sz w:val="24"/>
          <w:rtl/>
        </w:rPr>
        <w:t>קל</w:t>
      </w:r>
      <w:r>
        <w:rPr>
          <w:rFonts w:hint="cs"/>
          <w:sz w:val="24"/>
          <w:rtl/>
        </w:rPr>
        <w:t>'</w:t>
      </w:r>
      <w:r w:rsidRPr="00A159BC">
        <w:rPr>
          <w:rFonts w:hint="cs"/>
          <w:sz w:val="24"/>
          <w:rtl/>
        </w:rPr>
        <w:t>"</w:t>
      </w:r>
      <w:r>
        <w:rPr>
          <w:rFonts w:hint="cs"/>
          <w:sz w:val="24"/>
          <w:rtl/>
        </w:rPr>
        <w:t>. זו הגדרה ש</w:t>
      </w:r>
      <w:r w:rsidRPr="00D17BF8">
        <w:rPr>
          <w:rFonts w:hint="eastAsia"/>
          <w:sz w:val="24"/>
          <w:rtl/>
        </w:rPr>
        <w:t>אינה</w:t>
      </w:r>
      <w:r w:rsidRPr="00D17BF8">
        <w:rPr>
          <w:sz w:val="24"/>
          <w:rtl/>
        </w:rPr>
        <w:t xml:space="preserve"> </w:t>
      </w:r>
      <w:r>
        <w:rPr>
          <w:rFonts w:hint="cs"/>
          <w:sz w:val="24"/>
          <w:rtl/>
        </w:rPr>
        <w:t>קיימת</w:t>
      </w:r>
      <w:r w:rsidRPr="00D17BF8">
        <w:rPr>
          <w:sz w:val="24"/>
          <w:rtl/>
        </w:rPr>
        <w:t xml:space="preserve"> בחוק.</w:t>
      </w:r>
    </w:p>
    <w:p w14:paraId="68776540" w14:textId="77777777" w:rsidR="00417266" w:rsidRPr="00C43F1B" w:rsidRDefault="00417266" w:rsidP="005C23D7">
      <w:pPr>
        <w:pStyle w:val="af2"/>
        <w:rPr>
          <w:rtl/>
        </w:rPr>
      </w:pPr>
      <w:r w:rsidRPr="00C43F1B">
        <w:rPr>
          <w:rFonts w:hint="cs"/>
          <w:rtl/>
        </w:rPr>
        <w:t xml:space="preserve">יצוין כי במחקר שנערך </w:t>
      </w:r>
      <w:r>
        <w:rPr>
          <w:rFonts w:hint="cs"/>
          <w:rtl/>
        </w:rPr>
        <w:t>ב</w:t>
      </w:r>
      <w:r w:rsidRPr="00C43F1B">
        <w:rPr>
          <w:rFonts w:hint="cs"/>
          <w:rtl/>
        </w:rPr>
        <w:t>שנת 2004 נמצא שמבוגרים המופקדים על ילדים במסגרת חינוכית נמנעו מתגובה כלשהי או הגיבו בצורה שגויה על מעשי הטרדה מינית ומעשים מגונים בקרב ילדים. חלק מהטעויות נבעו מזיהוי ההתנהגות כהתנהגות של חיזור או שובבות, ובחלק מהמקרים אף הוענשו ילדות על תגובתן המוחצנת להטרדה</w:t>
      </w:r>
      <w:r w:rsidRPr="00C43F1B">
        <w:rPr>
          <w:rStyle w:val="FootnoteReference"/>
          <w:sz w:val="24"/>
          <w:rtl/>
        </w:rPr>
        <w:footnoteReference w:id="100"/>
      </w:r>
      <w:r w:rsidRPr="00C43F1B">
        <w:rPr>
          <w:rFonts w:hint="cs"/>
          <w:rtl/>
        </w:rPr>
        <w:t xml:space="preserve">. </w:t>
      </w:r>
    </w:p>
    <w:p w14:paraId="515A4F57" w14:textId="77777777" w:rsidR="00417266" w:rsidRPr="00C43F1B" w:rsidRDefault="00417266" w:rsidP="005C23D7">
      <w:pPr>
        <w:pStyle w:val="ac"/>
        <w:rPr>
          <w:rtl/>
        </w:rPr>
      </w:pPr>
      <w:r w:rsidRPr="00C43F1B">
        <w:rPr>
          <w:rFonts w:hint="cs"/>
          <w:rtl/>
        </w:rPr>
        <w:t xml:space="preserve">האמור לעיל מצביע על הצורך שמשרד החינוך יתאים את חוזר פגיעה מינית להוראות החוק, יבהיר </w:t>
      </w:r>
      <w:r>
        <w:rPr>
          <w:rFonts w:hint="cs"/>
          <w:rtl/>
        </w:rPr>
        <w:t xml:space="preserve">אילו </w:t>
      </w:r>
      <w:r w:rsidRPr="00C43F1B">
        <w:rPr>
          <w:rFonts w:hint="cs"/>
          <w:rtl/>
        </w:rPr>
        <w:t xml:space="preserve">התנהגויות מוגדרות "הטרדה מינית" </w:t>
      </w:r>
      <w:r>
        <w:rPr>
          <w:rFonts w:hint="cs"/>
          <w:rtl/>
        </w:rPr>
        <w:t xml:space="preserve">ואילו </w:t>
      </w:r>
      <w:r w:rsidRPr="00C43F1B">
        <w:rPr>
          <w:rFonts w:hint="cs"/>
          <w:rtl/>
        </w:rPr>
        <w:t>מוגדרות "פגיעה מינית" ו</w:t>
      </w:r>
      <w:r w:rsidRPr="00C43F1B">
        <w:rPr>
          <w:rFonts w:hint="cs"/>
          <w:sz w:val="24"/>
          <w:rtl/>
        </w:rPr>
        <w:t>יקשר</w:t>
      </w:r>
      <w:r w:rsidRPr="00C43F1B">
        <w:rPr>
          <w:sz w:val="24"/>
          <w:rtl/>
        </w:rPr>
        <w:t xml:space="preserve"> </w:t>
      </w:r>
      <w:r w:rsidRPr="00C43F1B">
        <w:rPr>
          <w:rFonts w:hint="eastAsia"/>
          <w:sz w:val="24"/>
          <w:rtl/>
        </w:rPr>
        <w:t>את</w:t>
      </w:r>
      <w:r w:rsidRPr="00C43F1B">
        <w:rPr>
          <w:sz w:val="24"/>
          <w:rtl/>
        </w:rPr>
        <w:t xml:space="preserve"> </w:t>
      </w:r>
      <w:r w:rsidRPr="00C43F1B">
        <w:rPr>
          <w:rFonts w:hint="eastAsia"/>
          <w:sz w:val="24"/>
          <w:rtl/>
        </w:rPr>
        <w:t>המונחים</w:t>
      </w:r>
      <w:r w:rsidRPr="00C43F1B">
        <w:rPr>
          <w:sz w:val="24"/>
          <w:rtl/>
        </w:rPr>
        <w:t xml:space="preserve"> </w:t>
      </w:r>
      <w:r w:rsidRPr="00C43F1B">
        <w:rPr>
          <w:rFonts w:hint="eastAsia"/>
          <w:sz w:val="24"/>
          <w:rtl/>
        </w:rPr>
        <w:t>המשפטיים</w:t>
      </w:r>
      <w:r w:rsidRPr="00C43F1B">
        <w:rPr>
          <w:sz w:val="24"/>
          <w:rtl/>
        </w:rPr>
        <w:t xml:space="preserve"> </w:t>
      </w:r>
      <w:r w:rsidRPr="00C43F1B">
        <w:rPr>
          <w:rFonts w:hint="eastAsia"/>
          <w:sz w:val="24"/>
          <w:rtl/>
        </w:rPr>
        <w:t>לחיי</w:t>
      </w:r>
      <w:r w:rsidRPr="00C43F1B">
        <w:rPr>
          <w:sz w:val="24"/>
          <w:rtl/>
        </w:rPr>
        <w:t xml:space="preserve"> </w:t>
      </w:r>
      <w:r w:rsidRPr="00C43F1B">
        <w:rPr>
          <w:rFonts w:hint="eastAsia"/>
          <w:sz w:val="24"/>
          <w:rtl/>
        </w:rPr>
        <w:t>היומיום</w:t>
      </w:r>
      <w:r w:rsidRPr="00C43F1B">
        <w:rPr>
          <w:sz w:val="24"/>
          <w:rtl/>
        </w:rPr>
        <w:t xml:space="preserve"> </w:t>
      </w:r>
      <w:r w:rsidRPr="00C43F1B">
        <w:rPr>
          <w:rFonts w:hint="eastAsia"/>
          <w:sz w:val="24"/>
          <w:rtl/>
        </w:rPr>
        <w:t>של</w:t>
      </w:r>
      <w:r w:rsidRPr="00C43F1B">
        <w:rPr>
          <w:sz w:val="24"/>
          <w:rtl/>
        </w:rPr>
        <w:t xml:space="preserve"> </w:t>
      </w:r>
      <w:r w:rsidRPr="00C43F1B">
        <w:rPr>
          <w:rFonts w:hint="eastAsia"/>
          <w:sz w:val="24"/>
          <w:rtl/>
        </w:rPr>
        <w:t>התלמידים</w:t>
      </w:r>
      <w:r w:rsidRPr="00C43F1B">
        <w:rPr>
          <w:rFonts w:hint="cs"/>
          <w:rtl/>
        </w:rPr>
        <w:t>. כל זאת כדי לסייע לצוותים החינוכיים לזהות התנהגויות שהן בגדר הטרדה מינית ופגיעה מינית ולטפל בהן כראוי.</w:t>
      </w:r>
      <w:r>
        <w:rPr>
          <w:rFonts w:hint="cs"/>
          <w:rtl/>
        </w:rPr>
        <w:t xml:space="preserve"> </w:t>
      </w:r>
    </w:p>
    <w:p w14:paraId="40E1739B" w14:textId="77777777" w:rsidR="005C23D7" w:rsidRDefault="005C23D7">
      <w:pPr>
        <w:bidi w:val="0"/>
        <w:spacing w:after="200" w:line="276" w:lineRule="auto"/>
        <w:rPr>
          <w:rFonts w:ascii="Tahoma" w:hAnsi="Tahoma" w:cs="Tahoma"/>
          <w:szCs w:val="20"/>
          <w:highlight w:val="lightGray"/>
        </w:rPr>
      </w:pPr>
      <w:r>
        <w:rPr>
          <w:highlight w:val="lightGray"/>
        </w:rPr>
        <w:br w:type="page"/>
      </w:r>
    </w:p>
    <w:p w14:paraId="49A5F73F" w14:textId="256F7B7F" w:rsidR="00417266" w:rsidRDefault="00417266" w:rsidP="005C23D7">
      <w:pPr>
        <w:pStyle w:val="a0"/>
      </w:pPr>
      <w:r w:rsidRPr="00C43F1B">
        <w:rPr>
          <w:rFonts w:hint="cs"/>
          <w:rtl/>
        </w:rPr>
        <w:lastRenderedPageBreak/>
        <w:t xml:space="preserve">חוזר אקלים חינוכי עוסק גם בהטרדות מיניות בין תלמידים ומציין את ההתנהגויות האסורות לפי </w:t>
      </w:r>
      <w:r w:rsidRPr="005C23D7">
        <w:rPr>
          <w:rFonts w:hint="cs"/>
          <w:rtl/>
        </w:rPr>
        <w:t>החוק</w:t>
      </w:r>
      <w:r w:rsidRPr="00C43F1B">
        <w:rPr>
          <w:rFonts w:hint="cs"/>
          <w:rtl/>
        </w:rPr>
        <w:t xml:space="preserve"> למניעת הטרדה מינית שעליהן לא חלה חובת דיווח על פי החוק לרשויות הרווחה או למשטרה</w:t>
      </w:r>
      <w:r w:rsidRPr="00C43F1B">
        <w:rPr>
          <w:rStyle w:val="FootnoteReference"/>
          <w:sz w:val="24"/>
          <w:rtl/>
        </w:rPr>
        <w:footnoteReference w:id="101"/>
      </w:r>
      <w:r w:rsidRPr="00C43F1B">
        <w:rPr>
          <w:rFonts w:hint="cs"/>
          <w:rtl/>
        </w:rPr>
        <w:t xml:space="preserve">. החוזר קובע כי כאשר מתרחשת התנהגות מילולית או פגיעה מקוונת המהוות הטרדה מינית, יש לפעול לפי הנחיות חוזר אקלים חינוכי, וכאשר מתרחשת התנהגות המהווה עבירת מין שחלה עליה חובת דיווח על פי חוק העונשין, יש לפעול לפי הנחיות חוזר פגיעה מינית. </w:t>
      </w:r>
    </w:p>
    <w:p w14:paraId="67BEC185" w14:textId="77777777" w:rsidR="00417266" w:rsidRPr="00C43F1B" w:rsidRDefault="00417266" w:rsidP="005C23D7">
      <w:pPr>
        <w:pStyle w:val="af2"/>
        <w:rPr>
          <w:rtl/>
        </w:rPr>
      </w:pPr>
      <w:r w:rsidRPr="00C43F1B">
        <w:rPr>
          <w:rFonts w:hint="eastAsia"/>
          <w:rtl/>
        </w:rPr>
        <w:t>חוזר</w:t>
      </w:r>
      <w:r w:rsidRPr="00C43F1B">
        <w:rPr>
          <w:rtl/>
        </w:rPr>
        <w:t xml:space="preserve"> </w:t>
      </w:r>
      <w:r w:rsidRPr="00C43F1B">
        <w:rPr>
          <w:rFonts w:hint="eastAsia"/>
          <w:rtl/>
        </w:rPr>
        <w:t>אקלים</w:t>
      </w:r>
      <w:r w:rsidRPr="00C43F1B">
        <w:rPr>
          <w:rtl/>
        </w:rPr>
        <w:t xml:space="preserve"> חינוכי </w:t>
      </w:r>
      <w:r w:rsidRPr="00C43F1B">
        <w:rPr>
          <w:rFonts w:hint="eastAsia"/>
          <w:rtl/>
        </w:rPr>
        <w:t>כולל</w:t>
      </w:r>
      <w:r w:rsidRPr="00C43F1B">
        <w:rPr>
          <w:rtl/>
        </w:rPr>
        <w:t xml:space="preserve"> </w:t>
      </w:r>
      <w:r w:rsidRPr="00C43F1B">
        <w:rPr>
          <w:rFonts w:hint="cs"/>
          <w:rtl/>
        </w:rPr>
        <w:t>אמות מידה</w:t>
      </w:r>
      <w:r w:rsidRPr="00C43F1B">
        <w:rPr>
          <w:rtl/>
        </w:rPr>
        <w:t xml:space="preserve"> </w:t>
      </w:r>
      <w:r w:rsidRPr="00C43F1B">
        <w:rPr>
          <w:rFonts w:hint="eastAsia"/>
          <w:rtl/>
        </w:rPr>
        <w:t>לקביעת</w:t>
      </w:r>
      <w:r w:rsidRPr="00C43F1B">
        <w:rPr>
          <w:rtl/>
        </w:rPr>
        <w:t xml:space="preserve"> </w:t>
      </w:r>
      <w:r w:rsidRPr="00C43F1B">
        <w:rPr>
          <w:rFonts w:hint="eastAsia"/>
          <w:rtl/>
        </w:rPr>
        <w:t>חומרת</w:t>
      </w:r>
      <w:r w:rsidRPr="00C43F1B">
        <w:rPr>
          <w:rtl/>
        </w:rPr>
        <w:t xml:space="preserve"> </w:t>
      </w:r>
      <w:r w:rsidRPr="00C43F1B">
        <w:rPr>
          <w:rFonts w:hint="eastAsia"/>
          <w:rtl/>
        </w:rPr>
        <w:t>האירוע</w:t>
      </w:r>
      <w:r w:rsidRPr="00C43F1B">
        <w:rPr>
          <w:rFonts w:hint="cs"/>
          <w:rtl/>
        </w:rPr>
        <w:t>,</w:t>
      </w:r>
      <w:r w:rsidRPr="00C43F1B">
        <w:rPr>
          <w:rtl/>
        </w:rPr>
        <w:t xml:space="preserve"> </w:t>
      </w:r>
      <w:r w:rsidRPr="00C43F1B">
        <w:rPr>
          <w:rFonts w:hint="eastAsia"/>
          <w:rtl/>
        </w:rPr>
        <w:t>אך</w:t>
      </w:r>
      <w:r w:rsidRPr="00C43F1B">
        <w:rPr>
          <w:rtl/>
        </w:rPr>
        <w:t xml:space="preserve"> </w:t>
      </w:r>
      <w:r w:rsidRPr="00C43F1B">
        <w:rPr>
          <w:rFonts w:hint="cs"/>
          <w:rtl/>
        </w:rPr>
        <w:t xml:space="preserve">הן </w:t>
      </w:r>
      <w:r w:rsidRPr="00C43F1B">
        <w:rPr>
          <w:rFonts w:hint="eastAsia"/>
          <w:rtl/>
        </w:rPr>
        <w:t>שונ</w:t>
      </w:r>
      <w:r w:rsidRPr="00C43F1B">
        <w:rPr>
          <w:rFonts w:hint="cs"/>
          <w:rtl/>
        </w:rPr>
        <w:t>ות</w:t>
      </w:r>
      <w:r w:rsidRPr="00C43F1B">
        <w:rPr>
          <w:rtl/>
        </w:rPr>
        <w:t xml:space="preserve"> </w:t>
      </w:r>
      <w:r w:rsidRPr="00C43F1B">
        <w:rPr>
          <w:rFonts w:hint="cs"/>
          <w:rtl/>
        </w:rPr>
        <w:t xml:space="preserve">מאלה </w:t>
      </w:r>
      <w:r w:rsidRPr="00C43F1B">
        <w:rPr>
          <w:rFonts w:hint="eastAsia"/>
          <w:rtl/>
        </w:rPr>
        <w:t>שנקבעו</w:t>
      </w:r>
      <w:r w:rsidRPr="00C43F1B">
        <w:rPr>
          <w:rtl/>
        </w:rPr>
        <w:t xml:space="preserve"> </w:t>
      </w:r>
      <w:r w:rsidRPr="00C43F1B">
        <w:rPr>
          <w:rFonts w:hint="eastAsia"/>
          <w:rtl/>
        </w:rPr>
        <w:t>בחוזר</w:t>
      </w:r>
      <w:r w:rsidRPr="00C43F1B">
        <w:rPr>
          <w:rtl/>
        </w:rPr>
        <w:t xml:space="preserve"> </w:t>
      </w:r>
      <w:r w:rsidRPr="00C43F1B">
        <w:rPr>
          <w:rFonts w:hint="cs"/>
          <w:rtl/>
        </w:rPr>
        <w:t>פגיעה מינית</w:t>
      </w:r>
      <w:r w:rsidRPr="00C43F1B">
        <w:rPr>
          <w:rStyle w:val="FootnoteReference"/>
          <w:sz w:val="24"/>
          <w:rtl/>
        </w:rPr>
        <w:footnoteReference w:id="102"/>
      </w:r>
      <w:r w:rsidRPr="00C43F1B">
        <w:rPr>
          <w:rtl/>
        </w:rPr>
        <w:t xml:space="preserve">. לדוגמה, חוזר </w:t>
      </w:r>
      <w:r w:rsidRPr="00C43F1B">
        <w:rPr>
          <w:rFonts w:hint="eastAsia"/>
          <w:rtl/>
        </w:rPr>
        <w:t>אקלים</w:t>
      </w:r>
      <w:r w:rsidRPr="00C43F1B">
        <w:rPr>
          <w:rtl/>
        </w:rPr>
        <w:t xml:space="preserve"> חינוכי </w:t>
      </w:r>
      <w:r w:rsidRPr="00C43F1B">
        <w:rPr>
          <w:rFonts w:hint="eastAsia"/>
          <w:rtl/>
        </w:rPr>
        <w:t>נעדר</w:t>
      </w:r>
      <w:r w:rsidRPr="00C43F1B">
        <w:rPr>
          <w:rtl/>
        </w:rPr>
        <w:t xml:space="preserve"> </w:t>
      </w:r>
      <w:r w:rsidRPr="00C43F1B">
        <w:rPr>
          <w:rFonts w:hint="eastAsia"/>
          <w:rtl/>
        </w:rPr>
        <w:t>את</w:t>
      </w:r>
      <w:r w:rsidRPr="00C43F1B">
        <w:rPr>
          <w:rtl/>
        </w:rPr>
        <w:t xml:space="preserve"> </w:t>
      </w:r>
      <w:r w:rsidRPr="00C43F1B">
        <w:rPr>
          <w:rFonts w:hint="cs"/>
          <w:rtl/>
        </w:rPr>
        <w:t xml:space="preserve">אמת המידה של </w:t>
      </w:r>
      <w:r w:rsidRPr="00C43F1B">
        <w:rPr>
          <w:rFonts w:hint="eastAsia"/>
          <w:rtl/>
        </w:rPr>
        <w:t>הסכמה</w:t>
      </w:r>
      <w:r w:rsidRPr="00C43F1B">
        <w:rPr>
          <w:rFonts w:hint="cs"/>
          <w:rtl/>
        </w:rPr>
        <w:t>,</w:t>
      </w:r>
      <w:r w:rsidRPr="00C43F1B">
        <w:rPr>
          <w:rtl/>
        </w:rPr>
        <w:t xml:space="preserve"> </w:t>
      </w:r>
      <w:r w:rsidRPr="00C43F1B">
        <w:rPr>
          <w:rFonts w:hint="cs"/>
          <w:rtl/>
        </w:rPr>
        <w:t xml:space="preserve">הכלולה </w:t>
      </w:r>
      <w:r w:rsidRPr="00C43F1B">
        <w:rPr>
          <w:rFonts w:hint="eastAsia"/>
          <w:rtl/>
        </w:rPr>
        <w:t>בחוזר</w:t>
      </w:r>
      <w:r w:rsidRPr="00C43F1B">
        <w:rPr>
          <w:rtl/>
        </w:rPr>
        <w:t xml:space="preserve"> </w:t>
      </w:r>
      <w:r w:rsidRPr="00C43F1B">
        <w:rPr>
          <w:rFonts w:hint="cs"/>
          <w:rtl/>
        </w:rPr>
        <w:t>פגיעה מינית</w:t>
      </w:r>
      <w:r w:rsidRPr="00C43F1B">
        <w:rPr>
          <w:rtl/>
        </w:rPr>
        <w:t>.</w:t>
      </w:r>
      <w:r w:rsidRPr="00C43F1B">
        <w:rPr>
          <w:rFonts w:hint="cs"/>
          <w:rtl/>
        </w:rPr>
        <w:t xml:space="preserve"> כמו כן, חוזר אקלים חינוכי מציע מדרג של התנהגויות ומגוון של פעולות חובה ופעולות שבשיקול דעת. זאת בשונה מחוזר פגיעה מינית, שלפיו אין למקבלי ההחלטות שיקול דעת. </w:t>
      </w:r>
    </w:p>
    <w:p w14:paraId="2099CB68" w14:textId="77777777" w:rsidR="00417266" w:rsidRPr="00C43F1B" w:rsidRDefault="00417266" w:rsidP="005C23D7">
      <w:pPr>
        <w:pStyle w:val="af2"/>
        <w:rPr>
          <w:rtl/>
        </w:rPr>
      </w:pPr>
      <w:r w:rsidRPr="00C43F1B">
        <w:rPr>
          <w:rFonts w:hint="cs"/>
          <w:rtl/>
        </w:rPr>
        <w:t xml:space="preserve">חוזר אקלים חינוכי מדרג את ההתנהגויות המהוות הטרדה מינית וקובע את התגובה הנדרשת של בית הספר בהתאם למדרג זה. כך נקבע כי התייחסות מבזה או משפילה המופנית לתלמיד בנוגע למינו או למיניותו נמצאת בדרגה קלה של מדרג ההתנהגויות האלימות, ולכן ניתן להסתפק בשיחה עם הכיתה. לעומת זאת, הצעות חוזרות בעלות אופי מיני דורגו כהתנהגות חמורה יותר המחייבת הכנת תוכנית התערבות מערכתית בהתייעצות עם הצוות הבין-מקצועי (יועצת בית הספר ופסיכולוג בית הספר). במקרה של פרסום תצלום, סרט או הקלטה שיש בהם עירום ויחסי מין, בלא שניתנה הסכמה לפרסומם - על מנהל המוסד החינוכי להגיש תלונה למשטרה. </w:t>
      </w:r>
    </w:p>
    <w:p w14:paraId="418D49BC" w14:textId="77777777" w:rsidR="00417266" w:rsidRDefault="00417266" w:rsidP="005C23D7">
      <w:pPr>
        <w:pStyle w:val="af3"/>
        <w:rPr>
          <w:rtl/>
        </w:rPr>
      </w:pPr>
      <w:r w:rsidRPr="00C43F1B">
        <w:rPr>
          <w:rFonts w:hint="cs"/>
          <w:rtl/>
        </w:rPr>
        <w:t xml:space="preserve">ההתנהגויות המהוות הטרדה מינית המפורטות בחוזר פגיעה מינית ובחוזר אקלים חינוכי מתוארות בלשון חוק העונשין ובלשון החוק למניעת הטרדה מינית. ראוי שמשרד החינוך יבהיר את </w:t>
      </w:r>
      <w:r>
        <w:rPr>
          <w:rFonts w:hint="cs"/>
          <w:rtl/>
        </w:rPr>
        <w:t>ה</w:t>
      </w:r>
      <w:r w:rsidRPr="00C43F1B">
        <w:rPr>
          <w:rFonts w:hint="cs"/>
          <w:rtl/>
        </w:rPr>
        <w:t xml:space="preserve">לשון המשפטית באמצעות דוגמאות, כפי שנעשה בחוזר אקלים חינוכי לגבי אירועי אלימות. </w:t>
      </w:r>
    </w:p>
    <w:p w14:paraId="4A80341D" w14:textId="77777777" w:rsidR="00417266" w:rsidRPr="00CF58D2" w:rsidRDefault="00417266" w:rsidP="005C23D7">
      <w:pPr>
        <w:pStyle w:val="100"/>
        <w:rPr>
          <w:rtl/>
        </w:rPr>
      </w:pPr>
      <w:r>
        <w:rPr>
          <w:rFonts w:hint="cs"/>
          <w:rtl/>
        </w:rPr>
        <w:t>משרד החינוך מסר בתשובתו כי חוזר פגיעה מינית המעודכן יכלול רקע תיאורטי והתייחסות שונה לעקרונות שהוצגו בשנת 1999. תיבחן האפשרות להוסיף לחוזר דוגמאות של הטרדות מיניות ומדרג תגובות מבוקש. במהלך השנים ננקטו במערכת החינוך פעולות רבות שהגבירו את ההבנה והידע ואת הדיווחים של אנשי החינוך בנוגע לרצף ההתנהגויות, החל מהטרדות ועד לפגיעות מיניות.</w:t>
      </w:r>
    </w:p>
    <w:p w14:paraId="335C2968" w14:textId="1FC99A14" w:rsidR="00417266" w:rsidRPr="00C43F1B" w:rsidRDefault="00417266" w:rsidP="00417266">
      <w:pPr>
        <w:spacing w:line="269" w:lineRule="auto"/>
        <w:rPr>
          <w:rtl/>
        </w:rPr>
      </w:pPr>
    </w:p>
    <w:p w14:paraId="71AD51B2" w14:textId="77777777" w:rsidR="00417266" w:rsidRDefault="00417266" w:rsidP="005C23D7">
      <w:pPr>
        <w:pStyle w:val="af3"/>
        <w:rPr>
          <w:rtl/>
        </w:rPr>
      </w:pPr>
      <w:r w:rsidRPr="00C43F1B">
        <w:rPr>
          <w:rFonts w:hint="cs"/>
          <w:rtl/>
        </w:rPr>
        <w:lastRenderedPageBreak/>
        <w:t xml:space="preserve">על המשרד </w:t>
      </w:r>
      <w:r>
        <w:rPr>
          <w:rFonts w:hint="cs"/>
          <w:rtl/>
        </w:rPr>
        <w:t>להבהיר את ה</w:t>
      </w:r>
      <w:r w:rsidRPr="00C43F1B">
        <w:rPr>
          <w:rFonts w:hint="cs"/>
          <w:rtl/>
        </w:rPr>
        <w:t xml:space="preserve">מונחים </w:t>
      </w:r>
      <w:r>
        <w:rPr>
          <w:rFonts w:hint="cs"/>
          <w:rtl/>
        </w:rPr>
        <w:t>ה</w:t>
      </w:r>
      <w:r w:rsidRPr="00C43F1B">
        <w:rPr>
          <w:rFonts w:hint="cs"/>
          <w:rtl/>
        </w:rPr>
        <w:t xml:space="preserve">משפטיים המשמשים בעולם המבוגרים, כמו הטרדה מינית, יחסי מרות, הסכמה - </w:t>
      </w:r>
      <w:r>
        <w:rPr>
          <w:rFonts w:hint="cs"/>
          <w:rtl/>
        </w:rPr>
        <w:t xml:space="preserve">כך שיהיו </w:t>
      </w:r>
      <w:r w:rsidRPr="00C43F1B">
        <w:rPr>
          <w:rFonts w:hint="cs"/>
          <w:rtl/>
        </w:rPr>
        <w:t xml:space="preserve">מותאמים לעולם התלמידים. כן על המשרד לעדכן את הוראות חוזרי המנכ"ל בדרך שתמנע סתירות בין החוזרים. </w:t>
      </w:r>
      <w:r>
        <w:rPr>
          <w:rFonts w:hint="cs"/>
          <w:rtl/>
        </w:rPr>
        <w:t>עוד</w:t>
      </w:r>
      <w:r w:rsidRPr="00C43F1B">
        <w:rPr>
          <w:rFonts w:hint="cs"/>
          <w:rtl/>
        </w:rPr>
        <w:t xml:space="preserve"> </w:t>
      </w:r>
      <w:r>
        <w:rPr>
          <w:rFonts w:hint="cs"/>
          <w:rtl/>
        </w:rPr>
        <w:t xml:space="preserve">על המשרד </w:t>
      </w:r>
      <w:r w:rsidRPr="00C43F1B">
        <w:rPr>
          <w:rFonts w:hint="cs"/>
          <w:rtl/>
        </w:rPr>
        <w:t xml:space="preserve">לבחון אם נדרש לקבוע מדרג של אמצעי התמודדות עם התנהגויות ההטרדה המינית שיבטיח שאמצעי ההתמודדות יהיו מידתיים. </w:t>
      </w:r>
      <w:r>
        <w:rPr>
          <w:rFonts w:hint="cs"/>
          <w:rtl/>
        </w:rPr>
        <w:t>מומלץ למשרד החינוך להטמיע את הוראות החוזרים באמצעות לומדה מקוונת.</w:t>
      </w:r>
    </w:p>
    <w:p w14:paraId="7F4C3F0D" w14:textId="77777777" w:rsidR="00417266" w:rsidRPr="00C43F1B" w:rsidRDefault="00417266" w:rsidP="004E0E03">
      <w:pPr>
        <w:pStyle w:val="414"/>
        <w:rPr>
          <w:rtl/>
        </w:rPr>
      </w:pPr>
      <w:r w:rsidRPr="00C43F1B">
        <w:rPr>
          <w:rFonts w:hint="eastAsia"/>
          <w:rtl/>
        </w:rPr>
        <w:t>אגף</w:t>
      </w:r>
      <w:r w:rsidRPr="00C43F1B">
        <w:rPr>
          <w:rtl/>
        </w:rPr>
        <w:t xml:space="preserve"> </w:t>
      </w:r>
      <w:r w:rsidRPr="00C43F1B">
        <w:rPr>
          <w:rFonts w:hint="eastAsia"/>
          <w:rtl/>
        </w:rPr>
        <w:t>השירות</w:t>
      </w:r>
      <w:r w:rsidRPr="00C43F1B">
        <w:rPr>
          <w:rtl/>
        </w:rPr>
        <w:t xml:space="preserve"> </w:t>
      </w:r>
      <w:r w:rsidRPr="00C43F1B">
        <w:rPr>
          <w:rFonts w:hint="eastAsia"/>
          <w:rtl/>
        </w:rPr>
        <w:t>הפסיכולוגי</w:t>
      </w:r>
      <w:r w:rsidRPr="00C43F1B">
        <w:rPr>
          <w:rtl/>
        </w:rPr>
        <w:t xml:space="preserve">-ייעוצי </w:t>
      </w:r>
    </w:p>
    <w:p w14:paraId="6307F827" w14:textId="77777777" w:rsidR="00417266" w:rsidRPr="00C43F1B" w:rsidRDefault="00417266" w:rsidP="004E0E03">
      <w:pPr>
        <w:pStyle w:val="100"/>
        <w:rPr>
          <w:rtl/>
        </w:rPr>
      </w:pPr>
      <w:r w:rsidRPr="00C43F1B">
        <w:rPr>
          <w:rFonts w:hint="cs"/>
          <w:rtl/>
        </w:rPr>
        <w:t>אגף שפ"י מופקד על מתן שירותים פסיכולוגיים ושירותי ייעוץ חינוכי למוסדות החינוך, לתלמידים ולהוריהם. בשפ"י פועלת היחידה למיניות ומניעת התעללות ופגיעות מיניות בילדים ובני נוער (להלן - היחידה למיניות)</w:t>
      </w:r>
      <w:r>
        <w:rPr>
          <w:rFonts w:hint="cs"/>
          <w:rtl/>
        </w:rPr>
        <w:t>.</w:t>
      </w:r>
      <w:r w:rsidRPr="00C43F1B">
        <w:rPr>
          <w:rFonts w:hint="cs"/>
          <w:rtl/>
        </w:rPr>
        <w:t xml:space="preserve"> יחידה זו פועלת במישור המניעה - באמצעות הפצת תוכניות חינוכיות לבתי הספר; ובמישור הטיפולי - באמצעות מתן ייעוץ מקצועי ליועצות בתי הספר המטפלות באירועי הטרדה מינית בבתי הספר.</w:t>
      </w:r>
    </w:p>
    <w:p w14:paraId="6820E0E6" w14:textId="77777777" w:rsidR="00417266" w:rsidRPr="00FD64B8" w:rsidRDefault="00417266" w:rsidP="00FD64B8">
      <w:pPr>
        <w:pStyle w:val="5115"/>
        <w:rPr>
          <w:rtl/>
        </w:rPr>
      </w:pPr>
      <w:r w:rsidRPr="00FD64B8">
        <w:rPr>
          <w:rtl/>
        </w:rPr>
        <w:t>תוכניות אגף שפ"י למניעת הטרדות מיניות</w:t>
      </w:r>
    </w:p>
    <w:p w14:paraId="29E99133" w14:textId="77777777" w:rsidR="00417266" w:rsidRPr="00FD64B8" w:rsidRDefault="00417266" w:rsidP="00FD64B8">
      <w:pPr>
        <w:pStyle w:val="100"/>
        <w:rPr>
          <w:rtl/>
        </w:rPr>
      </w:pPr>
      <w:r w:rsidRPr="00AA321D">
        <w:rPr>
          <w:rStyle w:val="Heading5Char"/>
          <w:rFonts w:eastAsiaTheme="minorHAnsi" w:hint="eastAsia"/>
          <w:bCs w:val="0"/>
          <w:color w:val="387026"/>
          <w:spacing w:val="0"/>
          <w:sz w:val="23"/>
          <w:szCs w:val="23"/>
          <w:rtl/>
        </w:rPr>
        <w:t>אתר</w:t>
      </w:r>
      <w:r w:rsidRPr="00AA321D">
        <w:rPr>
          <w:rStyle w:val="Heading5Char"/>
          <w:rFonts w:eastAsiaTheme="minorHAnsi"/>
          <w:bCs w:val="0"/>
          <w:color w:val="387026"/>
          <w:spacing w:val="0"/>
          <w:sz w:val="23"/>
          <w:szCs w:val="23"/>
          <w:rtl/>
        </w:rPr>
        <w:t xml:space="preserve"> </w:t>
      </w:r>
      <w:r w:rsidRPr="00AA321D">
        <w:rPr>
          <w:rStyle w:val="Heading5Char"/>
          <w:rFonts w:eastAsiaTheme="minorHAnsi" w:hint="eastAsia"/>
          <w:bCs w:val="0"/>
          <w:color w:val="387026"/>
          <w:spacing w:val="0"/>
          <w:sz w:val="23"/>
          <w:szCs w:val="23"/>
          <w:rtl/>
        </w:rPr>
        <w:t>שפ</w:t>
      </w:r>
      <w:r w:rsidRPr="00AA321D">
        <w:rPr>
          <w:rStyle w:val="Heading5Char"/>
          <w:rFonts w:eastAsiaTheme="minorHAnsi"/>
          <w:bCs w:val="0"/>
          <w:color w:val="387026"/>
          <w:spacing w:val="0"/>
          <w:sz w:val="23"/>
          <w:szCs w:val="23"/>
          <w:rtl/>
        </w:rPr>
        <w:t>"ינט</w:t>
      </w:r>
      <w:r w:rsidRPr="00AA321D">
        <w:rPr>
          <w:rStyle w:val="Heading5Char"/>
          <w:rFonts w:eastAsiaTheme="minorHAnsi" w:hint="cs"/>
          <w:bCs w:val="0"/>
          <w:color w:val="387026"/>
          <w:spacing w:val="0"/>
          <w:sz w:val="23"/>
          <w:szCs w:val="23"/>
          <w:rtl/>
        </w:rPr>
        <w:t>:</w:t>
      </w:r>
      <w:r w:rsidRPr="00FD64B8">
        <w:rPr>
          <w:color w:val="387026"/>
          <w:rtl/>
        </w:rPr>
        <w:t xml:space="preserve"> </w:t>
      </w:r>
      <w:r w:rsidRPr="00FD64B8">
        <w:rPr>
          <w:rtl/>
        </w:rPr>
        <w:t>אתר ה</w:t>
      </w:r>
      <w:r w:rsidRPr="00FD64B8">
        <w:rPr>
          <w:rFonts w:hint="cs"/>
          <w:rtl/>
        </w:rPr>
        <w:t>מרשתת</w:t>
      </w:r>
      <w:r w:rsidRPr="00FD64B8">
        <w:rPr>
          <w:rtl/>
        </w:rPr>
        <w:t xml:space="preserve"> של </w:t>
      </w:r>
      <w:r w:rsidRPr="00FD64B8">
        <w:rPr>
          <w:rFonts w:hint="eastAsia"/>
          <w:rtl/>
        </w:rPr>
        <w:t>שפ</w:t>
      </w:r>
      <w:r w:rsidRPr="00FD64B8">
        <w:rPr>
          <w:rtl/>
        </w:rPr>
        <w:t xml:space="preserve">"י </w:t>
      </w:r>
      <w:r w:rsidRPr="00FD64B8">
        <w:rPr>
          <w:rFonts w:hint="eastAsia"/>
          <w:rtl/>
        </w:rPr>
        <w:t>הוא</w:t>
      </w:r>
      <w:r w:rsidRPr="00FD64B8">
        <w:rPr>
          <w:rtl/>
        </w:rPr>
        <w:t xml:space="preserve"> אתר מקיף הכולל מידע מגוון שנדרש ליועצות בעבודתן השוטפת, </w:t>
      </w:r>
      <w:r w:rsidRPr="00FD64B8">
        <w:rPr>
          <w:rFonts w:hint="cs"/>
          <w:rtl/>
        </w:rPr>
        <w:t xml:space="preserve">והוא </w:t>
      </w:r>
      <w:r w:rsidRPr="00FD64B8">
        <w:rPr>
          <w:rtl/>
        </w:rPr>
        <w:t xml:space="preserve">פונה גם לאנשי חינוך בכלל, להורים </w:t>
      </w:r>
      <w:r w:rsidRPr="00FD64B8">
        <w:rPr>
          <w:rFonts w:hint="eastAsia"/>
          <w:rtl/>
        </w:rPr>
        <w:t>ולתלמידים</w:t>
      </w:r>
      <w:r w:rsidRPr="00FD64B8">
        <w:rPr>
          <w:rtl/>
        </w:rPr>
        <w:t xml:space="preserve">. </w:t>
      </w:r>
      <w:r w:rsidRPr="00FD64B8">
        <w:rPr>
          <w:rFonts w:hint="eastAsia"/>
          <w:rtl/>
        </w:rPr>
        <w:t>אף</w:t>
      </w:r>
      <w:r w:rsidRPr="00FD64B8">
        <w:rPr>
          <w:rtl/>
        </w:rPr>
        <w:t xml:space="preserve"> כי מערכי השיעור </w:t>
      </w:r>
      <w:r w:rsidRPr="00FD64B8">
        <w:rPr>
          <w:rFonts w:hint="eastAsia"/>
          <w:rtl/>
        </w:rPr>
        <w:t>באתר</w:t>
      </w:r>
      <w:r w:rsidRPr="00FD64B8">
        <w:rPr>
          <w:rtl/>
        </w:rPr>
        <w:t xml:space="preserve"> </w:t>
      </w:r>
      <w:r w:rsidRPr="00FD64B8">
        <w:rPr>
          <w:rFonts w:hint="eastAsia"/>
          <w:rtl/>
        </w:rPr>
        <w:t>מפורטים</w:t>
      </w:r>
      <w:r w:rsidRPr="00FD64B8">
        <w:rPr>
          <w:rFonts w:hint="cs"/>
          <w:rtl/>
        </w:rPr>
        <w:t xml:space="preserve"> ונוחים לשימוש,</w:t>
      </w:r>
      <w:r w:rsidRPr="00FD64B8">
        <w:rPr>
          <w:rtl/>
        </w:rPr>
        <w:t xml:space="preserve"> </w:t>
      </w:r>
      <w:r w:rsidRPr="00FD64B8">
        <w:rPr>
          <w:rFonts w:hint="eastAsia"/>
          <w:rtl/>
        </w:rPr>
        <w:t>מחקר</w:t>
      </w:r>
      <w:r w:rsidRPr="00FD64B8">
        <w:rPr>
          <w:rtl/>
        </w:rPr>
        <w:t xml:space="preserve"> </w:t>
      </w:r>
      <w:r w:rsidRPr="00FD64B8">
        <w:rPr>
          <w:rFonts w:hint="eastAsia"/>
          <w:rtl/>
        </w:rPr>
        <w:t>איכותני</w:t>
      </w:r>
      <w:r w:rsidRPr="00FD64B8">
        <w:rPr>
          <w:rFonts w:hint="cs"/>
          <w:rtl/>
        </w:rPr>
        <w:t xml:space="preserve"> שכלל ראיונות עומק של </w:t>
      </w:r>
      <w:r w:rsidRPr="00FD64B8">
        <w:rPr>
          <w:rtl/>
        </w:rPr>
        <w:t>24</w:t>
      </w:r>
      <w:r w:rsidRPr="00FD64B8">
        <w:rPr>
          <w:rFonts w:hint="cs"/>
          <w:rtl/>
        </w:rPr>
        <w:t xml:space="preserve"> יועצות בבתי ספר יסודיים ממלכתיים </w:t>
      </w:r>
      <w:r w:rsidRPr="00FD64B8">
        <w:rPr>
          <w:rtl/>
        </w:rPr>
        <w:t xml:space="preserve">(להלן - </w:t>
      </w:r>
      <w:r w:rsidRPr="00FD64B8">
        <w:rPr>
          <w:rFonts w:hint="eastAsia"/>
          <w:rtl/>
        </w:rPr>
        <w:t>המחקר</w:t>
      </w:r>
      <w:r w:rsidRPr="00FD64B8">
        <w:rPr>
          <w:rtl/>
        </w:rPr>
        <w:t xml:space="preserve"> </w:t>
      </w:r>
      <w:r w:rsidRPr="00FD64B8">
        <w:rPr>
          <w:rFonts w:hint="eastAsia"/>
          <w:rtl/>
        </w:rPr>
        <w:t>האיכותני</w:t>
      </w:r>
      <w:r w:rsidRPr="00FD64B8">
        <w:rPr>
          <w:rtl/>
        </w:rPr>
        <w:t xml:space="preserve">) </w:t>
      </w:r>
      <w:r w:rsidRPr="00FD64B8">
        <w:rPr>
          <w:rFonts w:hint="cs"/>
          <w:rtl/>
        </w:rPr>
        <w:t>הראה ש</w:t>
      </w:r>
      <w:r w:rsidRPr="00FD64B8">
        <w:rPr>
          <w:rFonts w:hint="eastAsia"/>
          <w:rtl/>
        </w:rPr>
        <w:t>יועצות</w:t>
      </w:r>
      <w:r w:rsidRPr="00FD64B8">
        <w:rPr>
          <w:rtl/>
        </w:rPr>
        <w:t xml:space="preserve"> </w:t>
      </w:r>
      <w:r w:rsidRPr="00FD64B8">
        <w:rPr>
          <w:rFonts w:hint="eastAsia"/>
          <w:rtl/>
        </w:rPr>
        <w:t>אינן</w:t>
      </w:r>
      <w:r w:rsidRPr="00FD64B8">
        <w:rPr>
          <w:rtl/>
        </w:rPr>
        <w:t xml:space="preserve"> </w:t>
      </w:r>
      <w:r w:rsidRPr="00FD64B8">
        <w:rPr>
          <w:rFonts w:hint="eastAsia"/>
          <w:rtl/>
        </w:rPr>
        <w:t>מכירות</w:t>
      </w:r>
      <w:r w:rsidRPr="00FD64B8">
        <w:rPr>
          <w:rtl/>
        </w:rPr>
        <w:t xml:space="preserve"> </w:t>
      </w:r>
      <w:r w:rsidRPr="00FD64B8">
        <w:rPr>
          <w:rFonts w:hint="eastAsia"/>
          <w:rtl/>
        </w:rPr>
        <w:t>את</w:t>
      </w:r>
      <w:r w:rsidRPr="00FD64B8">
        <w:rPr>
          <w:rtl/>
        </w:rPr>
        <w:t xml:space="preserve"> </w:t>
      </w:r>
      <w:r w:rsidRPr="00FD64B8">
        <w:rPr>
          <w:rFonts w:hint="eastAsia"/>
          <w:rtl/>
        </w:rPr>
        <w:t>החוק</w:t>
      </w:r>
      <w:r w:rsidRPr="00FD64B8">
        <w:rPr>
          <w:rtl/>
        </w:rPr>
        <w:t xml:space="preserve"> </w:t>
      </w:r>
      <w:r w:rsidRPr="00FD64B8">
        <w:rPr>
          <w:rFonts w:hint="eastAsia"/>
          <w:rtl/>
        </w:rPr>
        <w:t>למניעת</w:t>
      </w:r>
      <w:r w:rsidRPr="00FD64B8">
        <w:rPr>
          <w:rtl/>
        </w:rPr>
        <w:t xml:space="preserve"> </w:t>
      </w:r>
      <w:r w:rsidRPr="00FD64B8">
        <w:rPr>
          <w:rFonts w:hint="eastAsia"/>
          <w:rtl/>
        </w:rPr>
        <w:t>הטרדה</w:t>
      </w:r>
      <w:r w:rsidRPr="00FD64B8">
        <w:rPr>
          <w:rtl/>
        </w:rPr>
        <w:t xml:space="preserve"> </w:t>
      </w:r>
      <w:r w:rsidRPr="00FD64B8">
        <w:rPr>
          <w:rFonts w:hint="eastAsia"/>
          <w:rtl/>
        </w:rPr>
        <w:t>מינית</w:t>
      </w:r>
      <w:r w:rsidRPr="00FD64B8">
        <w:rPr>
          <w:rtl/>
        </w:rPr>
        <w:t xml:space="preserve"> </w:t>
      </w:r>
      <w:r w:rsidRPr="00FD64B8">
        <w:rPr>
          <w:rFonts w:hint="eastAsia"/>
          <w:rtl/>
        </w:rPr>
        <w:t>ומעבירות</w:t>
      </w:r>
      <w:r w:rsidRPr="00FD64B8">
        <w:rPr>
          <w:rtl/>
        </w:rPr>
        <w:t xml:space="preserve"> </w:t>
      </w:r>
      <w:r w:rsidRPr="00FD64B8">
        <w:rPr>
          <w:rFonts w:hint="eastAsia"/>
          <w:rtl/>
        </w:rPr>
        <w:t>בפועל</w:t>
      </w:r>
      <w:r w:rsidRPr="00FD64B8">
        <w:rPr>
          <w:rtl/>
        </w:rPr>
        <w:t xml:space="preserve"> </w:t>
      </w:r>
      <w:r w:rsidRPr="00FD64B8">
        <w:rPr>
          <w:rFonts w:hint="eastAsia"/>
          <w:rtl/>
        </w:rPr>
        <w:t>תכנים</w:t>
      </w:r>
      <w:r w:rsidRPr="00FD64B8">
        <w:rPr>
          <w:rtl/>
        </w:rPr>
        <w:t xml:space="preserve"> </w:t>
      </w:r>
      <w:r w:rsidRPr="00FD64B8">
        <w:rPr>
          <w:rFonts w:hint="eastAsia"/>
          <w:rtl/>
        </w:rPr>
        <w:t>ומסרים</w:t>
      </w:r>
      <w:r w:rsidRPr="00FD64B8">
        <w:rPr>
          <w:rtl/>
        </w:rPr>
        <w:t xml:space="preserve"> </w:t>
      </w:r>
      <w:r w:rsidRPr="00FD64B8">
        <w:rPr>
          <w:rFonts w:hint="eastAsia"/>
          <w:rtl/>
        </w:rPr>
        <w:t>שונים</w:t>
      </w:r>
      <w:r w:rsidRPr="005118B9">
        <w:rPr>
          <w:vertAlign w:val="superscript"/>
          <w:rtl/>
        </w:rPr>
        <w:footnoteReference w:id="103"/>
      </w:r>
      <w:r w:rsidRPr="005118B9">
        <w:rPr>
          <w:rtl/>
        </w:rPr>
        <w:t>.</w:t>
      </w:r>
    </w:p>
    <w:p w14:paraId="0129C3EC" w14:textId="77777777" w:rsidR="00417266" w:rsidRPr="00FD64B8" w:rsidRDefault="00417266" w:rsidP="00FD64B8">
      <w:pPr>
        <w:pStyle w:val="100"/>
        <w:rPr>
          <w:rtl/>
        </w:rPr>
      </w:pPr>
      <w:r w:rsidRPr="00FD64B8">
        <w:rPr>
          <w:rFonts w:hint="eastAsia"/>
          <w:rtl/>
        </w:rPr>
        <w:t>מסקר</w:t>
      </w:r>
      <w:r w:rsidRPr="00FD64B8">
        <w:rPr>
          <w:rtl/>
        </w:rPr>
        <w:t xml:space="preserve"> </w:t>
      </w:r>
      <w:r w:rsidRPr="00FD64B8">
        <w:rPr>
          <w:rFonts w:hint="cs"/>
          <w:rtl/>
        </w:rPr>
        <w:t>שנערך בשנת 2016</w:t>
      </w:r>
      <w:r w:rsidRPr="00FD64B8">
        <w:rPr>
          <w:rtl/>
        </w:rPr>
        <w:t xml:space="preserve"> עלה כי כ-46.8% מהיועצות גולשות באתר </w:t>
      </w:r>
      <w:r w:rsidRPr="00FD64B8">
        <w:rPr>
          <w:rFonts w:hint="eastAsia"/>
          <w:rtl/>
        </w:rPr>
        <w:t>שפ</w:t>
      </w:r>
      <w:r w:rsidRPr="00FD64B8">
        <w:rPr>
          <w:rtl/>
        </w:rPr>
        <w:t>"ינט באופן מזדמן, כ-25% גולשות פעם בחודש</w:t>
      </w:r>
      <w:r w:rsidRPr="00FD64B8">
        <w:rPr>
          <w:rFonts w:hint="cs"/>
          <w:rtl/>
        </w:rPr>
        <w:t>,</w:t>
      </w:r>
      <w:r w:rsidRPr="00FD64B8">
        <w:rPr>
          <w:rtl/>
        </w:rPr>
        <w:t xml:space="preserve"> כ-25% גולשות פעם בשבוע ו</w:t>
      </w:r>
      <w:r w:rsidRPr="00FD64B8">
        <w:rPr>
          <w:rFonts w:hint="cs"/>
          <w:rtl/>
        </w:rPr>
        <w:t>כ-</w:t>
      </w:r>
      <w:r w:rsidRPr="00FD64B8">
        <w:rPr>
          <w:rtl/>
        </w:rPr>
        <w:t xml:space="preserve">2.5% מהיועצות גולשות באתר בכל יום. </w:t>
      </w:r>
    </w:p>
    <w:p w14:paraId="6932DE3C" w14:textId="77777777" w:rsidR="00FD64B8" w:rsidRDefault="00417266" w:rsidP="00FD64B8">
      <w:pPr>
        <w:pStyle w:val="100"/>
        <w:rPr>
          <w:rtl/>
        </w:rPr>
      </w:pPr>
      <w:r w:rsidRPr="00AA321D">
        <w:rPr>
          <w:rStyle w:val="Heading5Char"/>
          <w:rFonts w:eastAsiaTheme="minorHAnsi" w:hint="cs"/>
          <w:bCs w:val="0"/>
          <w:color w:val="387026"/>
          <w:spacing w:val="0"/>
          <w:sz w:val="23"/>
          <w:szCs w:val="23"/>
          <w:rtl/>
        </w:rPr>
        <w:t>תו</w:t>
      </w:r>
      <w:r w:rsidRPr="00AA321D">
        <w:rPr>
          <w:rStyle w:val="Heading5Char"/>
          <w:rFonts w:eastAsiaTheme="minorHAnsi" w:hint="eastAsia"/>
          <w:bCs w:val="0"/>
          <w:color w:val="387026"/>
          <w:spacing w:val="0"/>
          <w:sz w:val="23"/>
          <w:szCs w:val="23"/>
          <w:rtl/>
        </w:rPr>
        <w:t>כנית</w:t>
      </w:r>
      <w:r w:rsidRPr="00AA321D">
        <w:rPr>
          <w:rStyle w:val="Heading5Char"/>
          <w:rFonts w:eastAsiaTheme="minorHAnsi"/>
          <w:bCs w:val="0"/>
          <w:color w:val="387026"/>
          <w:spacing w:val="0"/>
          <w:sz w:val="23"/>
          <w:szCs w:val="23"/>
          <w:rtl/>
        </w:rPr>
        <w:t xml:space="preserve"> </w:t>
      </w:r>
      <w:r w:rsidRPr="00AA321D">
        <w:rPr>
          <w:rStyle w:val="Heading5Char"/>
          <w:rFonts w:eastAsiaTheme="minorHAnsi" w:hint="eastAsia"/>
          <w:bCs w:val="0"/>
          <w:color w:val="387026"/>
          <w:spacing w:val="0"/>
          <w:sz w:val="23"/>
          <w:szCs w:val="23"/>
          <w:rtl/>
        </w:rPr>
        <w:t>כישורי</w:t>
      </w:r>
      <w:r w:rsidRPr="00AA321D">
        <w:rPr>
          <w:rStyle w:val="Heading5Char"/>
          <w:rFonts w:eastAsiaTheme="minorHAnsi"/>
          <w:bCs w:val="0"/>
          <w:color w:val="387026"/>
          <w:spacing w:val="0"/>
          <w:sz w:val="23"/>
          <w:szCs w:val="23"/>
          <w:rtl/>
        </w:rPr>
        <w:t xml:space="preserve"> </w:t>
      </w:r>
      <w:r w:rsidRPr="00AA321D">
        <w:rPr>
          <w:rStyle w:val="Heading5Char"/>
          <w:rFonts w:eastAsiaTheme="minorHAnsi" w:hint="eastAsia"/>
          <w:bCs w:val="0"/>
          <w:color w:val="387026"/>
          <w:spacing w:val="0"/>
          <w:sz w:val="23"/>
          <w:szCs w:val="23"/>
          <w:rtl/>
        </w:rPr>
        <w:t>חיים</w:t>
      </w:r>
      <w:r w:rsidRPr="00AA321D">
        <w:rPr>
          <w:rStyle w:val="Heading5Char"/>
          <w:rFonts w:eastAsiaTheme="minorHAnsi" w:hint="cs"/>
          <w:bCs w:val="0"/>
          <w:color w:val="387026"/>
          <w:spacing w:val="0"/>
          <w:sz w:val="23"/>
          <w:szCs w:val="23"/>
          <w:rtl/>
        </w:rPr>
        <w:t>:</w:t>
      </w:r>
      <w:r w:rsidRPr="00AA321D">
        <w:rPr>
          <w:rFonts w:hint="cs"/>
          <w:bCs/>
          <w:color w:val="387026"/>
          <w:sz w:val="23"/>
          <w:szCs w:val="23"/>
          <w:rtl/>
        </w:rPr>
        <w:t xml:space="preserve"> </w:t>
      </w:r>
      <w:r w:rsidRPr="00AA321D">
        <w:rPr>
          <w:b/>
          <w:rtl/>
        </w:rPr>
        <w:t>ת</w:t>
      </w:r>
      <w:r w:rsidRPr="00AA321D">
        <w:rPr>
          <w:rFonts w:hint="cs"/>
          <w:b/>
          <w:rtl/>
        </w:rPr>
        <w:t>ו</w:t>
      </w:r>
      <w:r w:rsidRPr="00AA321D">
        <w:rPr>
          <w:b/>
          <w:rtl/>
        </w:rPr>
        <w:t>כנית</w:t>
      </w:r>
      <w:r w:rsidRPr="00FD64B8">
        <w:rPr>
          <w:rtl/>
        </w:rPr>
        <w:t xml:space="preserve"> הלימודים בנושא כישורי חיים נקבעה בחוזר המנכ"ל תשע"א/4(ב).</w:t>
      </w:r>
    </w:p>
    <w:p w14:paraId="66D5BA96" w14:textId="06223409" w:rsidR="00417266" w:rsidRPr="00FD64B8" w:rsidRDefault="00417266" w:rsidP="00FD64B8">
      <w:pPr>
        <w:pStyle w:val="100"/>
      </w:pPr>
      <w:r w:rsidRPr="00FD64B8">
        <w:rPr>
          <w:rFonts w:hint="eastAsia"/>
          <w:rtl/>
        </w:rPr>
        <w:t>במחקר</w:t>
      </w:r>
      <w:r w:rsidRPr="00FD64B8">
        <w:rPr>
          <w:rtl/>
        </w:rPr>
        <w:t xml:space="preserve"> </w:t>
      </w:r>
      <w:r w:rsidRPr="00FD64B8">
        <w:rPr>
          <w:rFonts w:hint="eastAsia"/>
          <w:rtl/>
        </w:rPr>
        <w:t>האיכותני</w:t>
      </w:r>
      <w:r w:rsidRPr="00FD64B8">
        <w:rPr>
          <w:rtl/>
        </w:rPr>
        <w:t xml:space="preserve"> נמצאה</w:t>
      </w:r>
      <w:r w:rsidRPr="00FD64B8">
        <w:rPr>
          <w:rFonts w:hint="cs"/>
          <w:rtl/>
        </w:rPr>
        <w:t xml:space="preserve"> שונות גדולה בין היועצות בכל הנוגע ליישום תוכנית כישורי חיים בנושא הטרדות מיניות. חלק מהיועצות אינן סבורות שתוכנית זו קשורה להטרדה מינית כלל ודיווחו כי אין כל תוכנית לימודים הקשורה לנושא זה. אחרות סיפרו שהן מלמדות תכנים הקשורים למניעת הטרדות מיניות אך לא התבססו על תכניה של תוכנית כישורי חיים. </w:t>
      </w:r>
    </w:p>
    <w:p w14:paraId="04BE8E96" w14:textId="77777777" w:rsidR="00417266" w:rsidRDefault="00417266" w:rsidP="00026ACC">
      <w:pPr>
        <w:pStyle w:val="af3"/>
        <w:rPr>
          <w:rtl/>
        </w:rPr>
      </w:pPr>
      <w:r w:rsidRPr="00C43F1B">
        <w:rPr>
          <w:rFonts w:hint="cs"/>
          <w:rtl/>
        </w:rPr>
        <w:lastRenderedPageBreak/>
        <w:t xml:space="preserve">יוצא אפוא </w:t>
      </w:r>
      <w:r w:rsidRPr="00C43F1B">
        <w:rPr>
          <w:rFonts w:hint="eastAsia"/>
          <w:rtl/>
        </w:rPr>
        <w:t>כי</w:t>
      </w:r>
      <w:r w:rsidRPr="00C43F1B">
        <w:rPr>
          <w:rtl/>
        </w:rPr>
        <w:t xml:space="preserve"> </w:t>
      </w:r>
      <w:r w:rsidRPr="00C43F1B">
        <w:rPr>
          <w:rFonts w:hint="cs"/>
          <w:rtl/>
        </w:rPr>
        <w:t>אף ש</w:t>
      </w:r>
      <w:r w:rsidRPr="00C43F1B">
        <w:rPr>
          <w:rtl/>
        </w:rPr>
        <w:t>מרבית היועצות</w:t>
      </w:r>
      <w:r w:rsidRPr="00C43F1B">
        <w:rPr>
          <w:rFonts w:hint="cs"/>
          <w:rtl/>
        </w:rPr>
        <w:t xml:space="preserve"> עוסקות ב</w:t>
      </w:r>
      <w:r w:rsidRPr="00C43F1B">
        <w:rPr>
          <w:rtl/>
        </w:rPr>
        <w:t xml:space="preserve">נושא ההטרדה המינית, </w:t>
      </w:r>
      <w:r>
        <w:rPr>
          <w:rFonts w:hint="cs"/>
          <w:rtl/>
        </w:rPr>
        <w:t>חלק ניכר מהן</w:t>
      </w:r>
      <w:r w:rsidRPr="00C43F1B">
        <w:rPr>
          <w:rtl/>
        </w:rPr>
        <w:t xml:space="preserve"> </w:t>
      </w:r>
      <w:r w:rsidRPr="00C43F1B">
        <w:rPr>
          <w:rFonts w:hint="cs"/>
          <w:rtl/>
        </w:rPr>
        <w:t>אינ</w:t>
      </w:r>
      <w:r>
        <w:rPr>
          <w:rFonts w:hint="cs"/>
          <w:rtl/>
        </w:rPr>
        <w:t>ו</w:t>
      </w:r>
      <w:r w:rsidRPr="00C43F1B">
        <w:rPr>
          <w:rFonts w:hint="cs"/>
          <w:rtl/>
        </w:rPr>
        <w:t xml:space="preserve"> עוש</w:t>
      </w:r>
      <w:r>
        <w:rPr>
          <w:rFonts w:hint="cs"/>
          <w:rtl/>
        </w:rPr>
        <w:t>ה</w:t>
      </w:r>
      <w:r w:rsidRPr="00C43F1B">
        <w:rPr>
          <w:rFonts w:hint="cs"/>
          <w:rtl/>
        </w:rPr>
        <w:t xml:space="preserve"> שימוש שוטף באתר שפ"ינט</w:t>
      </w:r>
      <w:r w:rsidRPr="00C43F1B">
        <w:rPr>
          <w:rtl/>
        </w:rPr>
        <w:t xml:space="preserve">. </w:t>
      </w:r>
      <w:r w:rsidRPr="00C43F1B">
        <w:rPr>
          <w:rFonts w:hint="cs"/>
          <w:rtl/>
        </w:rPr>
        <w:t xml:space="preserve">לנוכח תוצאות </w:t>
      </w:r>
      <w:r w:rsidRPr="00645F0F">
        <w:rPr>
          <w:rFonts w:hint="eastAsia"/>
          <w:rtl/>
        </w:rPr>
        <w:t>המחקר</w:t>
      </w:r>
      <w:r w:rsidRPr="00645F0F">
        <w:rPr>
          <w:rtl/>
        </w:rPr>
        <w:t xml:space="preserve"> </w:t>
      </w:r>
      <w:r w:rsidRPr="00645F0F">
        <w:rPr>
          <w:rFonts w:hint="eastAsia"/>
          <w:rtl/>
        </w:rPr>
        <w:t>האיכותני</w:t>
      </w:r>
      <w:r w:rsidRPr="00C43F1B">
        <w:rPr>
          <w:rFonts w:hint="cs"/>
          <w:rtl/>
        </w:rPr>
        <w:t xml:space="preserve"> שהצביעו על שונות בין היועצות בהיכרותן עם החוק </w:t>
      </w:r>
      <w:r>
        <w:rPr>
          <w:rFonts w:hint="cs"/>
          <w:rtl/>
        </w:rPr>
        <w:t>ושונות בשימוש בתוכנית כישורי חיים</w:t>
      </w:r>
      <w:r w:rsidRPr="00C43F1B">
        <w:rPr>
          <w:rFonts w:hint="cs"/>
          <w:rtl/>
        </w:rPr>
        <w:t>, על שפ"י לוודא ש</w:t>
      </w:r>
      <w:r w:rsidRPr="00C43F1B">
        <w:rPr>
          <w:rtl/>
        </w:rPr>
        <w:t xml:space="preserve">היועצות </w:t>
      </w:r>
      <w:r>
        <w:rPr>
          <w:rFonts w:hint="cs"/>
          <w:rtl/>
        </w:rPr>
        <w:t xml:space="preserve">ייחשפו לתכנים </w:t>
      </w:r>
      <w:r w:rsidRPr="00C43F1B">
        <w:rPr>
          <w:rFonts w:hint="cs"/>
          <w:rtl/>
        </w:rPr>
        <w:t>הנוגעים ל</w:t>
      </w:r>
      <w:r w:rsidRPr="00C43F1B">
        <w:rPr>
          <w:rtl/>
        </w:rPr>
        <w:t xml:space="preserve">מניעת הטרדה מינית </w:t>
      </w:r>
      <w:r w:rsidRPr="00C43F1B">
        <w:rPr>
          <w:rFonts w:hint="cs"/>
          <w:rtl/>
        </w:rPr>
        <w:t>ו</w:t>
      </w:r>
      <w:r>
        <w:rPr>
          <w:rFonts w:hint="cs"/>
          <w:rtl/>
        </w:rPr>
        <w:t xml:space="preserve">להבטיח </w:t>
      </w:r>
      <w:r w:rsidRPr="0098450B">
        <w:rPr>
          <w:rFonts w:hint="eastAsia"/>
          <w:rtl/>
        </w:rPr>
        <w:t>שהתוכנית</w:t>
      </w:r>
      <w:r w:rsidRPr="0098450B">
        <w:rPr>
          <w:rFonts w:hint="cs"/>
          <w:rtl/>
        </w:rPr>
        <w:t xml:space="preserve"> נותנת</w:t>
      </w:r>
      <w:r w:rsidRPr="00C43F1B">
        <w:rPr>
          <w:rFonts w:hint="cs"/>
          <w:rtl/>
        </w:rPr>
        <w:t xml:space="preserve"> להן את המענה המיטבי.</w:t>
      </w:r>
    </w:p>
    <w:p w14:paraId="0C53F92A" w14:textId="77777777" w:rsidR="00417266" w:rsidRPr="00735F94" w:rsidRDefault="00417266" w:rsidP="00F53BDD">
      <w:pPr>
        <w:pStyle w:val="100"/>
        <w:rPr>
          <w:rtl/>
        </w:rPr>
      </w:pPr>
      <w:r>
        <w:rPr>
          <w:rFonts w:hint="cs"/>
          <w:rtl/>
        </w:rPr>
        <w:t xml:space="preserve">משרד החינוך מסר בתשובתו כי שפ"י נערך </w:t>
      </w:r>
      <w:r w:rsidRPr="0098450B">
        <w:rPr>
          <w:rFonts w:hint="cs"/>
          <w:rtl/>
        </w:rPr>
        <w:t xml:space="preserve">לבניית </w:t>
      </w:r>
      <w:r w:rsidRPr="0098450B">
        <w:rPr>
          <w:rFonts w:hint="eastAsia"/>
          <w:rtl/>
        </w:rPr>
        <w:t>תוכנית</w:t>
      </w:r>
      <w:r w:rsidRPr="0098450B">
        <w:rPr>
          <w:rFonts w:hint="cs"/>
          <w:rtl/>
        </w:rPr>
        <w:t xml:space="preserve"> כישורי</w:t>
      </w:r>
      <w:r>
        <w:rPr>
          <w:rFonts w:hint="cs"/>
          <w:rtl/>
        </w:rPr>
        <w:t xml:space="preserve"> חיים חדשה, ובה יוגדרו נושאי החובה. התוכנית תופיע במערכת הממוחשבת המשרדית. עוד ציין כי התוכנית תותאם למציאות המשתנה.</w:t>
      </w:r>
    </w:p>
    <w:p w14:paraId="34E8D798" w14:textId="77777777" w:rsidR="00417266" w:rsidRPr="00C43F1B" w:rsidRDefault="00417266" w:rsidP="00F53BDD">
      <w:pPr>
        <w:pStyle w:val="414"/>
        <w:rPr>
          <w:rtl/>
        </w:rPr>
      </w:pPr>
      <w:r w:rsidRPr="00C43F1B">
        <w:rPr>
          <w:rFonts w:hint="eastAsia"/>
          <w:rtl/>
        </w:rPr>
        <w:t>הגורמים</w:t>
      </w:r>
      <w:r w:rsidRPr="00C43F1B">
        <w:rPr>
          <w:rtl/>
        </w:rPr>
        <w:t xml:space="preserve"> </w:t>
      </w:r>
      <w:r w:rsidRPr="00C43F1B">
        <w:rPr>
          <w:rFonts w:hint="eastAsia"/>
          <w:rtl/>
        </w:rPr>
        <w:t>באגף</w:t>
      </w:r>
      <w:r w:rsidRPr="00C43F1B">
        <w:rPr>
          <w:rtl/>
        </w:rPr>
        <w:t xml:space="preserve"> </w:t>
      </w:r>
      <w:r w:rsidRPr="00C43F1B">
        <w:rPr>
          <w:rFonts w:hint="eastAsia"/>
          <w:rtl/>
        </w:rPr>
        <w:t>שפ</w:t>
      </w:r>
      <w:r w:rsidRPr="00C43F1B">
        <w:rPr>
          <w:rtl/>
        </w:rPr>
        <w:t xml:space="preserve">"י </w:t>
      </w:r>
      <w:r w:rsidRPr="00C43F1B">
        <w:rPr>
          <w:rFonts w:hint="eastAsia"/>
          <w:rtl/>
        </w:rPr>
        <w:t>המטפלים</w:t>
      </w:r>
      <w:r w:rsidRPr="00C43F1B">
        <w:rPr>
          <w:rtl/>
        </w:rPr>
        <w:t xml:space="preserve"> </w:t>
      </w:r>
      <w:r w:rsidRPr="00C43F1B">
        <w:rPr>
          <w:rFonts w:hint="eastAsia"/>
          <w:rtl/>
        </w:rPr>
        <w:t>באירועי</w:t>
      </w:r>
      <w:r w:rsidRPr="00C43F1B">
        <w:rPr>
          <w:rtl/>
        </w:rPr>
        <w:t xml:space="preserve"> </w:t>
      </w:r>
      <w:r w:rsidRPr="00C43F1B">
        <w:rPr>
          <w:rFonts w:hint="eastAsia"/>
          <w:rtl/>
        </w:rPr>
        <w:t>הטרדה</w:t>
      </w:r>
      <w:r w:rsidRPr="00C43F1B">
        <w:rPr>
          <w:rtl/>
        </w:rPr>
        <w:t xml:space="preserve"> </w:t>
      </w:r>
      <w:r w:rsidRPr="00C43F1B">
        <w:rPr>
          <w:rFonts w:hint="eastAsia"/>
          <w:rtl/>
        </w:rPr>
        <w:t>מינית</w:t>
      </w:r>
    </w:p>
    <w:p w14:paraId="18534114" w14:textId="77777777" w:rsidR="00417266" w:rsidRPr="00C9091D" w:rsidRDefault="00417266" w:rsidP="00C9091D">
      <w:pPr>
        <w:pStyle w:val="100"/>
        <w:rPr>
          <w:rtl/>
        </w:rPr>
      </w:pPr>
      <w:r w:rsidRPr="008642D0">
        <w:rPr>
          <w:rStyle w:val="Heading5Char"/>
          <w:rFonts w:eastAsiaTheme="minorHAnsi" w:hint="eastAsia"/>
          <w:bCs w:val="0"/>
          <w:color w:val="387026"/>
          <w:spacing w:val="0"/>
          <w:sz w:val="23"/>
          <w:szCs w:val="23"/>
          <w:rtl/>
        </w:rPr>
        <w:t>מדריכ</w:t>
      </w:r>
      <w:r w:rsidRPr="008642D0">
        <w:rPr>
          <w:rStyle w:val="Heading5Char"/>
          <w:rFonts w:eastAsiaTheme="minorHAnsi" w:hint="cs"/>
          <w:bCs w:val="0"/>
          <w:color w:val="387026"/>
          <w:spacing w:val="0"/>
          <w:sz w:val="23"/>
          <w:szCs w:val="23"/>
          <w:rtl/>
        </w:rPr>
        <w:t>י</w:t>
      </w:r>
      <w:r w:rsidRPr="008642D0">
        <w:rPr>
          <w:rStyle w:val="Heading5Char"/>
          <w:rFonts w:eastAsiaTheme="minorHAnsi"/>
          <w:bCs w:val="0"/>
          <w:color w:val="387026"/>
          <w:spacing w:val="0"/>
          <w:sz w:val="23"/>
          <w:szCs w:val="23"/>
          <w:rtl/>
        </w:rPr>
        <w:t xml:space="preserve"> </w:t>
      </w:r>
      <w:r w:rsidRPr="008642D0">
        <w:rPr>
          <w:rStyle w:val="Heading5Char"/>
          <w:rFonts w:eastAsiaTheme="minorHAnsi" w:hint="eastAsia"/>
          <w:bCs w:val="0"/>
          <w:color w:val="387026"/>
          <w:spacing w:val="0"/>
          <w:sz w:val="23"/>
          <w:szCs w:val="23"/>
          <w:rtl/>
        </w:rPr>
        <w:t>היחידה</w:t>
      </w:r>
      <w:r w:rsidRPr="008642D0">
        <w:rPr>
          <w:rStyle w:val="Heading5Char"/>
          <w:rFonts w:eastAsiaTheme="minorHAnsi"/>
          <w:bCs w:val="0"/>
          <w:color w:val="387026"/>
          <w:spacing w:val="0"/>
          <w:sz w:val="23"/>
          <w:szCs w:val="23"/>
          <w:rtl/>
        </w:rPr>
        <w:t xml:space="preserve"> </w:t>
      </w:r>
      <w:r w:rsidRPr="008642D0">
        <w:rPr>
          <w:rStyle w:val="Heading5Char"/>
          <w:rFonts w:eastAsiaTheme="minorHAnsi" w:hint="eastAsia"/>
          <w:bCs w:val="0"/>
          <w:color w:val="387026"/>
          <w:spacing w:val="0"/>
          <w:sz w:val="23"/>
          <w:szCs w:val="23"/>
          <w:rtl/>
        </w:rPr>
        <w:t>למיניות</w:t>
      </w:r>
      <w:r w:rsidRPr="008642D0">
        <w:rPr>
          <w:rStyle w:val="Heading5Char"/>
          <w:rFonts w:eastAsiaTheme="minorHAnsi" w:hint="cs"/>
          <w:bCs w:val="0"/>
          <w:color w:val="387026"/>
          <w:spacing w:val="0"/>
          <w:sz w:val="23"/>
          <w:szCs w:val="23"/>
          <w:rtl/>
        </w:rPr>
        <w:t>:</w:t>
      </w:r>
      <w:r w:rsidRPr="00C9091D">
        <w:rPr>
          <w:b/>
          <w:color w:val="387026"/>
          <w:rtl/>
        </w:rPr>
        <w:t xml:space="preserve"> </w:t>
      </w:r>
      <w:r w:rsidRPr="00C9091D">
        <w:rPr>
          <w:rFonts w:hint="eastAsia"/>
          <w:rtl/>
        </w:rPr>
        <w:t>ביחידה</w:t>
      </w:r>
      <w:r w:rsidRPr="00C9091D">
        <w:rPr>
          <w:rFonts w:hint="cs"/>
          <w:rtl/>
        </w:rPr>
        <w:t xml:space="preserve"> למיניות </w:t>
      </w:r>
      <w:r w:rsidRPr="00C9091D">
        <w:rPr>
          <w:rFonts w:hint="eastAsia"/>
          <w:rtl/>
        </w:rPr>
        <w:t>מועסקות</w:t>
      </w:r>
      <w:r w:rsidRPr="00C9091D">
        <w:rPr>
          <w:rtl/>
        </w:rPr>
        <w:t xml:space="preserve"> </w:t>
      </w:r>
      <w:r w:rsidRPr="00C9091D">
        <w:rPr>
          <w:rFonts w:hint="cs"/>
          <w:rtl/>
        </w:rPr>
        <w:t>66</w:t>
      </w:r>
      <w:r w:rsidRPr="00C9091D">
        <w:rPr>
          <w:rtl/>
        </w:rPr>
        <w:t xml:space="preserve"> </w:t>
      </w:r>
      <w:r w:rsidRPr="00C9091D">
        <w:rPr>
          <w:rFonts w:hint="cs"/>
          <w:rtl/>
        </w:rPr>
        <w:t>מדריכים ו</w:t>
      </w:r>
      <w:r w:rsidRPr="00C9091D">
        <w:rPr>
          <w:rFonts w:hint="eastAsia"/>
          <w:rtl/>
        </w:rPr>
        <w:t>מדריכות</w:t>
      </w:r>
      <w:r w:rsidRPr="00C9091D">
        <w:rPr>
          <w:rtl/>
        </w:rPr>
        <w:t xml:space="preserve"> </w:t>
      </w:r>
      <w:r w:rsidRPr="00C9091D">
        <w:rPr>
          <w:rFonts w:hint="eastAsia"/>
          <w:rtl/>
        </w:rPr>
        <w:t>הפזור</w:t>
      </w:r>
      <w:r w:rsidRPr="00C9091D">
        <w:rPr>
          <w:rFonts w:hint="cs"/>
          <w:rtl/>
        </w:rPr>
        <w:t>ים</w:t>
      </w:r>
      <w:r w:rsidRPr="00C9091D">
        <w:rPr>
          <w:rtl/>
        </w:rPr>
        <w:t xml:space="preserve"> </w:t>
      </w:r>
      <w:r w:rsidRPr="00C9091D">
        <w:rPr>
          <w:rFonts w:hint="eastAsia"/>
          <w:rtl/>
        </w:rPr>
        <w:t>ברחבי</w:t>
      </w:r>
      <w:r w:rsidRPr="00C9091D">
        <w:rPr>
          <w:rtl/>
        </w:rPr>
        <w:t xml:space="preserve"> </w:t>
      </w:r>
      <w:r w:rsidRPr="00C9091D">
        <w:rPr>
          <w:rFonts w:hint="eastAsia"/>
          <w:rtl/>
        </w:rPr>
        <w:t>הארץ</w:t>
      </w:r>
      <w:r w:rsidRPr="00C9091D">
        <w:rPr>
          <w:rtl/>
        </w:rPr>
        <w:t xml:space="preserve"> </w:t>
      </w:r>
      <w:r w:rsidRPr="00C9091D">
        <w:rPr>
          <w:rFonts w:hint="eastAsia"/>
          <w:rtl/>
        </w:rPr>
        <w:t>לפי</w:t>
      </w:r>
      <w:r w:rsidRPr="00C9091D">
        <w:rPr>
          <w:rtl/>
        </w:rPr>
        <w:t xml:space="preserve"> </w:t>
      </w:r>
      <w:r w:rsidRPr="00C9091D">
        <w:rPr>
          <w:rFonts w:hint="eastAsia"/>
          <w:rtl/>
        </w:rPr>
        <w:t>מחוזות</w:t>
      </w:r>
      <w:r w:rsidRPr="00C9091D">
        <w:rPr>
          <w:rtl/>
        </w:rPr>
        <w:t xml:space="preserve"> </w:t>
      </w:r>
      <w:r w:rsidRPr="00C9091D">
        <w:rPr>
          <w:rFonts w:hint="eastAsia"/>
          <w:rtl/>
        </w:rPr>
        <w:t>משרד</w:t>
      </w:r>
      <w:r w:rsidRPr="00C9091D">
        <w:rPr>
          <w:rtl/>
        </w:rPr>
        <w:t xml:space="preserve"> </w:t>
      </w:r>
      <w:r w:rsidRPr="00C9091D">
        <w:rPr>
          <w:rFonts w:hint="eastAsia"/>
          <w:rtl/>
        </w:rPr>
        <w:t>החינוך</w:t>
      </w:r>
      <w:r w:rsidRPr="00C9091D">
        <w:rPr>
          <w:rtl/>
        </w:rPr>
        <w:t xml:space="preserve">. </w:t>
      </w:r>
      <w:r w:rsidRPr="00C9091D">
        <w:rPr>
          <w:rFonts w:hint="cs"/>
          <w:rtl/>
        </w:rPr>
        <w:t>רוב ה</w:t>
      </w:r>
      <w:r w:rsidRPr="00C9091D">
        <w:rPr>
          <w:rFonts w:hint="eastAsia"/>
          <w:rtl/>
        </w:rPr>
        <w:t>מדריכ</w:t>
      </w:r>
      <w:r w:rsidRPr="00C9091D">
        <w:rPr>
          <w:rFonts w:hint="cs"/>
          <w:rtl/>
        </w:rPr>
        <w:t>ים</w:t>
      </w:r>
      <w:r w:rsidRPr="00C9091D">
        <w:rPr>
          <w:rtl/>
        </w:rPr>
        <w:t xml:space="preserve"> </w:t>
      </w:r>
      <w:r w:rsidRPr="00C9091D">
        <w:rPr>
          <w:rFonts w:hint="eastAsia"/>
          <w:rtl/>
        </w:rPr>
        <w:t>ה</w:t>
      </w:r>
      <w:r w:rsidRPr="00C9091D">
        <w:rPr>
          <w:rFonts w:hint="cs"/>
          <w:rtl/>
        </w:rPr>
        <w:t xml:space="preserve">ם </w:t>
      </w:r>
      <w:r w:rsidRPr="00C9091D">
        <w:rPr>
          <w:rFonts w:hint="eastAsia"/>
          <w:rtl/>
        </w:rPr>
        <w:t>יועצות</w:t>
      </w:r>
      <w:r w:rsidRPr="00C9091D">
        <w:rPr>
          <w:rtl/>
        </w:rPr>
        <w:t xml:space="preserve"> </w:t>
      </w:r>
      <w:r w:rsidRPr="00C9091D">
        <w:rPr>
          <w:rFonts w:hint="eastAsia"/>
          <w:rtl/>
        </w:rPr>
        <w:t>בתי</w:t>
      </w:r>
      <w:r w:rsidRPr="00C9091D">
        <w:rPr>
          <w:rtl/>
        </w:rPr>
        <w:t xml:space="preserve"> </w:t>
      </w:r>
      <w:r w:rsidRPr="00C9091D">
        <w:rPr>
          <w:rFonts w:hint="eastAsia"/>
          <w:rtl/>
        </w:rPr>
        <w:t>ספר</w:t>
      </w:r>
      <w:r w:rsidRPr="00C9091D">
        <w:rPr>
          <w:rtl/>
        </w:rPr>
        <w:t xml:space="preserve"> </w:t>
      </w:r>
      <w:r w:rsidRPr="00C9091D">
        <w:rPr>
          <w:rFonts w:hint="cs"/>
          <w:rtl/>
        </w:rPr>
        <w:t xml:space="preserve">שמייחדות </w:t>
      </w:r>
      <w:r w:rsidRPr="00C9091D">
        <w:rPr>
          <w:rtl/>
        </w:rPr>
        <w:t xml:space="preserve">יום אחד בשבוע לקבלת פניות להיוועצות מיועצות </w:t>
      </w:r>
      <w:r w:rsidRPr="00C9091D">
        <w:rPr>
          <w:rFonts w:hint="cs"/>
          <w:rtl/>
        </w:rPr>
        <w:t>בתי הספר אחרות ב</w:t>
      </w:r>
      <w:r w:rsidRPr="00C9091D">
        <w:rPr>
          <w:rtl/>
        </w:rPr>
        <w:t>מחוז. תפקיד המדריכ</w:t>
      </w:r>
      <w:r w:rsidRPr="00C9091D">
        <w:rPr>
          <w:rFonts w:hint="cs"/>
          <w:rtl/>
        </w:rPr>
        <w:t>ים</w:t>
      </w:r>
      <w:r w:rsidRPr="00C9091D">
        <w:rPr>
          <w:rtl/>
        </w:rPr>
        <w:t xml:space="preserve"> לסייע </w:t>
      </w:r>
      <w:r w:rsidRPr="00C9091D">
        <w:rPr>
          <w:rFonts w:hint="cs"/>
          <w:rtl/>
        </w:rPr>
        <w:t xml:space="preserve">לבתי הספר </w:t>
      </w:r>
      <w:r w:rsidRPr="00C9091D">
        <w:rPr>
          <w:rtl/>
        </w:rPr>
        <w:t>בהתמודדות עם פגיע</w:t>
      </w:r>
      <w:r w:rsidRPr="00C9091D">
        <w:rPr>
          <w:rFonts w:hint="cs"/>
          <w:rtl/>
        </w:rPr>
        <w:t>ות</w:t>
      </w:r>
      <w:r w:rsidRPr="00C9091D">
        <w:rPr>
          <w:rtl/>
        </w:rPr>
        <w:t xml:space="preserve"> </w:t>
      </w:r>
      <w:r w:rsidRPr="00C9091D">
        <w:rPr>
          <w:rFonts w:hint="eastAsia"/>
          <w:rtl/>
        </w:rPr>
        <w:t>מיני</w:t>
      </w:r>
      <w:r w:rsidRPr="00C9091D">
        <w:rPr>
          <w:rFonts w:hint="cs"/>
          <w:rtl/>
        </w:rPr>
        <w:t>ו</w:t>
      </w:r>
      <w:r w:rsidRPr="00C9091D">
        <w:rPr>
          <w:rFonts w:hint="eastAsia"/>
          <w:rtl/>
        </w:rPr>
        <w:t>ת</w:t>
      </w:r>
      <w:r w:rsidRPr="00C9091D">
        <w:rPr>
          <w:rtl/>
        </w:rPr>
        <w:t xml:space="preserve">, הן </w:t>
      </w:r>
      <w:r w:rsidRPr="00C9091D">
        <w:rPr>
          <w:rFonts w:hint="cs"/>
          <w:rtl/>
        </w:rPr>
        <w:t xml:space="preserve">בידי </w:t>
      </w:r>
      <w:r w:rsidRPr="00C9091D">
        <w:rPr>
          <w:rtl/>
        </w:rPr>
        <w:t xml:space="preserve">אנשי צוות ההוראה והן </w:t>
      </w:r>
      <w:r w:rsidRPr="00C9091D">
        <w:rPr>
          <w:rFonts w:hint="cs"/>
          <w:rtl/>
        </w:rPr>
        <w:t xml:space="preserve">בידי </w:t>
      </w:r>
      <w:r w:rsidRPr="00C9091D">
        <w:rPr>
          <w:rtl/>
        </w:rPr>
        <w:t>תלמידים.</w:t>
      </w:r>
    </w:p>
    <w:p w14:paraId="52C98786" w14:textId="77777777" w:rsidR="00417266" w:rsidRPr="00C9091D" w:rsidRDefault="00417266" w:rsidP="00C9091D">
      <w:pPr>
        <w:pStyle w:val="100"/>
        <w:rPr>
          <w:rtl/>
        </w:rPr>
      </w:pPr>
      <w:r w:rsidRPr="00C9091D">
        <w:rPr>
          <w:rFonts w:hint="cs"/>
          <w:rtl/>
        </w:rPr>
        <w:t>מדריכי היחידה למיניות מגיבים על פניות היועצות בעקבות אירועים נקודתיים ומסתמכים על הדרך שבה הבינו היועצות את משמעות האירוע</w:t>
      </w:r>
      <w:r w:rsidRPr="001E649A">
        <w:rPr>
          <w:rStyle w:val="FootnoteReference"/>
          <w:rtl/>
        </w:rPr>
        <w:footnoteReference w:id="104"/>
      </w:r>
      <w:r w:rsidRPr="00C9091D">
        <w:rPr>
          <w:rFonts w:hint="cs"/>
          <w:rtl/>
        </w:rPr>
        <w:t xml:space="preserve">. ההנחיה של היחידה למיניות היא להתייעץ בעניין כל אירוע. על פי אומדנים של המדריכים למיניות, בשנים 2010 - 2017 גדל מספר הפניות פי עשרה: בשנת 2010 התקבלו כ-500 פניות ובשנת 2017 - כ-5,000. </w:t>
      </w:r>
    </w:p>
    <w:p w14:paraId="5C316AE6" w14:textId="77777777" w:rsidR="00417266" w:rsidRPr="00C9091D" w:rsidRDefault="00417266" w:rsidP="00C9091D">
      <w:pPr>
        <w:pStyle w:val="100"/>
      </w:pPr>
      <w:r w:rsidRPr="00C9091D">
        <w:rPr>
          <w:rFonts w:hint="cs"/>
          <w:rtl/>
        </w:rPr>
        <w:t>על פי דיווחי המדריכים, בשנת הלימודים התשע"ז (2016 - 2017) השתתף כל אחד מהם בממוצע ב-7.2 ועדות בין-מקצועיות</w:t>
      </w:r>
      <w:r w:rsidRPr="001E649A">
        <w:rPr>
          <w:rStyle w:val="FootnoteReference"/>
          <w:rtl/>
        </w:rPr>
        <w:footnoteReference w:id="105"/>
      </w:r>
      <w:r w:rsidRPr="00C9091D">
        <w:rPr>
          <w:rFonts w:hint="cs"/>
          <w:rtl/>
        </w:rPr>
        <w:t xml:space="preserve"> בעקבות אירוע של פגיעה מינית, ובסך הכול הם השתתפו בכ-310 ועדות. עם זאת, מדיווחי המדריכים לא ניתן ללמוד על מספר אירועי ההטרדה המינית, מכיוון שלא לגבי כל אירוע מכנסים ועדה, ומכיוון שההנחיות אינן מחייבות את בתי הספר לזמן את המדריכים לישיבות הוועדות</w:t>
      </w:r>
      <w:r w:rsidRPr="004A7854">
        <w:rPr>
          <w:rStyle w:val="FootnoteReference"/>
          <w:rtl/>
        </w:rPr>
        <w:footnoteReference w:id="106"/>
      </w:r>
      <w:r w:rsidRPr="00C9091D">
        <w:rPr>
          <w:rFonts w:hint="cs"/>
          <w:rtl/>
        </w:rPr>
        <w:t xml:space="preserve">. </w:t>
      </w:r>
    </w:p>
    <w:p w14:paraId="6EDEEAC5" w14:textId="69BCC512" w:rsidR="00417266" w:rsidRPr="00C43F1B" w:rsidRDefault="00417266" w:rsidP="00417266">
      <w:pPr>
        <w:spacing w:line="269" w:lineRule="auto"/>
      </w:pPr>
    </w:p>
    <w:p w14:paraId="78E17303" w14:textId="77777777" w:rsidR="00417266" w:rsidRPr="00C9091D" w:rsidRDefault="00417266" w:rsidP="00C9091D">
      <w:pPr>
        <w:pStyle w:val="100"/>
        <w:rPr>
          <w:rtl/>
        </w:rPr>
      </w:pPr>
      <w:r w:rsidRPr="00DF0175">
        <w:rPr>
          <w:rStyle w:val="Heading5Char"/>
          <w:rFonts w:eastAsiaTheme="minorHAnsi" w:hint="eastAsia"/>
          <w:bCs w:val="0"/>
          <w:color w:val="387026"/>
          <w:spacing w:val="0"/>
          <w:sz w:val="23"/>
          <w:szCs w:val="23"/>
          <w:rtl/>
        </w:rPr>
        <w:t>יועצות</w:t>
      </w:r>
      <w:r w:rsidRPr="00DF0175">
        <w:rPr>
          <w:rStyle w:val="Heading5Char"/>
          <w:rFonts w:eastAsiaTheme="minorHAnsi"/>
          <w:bCs w:val="0"/>
          <w:color w:val="387026"/>
          <w:spacing w:val="0"/>
          <w:sz w:val="23"/>
          <w:szCs w:val="23"/>
          <w:rtl/>
        </w:rPr>
        <w:t xml:space="preserve"> </w:t>
      </w:r>
      <w:r w:rsidRPr="00DF0175">
        <w:rPr>
          <w:rStyle w:val="Heading5Char"/>
          <w:rFonts w:eastAsiaTheme="minorHAnsi" w:hint="eastAsia"/>
          <w:bCs w:val="0"/>
          <w:color w:val="387026"/>
          <w:spacing w:val="0"/>
          <w:sz w:val="23"/>
          <w:szCs w:val="23"/>
          <w:rtl/>
        </w:rPr>
        <w:t>בתי</w:t>
      </w:r>
      <w:r w:rsidRPr="00DF0175">
        <w:rPr>
          <w:rStyle w:val="Heading5Char"/>
          <w:rFonts w:eastAsiaTheme="minorHAnsi"/>
          <w:bCs w:val="0"/>
          <w:color w:val="387026"/>
          <w:spacing w:val="0"/>
          <w:sz w:val="23"/>
          <w:szCs w:val="23"/>
          <w:rtl/>
        </w:rPr>
        <w:t xml:space="preserve"> </w:t>
      </w:r>
      <w:r w:rsidRPr="00DF0175">
        <w:rPr>
          <w:rStyle w:val="Heading5Char"/>
          <w:rFonts w:eastAsiaTheme="minorHAnsi" w:hint="eastAsia"/>
          <w:bCs w:val="0"/>
          <w:color w:val="387026"/>
          <w:spacing w:val="0"/>
          <w:sz w:val="23"/>
          <w:szCs w:val="23"/>
          <w:rtl/>
        </w:rPr>
        <w:t>הספר</w:t>
      </w:r>
      <w:r w:rsidRPr="00DF0175">
        <w:rPr>
          <w:rStyle w:val="Heading5Char"/>
          <w:rFonts w:eastAsiaTheme="minorHAnsi" w:hint="cs"/>
          <w:bCs w:val="0"/>
          <w:color w:val="387026"/>
          <w:spacing w:val="0"/>
          <w:sz w:val="23"/>
          <w:szCs w:val="23"/>
          <w:rtl/>
        </w:rPr>
        <w:t>:</w:t>
      </w:r>
      <w:r w:rsidRPr="00DF0175">
        <w:rPr>
          <w:rFonts w:hint="cs"/>
          <w:bCs/>
          <w:color w:val="387026"/>
          <w:sz w:val="23"/>
          <w:szCs w:val="23"/>
          <w:rtl/>
        </w:rPr>
        <w:t xml:space="preserve"> </w:t>
      </w:r>
      <w:r w:rsidRPr="00C9091D">
        <w:rPr>
          <w:rFonts w:hint="cs"/>
          <w:rtl/>
        </w:rPr>
        <w:t xml:space="preserve">יועצת בית הספר משמשת הכתובת המקצועית לטיפול בהטרדות מיניות בבתי הספר ולמניעתן. היועצות מעבירות למחנכות את מערכי השיעור העוסקים במניעת </w:t>
      </w:r>
      <w:r w:rsidRPr="00C9091D">
        <w:rPr>
          <w:rFonts w:hint="cs"/>
          <w:rtl/>
        </w:rPr>
        <w:lastRenderedPageBreak/>
        <w:t>הטרדות מיניות (ולעיתים מלמדות שיעורים אלה בעצמן). היועצות גם מרכזות את הפניות על אירועי הטרדה מינית שקרו בבית הספר. הן נמצאות בקשר עם המדריכות למיניות ומלוות את מנהל בית הספר בטיפול בפגיעה או הטרדה מינית. בפועל היועצות משמשות מעין אחראיות למניעת הטרדה מינית בבתי הספר.</w:t>
      </w:r>
    </w:p>
    <w:p w14:paraId="12F4C3A8" w14:textId="77777777" w:rsidR="00417266" w:rsidRPr="00C9091D" w:rsidRDefault="00417266" w:rsidP="00C9091D">
      <w:pPr>
        <w:pStyle w:val="a0"/>
        <w:numPr>
          <w:ilvl w:val="0"/>
          <w:numId w:val="43"/>
        </w:numPr>
        <w:rPr>
          <w:rtl/>
        </w:rPr>
      </w:pPr>
      <w:r w:rsidRPr="00C9091D">
        <w:rPr>
          <w:rFonts w:hint="cs"/>
          <w:rtl/>
        </w:rPr>
        <w:t xml:space="preserve">בקורסי ההכשרה ליועצות מוקדש מפגש שאורכו כשלוש שעות לנושא הטרדה מינית, ובו מוצג החוק למניעת הטרדה מינית. מוקד המפגש הוא בתכנים העוסקים במניעת הטרדה מינית שיועברו לתלמידים. </w:t>
      </w:r>
    </w:p>
    <w:p w14:paraId="2A0D4A7D" w14:textId="77777777" w:rsidR="00417266" w:rsidRPr="00C9091D" w:rsidRDefault="00417266" w:rsidP="00C9091D">
      <w:pPr>
        <w:pStyle w:val="af2"/>
        <w:rPr>
          <w:rtl/>
        </w:rPr>
      </w:pPr>
      <w:r w:rsidRPr="00C9091D">
        <w:rPr>
          <w:rFonts w:hint="cs"/>
          <w:rtl/>
        </w:rPr>
        <w:t>יצוין לשם השוואה כי על פי התקנות, הממונה על מניעת הטרדות מיניות במוסדות ההשכלה הגבוהה נדרשת לקבל הכשרה של 18 שעות.</w:t>
      </w:r>
    </w:p>
    <w:p w14:paraId="2AC81D16" w14:textId="77777777" w:rsidR="00417266" w:rsidRPr="00C9091D" w:rsidRDefault="00417266" w:rsidP="00C9091D">
      <w:pPr>
        <w:pStyle w:val="af2"/>
        <w:rPr>
          <w:rtl/>
        </w:rPr>
      </w:pPr>
      <w:r w:rsidRPr="00C9091D">
        <w:rPr>
          <w:rFonts w:hint="cs"/>
          <w:rtl/>
        </w:rPr>
        <w:t>משרד החינוך השיב כי מוצעות ליועצות השתלמויות במתכונות שונות והציג נתונים על השתתפות יועצות בהכשרות. כן נמסר כי 75 יועצות השתתפו בהכשרה מקצועית של 240 שעות באוניברסיטאות חיפה, בר-אילן ובן-גוריון.</w:t>
      </w:r>
    </w:p>
    <w:p w14:paraId="4A02163A" w14:textId="77777777" w:rsidR="00417266" w:rsidRPr="00C9091D" w:rsidRDefault="00417266" w:rsidP="00C9091D">
      <w:pPr>
        <w:pStyle w:val="a0"/>
      </w:pPr>
      <w:r w:rsidRPr="00C9091D">
        <w:rPr>
          <w:rFonts w:hint="eastAsia"/>
          <w:rtl/>
        </w:rPr>
        <w:t>במחקר</w:t>
      </w:r>
      <w:r w:rsidRPr="00C9091D">
        <w:rPr>
          <w:rtl/>
        </w:rPr>
        <w:t xml:space="preserve"> </w:t>
      </w:r>
      <w:r w:rsidRPr="00C9091D">
        <w:rPr>
          <w:rFonts w:hint="eastAsia"/>
          <w:rtl/>
        </w:rPr>
        <w:t>האיכותני</w:t>
      </w:r>
      <w:r w:rsidRPr="00C9091D">
        <w:rPr>
          <w:rFonts w:hint="cs"/>
          <w:rtl/>
        </w:rPr>
        <w:t xml:space="preserve"> נמצא כי אף שהחוק למניעת הטרדה מינית מוצג ליועצות בהשתלמויות, מרביתן אינן בקיאות בתוכנו. המחקר העלה עוד שלא כל היועצות בקיאות בהוראות חוזר פגיעה מינית: רובן הכירו אותו באופן חלקי, ורק מיעוטן הכירו את ההוראות היטב. היעדר היכרות מספקת עם החוק למניעת הטרדה מינית, מקשה על יועצות להבחין בין אלימות מינית ובין התפתחות מינית תקינה וסקרנות טבעית. ההבחנה בפועל תלויה בתפיסת העולם של היועצת.</w:t>
      </w:r>
    </w:p>
    <w:p w14:paraId="3590D69C" w14:textId="77777777" w:rsidR="00417266" w:rsidRPr="00C9091D" w:rsidRDefault="00417266" w:rsidP="00C9091D">
      <w:pPr>
        <w:pStyle w:val="af2"/>
        <w:rPr>
          <w:rtl/>
        </w:rPr>
      </w:pPr>
      <w:r w:rsidRPr="00C9091D">
        <w:rPr>
          <w:rFonts w:hint="eastAsia"/>
          <w:rtl/>
        </w:rPr>
        <w:t>במחקר</w:t>
      </w:r>
      <w:r w:rsidRPr="00C9091D">
        <w:rPr>
          <w:rtl/>
        </w:rPr>
        <w:t xml:space="preserve"> </w:t>
      </w:r>
      <w:r w:rsidRPr="00C9091D">
        <w:rPr>
          <w:rFonts w:hint="eastAsia"/>
          <w:rtl/>
        </w:rPr>
        <w:t>האיכותני</w:t>
      </w:r>
      <w:r w:rsidRPr="00C9091D">
        <w:rPr>
          <w:rFonts w:hint="cs"/>
          <w:rtl/>
        </w:rPr>
        <w:t xml:space="preserve"> תואר מקרה שבו זיהתה היועצת התנהגות של הטרדה מינית ופנתה למדריכה לצורך התייעצות, אך בית הספר לא טיפל באירוע כבהטרדה מינית אלא כבעיה של הילד ומשפחתו. עוד נמצא כי ההתייחסות להטרדות מיניות כלפי בנים הייתה לרוב סלחנית יחסית. לעומת זאת, כאשר בנות הוטרדו ההתייחסות להתנהגויות המטרידות כאל אירועים חמורים הייתה שכיחה הרבה יותר, גם כאשר לא סווגו כפגיעה מינית המחייבת דיווח.</w:t>
      </w:r>
    </w:p>
    <w:p w14:paraId="7C5125A4" w14:textId="77777777" w:rsidR="00417266" w:rsidRPr="00EF396F" w:rsidRDefault="00417266" w:rsidP="00C9091D">
      <w:pPr>
        <w:pStyle w:val="af2"/>
        <w:rPr>
          <w:rtl/>
        </w:rPr>
      </w:pPr>
      <w:r w:rsidRPr="00C9091D">
        <w:rPr>
          <w:rFonts w:hint="cs"/>
          <w:rtl/>
        </w:rPr>
        <w:t>משרד החינוך מסר כי היועצות מקבלות הכשרה והן אמונות על הטמעת חוזר המנכ"ל בבתי הספר. כמו כן, בשנים האחרונות הונגש אתר שפ"ינט ליועצות החינוכיות, ומדי חודש נשלחת לכל היועצות והפסיכולוגים</w:t>
      </w:r>
      <w:r>
        <w:rPr>
          <w:rFonts w:hint="cs"/>
          <w:rtl/>
        </w:rPr>
        <w:t xml:space="preserve"> החינוכיים איגרת ובה חומרים הרלוונטיים למועדים מסוימים - לקראת יציאה לחופשה למשל.</w:t>
      </w:r>
    </w:p>
    <w:p w14:paraId="2A1A84DF" w14:textId="77777777" w:rsidR="00417266" w:rsidRPr="00D57481" w:rsidRDefault="00417266" w:rsidP="00C9091D">
      <w:pPr>
        <w:pStyle w:val="af3"/>
        <w:rPr>
          <w:rtl/>
        </w:rPr>
      </w:pPr>
      <w:r w:rsidRPr="00FC06DD">
        <w:rPr>
          <w:rFonts w:hint="cs"/>
          <w:rtl/>
        </w:rPr>
        <w:t>התמודדות בתי הספר עם מניעת הטרדות מיניות תלויה בעיקר בתפקודה של יועצת</w:t>
      </w:r>
      <w:r>
        <w:rPr>
          <w:rFonts w:hint="cs"/>
          <w:rtl/>
        </w:rPr>
        <w:t xml:space="preserve"> בית הספר</w:t>
      </w:r>
      <w:r w:rsidRPr="00FC06DD">
        <w:rPr>
          <w:rFonts w:hint="cs"/>
          <w:rtl/>
        </w:rPr>
        <w:t xml:space="preserve">, ולכן תפיסותיה וידיעותיה הן קריטיות לזיהוי נכון של ההתנהגות ולהגדרתה כהטרדה מינית או כהתנהגות </w:t>
      </w:r>
      <w:r w:rsidRPr="00FC06DD">
        <w:rPr>
          <w:rFonts w:hint="eastAsia"/>
          <w:rtl/>
        </w:rPr>
        <w:t>שמשקפת</w:t>
      </w:r>
      <w:r w:rsidRPr="00FC06DD">
        <w:rPr>
          <w:rtl/>
        </w:rPr>
        <w:t xml:space="preserve"> התפתחות מינית תקינה וסקרנות </w:t>
      </w:r>
      <w:r w:rsidRPr="00FC06DD">
        <w:rPr>
          <w:rFonts w:hint="eastAsia"/>
          <w:rtl/>
        </w:rPr>
        <w:t>טבעית</w:t>
      </w:r>
      <w:r>
        <w:rPr>
          <w:rFonts w:hint="cs"/>
          <w:rtl/>
        </w:rPr>
        <w:t xml:space="preserve">. לפיכך מומלץ למשרד החינוך </w:t>
      </w:r>
      <w:r w:rsidRPr="00FC06DD">
        <w:rPr>
          <w:rFonts w:hint="cs"/>
          <w:rtl/>
        </w:rPr>
        <w:t xml:space="preserve">לבחון אם ניתן להרחיב את הכשרתן </w:t>
      </w:r>
      <w:r>
        <w:rPr>
          <w:rFonts w:hint="cs"/>
          <w:rtl/>
        </w:rPr>
        <w:t xml:space="preserve">של </w:t>
      </w:r>
      <w:r w:rsidRPr="00C43F1B">
        <w:rPr>
          <w:rFonts w:hint="cs"/>
          <w:rtl/>
        </w:rPr>
        <w:t xml:space="preserve">יועצות </w:t>
      </w:r>
      <w:r>
        <w:rPr>
          <w:rFonts w:hint="cs"/>
          <w:rtl/>
        </w:rPr>
        <w:t xml:space="preserve">בתי הספר </w:t>
      </w:r>
      <w:r w:rsidRPr="00C43F1B">
        <w:rPr>
          <w:rFonts w:hint="cs"/>
          <w:rtl/>
        </w:rPr>
        <w:t>בנושא ההטרדה המינית, כדי לוודא כי הנושא המורכב נלמד כהלכתו. הכשרה רחבה יותר תקנה</w:t>
      </w:r>
      <w:r w:rsidRPr="00C43F1B">
        <w:rPr>
          <w:rtl/>
        </w:rPr>
        <w:t xml:space="preserve"> ליועצ</w:t>
      </w:r>
      <w:r w:rsidRPr="00C43F1B">
        <w:rPr>
          <w:rFonts w:hint="cs"/>
          <w:rtl/>
        </w:rPr>
        <w:t>ו</w:t>
      </w:r>
      <w:r w:rsidRPr="00C43F1B">
        <w:rPr>
          <w:rtl/>
        </w:rPr>
        <w:t xml:space="preserve">ת </w:t>
      </w:r>
      <w:r w:rsidRPr="00C43F1B">
        <w:rPr>
          <w:rFonts w:hint="cs"/>
          <w:rtl/>
        </w:rPr>
        <w:t xml:space="preserve">כלים </w:t>
      </w:r>
      <w:r w:rsidRPr="00C43F1B">
        <w:rPr>
          <w:rtl/>
        </w:rPr>
        <w:t>לזיהוי אירועים כאירועי הטרדה מינית</w:t>
      </w:r>
      <w:r w:rsidRPr="00C43F1B">
        <w:rPr>
          <w:rFonts w:hint="cs"/>
          <w:rtl/>
        </w:rPr>
        <w:t xml:space="preserve"> ותסייע להן להגדיר במדויק את ההתנהגויות האסורות על פי החוק, וכך למנוע הגדרה מצמצמת</w:t>
      </w:r>
      <w:r w:rsidRPr="00C43F1B">
        <w:rPr>
          <w:rtl/>
        </w:rPr>
        <w:t xml:space="preserve"> </w:t>
      </w:r>
      <w:r w:rsidRPr="00C43F1B">
        <w:rPr>
          <w:rFonts w:hint="cs"/>
          <w:rtl/>
        </w:rPr>
        <w:t>שרואה</w:t>
      </w:r>
      <w:r w:rsidRPr="00C43F1B">
        <w:rPr>
          <w:rtl/>
        </w:rPr>
        <w:t xml:space="preserve"> </w:t>
      </w:r>
      <w:r w:rsidRPr="00C43F1B">
        <w:rPr>
          <w:rFonts w:hint="cs"/>
          <w:rtl/>
        </w:rPr>
        <w:t>במעשי הטרדה מינית</w:t>
      </w:r>
      <w:r w:rsidRPr="00C43F1B">
        <w:rPr>
          <w:rtl/>
        </w:rPr>
        <w:t xml:space="preserve"> "מעש</w:t>
      </w:r>
      <w:r w:rsidRPr="00C43F1B">
        <w:rPr>
          <w:rFonts w:hint="cs"/>
          <w:rtl/>
        </w:rPr>
        <w:t>י</w:t>
      </w:r>
      <w:r w:rsidRPr="00C43F1B">
        <w:rPr>
          <w:rtl/>
        </w:rPr>
        <w:t xml:space="preserve"> קונדס", "הצקות", "בדיקת גבולות" </w:t>
      </w:r>
      <w:r w:rsidRPr="00C43F1B">
        <w:rPr>
          <w:rFonts w:hint="eastAsia"/>
          <w:rtl/>
        </w:rPr>
        <w:t>וכ</w:t>
      </w:r>
      <w:r w:rsidRPr="00C43F1B">
        <w:rPr>
          <w:rFonts w:hint="cs"/>
          <w:rtl/>
        </w:rPr>
        <w:t>ד</w:t>
      </w:r>
      <w:r w:rsidRPr="00C43F1B">
        <w:rPr>
          <w:rtl/>
        </w:rPr>
        <w:t>'</w:t>
      </w:r>
      <w:r w:rsidRPr="00C43F1B">
        <w:rPr>
          <w:rFonts w:hint="cs"/>
          <w:rtl/>
        </w:rPr>
        <w:t>.</w:t>
      </w:r>
      <w:r w:rsidRPr="00C43F1B">
        <w:rPr>
          <w:rtl/>
        </w:rPr>
        <w:t xml:space="preserve"> </w:t>
      </w:r>
    </w:p>
    <w:p w14:paraId="74B65341" w14:textId="77777777" w:rsidR="00417266" w:rsidRPr="00C43F1B" w:rsidRDefault="00417266" w:rsidP="00C9091D">
      <w:pPr>
        <w:pStyle w:val="414"/>
        <w:rPr>
          <w:rtl/>
        </w:rPr>
      </w:pPr>
      <w:r w:rsidRPr="00C43F1B">
        <w:rPr>
          <w:rFonts w:hint="cs"/>
          <w:rtl/>
        </w:rPr>
        <w:lastRenderedPageBreak/>
        <w:t xml:space="preserve">העברת מידע על </w:t>
      </w:r>
      <w:r>
        <w:rPr>
          <w:rFonts w:hint="cs"/>
          <w:rtl/>
        </w:rPr>
        <w:t>התלמיד ה</w:t>
      </w:r>
      <w:r w:rsidRPr="00C43F1B">
        <w:rPr>
          <w:rFonts w:hint="cs"/>
          <w:rtl/>
        </w:rPr>
        <w:t xml:space="preserve">פוגע או </w:t>
      </w:r>
      <w:r>
        <w:rPr>
          <w:rFonts w:hint="cs"/>
          <w:rtl/>
        </w:rPr>
        <w:t>ה</w:t>
      </w:r>
      <w:r w:rsidRPr="00C43F1B">
        <w:rPr>
          <w:rFonts w:hint="cs"/>
          <w:rtl/>
        </w:rPr>
        <w:t xml:space="preserve">נפגע </w:t>
      </w:r>
    </w:p>
    <w:p w14:paraId="7F41085B" w14:textId="77777777" w:rsidR="00417266" w:rsidRDefault="00417266" w:rsidP="00C9091D">
      <w:pPr>
        <w:pStyle w:val="100"/>
        <w:rPr>
          <w:rtl/>
        </w:rPr>
      </w:pPr>
      <w:r w:rsidRPr="00C43F1B">
        <w:rPr>
          <w:rFonts w:hint="cs"/>
          <w:rtl/>
        </w:rPr>
        <w:t xml:space="preserve">סוגיה המקשה את ההתמודדות עם הטרדות מיניות בבתי הספר ומניעתן היא חסיון המידע. ככלל, משרד החינוך </w:t>
      </w:r>
      <w:r>
        <w:rPr>
          <w:rFonts w:hint="cs"/>
          <w:rtl/>
        </w:rPr>
        <w:t>אינו</w:t>
      </w:r>
      <w:r w:rsidRPr="00C43F1B">
        <w:rPr>
          <w:rFonts w:hint="cs"/>
          <w:rtl/>
        </w:rPr>
        <w:t xml:space="preserve"> מעביר בין בתי ספר מידע על תלמידים פוגעים</w:t>
      </w:r>
      <w:r>
        <w:rPr>
          <w:rFonts w:hint="cs"/>
          <w:rtl/>
        </w:rPr>
        <w:t xml:space="preserve"> ועל תלמידים שנפגעו</w:t>
      </w:r>
      <w:r w:rsidRPr="00C43F1B">
        <w:rPr>
          <w:rFonts w:hint="cs"/>
          <w:rtl/>
        </w:rPr>
        <w:t>. במקרים חריגים ביותר - כאשר הילד מסוכן לעצמו או לסביבה - יועבר מידע כללי בלבד. הבסיס הנורמטיבי להימנעות מהעברת המידע הוא חוק הגנת הפרטיות, התשמ"א-1981.</w:t>
      </w:r>
    </w:p>
    <w:p w14:paraId="4A7217BE" w14:textId="77777777" w:rsidR="00417266" w:rsidRPr="00C43F1B" w:rsidRDefault="00417266" w:rsidP="00C9091D">
      <w:pPr>
        <w:pStyle w:val="100"/>
        <w:rPr>
          <w:rtl/>
        </w:rPr>
      </w:pPr>
      <w:r w:rsidRPr="00C43F1B">
        <w:rPr>
          <w:rFonts w:hint="cs"/>
          <w:rtl/>
        </w:rPr>
        <w:t xml:space="preserve">בחוזר פגיעה מינית ובחוזר אקלים חינוכי אין הוראות בעניין העברת המידע בתוך מערכת החינוך במקרים שבהם אין חובת דיווח על פי חוק העונשין. עניין זה גורם לאי-ודאות לגבי אופן הפעולה הנדרש, הן לגבי ההרשאה להעביר מידע והן לגבי הלגיטימיות לבקשו, הן במעבר מבית הספר היסודי לחטיבת הביניים ומחטיבה לתיכון והן במעבר ממוסד חינוכי אחד לאחר. חוסר האפשרות להעביר מידע לבתי הספר שאליהם עברו ילדים שנפגעו או פגעו מקשה את מניעתן של הטרדות מיניות עתידיות ואת המשך הטיפול בנפגעים ובפוגעים. </w:t>
      </w:r>
    </w:p>
    <w:p w14:paraId="7375C2BF" w14:textId="77777777" w:rsidR="00417266" w:rsidRDefault="00417266" w:rsidP="00C9091D">
      <w:pPr>
        <w:pStyle w:val="100"/>
        <w:rPr>
          <w:rtl/>
        </w:rPr>
      </w:pPr>
      <w:r w:rsidRPr="00C43F1B">
        <w:rPr>
          <w:rFonts w:hint="cs"/>
          <w:rtl/>
        </w:rPr>
        <w:t>בביקורת שעשה משרד מבקר המדינה בשנת 2018 בנושא "היבטים בהגנה על הפרטיות במאגרי מידע"</w:t>
      </w:r>
      <w:r>
        <w:rPr>
          <w:rStyle w:val="FootnoteReference"/>
          <w:sz w:val="24"/>
          <w:rtl/>
        </w:rPr>
        <w:footnoteReference w:id="107"/>
      </w:r>
      <w:r w:rsidRPr="00C43F1B">
        <w:rPr>
          <w:rFonts w:hint="cs"/>
          <w:rtl/>
        </w:rPr>
        <w:t xml:space="preserve"> נמצא כי במשרד החינוך מספר רב של הנחיות בנושא העברת מידע בין מסגרות חינוכיות. חלק מה</w:t>
      </w:r>
      <w:r>
        <w:rPr>
          <w:rFonts w:hint="cs"/>
          <w:rtl/>
        </w:rPr>
        <w:t>הנחיות</w:t>
      </w:r>
      <w:r w:rsidRPr="00C43F1B">
        <w:rPr>
          <w:rFonts w:hint="cs"/>
          <w:rtl/>
        </w:rPr>
        <w:t xml:space="preserve"> פזורות בחוזרי מנכ"ל ישנים ולא מעודכנים, והן אינן אחידות ובנושאים מסוימים נראה שאף סותרות. בביקורת האמורה נמצא כי זה שנים מספר פועל המשרד לכתיבת חוזר מנכ"ל שיקבע כללים להעברת מידע בין מוסדות חינוך, ומשרד מבקר המדינה המליץ שמשרד החינוך ישלים לאלתר את הכנת חוזר המנכ"ל. </w:t>
      </w:r>
    </w:p>
    <w:p w14:paraId="7B9452B9" w14:textId="77777777" w:rsidR="00417266" w:rsidRDefault="00417266" w:rsidP="00C9091D">
      <w:pPr>
        <w:pStyle w:val="100"/>
        <w:rPr>
          <w:rtl/>
        </w:rPr>
      </w:pPr>
      <w:r>
        <w:rPr>
          <w:rFonts w:hint="cs"/>
          <w:rtl/>
        </w:rPr>
        <w:t>משרד המשפטים מסר בתשובתו כי בכל הנוגע לעבירות פליליות של הטרדה מינית, משרד החינוך אינו זכאי לקבל מידע מן המרשם הפלילי על תלמידים ולכן אינו רשאי להעבירו לאחר.</w:t>
      </w:r>
    </w:p>
    <w:p w14:paraId="36F52C01" w14:textId="77777777" w:rsidR="00417266" w:rsidRPr="00C43F1B" w:rsidRDefault="00417266" w:rsidP="00C9091D">
      <w:pPr>
        <w:pStyle w:val="af3"/>
        <w:rPr>
          <w:rtl/>
        </w:rPr>
      </w:pPr>
      <w:r w:rsidRPr="00C43F1B">
        <w:rPr>
          <w:rFonts w:hint="cs"/>
          <w:rtl/>
        </w:rPr>
        <w:t>משרד מבקר המדינה שב ומ</w:t>
      </w:r>
      <w:r>
        <w:rPr>
          <w:rFonts w:hint="cs"/>
          <w:rtl/>
        </w:rPr>
        <w:t>מליץ</w:t>
      </w:r>
      <w:r w:rsidRPr="00C43F1B">
        <w:rPr>
          <w:rFonts w:hint="cs"/>
          <w:rtl/>
        </w:rPr>
        <w:t xml:space="preserve"> למשרד החינוך להשלים את הכנת חוזר המנכ"ל בעניין העברת המידע בין מוסדות חינוך. לצורך כך יש להשלים עבודת מטה שתקבע כללים ברורים בדבר חסיון המידע על ילדים המעורבים באירועים של הטרדות מיניות ובדבר התנאים להעברתו בין מוסדות החינוך תוך שמירה על סודיות לצורך ההגנה על פרטיותם, בלי לבטל את האפשרות לטפל בהם ולמנוע התנהגות פוגענית בעתיד. </w:t>
      </w:r>
      <w:r>
        <w:rPr>
          <w:rFonts w:hint="cs"/>
          <w:rtl/>
        </w:rPr>
        <w:t>על משרד המשפטים לבחון את נושא העברת המידע לצורך הגנה על תלמידים.</w:t>
      </w:r>
    </w:p>
    <w:p w14:paraId="561FE736" w14:textId="77777777" w:rsidR="00417266" w:rsidRPr="00C43F1B" w:rsidRDefault="00417266" w:rsidP="00C9091D">
      <w:pPr>
        <w:pStyle w:val="316"/>
        <w:rPr>
          <w:rtl/>
        </w:rPr>
      </w:pPr>
      <w:r w:rsidRPr="00C43F1B">
        <w:rPr>
          <w:rFonts w:hint="cs"/>
          <w:rtl/>
        </w:rPr>
        <w:t xml:space="preserve">הטרדות מיניות בין בגירים </w:t>
      </w:r>
      <w:r>
        <w:rPr>
          <w:rFonts w:hint="cs"/>
          <w:rtl/>
        </w:rPr>
        <w:t>במערכת החינוך</w:t>
      </w:r>
    </w:p>
    <w:p w14:paraId="15AC686F" w14:textId="77777777" w:rsidR="00417266" w:rsidRPr="00C43F1B" w:rsidRDefault="00417266" w:rsidP="00C9091D">
      <w:pPr>
        <w:pStyle w:val="100"/>
        <w:rPr>
          <w:rtl/>
        </w:rPr>
      </w:pPr>
      <w:r w:rsidRPr="00C43F1B">
        <w:rPr>
          <w:rFonts w:hint="cs"/>
          <w:rtl/>
        </w:rPr>
        <w:t>מהדוח השנתי של נש</w:t>
      </w:r>
      <w:r w:rsidRPr="00C43F1B">
        <w:rPr>
          <w:rtl/>
        </w:rPr>
        <w:t>"</w:t>
      </w:r>
      <w:r w:rsidRPr="00C43F1B">
        <w:rPr>
          <w:rFonts w:hint="cs"/>
          <w:rtl/>
        </w:rPr>
        <w:t>ם לשנת 2016 עולה כי התקבלו בה 32 תלונות של עובדות הוראה על הטרדה מינית בידי עובדי משרד החינוך. לפי נתוני הממונה הארצית על</w:t>
      </w:r>
      <w:r>
        <w:rPr>
          <w:rFonts w:hint="cs"/>
          <w:rtl/>
        </w:rPr>
        <w:t xml:space="preserve"> מניעת</w:t>
      </w:r>
      <w:r w:rsidRPr="00C43F1B">
        <w:rPr>
          <w:rFonts w:hint="cs"/>
          <w:rtl/>
        </w:rPr>
        <w:t xml:space="preserve"> הטרדות מיניות במשרד החינוך, בשנת 2017 הוגשו לה 40 תלונות של עובדות משרד החינוך על הטרדה מינית בידי עובדי </w:t>
      </w:r>
      <w:r>
        <w:rPr>
          <w:rFonts w:hint="cs"/>
          <w:rtl/>
        </w:rPr>
        <w:t>ה</w:t>
      </w:r>
      <w:r w:rsidRPr="00C43F1B">
        <w:rPr>
          <w:rFonts w:hint="cs"/>
          <w:rtl/>
        </w:rPr>
        <w:t>משרד, ובשנת 2018 - 37 תלונות.</w:t>
      </w:r>
    </w:p>
    <w:p w14:paraId="36350086" w14:textId="77777777" w:rsidR="00417266" w:rsidRPr="00C43F1B" w:rsidRDefault="00417266" w:rsidP="00C9091D">
      <w:pPr>
        <w:pStyle w:val="414"/>
      </w:pPr>
      <w:r w:rsidRPr="00C43F1B">
        <w:rPr>
          <w:rFonts w:hint="cs"/>
          <w:rtl/>
        </w:rPr>
        <w:lastRenderedPageBreak/>
        <w:t xml:space="preserve">היעדר תקנון מותאם למניעת הטרדה מינית </w:t>
      </w:r>
    </w:p>
    <w:p w14:paraId="074515CE" w14:textId="77777777" w:rsidR="00417266" w:rsidRPr="00C43F1B" w:rsidRDefault="00417266" w:rsidP="00C9091D">
      <w:pPr>
        <w:pStyle w:val="100"/>
        <w:rPr>
          <w:rtl/>
        </w:rPr>
      </w:pPr>
      <w:r w:rsidRPr="00C43F1B">
        <w:rPr>
          <w:rFonts w:hint="cs"/>
          <w:rtl/>
        </w:rPr>
        <w:t xml:space="preserve">התקנות קובעות כאמור כי כל גוף המעסיק יותר מ-25 עובדים נדרש להתאים את נוסח התקנון שנקבע בתקנות למאפיינים הייחודיים של מקום העבודה. במערכת החינוך מגוון אוכלוסיות שיש להן, כאמור, מעסיקים שונים: עובדי משרד החינוך, עובדי רשויות מקומיות, עובדי עמותות ועוד, ועל כן - מן ההכרח להתאים את התקנון למגוון עובדיה ולמאפייניה הייחודיים כגון הפיזור הגיאוגרפי הנרחב של עובדיה. </w:t>
      </w:r>
    </w:p>
    <w:p w14:paraId="54B8BA51" w14:textId="77777777" w:rsidR="00417266" w:rsidRPr="00C43F1B" w:rsidRDefault="00417266" w:rsidP="00C9091D">
      <w:pPr>
        <w:pStyle w:val="100"/>
      </w:pPr>
      <w:r w:rsidRPr="00C43F1B">
        <w:rPr>
          <w:rFonts w:hint="cs"/>
          <w:rtl/>
        </w:rPr>
        <w:t>כבר בשנת 2010 הצהירה הממונה דאז על קידום מעמד האישה ועל מניעת הטרדה מינית במערכת החינוך כי "מסתיים אישורו של חוזר מנכ"ל חדש ומפורט בנושא הטרדה מינית, אשר יופץ לכל מערכת החינוך. בחוזר זה ייקבע, בין היתר, כי בכל בית ספר תהיה ממונה על הטרדות מיניות ובכל מחוז של משרד החינוך תהיה נציגה שתעביר דיווח תקופתי בנושא זה למטה המשרד"</w:t>
      </w:r>
      <w:r w:rsidRPr="00C43F1B">
        <w:rPr>
          <w:rStyle w:val="FootnoteReference"/>
          <w:sz w:val="24"/>
          <w:rtl/>
        </w:rPr>
        <w:footnoteReference w:id="108"/>
      </w:r>
      <w:r w:rsidRPr="00C43F1B">
        <w:rPr>
          <w:rFonts w:hint="cs"/>
          <w:rtl/>
        </w:rPr>
        <w:t>. חוזר מנכ"ל זה נועד למלא את דרישת התאמת התקנון למניעת הטרדה מינית למשרד החינוך.</w:t>
      </w:r>
    </w:p>
    <w:p w14:paraId="56513589" w14:textId="77777777" w:rsidR="00417266" w:rsidRPr="00C43F1B" w:rsidRDefault="00417266" w:rsidP="00C9091D">
      <w:pPr>
        <w:pStyle w:val="af3"/>
        <w:rPr>
          <w:rtl/>
        </w:rPr>
      </w:pPr>
      <w:r w:rsidRPr="00C43F1B">
        <w:rPr>
          <w:rFonts w:hint="cs"/>
          <w:rtl/>
        </w:rPr>
        <w:t xml:space="preserve">נמצא כי </w:t>
      </w:r>
      <w:r w:rsidRPr="00C43F1B">
        <w:rPr>
          <w:rFonts w:hint="eastAsia"/>
          <w:rtl/>
        </w:rPr>
        <w:t>עד</w:t>
      </w:r>
      <w:r w:rsidRPr="00C43F1B">
        <w:rPr>
          <w:rtl/>
        </w:rPr>
        <w:t xml:space="preserve"> מועד סיום הביקורת</w:t>
      </w:r>
      <w:r w:rsidRPr="00C43F1B">
        <w:rPr>
          <w:rFonts w:hint="cs"/>
          <w:rtl/>
        </w:rPr>
        <w:t xml:space="preserve"> </w:t>
      </w:r>
      <w:r w:rsidRPr="00C43F1B">
        <w:rPr>
          <w:rtl/>
        </w:rPr>
        <w:t>לא הושלם</w:t>
      </w:r>
      <w:r w:rsidRPr="00C43F1B">
        <w:rPr>
          <w:rFonts w:hint="cs"/>
          <w:rtl/>
        </w:rPr>
        <w:t xml:space="preserve"> חוזר המנכ"ל</w:t>
      </w:r>
      <w:r w:rsidRPr="00C43F1B">
        <w:rPr>
          <w:rtl/>
        </w:rPr>
        <w:t xml:space="preserve">. </w:t>
      </w:r>
      <w:r w:rsidRPr="00C43F1B">
        <w:rPr>
          <w:rFonts w:hint="cs"/>
          <w:rtl/>
        </w:rPr>
        <w:t xml:space="preserve">אף שחלפו 20 שנה מחקיקת החוק, טרם הושלם אפוא נוסח התקנון המותאם, שנמצא בהליכי כתיבה שונים החל משנת 2010. </w:t>
      </w:r>
    </w:p>
    <w:p w14:paraId="2FD3093E" w14:textId="67890242" w:rsidR="00417266" w:rsidRDefault="00417266" w:rsidP="00C9091D">
      <w:pPr>
        <w:pStyle w:val="100"/>
        <w:rPr>
          <w:rtl/>
        </w:rPr>
      </w:pPr>
      <w:r w:rsidRPr="00C43F1B">
        <w:rPr>
          <w:rFonts w:hint="cs"/>
          <w:rtl/>
        </w:rPr>
        <w:t xml:space="preserve">לאורך השנים הועברו טיוטות רבות של חוזר המנכ"ל לאישור מחלקת הייעוץ המשפטי של משרד החינוך. הטיוטות נסמכו על הוראות התקשי"ר וחוק המשמעת, אך </w:t>
      </w:r>
      <w:r>
        <w:rPr>
          <w:rFonts w:hint="cs"/>
          <w:rtl/>
        </w:rPr>
        <w:t xml:space="preserve">לנוכח עמדת </w:t>
      </w:r>
      <w:r w:rsidRPr="00C43F1B">
        <w:rPr>
          <w:rFonts w:hint="cs"/>
          <w:rtl/>
        </w:rPr>
        <w:t xml:space="preserve">מחלקת הייעוץ המשפטי </w:t>
      </w:r>
      <w:r>
        <w:rPr>
          <w:rFonts w:hint="cs"/>
          <w:rtl/>
        </w:rPr>
        <w:t>של משרד החינוך, שלפיה ה</w:t>
      </w:r>
      <w:r w:rsidRPr="00C43F1B">
        <w:rPr>
          <w:rFonts w:hint="cs"/>
          <w:rtl/>
        </w:rPr>
        <w:t>וראות התקנות למניעת הטרדה מינית מחייבות שבירור התלונות על הטרדות מיניות ייעשה במשרד החינוך עצמו, וכי אין לאפשר את הבירור בנש"ם</w:t>
      </w:r>
      <w:r>
        <w:rPr>
          <w:rFonts w:hint="cs"/>
          <w:rtl/>
        </w:rPr>
        <w:t>, עוכבה השלמתו של חוזר המנכ"ל</w:t>
      </w:r>
      <w:r w:rsidRPr="00C43F1B">
        <w:rPr>
          <w:rFonts w:hint="cs"/>
          <w:rtl/>
        </w:rPr>
        <w:t xml:space="preserve">. </w:t>
      </w:r>
      <w:r>
        <w:rPr>
          <w:rFonts w:hint="cs"/>
          <w:rtl/>
        </w:rPr>
        <w:t>במהלך עבודת הביקורת נאמר לצוות הביקורת כי בכוונת מחלקת הייעוץ המשפטי במשרד החינוך לפנות למשרד המשפטים כדי שיכריע במחלוקת זו.</w:t>
      </w:r>
    </w:p>
    <w:p w14:paraId="4970CD83" w14:textId="77777777" w:rsidR="00417266" w:rsidRDefault="00417266" w:rsidP="00C9091D">
      <w:pPr>
        <w:pStyle w:val="100"/>
        <w:rPr>
          <w:rtl/>
        </w:rPr>
      </w:pPr>
      <w:r>
        <w:rPr>
          <w:rFonts w:hint="cs"/>
          <w:rtl/>
        </w:rPr>
        <w:t>משרד המשפטים מסר בתשובתו כי לא קיבל לידיו פנייה רשמית ממשרד החינוך בנושא, וברגע שתתקבל הפנייה היא תטופל מול הגורמים הרלוונטיים.</w:t>
      </w:r>
    </w:p>
    <w:p w14:paraId="2E8E552F" w14:textId="77777777" w:rsidR="00417266" w:rsidRPr="002501C8" w:rsidRDefault="00417266" w:rsidP="00C9091D">
      <w:pPr>
        <w:pStyle w:val="100"/>
        <w:rPr>
          <w:rtl/>
        </w:rPr>
      </w:pPr>
      <w:r>
        <w:rPr>
          <w:rFonts w:hint="cs"/>
          <w:rtl/>
        </w:rPr>
        <w:t xml:space="preserve">נש"ם השיבה כי עוד בשנת 2013 נערכה פגישה בין משרד החינוך, משרד המשפטים ונש"ם, ובמהלכה הבהירה נציגת משרד המשפטים כי התקנון תואם את הוראות החוק, וכי משרד החינוך מחויב לפעול על פיו ולהעביר לנש"ם תלונות כנגד מורים. </w:t>
      </w:r>
    </w:p>
    <w:p w14:paraId="6F0EDE5B" w14:textId="77777777" w:rsidR="00417266" w:rsidRPr="00C43F1B" w:rsidRDefault="00417266" w:rsidP="00C9091D">
      <w:pPr>
        <w:pStyle w:val="af3"/>
        <w:rPr>
          <w:rtl/>
        </w:rPr>
      </w:pPr>
      <w:r w:rsidRPr="00C43F1B">
        <w:rPr>
          <w:rFonts w:hint="cs"/>
          <w:rtl/>
        </w:rPr>
        <w:t xml:space="preserve">משרד מבקר המדינה מעיר כי </w:t>
      </w:r>
      <w:r>
        <w:rPr>
          <w:rFonts w:hint="cs"/>
          <w:rtl/>
        </w:rPr>
        <w:t>ה</w:t>
      </w:r>
      <w:r w:rsidRPr="00C43F1B">
        <w:rPr>
          <w:rFonts w:hint="cs"/>
          <w:rtl/>
        </w:rPr>
        <w:t xml:space="preserve">מחלוקת בשאלה </w:t>
      </w:r>
      <w:r w:rsidRPr="00C43F1B">
        <w:rPr>
          <w:rFonts w:hint="eastAsia"/>
          <w:rtl/>
        </w:rPr>
        <w:t>אם</w:t>
      </w:r>
      <w:r w:rsidRPr="00C43F1B">
        <w:rPr>
          <w:rtl/>
        </w:rPr>
        <w:t xml:space="preserve"> </w:t>
      </w:r>
      <w:r w:rsidRPr="00C43F1B">
        <w:rPr>
          <w:rFonts w:hint="eastAsia"/>
          <w:rtl/>
        </w:rPr>
        <w:t>בירור</w:t>
      </w:r>
      <w:r w:rsidRPr="00C43F1B">
        <w:rPr>
          <w:rtl/>
        </w:rPr>
        <w:t xml:space="preserve"> התלונות על הטרדות מיניות צריך להיעשות במשרד החינוך </w:t>
      </w:r>
      <w:r w:rsidRPr="00C43F1B">
        <w:rPr>
          <w:rFonts w:hint="eastAsia"/>
          <w:rtl/>
        </w:rPr>
        <w:t>או</w:t>
      </w:r>
      <w:r w:rsidRPr="00C43F1B">
        <w:rPr>
          <w:rtl/>
        </w:rPr>
        <w:t xml:space="preserve"> ב</w:t>
      </w:r>
      <w:r w:rsidRPr="00C43F1B">
        <w:rPr>
          <w:rFonts w:hint="cs"/>
          <w:rtl/>
        </w:rPr>
        <w:t xml:space="preserve">נש"ם </w:t>
      </w:r>
      <w:r>
        <w:rPr>
          <w:rFonts w:hint="cs"/>
          <w:rtl/>
        </w:rPr>
        <w:t xml:space="preserve">אין בה כדי להצדיק </w:t>
      </w:r>
      <w:r w:rsidRPr="00C43F1B">
        <w:rPr>
          <w:rFonts w:hint="cs"/>
          <w:rtl/>
        </w:rPr>
        <w:t xml:space="preserve">עיכוב של שנים בהכנת חוזר המנכ"ל. </w:t>
      </w:r>
      <w:r>
        <w:rPr>
          <w:rFonts w:hint="cs"/>
          <w:rtl/>
        </w:rPr>
        <w:t>על</w:t>
      </w:r>
      <w:r w:rsidRPr="00C43F1B">
        <w:rPr>
          <w:rFonts w:hint="cs"/>
          <w:rtl/>
        </w:rPr>
        <w:t xml:space="preserve"> משרד החינוך לפרסם את תמצית החוק למניעת הטרדה מינית ולהפיצו לכל בתי הספר. כן עליו לסיים את הכנת החוזר המותאם, </w:t>
      </w:r>
      <w:r>
        <w:rPr>
          <w:rFonts w:hint="cs"/>
          <w:rtl/>
        </w:rPr>
        <w:t>לאחר שיעדכן אותו</w:t>
      </w:r>
      <w:r w:rsidRPr="00C43F1B">
        <w:rPr>
          <w:rFonts w:hint="cs"/>
          <w:rtl/>
        </w:rPr>
        <w:t>, ככל שיידרש, לפי הוראות משרד המשפטים.</w:t>
      </w:r>
    </w:p>
    <w:p w14:paraId="334C8655" w14:textId="77777777" w:rsidR="00417266" w:rsidRPr="00BB01C5" w:rsidRDefault="00417266" w:rsidP="00C9091D">
      <w:pPr>
        <w:pStyle w:val="100"/>
        <w:rPr>
          <w:bCs/>
          <w:rtl/>
        </w:rPr>
      </w:pPr>
      <w:r w:rsidRPr="002B4CB8">
        <w:rPr>
          <w:rFonts w:hint="cs"/>
          <w:rtl/>
        </w:rPr>
        <w:lastRenderedPageBreak/>
        <w:t xml:space="preserve">משרד החינוך מסר בתגובתו </w:t>
      </w:r>
      <w:r>
        <w:rPr>
          <w:rFonts w:hint="cs"/>
          <w:rtl/>
        </w:rPr>
        <w:t xml:space="preserve">כי בשנת 2018 עודכן פורטן עובדי ההוראה של המשרד וכיום הוא מכיל מידע בנושא מניעת הטרדות מיניות </w:t>
      </w:r>
      <w:r w:rsidRPr="002021F2">
        <w:rPr>
          <w:rFonts w:hint="cs"/>
          <w:rtl/>
        </w:rPr>
        <w:t>ודרכי הפנ</w:t>
      </w:r>
      <w:r>
        <w:rPr>
          <w:rFonts w:hint="cs"/>
          <w:rtl/>
        </w:rPr>
        <w:t>י</w:t>
      </w:r>
      <w:r w:rsidRPr="002021F2">
        <w:rPr>
          <w:rFonts w:hint="cs"/>
          <w:rtl/>
        </w:rPr>
        <w:t>יה</w:t>
      </w:r>
      <w:r>
        <w:rPr>
          <w:rFonts w:hint="cs"/>
          <w:rtl/>
        </w:rPr>
        <w:t>.</w:t>
      </w:r>
      <w:r w:rsidRPr="002021F2">
        <w:rPr>
          <w:rFonts w:hint="cs"/>
          <w:rtl/>
        </w:rPr>
        <w:t xml:space="preserve"> </w:t>
      </w:r>
      <w:r w:rsidRPr="002021F2">
        <w:rPr>
          <w:rFonts w:hint="eastAsia"/>
          <w:rtl/>
        </w:rPr>
        <w:t>נוסף</w:t>
      </w:r>
      <w:r w:rsidRPr="002021F2">
        <w:rPr>
          <w:rtl/>
        </w:rPr>
        <w:t xml:space="preserve"> </w:t>
      </w:r>
      <w:r>
        <w:rPr>
          <w:rFonts w:hint="cs"/>
          <w:rtl/>
        </w:rPr>
        <w:t xml:space="preserve">על כך הוא </w:t>
      </w:r>
      <w:r w:rsidRPr="002021F2">
        <w:rPr>
          <w:rtl/>
        </w:rPr>
        <w:t xml:space="preserve">הפיץ, בתחילת שנת הלימודים </w:t>
      </w:r>
      <w:r>
        <w:rPr>
          <w:rFonts w:hint="cs"/>
          <w:rtl/>
        </w:rPr>
        <w:t>ה</w:t>
      </w:r>
      <w:r w:rsidRPr="002021F2">
        <w:rPr>
          <w:rFonts w:hint="eastAsia"/>
          <w:rtl/>
        </w:rPr>
        <w:t>תש</w:t>
      </w:r>
      <w:r w:rsidRPr="002021F2">
        <w:rPr>
          <w:rtl/>
        </w:rPr>
        <w:t xml:space="preserve">"ף, </w:t>
      </w:r>
      <w:r w:rsidRPr="002021F2">
        <w:rPr>
          <w:rFonts w:hint="eastAsia"/>
          <w:rtl/>
        </w:rPr>
        <w:t>כרזה</w:t>
      </w:r>
      <w:r w:rsidRPr="002021F2">
        <w:rPr>
          <w:rtl/>
        </w:rPr>
        <w:t xml:space="preserve"> </w:t>
      </w:r>
      <w:r w:rsidRPr="002021F2">
        <w:rPr>
          <w:rFonts w:hint="eastAsia"/>
          <w:rtl/>
        </w:rPr>
        <w:t>המכילה</w:t>
      </w:r>
      <w:r w:rsidRPr="002021F2">
        <w:rPr>
          <w:rtl/>
        </w:rPr>
        <w:t xml:space="preserve"> </w:t>
      </w:r>
      <w:r w:rsidRPr="002021F2">
        <w:rPr>
          <w:rFonts w:hint="eastAsia"/>
          <w:rtl/>
        </w:rPr>
        <w:t>את</w:t>
      </w:r>
      <w:r w:rsidRPr="002021F2">
        <w:rPr>
          <w:rtl/>
        </w:rPr>
        <w:t xml:space="preserve"> </w:t>
      </w:r>
      <w:r w:rsidRPr="002021F2">
        <w:rPr>
          <w:rFonts w:hint="eastAsia"/>
          <w:rtl/>
        </w:rPr>
        <w:t>עיקרי</w:t>
      </w:r>
      <w:r w:rsidRPr="002021F2">
        <w:rPr>
          <w:rtl/>
        </w:rPr>
        <w:t xml:space="preserve"> </w:t>
      </w:r>
      <w:r w:rsidRPr="002021F2">
        <w:rPr>
          <w:rFonts w:hint="eastAsia"/>
          <w:rtl/>
        </w:rPr>
        <w:t>החוק</w:t>
      </w:r>
      <w:r w:rsidRPr="002021F2">
        <w:rPr>
          <w:rtl/>
        </w:rPr>
        <w:t xml:space="preserve"> </w:t>
      </w:r>
      <w:r w:rsidRPr="002021F2">
        <w:rPr>
          <w:rFonts w:hint="eastAsia"/>
          <w:rtl/>
        </w:rPr>
        <w:t>ודרכי</w:t>
      </w:r>
      <w:r w:rsidRPr="002021F2">
        <w:rPr>
          <w:rtl/>
        </w:rPr>
        <w:t xml:space="preserve"> </w:t>
      </w:r>
      <w:r w:rsidRPr="002021F2">
        <w:rPr>
          <w:rFonts w:hint="eastAsia"/>
          <w:rtl/>
        </w:rPr>
        <w:t>הפנייה</w:t>
      </w:r>
      <w:r w:rsidRPr="002021F2">
        <w:rPr>
          <w:rtl/>
        </w:rPr>
        <w:t xml:space="preserve"> </w:t>
      </w:r>
      <w:r w:rsidRPr="002021F2">
        <w:rPr>
          <w:rFonts w:hint="eastAsia"/>
          <w:rtl/>
        </w:rPr>
        <w:t>במקרה</w:t>
      </w:r>
      <w:r w:rsidRPr="002021F2">
        <w:rPr>
          <w:rtl/>
        </w:rPr>
        <w:t xml:space="preserve"> </w:t>
      </w:r>
      <w:r w:rsidRPr="002021F2">
        <w:rPr>
          <w:rFonts w:hint="eastAsia"/>
          <w:rtl/>
        </w:rPr>
        <w:t>של</w:t>
      </w:r>
      <w:r w:rsidRPr="002021F2">
        <w:rPr>
          <w:rtl/>
        </w:rPr>
        <w:t xml:space="preserve"> </w:t>
      </w:r>
      <w:r w:rsidRPr="002021F2">
        <w:rPr>
          <w:rFonts w:hint="eastAsia"/>
          <w:rtl/>
        </w:rPr>
        <w:t>הטרדה</w:t>
      </w:r>
      <w:r w:rsidRPr="002021F2">
        <w:rPr>
          <w:rtl/>
        </w:rPr>
        <w:t xml:space="preserve"> </w:t>
      </w:r>
      <w:r w:rsidRPr="002021F2">
        <w:rPr>
          <w:rFonts w:hint="eastAsia"/>
          <w:rtl/>
        </w:rPr>
        <w:t>מינית</w:t>
      </w:r>
      <w:r w:rsidRPr="002021F2">
        <w:rPr>
          <w:rtl/>
        </w:rPr>
        <w:t xml:space="preserve"> </w:t>
      </w:r>
      <w:r>
        <w:rPr>
          <w:rFonts w:hint="eastAsia"/>
          <w:rtl/>
        </w:rPr>
        <w:t>ו</w:t>
      </w:r>
      <w:r>
        <w:rPr>
          <w:rFonts w:hint="cs"/>
          <w:rtl/>
        </w:rPr>
        <w:t>דרש</w:t>
      </w:r>
      <w:r w:rsidRPr="002021F2">
        <w:rPr>
          <w:rtl/>
        </w:rPr>
        <w:t xml:space="preserve"> </w:t>
      </w:r>
      <w:r>
        <w:rPr>
          <w:rFonts w:hint="cs"/>
          <w:rtl/>
        </w:rPr>
        <w:t xml:space="preserve">לתלות את הכרזה </w:t>
      </w:r>
      <w:r w:rsidRPr="002021F2">
        <w:rPr>
          <w:rFonts w:hint="eastAsia"/>
          <w:rtl/>
        </w:rPr>
        <w:t>במוסדות</w:t>
      </w:r>
      <w:r w:rsidRPr="002021F2">
        <w:rPr>
          <w:rtl/>
        </w:rPr>
        <w:t xml:space="preserve"> </w:t>
      </w:r>
      <w:r w:rsidRPr="002021F2">
        <w:rPr>
          <w:rFonts w:hint="eastAsia"/>
          <w:rtl/>
        </w:rPr>
        <w:t>החינוך</w:t>
      </w:r>
      <w:r w:rsidRPr="002021F2">
        <w:rPr>
          <w:rtl/>
        </w:rPr>
        <w:t>.</w:t>
      </w:r>
      <w:r w:rsidRPr="002021F2">
        <w:rPr>
          <w:rFonts w:hint="cs"/>
          <w:rtl/>
        </w:rPr>
        <w:t xml:space="preserve"> המשרד </w:t>
      </w:r>
      <w:r>
        <w:rPr>
          <w:rFonts w:hint="cs"/>
          <w:rtl/>
        </w:rPr>
        <w:t xml:space="preserve">הוסיף כי הוא </w:t>
      </w:r>
      <w:r w:rsidRPr="002021F2">
        <w:rPr>
          <w:rFonts w:hint="cs"/>
          <w:rtl/>
        </w:rPr>
        <w:t>מתחייב לכתוב תקנון ולהפיצו באמצעות חוזר מנכ"ל עד ינואר 2021.</w:t>
      </w:r>
    </w:p>
    <w:p w14:paraId="00593168" w14:textId="77777777" w:rsidR="00417266" w:rsidRPr="00BB01C5" w:rsidRDefault="00417266" w:rsidP="00C9091D">
      <w:pPr>
        <w:pStyle w:val="af3"/>
        <w:rPr>
          <w:rtl/>
        </w:rPr>
      </w:pPr>
      <w:r w:rsidRPr="00BB01C5">
        <w:rPr>
          <w:rFonts w:hint="eastAsia"/>
          <w:rtl/>
        </w:rPr>
        <w:t>משרד</w:t>
      </w:r>
      <w:r w:rsidRPr="00BB01C5">
        <w:rPr>
          <w:rtl/>
        </w:rPr>
        <w:t xml:space="preserve"> מבקר המדינה מעיר למשרד החינוך </w:t>
      </w:r>
      <w:r>
        <w:rPr>
          <w:rFonts w:hint="cs"/>
          <w:rtl/>
        </w:rPr>
        <w:t>על העיכוב רב השנים</w:t>
      </w:r>
      <w:r w:rsidRPr="00BB01C5">
        <w:rPr>
          <w:rtl/>
        </w:rPr>
        <w:t xml:space="preserve">. </w:t>
      </w:r>
    </w:p>
    <w:p w14:paraId="55DD8E59" w14:textId="77777777" w:rsidR="00417266" w:rsidRPr="00C43F1B" w:rsidRDefault="00417266" w:rsidP="00C9091D">
      <w:pPr>
        <w:pStyle w:val="414"/>
        <w:rPr>
          <w:rtl/>
        </w:rPr>
      </w:pPr>
      <w:r w:rsidRPr="00C43F1B">
        <w:rPr>
          <w:rFonts w:hint="cs"/>
          <w:rtl/>
        </w:rPr>
        <w:t>הממונה הארצית על מניעת הטרדות מיניות במשרד החינוך</w:t>
      </w:r>
    </w:p>
    <w:p w14:paraId="4547DA3E" w14:textId="77777777" w:rsidR="00417266" w:rsidRPr="00C43F1B" w:rsidRDefault="00417266" w:rsidP="00C9091D">
      <w:pPr>
        <w:pStyle w:val="a0"/>
        <w:numPr>
          <w:ilvl w:val="0"/>
          <w:numId w:val="44"/>
        </w:numPr>
        <w:rPr>
          <w:rtl/>
        </w:rPr>
      </w:pPr>
      <w:r w:rsidRPr="00C43F1B">
        <w:rPr>
          <w:rFonts w:hint="cs"/>
          <w:rtl/>
        </w:rPr>
        <w:t xml:space="preserve">במשרד החינוך מכהנת ממונה ארצית על מניעת הטרדות מיניות שהיא גם יועצת המנכ"ל לענייני מגדר. בשל גודלו של המשרד ופיזור עובדיו בכל רחבי הארץ (כ-4,800 בתי ספר מזרמי חינוך שונים: ממלכתי, ממלכתי-דתי, חרדי, ערבי) מינתה הממונה הארצית ממונה בכל אחד ממחוזות משרד החינוך (תשע ממונות מחוזיות). הממונה הארצית מקיימת </w:t>
      </w:r>
      <w:r>
        <w:rPr>
          <w:rFonts w:hint="cs"/>
          <w:rtl/>
        </w:rPr>
        <w:t xml:space="preserve">מדי פעם בפעם </w:t>
      </w:r>
      <w:r w:rsidRPr="00C43F1B">
        <w:rPr>
          <w:rFonts w:hint="cs"/>
          <w:rtl/>
        </w:rPr>
        <w:t xml:space="preserve">הדרכות לממונות המחוזיות, אך אין עליהן חובה להתייצב להדרכות. </w:t>
      </w:r>
    </w:p>
    <w:p w14:paraId="53A33667" w14:textId="77777777" w:rsidR="00417266" w:rsidRDefault="00417266" w:rsidP="00C9091D">
      <w:pPr>
        <w:pStyle w:val="ac"/>
        <w:rPr>
          <w:rtl/>
        </w:rPr>
      </w:pPr>
      <w:r w:rsidRPr="00C43F1B">
        <w:rPr>
          <w:rFonts w:hint="cs"/>
          <w:rtl/>
        </w:rPr>
        <w:t xml:space="preserve">משרד מבקר המדינה מעיר למשרד החינוך כי לנוכח גודלה של מערכת החינוך, החולשת על כ-167,000 עובדי הוראה ועוד אלפי עובדי מינהלה ומטה, עליו לבחון את הצורך במינוי והכשרה של ממונות נוספות בהתאם לקבוצות האוכלוסייה השונות של העובדים, כדי </w:t>
      </w:r>
      <w:r w:rsidRPr="00C43F1B">
        <w:rPr>
          <w:rtl/>
        </w:rPr>
        <w:t>שלנפגעות תהיה כתובת שיהיה להן נוח לפנות אליה.</w:t>
      </w:r>
      <w:r w:rsidRPr="00C43F1B">
        <w:rPr>
          <w:rFonts w:hint="cs"/>
          <w:rtl/>
        </w:rPr>
        <w:t xml:space="preserve"> כן </w:t>
      </w:r>
      <w:r>
        <w:rPr>
          <w:rFonts w:hint="cs"/>
          <w:rtl/>
        </w:rPr>
        <w:t xml:space="preserve">מוצע </w:t>
      </w:r>
      <w:r w:rsidRPr="00C43F1B">
        <w:rPr>
          <w:rFonts w:hint="cs"/>
          <w:rtl/>
        </w:rPr>
        <w:t>לבחון אם נדרש לשתף את נש"ם בהכשרה כדי שתיתן מענה אפקטיבי למגוון העובדות במערכת החינוך</w:t>
      </w:r>
      <w:r>
        <w:rPr>
          <w:rFonts w:hint="cs"/>
          <w:rtl/>
        </w:rPr>
        <w:t>,</w:t>
      </w:r>
      <w:r w:rsidRPr="00C43F1B">
        <w:rPr>
          <w:rFonts w:hint="cs"/>
          <w:rtl/>
        </w:rPr>
        <w:t xml:space="preserve"> </w:t>
      </w:r>
      <w:r>
        <w:rPr>
          <w:rFonts w:hint="cs"/>
          <w:rtl/>
        </w:rPr>
        <w:t>וכן לבחון את האפשרות להנחות את העובדים בדבר הוראות החוק למניעת הטרדה מינית באמצעות לומדה מקוונת.</w:t>
      </w:r>
    </w:p>
    <w:p w14:paraId="1DE8819D" w14:textId="77777777" w:rsidR="00417266" w:rsidRPr="00C43F1B" w:rsidRDefault="00417266" w:rsidP="00C9091D">
      <w:pPr>
        <w:pStyle w:val="a0"/>
      </w:pPr>
      <w:r w:rsidRPr="00C43F1B">
        <w:rPr>
          <w:rFonts w:hint="cs"/>
          <w:rtl/>
        </w:rPr>
        <w:t xml:space="preserve">מעקב אחר הטיפול בתלונות וההליכים המשמעתיים הוא תנאי הכרחי לראייה רחבה של תמונת ההטרדות המיניות במערכת החינוך ותנאי הכרחי למניעת הטרדות חוזרות ונשנות. </w:t>
      </w:r>
    </w:p>
    <w:p w14:paraId="3AE0808E" w14:textId="6CFECB7F" w:rsidR="00417266" w:rsidRDefault="001E641F" w:rsidP="001E641F">
      <w:pPr>
        <w:pStyle w:val="1"/>
      </w:pPr>
      <w:r>
        <w:rPr>
          <w:rtl/>
        </w:rPr>
        <w:tab/>
      </w:r>
      <w:r w:rsidR="00417266" w:rsidRPr="00C43F1B">
        <w:rPr>
          <w:rFonts w:hint="eastAsia"/>
          <w:rtl/>
        </w:rPr>
        <w:t>המשרד</w:t>
      </w:r>
      <w:r w:rsidR="00417266" w:rsidRPr="00C43F1B">
        <w:rPr>
          <w:rtl/>
        </w:rPr>
        <w:t xml:space="preserve"> </w:t>
      </w:r>
      <w:r w:rsidR="00417266" w:rsidRPr="00C43F1B">
        <w:rPr>
          <w:rFonts w:hint="eastAsia"/>
          <w:rtl/>
        </w:rPr>
        <w:t>לא</w:t>
      </w:r>
      <w:r w:rsidR="00417266" w:rsidRPr="00C43F1B">
        <w:rPr>
          <w:rtl/>
        </w:rPr>
        <w:t xml:space="preserve"> </w:t>
      </w:r>
      <w:r w:rsidR="00417266" w:rsidRPr="00C43F1B">
        <w:rPr>
          <w:rFonts w:hint="cs"/>
          <w:rtl/>
        </w:rPr>
        <w:t>קבע הסדרים שימנעו</w:t>
      </w:r>
      <w:r w:rsidR="00417266" w:rsidRPr="00C43F1B">
        <w:rPr>
          <w:rtl/>
        </w:rPr>
        <w:t xml:space="preserve"> </w:t>
      </w:r>
      <w:r w:rsidR="00417266" w:rsidRPr="00C43F1B">
        <w:rPr>
          <w:rFonts w:hint="eastAsia"/>
          <w:rtl/>
        </w:rPr>
        <w:t>טיפול</w:t>
      </w:r>
      <w:r w:rsidR="00417266" w:rsidRPr="00C43F1B">
        <w:rPr>
          <w:rtl/>
        </w:rPr>
        <w:t xml:space="preserve"> </w:t>
      </w:r>
      <w:r w:rsidR="00417266" w:rsidRPr="00C43F1B">
        <w:rPr>
          <w:rFonts w:hint="eastAsia"/>
          <w:rtl/>
        </w:rPr>
        <w:t>לא</w:t>
      </w:r>
      <w:r w:rsidR="00417266" w:rsidRPr="00C43F1B">
        <w:rPr>
          <w:rtl/>
        </w:rPr>
        <w:t xml:space="preserve"> </w:t>
      </w:r>
      <w:r w:rsidR="00417266" w:rsidRPr="00C43F1B">
        <w:rPr>
          <w:rFonts w:hint="eastAsia"/>
          <w:rtl/>
        </w:rPr>
        <w:t>אחיד</w:t>
      </w:r>
      <w:r w:rsidR="00417266" w:rsidRPr="00C43F1B">
        <w:rPr>
          <w:rtl/>
        </w:rPr>
        <w:t xml:space="preserve"> </w:t>
      </w:r>
      <w:r w:rsidR="00417266" w:rsidRPr="00C43F1B">
        <w:rPr>
          <w:rFonts w:hint="eastAsia"/>
          <w:rtl/>
        </w:rPr>
        <w:t>במורים</w:t>
      </w:r>
      <w:r w:rsidR="00417266" w:rsidRPr="00C43F1B">
        <w:rPr>
          <w:rtl/>
        </w:rPr>
        <w:t xml:space="preserve"> </w:t>
      </w:r>
      <w:r w:rsidR="00417266" w:rsidRPr="00C43F1B">
        <w:rPr>
          <w:rFonts w:hint="eastAsia"/>
          <w:rtl/>
        </w:rPr>
        <w:t>שהטרידו</w:t>
      </w:r>
      <w:r w:rsidR="00417266" w:rsidRPr="00C43F1B">
        <w:rPr>
          <w:rtl/>
        </w:rPr>
        <w:t xml:space="preserve"> </w:t>
      </w:r>
      <w:r w:rsidR="00417266" w:rsidRPr="00C43F1B">
        <w:rPr>
          <w:rFonts w:hint="eastAsia"/>
          <w:rtl/>
        </w:rPr>
        <w:t>מינית</w:t>
      </w:r>
      <w:r w:rsidR="00417266" w:rsidRPr="00C43F1B">
        <w:rPr>
          <w:rtl/>
        </w:rPr>
        <w:t xml:space="preserve">. כך לדוגמה </w:t>
      </w:r>
      <w:r w:rsidR="00417266" w:rsidRPr="00C43F1B">
        <w:rPr>
          <w:rFonts w:hint="cs"/>
          <w:rtl/>
        </w:rPr>
        <w:t xml:space="preserve">עלול להיות הבדל </w:t>
      </w:r>
      <w:r w:rsidR="00417266" w:rsidRPr="00C43F1B">
        <w:rPr>
          <w:rtl/>
        </w:rPr>
        <w:t xml:space="preserve">בין הטיפול </w:t>
      </w:r>
      <w:r w:rsidR="00417266" w:rsidRPr="00C43F1B">
        <w:rPr>
          <w:rFonts w:hint="eastAsia"/>
          <w:rtl/>
        </w:rPr>
        <w:t>בנילון</w:t>
      </w:r>
      <w:r w:rsidR="00417266" w:rsidRPr="00C43F1B">
        <w:rPr>
          <w:rtl/>
        </w:rPr>
        <w:t xml:space="preserve"> שהוא עובד מדינה במוסד חינוכי </w:t>
      </w:r>
      <w:r w:rsidR="00417266" w:rsidRPr="00C43F1B">
        <w:rPr>
          <w:rFonts w:hint="cs"/>
          <w:rtl/>
        </w:rPr>
        <w:t>ו</w:t>
      </w:r>
      <w:r w:rsidR="00417266" w:rsidRPr="00C43F1B">
        <w:rPr>
          <w:rFonts w:hint="eastAsia"/>
          <w:rtl/>
        </w:rPr>
        <w:t>מטופל</w:t>
      </w:r>
      <w:r w:rsidR="00417266" w:rsidRPr="00C43F1B">
        <w:rPr>
          <w:rtl/>
        </w:rPr>
        <w:t xml:space="preserve"> </w:t>
      </w:r>
      <w:r w:rsidR="00417266" w:rsidRPr="00C43F1B">
        <w:rPr>
          <w:rFonts w:hint="eastAsia"/>
          <w:rtl/>
        </w:rPr>
        <w:t>ב</w:t>
      </w:r>
      <w:r w:rsidR="00417266" w:rsidRPr="00C43F1B">
        <w:rPr>
          <w:rtl/>
        </w:rPr>
        <w:t xml:space="preserve">הליך משמעתי של </w:t>
      </w:r>
      <w:r w:rsidR="00417266" w:rsidRPr="00C43F1B">
        <w:rPr>
          <w:rFonts w:hint="eastAsia"/>
          <w:rtl/>
        </w:rPr>
        <w:t>נש</w:t>
      </w:r>
      <w:r w:rsidR="00417266" w:rsidRPr="00C43F1B">
        <w:rPr>
          <w:rtl/>
        </w:rPr>
        <w:t>"</w:t>
      </w:r>
      <w:r w:rsidR="00417266" w:rsidRPr="00C43F1B">
        <w:rPr>
          <w:rFonts w:hint="eastAsia"/>
          <w:rtl/>
        </w:rPr>
        <w:t>ם</w:t>
      </w:r>
      <w:r w:rsidR="00417266" w:rsidRPr="00C43F1B">
        <w:rPr>
          <w:rtl/>
        </w:rPr>
        <w:t xml:space="preserve"> </w:t>
      </w:r>
      <w:r w:rsidR="00417266" w:rsidRPr="00C43F1B">
        <w:rPr>
          <w:rFonts w:hint="cs"/>
          <w:rtl/>
        </w:rPr>
        <w:t xml:space="preserve">לבין </w:t>
      </w:r>
      <w:r w:rsidR="00417266" w:rsidRPr="00C43F1B">
        <w:rPr>
          <w:rFonts w:hint="eastAsia"/>
          <w:rtl/>
        </w:rPr>
        <w:t>נילון</w:t>
      </w:r>
      <w:r w:rsidR="00417266" w:rsidRPr="00C43F1B">
        <w:rPr>
          <w:rtl/>
        </w:rPr>
        <w:t xml:space="preserve"> ש</w:t>
      </w:r>
      <w:r w:rsidR="00417266" w:rsidRPr="00C43F1B">
        <w:rPr>
          <w:rFonts w:hint="cs"/>
          <w:rtl/>
        </w:rPr>
        <w:t>אינו עובד מדינה</w:t>
      </w:r>
      <w:r w:rsidR="00417266" w:rsidRPr="00C43F1B">
        <w:rPr>
          <w:rtl/>
        </w:rPr>
        <w:t xml:space="preserve"> ומועסק באותו מוסד חינוכי</w:t>
      </w:r>
      <w:r w:rsidR="00417266" w:rsidRPr="0088414B">
        <w:rPr>
          <w:rStyle w:val="FootnoteReference"/>
          <w:sz w:val="24"/>
          <w:rtl/>
        </w:rPr>
        <w:footnoteReference w:id="109"/>
      </w:r>
      <w:r w:rsidR="00417266" w:rsidRPr="0088414B">
        <w:rPr>
          <w:rtl/>
        </w:rPr>
        <w:t>,</w:t>
      </w:r>
      <w:r w:rsidR="00417266" w:rsidRPr="00C43F1B">
        <w:rPr>
          <w:rtl/>
        </w:rPr>
        <w:t xml:space="preserve"> </w:t>
      </w:r>
      <w:r w:rsidR="00417266" w:rsidRPr="00C43F1B">
        <w:rPr>
          <w:rFonts w:hint="cs"/>
          <w:rtl/>
        </w:rPr>
        <w:t>והוא מ</w:t>
      </w:r>
      <w:r w:rsidR="00417266" w:rsidRPr="00C43F1B">
        <w:rPr>
          <w:rFonts w:hint="eastAsia"/>
          <w:rtl/>
        </w:rPr>
        <w:t>טופל</w:t>
      </w:r>
      <w:r w:rsidR="00417266" w:rsidRPr="00C43F1B">
        <w:rPr>
          <w:rtl/>
        </w:rPr>
        <w:t xml:space="preserve"> </w:t>
      </w:r>
      <w:r w:rsidR="00417266" w:rsidRPr="00C43F1B">
        <w:rPr>
          <w:rFonts w:hint="cs"/>
          <w:rtl/>
        </w:rPr>
        <w:t>ב</w:t>
      </w:r>
      <w:r w:rsidR="00417266" w:rsidRPr="00C43F1B">
        <w:rPr>
          <w:rFonts w:hint="eastAsia"/>
          <w:rtl/>
        </w:rPr>
        <w:t>ידי</w:t>
      </w:r>
      <w:r w:rsidR="00417266" w:rsidRPr="00C43F1B">
        <w:rPr>
          <w:rtl/>
        </w:rPr>
        <w:t xml:space="preserve"> </w:t>
      </w:r>
      <w:r w:rsidR="00417266" w:rsidRPr="00C43F1B">
        <w:rPr>
          <w:rFonts w:hint="cs"/>
          <w:rtl/>
        </w:rPr>
        <w:t>המעסיק</w:t>
      </w:r>
      <w:r w:rsidR="00417266" w:rsidRPr="00C43F1B">
        <w:rPr>
          <w:rtl/>
        </w:rPr>
        <w:t xml:space="preserve"> </w:t>
      </w:r>
      <w:r w:rsidR="00417266" w:rsidRPr="00C43F1B">
        <w:rPr>
          <w:rFonts w:hint="eastAsia"/>
          <w:rtl/>
        </w:rPr>
        <w:t>ל</w:t>
      </w:r>
      <w:r w:rsidR="00417266">
        <w:rPr>
          <w:rFonts w:hint="cs"/>
          <w:rtl/>
        </w:rPr>
        <w:t xml:space="preserve">פי </w:t>
      </w:r>
      <w:r w:rsidR="00417266" w:rsidRPr="00C43F1B">
        <w:rPr>
          <w:rFonts w:hint="eastAsia"/>
          <w:rtl/>
        </w:rPr>
        <w:t>שיקול</w:t>
      </w:r>
      <w:r w:rsidR="00417266" w:rsidRPr="00C43F1B">
        <w:rPr>
          <w:rtl/>
        </w:rPr>
        <w:t xml:space="preserve"> </w:t>
      </w:r>
      <w:r w:rsidR="00417266" w:rsidRPr="00C43F1B">
        <w:rPr>
          <w:rFonts w:hint="eastAsia"/>
          <w:rtl/>
        </w:rPr>
        <w:t>דעתו</w:t>
      </w:r>
      <w:r w:rsidR="00417266" w:rsidRPr="00C43F1B">
        <w:rPr>
          <w:rFonts w:hint="cs"/>
          <w:rtl/>
        </w:rPr>
        <w:t xml:space="preserve">. </w:t>
      </w:r>
    </w:p>
    <w:p w14:paraId="7DE33EA6" w14:textId="26DED063" w:rsidR="00417266" w:rsidRDefault="001E641F" w:rsidP="001E641F">
      <w:pPr>
        <w:pStyle w:val="1"/>
      </w:pPr>
      <w:r>
        <w:rPr>
          <w:rtl/>
        </w:rPr>
        <w:tab/>
      </w:r>
      <w:r w:rsidR="00417266" w:rsidRPr="00C43F1B">
        <w:rPr>
          <w:rFonts w:hint="eastAsia"/>
          <w:rtl/>
        </w:rPr>
        <w:t>המשרד</w:t>
      </w:r>
      <w:r w:rsidR="00417266" w:rsidRPr="00C43F1B">
        <w:rPr>
          <w:rtl/>
        </w:rPr>
        <w:t xml:space="preserve"> </w:t>
      </w:r>
      <w:r w:rsidR="00417266" w:rsidRPr="00C43F1B">
        <w:rPr>
          <w:rFonts w:hint="cs"/>
          <w:rtl/>
        </w:rPr>
        <w:t xml:space="preserve">אינו </w:t>
      </w:r>
      <w:r w:rsidR="00417266" w:rsidRPr="00C43F1B">
        <w:rPr>
          <w:rtl/>
        </w:rPr>
        <w:t xml:space="preserve">עוקב </w:t>
      </w:r>
      <w:r w:rsidR="00417266" w:rsidRPr="00C43F1B">
        <w:rPr>
          <w:rFonts w:hint="eastAsia"/>
          <w:rtl/>
        </w:rPr>
        <w:t>אחר</w:t>
      </w:r>
      <w:r w:rsidR="00417266" w:rsidRPr="00C43F1B">
        <w:rPr>
          <w:rtl/>
        </w:rPr>
        <w:t xml:space="preserve"> טיפול </w:t>
      </w:r>
      <w:r w:rsidR="00417266" w:rsidRPr="00C43F1B">
        <w:rPr>
          <w:rFonts w:hint="cs"/>
          <w:rtl/>
        </w:rPr>
        <w:t xml:space="preserve">המחוזות </w:t>
      </w:r>
      <w:r w:rsidR="00417266" w:rsidRPr="00C43F1B">
        <w:rPr>
          <w:rtl/>
        </w:rPr>
        <w:t xml:space="preserve">בתלונות </w:t>
      </w:r>
      <w:r w:rsidR="00417266" w:rsidRPr="00C43F1B">
        <w:rPr>
          <w:rFonts w:hint="cs"/>
          <w:rtl/>
        </w:rPr>
        <w:t xml:space="preserve">שהעבירה להם </w:t>
      </w:r>
      <w:r w:rsidR="00417266" w:rsidRPr="00C43F1B">
        <w:rPr>
          <w:rFonts w:hint="eastAsia"/>
          <w:rtl/>
        </w:rPr>
        <w:t>נש</w:t>
      </w:r>
      <w:r w:rsidR="00417266" w:rsidRPr="00C43F1B">
        <w:rPr>
          <w:rtl/>
        </w:rPr>
        <w:t xml:space="preserve">"ם </w:t>
      </w:r>
      <w:r w:rsidR="00417266" w:rsidRPr="00C43F1B">
        <w:rPr>
          <w:rFonts w:hint="eastAsia"/>
          <w:rtl/>
        </w:rPr>
        <w:t>לטיפול</w:t>
      </w:r>
      <w:r w:rsidR="00417266" w:rsidRPr="00C43F1B">
        <w:rPr>
          <w:rtl/>
        </w:rPr>
        <w:t xml:space="preserve"> </w:t>
      </w:r>
      <w:r w:rsidR="00417266" w:rsidRPr="001E641F">
        <w:rPr>
          <w:rFonts w:hint="eastAsia"/>
          <w:rtl/>
        </w:rPr>
        <w:t>משמעתי</w:t>
      </w:r>
      <w:r w:rsidR="00417266" w:rsidRPr="00C43F1B">
        <w:rPr>
          <w:rtl/>
        </w:rPr>
        <w:t xml:space="preserve"> </w:t>
      </w:r>
      <w:r w:rsidR="00417266" w:rsidRPr="00C43F1B">
        <w:rPr>
          <w:rFonts w:hint="eastAsia"/>
          <w:rtl/>
        </w:rPr>
        <w:t>פנים</w:t>
      </w:r>
      <w:r w:rsidR="00417266" w:rsidRPr="00C43F1B">
        <w:rPr>
          <w:rtl/>
        </w:rPr>
        <w:t xml:space="preserve">-משרדי </w:t>
      </w:r>
      <w:r w:rsidR="00417266" w:rsidRPr="00C43F1B">
        <w:rPr>
          <w:rFonts w:hint="cs"/>
          <w:rtl/>
        </w:rPr>
        <w:t>משום ש</w:t>
      </w:r>
      <w:r w:rsidR="00417266" w:rsidRPr="00C43F1B">
        <w:rPr>
          <w:rFonts w:hint="eastAsia"/>
          <w:rtl/>
        </w:rPr>
        <w:t>החליט</w:t>
      </w:r>
      <w:r w:rsidR="00417266" w:rsidRPr="00C43F1B">
        <w:rPr>
          <w:rFonts w:hint="cs"/>
          <w:rtl/>
        </w:rPr>
        <w:t>ה</w:t>
      </w:r>
      <w:r w:rsidR="00417266" w:rsidRPr="00C43F1B">
        <w:rPr>
          <w:rtl/>
        </w:rPr>
        <w:t xml:space="preserve"> </w:t>
      </w:r>
      <w:r w:rsidR="00417266" w:rsidRPr="00C43F1B">
        <w:rPr>
          <w:rFonts w:hint="cs"/>
          <w:rtl/>
        </w:rPr>
        <w:t>שאין מקום להגיש בעניינן</w:t>
      </w:r>
      <w:r w:rsidR="00417266" w:rsidRPr="00C43F1B">
        <w:rPr>
          <w:rtl/>
        </w:rPr>
        <w:t xml:space="preserve"> </w:t>
      </w:r>
      <w:r w:rsidR="00417266" w:rsidRPr="00C43F1B">
        <w:rPr>
          <w:rFonts w:hint="eastAsia"/>
          <w:rtl/>
        </w:rPr>
        <w:t>תביעה</w:t>
      </w:r>
      <w:r w:rsidR="00417266" w:rsidRPr="00C43F1B">
        <w:rPr>
          <w:rtl/>
        </w:rPr>
        <w:t xml:space="preserve"> </w:t>
      </w:r>
      <w:r w:rsidR="00417266" w:rsidRPr="00C43F1B">
        <w:rPr>
          <w:rFonts w:hint="eastAsia"/>
          <w:rtl/>
        </w:rPr>
        <w:t>בבית</w:t>
      </w:r>
      <w:r w:rsidR="00417266" w:rsidRPr="00C43F1B">
        <w:rPr>
          <w:rtl/>
        </w:rPr>
        <w:t xml:space="preserve"> </w:t>
      </w:r>
      <w:r w:rsidR="00417266" w:rsidRPr="00C43F1B">
        <w:rPr>
          <w:rFonts w:hint="eastAsia"/>
          <w:rtl/>
        </w:rPr>
        <w:t>הדין</w:t>
      </w:r>
      <w:r w:rsidR="00417266" w:rsidRPr="00C43F1B">
        <w:rPr>
          <w:rtl/>
        </w:rPr>
        <w:t xml:space="preserve"> </w:t>
      </w:r>
      <w:r w:rsidR="00417266" w:rsidRPr="00C43F1B">
        <w:rPr>
          <w:rFonts w:hint="eastAsia"/>
          <w:rtl/>
        </w:rPr>
        <w:t>המשמעתי</w:t>
      </w:r>
      <w:r w:rsidR="00417266" w:rsidRPr="00C43F1B">
        <w:rPr>
          <w:rtl/>
        </w:rPr>
        <w:t xml:space="preserve">. </w:t>
      </w:r>
      <w:r w:rsidR="00417266" w:rsidRPr="00C43F1B">
        <w:rPr>
          <w:rFonts w:hint="eastAsia"/>
          <w:rtl/>
        </w:rPr>
        <w:t>מעקב</w:t>
      </w:r>
      <w:r w:rsidR="00417266" w:rsidRPr="00C43F1B">
        <w:rPr>
          <w:rtl/>
        </w:rPr>
        <w:t xml:space="preserve"> אחר טיפול </w:t>
      </w:r>
      <w:r w:rsidR="00417266" w:rsidRPr="00C43F1B">
        <w:rPr>
          <w:rFonts w:hint="cs"/>
          <w:rtl/>
        </w:rPr>
        <w:t xml:space="preserve">המחוזות בתלונות יאפשר אחידות בטיפול במקרים דומים. </w:t>
      </w:r>
    </w:p>
    <w:p w14:paraId="74C4A170" w14:textId="20F3F885" w:rsidR="001E641F" w:rsidRDefault="00417266" w:rsidP="001E641F">
      <w:pPr>
        <w:pStyle w:val="af2"/>
        <w:rPr>
          <w:rtl/>
        </w:rPr>
      </w:pPr>
      <w:r>
        <w:rPr>
          <w:rFonts w:hint="cs"/>
          <w:rtl/>
        </w:rPr>
        <w:lastRenderedPageBreak/>
        <w:t>אגף המשמעת במשה"ח מסר בתשובתו כי לפי הנחיות נש"ם והנחיותיו של האגף עצמו, אחריות הדיווח מוטלת על סגני מנהלי המחוזות. עוד מסר כי עתידה להתפרסם הנחיה של האגף שבה יינתן דגש מיוחד על חשיבות התיעוד במערכות המחשב.</w:t>
      </w:r>
    </w:p>
    <w:p w14:paraId="4A91CBC6" w14:textId="77777777" w:rsidR="001E641F" w:rsidRDefault="001E641F">
      <w:pPr>
        <w:bidi w:val="0"/>
        <w:spacing w:after="200" w:line="276" w:lineRule="auto"/>
        <w:rPr>
          <w:rFonts w:ascii="Tahoma" w:hAnsi="Tahoma" w:cs="Tahoma"/>
          <w:szCs w:val="20"/>
          <w:rtl/>
        </w:rPr>
      </w:pPr>
      <w:r>
        <w:rPr>
          <w:rtl/>
        </w:rPr>
        <w:br w:type="page"/>
      </w:r>
    </w:p>
    <w:p w14:paraId="564C8BE4" w14:textId="77777777" w:rsidR="00417266" w:rsidRDefault="00417266" w:rsidP="001E641F">
      <w:pPr>
        <w:pStyle w:val="ac"/>
        <w:rPr>
          <w:rtl/>
        </w:rPr>
      </w:pPr>
      <w:r w:rsidRPr="00C43F1B">
        <w:rPr>
          <w:rFonts w:hint="cs"/>
          <w:rtl/>
        </w:rPr>
        <w:lastRenderedPageBreak/>
        <w:t>מוצע ש</w:t>
      </w:r>
      <w:r w:rsidRPr="00C43F1B">
        <w:rPr>
          <w:rtl/>
        </w:rPr>
        <w:t xml:space="preserve">משרד החינוך </w:t>
      </w:r>
      <w:r w:rsidRPr="00C43F1B">
        <w:rPr>
          <w:rFonts w:hint="cs"/>
          <w:rtl/>
        </w:rPr>
        <w:t>יפעל</w:t>
      </w:r>
      <w:r w:rsidRPr="00C43F1B">
        <w:rPr>
          <w:rtl/>
        </w:rPr>
        <w:t xml:space="preserve"> </w:t>
      </w:r>
      <w:r w:rsidRPr="00C43F1B">
        <w:rPr>
          <w:rFonts w:hint="eastAsia"/>
          <w:rtl/>
        </w:rPr>
        <w:t>ברוח</w:t>
      </w:r>
      <w:r w:rsidRPr="00C43F1B">
        <w:rPr>
          <w:rtl/>
        </w:rPr>
        <w:t xml:space="preserve"> </w:t>
      </w:r>
      <w:r w:rsidRPr="00C43F1B">
        <w:rPr>
          <w:rFonts w:hint="eastAsia"/>
          <w:rtl/>
        </w:rPr>
        <w:t>התקנות</w:t>
      </w:r>
      <w:r w:rsidRPr="00C43F1B">
        <w:rPr>
          <w:rtl/>
        </w:rPr>
        <w:t xml:space="preserve"> </w:t>
      </w:r>
      <w:r w:rsidRPr="00C43F1B">
        <w:rPr>
          <w:rFonts w:hint="eastAsia"/>
          <w:rtl/>
        </w:rPr>
        <w:t>החלות</w:t>
      </w:r>
      <w:r w:rsidRPr="00C43F1B">
        <w:rPr>
          <w:rtl/>
        </w:rPr>
        <w:t xml:space="preserve"> </w:t>
      </w:r>
      <w:r w:rsidRPr="00C43F1B">
        <w:rPr>
          <w:rFonts w:hint="eastAsia"/>
          <w:rtl/>
        </w:rPr>
        <w:t>על</w:t>
      </w:r>
      <w:r w:rsidRPr="00C43F1B">
        <w:rPr>
          <w:rtl/>
        </w:rPr>
        <w:t xml:space="preserve"> </w:t>
      </w:r>
      <w:r w:rsidRPr="00C43F1B">
        <w:rPr>
          <w:rFonts w:hint="eastAsia"/>
          <w:rtl/>
        </w:rPr>
        <w:t>מוסדות</w:t>
      </w:r>
      <w:r w:rsidRPr="00C43F1B">
        <w:rPr>
          <w:rtl/>
        </w:rPr>
        <w:t xml:space="preserve"> </w:t>
      </w:r>
      <w:r w:rsidRPr="00C43F1B">
        <w:rPr>
          <w:rFonts w:hint="eastAsia"/>
          <w:rtl/>
        </w:rPr>
        <w:t>ההשכלה</w:t>
      </w:r>
      <w:r w:rsidRPr="00C43F1B">
        <w:rPr>
          <w:rtl/>
        </w:rPr>
        <w:t xml:space="preserve"> </w:t>
      </w:r>
      <w:r w:rsidRPr="00C43F1B">
        <w:rPr>
          <w:rFonts w:hint="eastAsia"/>
          <w:rtl/>
        </w:rPr>
        <w:t>הגבוהה</w:t>
      </w:r>
      <w:r w:rsidRPr="00C43F1B">
        <w:rPr>
          <w:rtl/>
        </w:rPr>
        <w:t xml:space="preserve"> </w:t>
      </w:r>
      <w:r w:rsidRPr="00C43F1B">
        <w:rPr>
          <w:rFonts w:hint="eastAsia"/>
          <w:rtl/>
        </w:rPr>
        <w:t>ו</w:t>
      </w:r>
      <w:r w:rsidRPr="00C43F1B">
        <w:rPr>
          <w:rFonts w:hint="cs"/>
          <w:rtl/>
        </w:rPr>
        <w:t>י</w:t>
      </w:r>
      <w:r w:rsidRPr="00C43F1B">
        <w:rPr>
          <w:rFonts w:hint="eastAsia"/>
          <w:rtl/>
        </w:rPr>
        <w:t>וודא</w:t>
      </w:r>
      <w:r w:rsidRPr="00C43F1B">
        <w:rPr>
          <w:rtl/>
        </w:rPr>
        <w:t xml:space="preserve"> </w:t>
      </w:r>
      <w:r w:rsidRPr="00C43F1B">
        <w:rPr>
          <w:rFonts w:hint="eastAsia"/>
          <w:rtl/>
        </w:rPr>
        <w:t>שכל</w:t>
      </w:r>
      <w:r w:rsidRPr="00C43F1B">
        <w:rPr>
          <w:rtl/>
        </w:rPr>
        <w:t xml:space="preserve"> </w:t>
      </w:r>
      <w:r w:rsidRPr="00C43F1B">
        <w:rPr>
          <w:rFonts w:hint="eastAsia"/>
          <w:rtl/>
        </w:rPr>
        <w:t>המידע</w:t>
      </w:r>
      <w:r w:rsidRPr="00C43F1B">
        <w:rPr>
          <w:rtl/>
        </w:rPr>
        <w:t xml:space="preserve"> </w:t>
      </w:r>
      <w:r w:rsidRPr="00C43F1B">
        <w:rPr>
          <w:rFonts w:hint="eastAsia"/>
          <w:rtl/>
        </w:rPr>
        <w:t>על</w:t>
      </w:r>
      <w:r w:rsidRPr="00C43F1B">
        <w:rPr>
          <w:rtl/>
        </w:rPr>
        <w:t xml:space="preserve"> </w:t>
      </w:r>
      <w:r w:rsidRPr="00C43F1B">
        <w:rPr>
          <w:rFonts w:hint="eastAsia"/>
          <w:rtl/>
        </w:rPr>
        <w:t>הטרדות</w:t>
      </w:r>
      <w:r w:rsidRPr="00C43F1B">
        <w:rPr>
          <w:rtl/>
        </w:rPr>
        <w:t xml:space="preserve"> </w:t>
      </w:r>
      <w:r w:rsidRPr="00C43F1B">
        <w:rPr>
          <w:rFonts w:hint="eastAsia"/>
          <w:rtl/>
        </w:rPr>
        <w:t>מיניות</w:t>
      </w:r>
      <w:r w:rsidRPr="00C43F1B">
        <w:rPr>
          <w:rtl/>
        </w:rPr>
        <w:t xml:space="preserve"> </w:t>
      </w:r>
      <w:r w:rsidRPr="00C43F1B">
        <w:rPr>
          <w:rFonts w:hint="eastAsia"/>
          <w:rtl/>
        </w:rPr>
        <w:t>ו</w:t>
      </w:r>
      <w:r w:rsidRPr="00C43F1B">
        <w:rPr>
          <w:rFonts w:hint="cs"/>
          <w:rtl/>
        </w:rPr>
        <w:t xml:space="preserve">על </w:t>
      </w:r>
      <w:r w:rsidRPr="00C43F1B">
        <w:rPr>
          <w:rFonts w:hint="eastAsia"/>
          <w:rtl/>
        </w:rPr>
        <w:t>הטיפול</w:t>
      </w:r>
      <w:r w:rsidRPr="00C43F1B">
        <w:rPr>
          <w:rtl/>
        </w:rPr>
        <w:t xml:space="preserve"> </w:t>
      </w:r>
      <w:r w:rsidRPr="00C43F1B">
        <w:rPr>
          <w:rFonts w:hint="eastAsia"/>
          <w:rtl/>
        </w:rPr>
        <w:t>בהן</w:t>
      </w:r>
      <w:r w:rsidRPr="00C43F1B">
        <w:rPr>
          <w:rtl/>
        </w:rPr>
        <w:t xml:space="preserve"> </w:t>
      </w:r>
      <w:r w:rsidRPr="00C43F1B">
        <w:rPr>
          <w:rFonts w:hint="cs"/>
          <w:rtl/>
        </w:rPr>
        <w:t>י</w:t>
      </w:r>
      <w:r w:rsidRPr="00C43F1B">
        <w:rPr>
          <w:rFonts w:hint="eastAsia"/>
          <w:rtl/>
        </w:rPr>
        <w:t>רוכז</w:t>
      </w:r>
      <w:r w:rsidRPr="00C43F1B">
        <w:rPr>
          <w:rtl/>
        </w:rPr>
        <w:t xml:space="preserve"> </w:t>
      </w:r>
      <w:r w:rsidRPr="00C43F1B">
        <w:rPr>
          <w:rFonts w:hint="eastAsia"/>
          <w:rtl/>
        </w:rPr>
        <w:t>אצלו</w:t>
      </w:r>
      <w:r w:rsidRPr="00C43F1B">
        <w:rPr>
          <w:rtl/>
        </w:rPr>
        <w:t xml:space="preserve">. </w:t>
      </w:r>
      <w:r w:rsidRPr="00C43F1B">
        <w:rPr>
          <w:rFonts w:hint="eastAsia"/>
          <w:rtl/>
        </w:rPr>
        <w:t>לריכוז</w:t>
      </w:r>
      <w:r w:rsidRPr="00C43F1B">
        <w:rPr>
          <w:rtl/>
        </w:rPr>
        <w:t xml:space="preserve"> המידע יש חשיבות רבה</w:t>
      </w:r>
      <w:r w:rsidRPr="00C43F1B">
        <w:rPr>
          <w:rFonts w:hint="cs"/>
          <w:rtl/>
        </w:rPr>
        <w:t>,</w:t>
      </w:r>
      <w:r w:rsidRPr="00C43F1B">
        <w:rPr>
          <w:rtl/>
        </w:rPr>
        <w:t xml:space="preserve"> </w:t>
      </w:r>
      <w:r w:rsidRPr="00C43F1B">
        <w:rPr>
          <w:rFonts w:hint="eastAsia"/>
          <w:rtl/>
        </w:rPr>
        <w:t>מאחר</w:t>
      </w:r>
      <w:r w:rsidRPr="00C43F1B">
        <w:rPr>
          <w:rtl/>
        </w:rPr>
        <w:t xml:space="preserve"> שמערכת החינוך כוללת מגוון בתי ספר. </w:t>
      </w:r>
      <w:r w:rsidRPr="00C43F1B">
        <w:rPr>
          <w:rFonts w:hint="cs"/>
          <w:sz w:val="24"/>
          <w:rtl/>
        </w:rPr>
        <w:t>כמו כן על ה</w:t>
      </w:r>
      <w:r w:rsidRPr="00C43F1B">
        <w:rPr>
          <w:rFonts w:hint="eastAsia"/>
          <w:sz w:val="24"/>
          <w:rtl/>
        </w:rPr>
        <w:t>משרד</w:t>
      </w:r>
      <w:r w:rsidRPr="00C43F1B">
        <w:rPr>
          <w:sz w:val="24"/>
          <w:rtl/>
        </w:rPr>
        <w:t xml:space="preserve"> </w:t>
      </w:r>
      <w:r w:rsidRPr="00C43F1B">
        <w:rPr>
          <w:rFonts w:hint="cs"/>
          <w:sz w:val="24"/>
          <w:rtl/>
        </w:rPr>
        <w:t>לקבוע</w:t>
      </w:r>
      <w:r w:rsidRPr="00C43F1B">
        <w:rPr>
          <w:sz w:val="24"/>
          <w:rtl/>
        </w:rPr>
        <w:t xml:space="preserve"> </w:t>
      </w:r>
      <w:r w:rsidRPr="00C43F1B">
        <w:rPr>
          <w:rFonts w:hint="cs"/>
          <w:sz w:val="24"/>
          <w:rtl/>
        </w:rPr>
        <w:t xml:space="preserve">למחוזות </w:t>
      </w:r>
      <w:r w:rsidRPr="00C43F1B">
        <w:rPr>
          <w:rFonts w:hint="eastAsia"/>
          <w:sz w:val="24"/>
          <w:rtl/>
        </w:rPr>
        <w:t>כללים</w:t>
      </w:r>
      <w:r w:rsidRPr="00C43F1B">
        <w:rPr>
          <w:sz w:val="24"/>
          <w:rtl/>
        </w:rPr>
        <w:t xml:space="preserve"> </w:t>
      </w:r>
      <w:r w:rsidRPr="00C43F1B">
        <w:rPr>
          <w:rFonts w:hint="cs"/>
          <w:sz w:val="24"/>
          <w:rtl/>
        </w:rPr>
        <w:t xml:space="preserve">לטיפול </w:t>
      </w:r>
      <w:r w:rsidRPr="00C43F1B">
        <w:rPr>
          <w:rFonts w:hint="eastAsia"/>
          <w:sz w:val="24"/>
          <w:rtl/>
        </w:rPr>
        <w:t>בתלונות</w:t>
      </w:r>
      <w:r w:rsidRPr="00C43F1B">
        <w:rPr>
          <w:sz w:val="24"/>
          <w:rtl/>
        </w:rPr>
        <w:t xml:space="preserve"> </w:t>
      </w:r>
      <w:r w:rsidRPr="00C43F1B">
        <w:rPr>
          <w:rFonts w:hint="eastAsia"/>
          <w:sz w:val="24"/>
          <w:rtl/>
        </w:rPr>
        <w:t>ש</w:t>
      </w:r>
      <w:r w:rsidRPr="00C43F1B">
        <w:rPr>
          <w:rFonts w:hint="cs"/>
          <w:sz w:val="24"/>
          <w:rtl/>
        </w:rPr>
        <w:t>הו</w:t>
      </w:r>
      <w:r w:rsidRPr="00C43F1B">
        <w:rPr>
          <w:rFonts w:hint="eastAsia"/>
          <w:sz w:val="24"/>
          <w:rtl/>
        </w:rPr>
        <w:t>חזרו</w:t>
      </w:r>
      <w:r w:rsidRPr="00C43F1B">
        <w:rPr>
          <w:sz w:val="24"/>
          <w:rtl/>
        </w:rPr>
        <w:t xml:space="preserve"> </w:t>
      </w:r>
      <w:r w:rsidRPr="00C43F1B">
        <w:rPr>
          <w:rFonts w:hint="cs"/>
          <w:sz w:val="24"/>
          <w:rtl/>
        </w:rPr>
        <w:t xml:space="preserve">אליהם </w:t>
      </w:r>
      <w:r w:rsidRPr="00C43F1B">
        <w:rPr>
          <w:sz w:val="24"/>
          <w:rtl/>
        </w:rPr>
        <w:t xml:space="preserve">כדי </w:t>
      </w:r>
      <w:r w:rsidRPr="00C43F1B">
        <w:rPr>
          <w:rFonts w:hint="cs"/>
          <w:rtl/>
        </w:rPr>
        <w:t>למנוע הטרדות נוספות ולאפשר טיפול רציף והולם בנפגעות ובפוגעים</w:t>
      </w:r>
      <w:r>
        <w:rPr>
          <w:rFonts w:hint="cs"/>
          <w:rtl/>
        </w:rPr>
        <w:t xml:space="preserve"> ולקיים סביבה מוגנת במוסדות החינוך</w:t>
      </w:r>
      <w:r w:rsidRPr="00C43F1B">
        <w:rPr>
          <w:rFonts w:hint="cs"/>
          <w:rtl/>
        </w:rPr>
        <w:t>.</w:t>
      </w:r>
    </w:p>
    <w:p w14:paraId="519F8C95" w14:textId="1C3295FA" w:rsidR="00417266" w:rsidRPr="00D552CB" w:rsidRDefault="00417266" w:rsidP="001E641F">
      <w:pPr>
        <w:pStyle w:val="ac"/>
        <w:jc w:val="center"/>
        <w:rPr>
          <w:rFonts w:ascii="Arial" w:hAnsi="Arial" w:cs="Arial"/>
          <w:sz w:val="36"/>
          <w:rtl/>
        </w:rPr>
      </w:pPr>
      <w:r>
        <w:rPr>
          <w:rFonts w:ascii="Segoe UI Symbol" w:hAnsi="Segoe UI Symbol" w:cs="Segoe UI Symbol" w:hint="cs"/>
          <w:sz w:val="36"/>
          <w:rtl/>
        </w:rPr>
        <w:t>✰</w:t>
      </w:r>
    </w:p>
    <w:p w14:paraId="06986621" w14:textId="6FE29204" w:rsidR="00417266" w:rsidRPr="00C43F1B" w:rsidRDefault="00417266" w:rsidP="001E641F">
      <w:pPr>
        <w:pStyle w:val="af3"/>
        <w:rPr>
          <w:rtl/>
        </w:rPr>
      </w:pPr>
      <w:r w:rsidRPr="00C43F1B">
        <w:rPr>
          <w:rFonts w:hint="cs"/>
          <w:rtl/>
        </w:rPr>
        <w:t>למשרד הבריאות ולמשרד החינוך מגע יומיומי עם אוכלוסייה אזרחית נרחבת. האינטראקציות הבין-אישיות ופערי הכוח הופכים את ההתמודדות של מערכות אלו עם נושא ההטרדות המיניות למורכבת במיוחד, בין היתר בגלל זהות הנפגעים (</w:t>
      </w:r>
      <w:r>
        <w:rPr>
          <w:rFonts w:hint="cs"/>
          <w:rtl/>
        </w:rPr>
        <w:t>אוכלוסיות</w:t>
      </w:r>
      <w:r w:rsidRPr="00C43F1B">
        <w:rPr>
          <w:rFonts w:hint="cs"/>
          <w:rtl/>
        </w:rPr>
        <w:t xml:space="preserve"> של חולים וקטינים), וכן משום </w:t>
      </w:r>
      <w:r>
        <w:rPr>
          <w:rFonts w:hint="cs"/>
          <w:rtl/>
        </w:rPr>
        <w:t>שלהטרדה מינית יש מנעד רחב של צורות וביטויים, ולכן נדרש מנעד רחב של תגובות למעשי ההטרדה המינית</w:t>
      </w:r>
      <w:r w:rsidRPr="00C43F1B">
        <w:rPr>
          <w:rFonts w:hint="cs"/>
          <w:rtl/>
        </w:rPr>
        <w:t>. בשני המשרדים נמצא כי הנהלים העוסקים בהטרדות מיניות אינם נותנים מענה מלא לאירועי ההטרדות המיניות, והאמצעים לטיפול בהטרדות אינם מספקים.</w:t>
      </w:r>
    </w:p>
    <w:p w14:paraId="592CB736" w14:textId="77777777" w:rsidR="00417266" w:rsidRDefault="00417266" w:rsidP="001E641F">
      <w:pPr>
        <w:pStyle w:val="af3"/>
        <w:rPr>
          <w:sz w:val="24"/>
          <w:rtl/>
        </w:rPr>
      </w:pPr>
      <w:r w:rsidRPr="00C43F1B">
        <w:rPr>
          <w:rFonts w:hint="cs"/>
          <w:rtl/>
        </w:rPr>
        <w:t xml:space="preserve">יישום ההמלצות המפורטות בדוח זה </w:t>
      </w:r>
      <w:r>
        <w:rPr>
          <w:rFonts w:hint="cs"/>
          <w:rtl/>
        </w:rPr>
        <w:t>יתרום לשיפור</w:t>
      </w:r>
      <w:r w:rsidRPr="00C43F1B">
        <w:rPr>
          <w:rFonts w:hint="cs"/>
          <w:rtl/>
        </w:rPr>
        <w:t xml:space="preserve"> פעולת האסדרה של משרד הבריאות ומשרד החינוך בבואם להתמודד עם נושא מורכב זה. מוצע כי משרדים אלה יקבעו הסדרי דיווח של המוסדות הכפופים להם על ההטרדות המיניות והטיפול בהן. עליהם להתאים את הנהלים העוסקים בהטרדות מיניות למאפייני המערכות שבאחריותם תוך מתן דגש לדרכים שיסייעו במניעתן. על כל אחד מן המשרדים להתאים את אמצעי הטיפול בהטרדות למאפיינים הייחודיים של האוכלוסי</w:t>
      </w:r>
      <w:r>
        <w:rPr>
          <w:rFonts w:hint="cs"/>
          <w:rtl/>
        </w:rPr>
        <w:t>ות</w:t>
      </w:r>
      <w:r w:rsidRPr="00C43F1B">
        <w:rPr>
          <w:rFonts w:hint="cs"/>
          <w:rtl/>
        </w:rPr>
        <w:t xml:space="preserve"> שבה</w:t>
      </w:r>
      <w:r>
        <w:rPr>
          <w:rFonts w:hint="cs"/>
          <w:rtl/>
        </w:rPr>
        <w:t>ן</w:t>
      </w:r>
      <w:r w:rsidRPr="00C43F1B">
        <w:rPr>
          <w:rFonts w:hint="cs"/>
          <w:rtl/>
        </w:rPr>
        <w:t xml:space="preserve"> הוא מטפל. </w:t>
      </w:r>
      <w:r>
        <w:rPr>
          <w:rFonts w:hint="cs"/>
          <w:rtl/>
        </w:rPr>
        <w:t>עוד</w:t>
      </w:r>
      <w:r w:rsidRPr="00C43F1B">
        <w:rPr>
          <w:rFonts w:hint="cs"/>
          <w:rtl/>
        </w:rPr>
        <w:t xml:space="preserve"> עליהם לבחון דרכים להרחבת פעולות ההרתעה והענישה של מטרידים</w:t>
      </w:r>
      <w:r>
        <w:rPr>
          <w:rFonts w:hint="cs"/>
          <w:rtl/>
        </w:rPr>
        <w:t>.</w:t>
      </w:r>
      <w:r w:rsidRPr="00C43F1B">
        <w:rPr>
          <w:rFonts w:hint="cs"/>
          <w:rtl/>
        </w:rPr>
        <w:t xml:space="preserve"> </w:t>
      </w:r>
      <w:r>
        <w:rPr>
          <w:rFonts w:hint="cs"/>
          <w:sz w:val="24"/>
          <w:rtl/>
        </w:rPr>
        <w:t>כן מוצע כי משרד המשפטים ימצא דרכים להסדיר את סוגיית איסוף המידע בכל הנוגע לעובדים שפגעו, גם אם לא הורשעו, כדי למנוע פגיעה חוזרת וליצור סביבה מוגנת ובטוחה.</w:t>
      </w:r>
    </w:p>
    <w:p w14:paraId="1D8EC37D" w14:textId="77777777" w:rsidR="001E641F" w:rsidRDefault="001E641F">
      <w:pPr>
        <w:bidi w:val="0"/>
        <w:spacing w:after="200" w:line="276" w:lineRule="auto"/>
        <w:rPr>
          <w:rFonts w:ascii="Tahoma" w:eastAsia="Times New Roman" w:hAnsi="Tahoma" w:cs="Tahoma"/>
          <w:color w:val="009692"/>
          <w:sz w:val="32"/>
          <w:szCs w:val="32"/>
          <w:rtl/>
        </w:rPr>
      </w:pPr>
      <w:r>
        <w:rPr>
          <w:rtl/>
        </w:rPr>
        <w:br w:type="page"/>
      </w:r>
    </w:p>
    <w:p w14:paraId="21DE2654" w14:textId="00B792FE" w:rsidR="00417266" w:rsidRPr="00C43F1B" w:rsidRDefault="00417266" w:rsidP="001E641F">
      <w:pPr>
        <w:pStyle w:val="316"/>
        <w:rPr>
          <w:rtl/>
        </w:rPr>
      </w:pPr>
      <w:r w:rsidRPr="00C43F1B">
        <w:rPr>
          <w:rtl/>
        </w:rPr>
        <w:lastRenderedPageBreak/>
        <w:t>סיכום</w:t>
      </w:r>
    </w:p>
    <w:p w14:paraId="2916ACE9" w14:textId="77777777" w:rsidR="00417266" w:rsidRPr="001E641F" w:rsidRDefault="00417266" w:rsidP="001E641F">
      <w:pPr>
        <w:pStyle w:val="af3"/>
        <w:rPr>
          <w:rtl/>
        </w:rPr>
      </w:pPr>
      <w:r w:rsidRPr="001E641F">
        <w:rPr>
          <w:rtl/>
        </w:rPr>
        <w:t>לפני כ</w:t>
      </w:r>
      <w:r w:rsidRPr="001E641F">
        <w:rPr>
          <w:rFonts w:hint="cs"/>
          <w:rtl/>
        </w:rPr>
        <w:t>-20</w:t>
      </w:r>
      <w:r w:rsidRPr="001E641F">
        <w:rPr>
          <w:rtl/>
        </w:rPr>
        <w:t xml:space="preserve"> שנים נחקק החוק למניעת הטרדה מינית </w:t>
      </w:r>
      <w:r w:rsidRPr="001E641F">
        <w:rPr>
          <w:rFonts w:hint="cs"/>
          <w:rtl/>
        </w:rPr>
        <w:t>ב</w:t>
      </w:r>
      <w:r w:rsidRPr="001E641F">
        <w:rPr>
          <w:rtl/>
        </w:rPr>
        <w:t>מטר</w:t>
      </w:r>
      <w:r w:rsidRPr="001E641F">
        <w:rPr>
          <w:rFonts w:hint="cs"/>
          <w:rtl/>
        </w:rPr>
        <w:t>ה</w:t>
      </w:r>
      <w:r w:rsidRPr="001E641F">
        <w:rPr>
          <w:rtl/>
        </w:rPr>
        <w:t xml:space="preserve"> להילחם בתופעה החברתית הנפוצה</w:t>
      </w:r>
      <w:r w:rsidRPr="001E641F">
        <w:rPr>
          <w:rFonts w:hint="cs"/>
          <w:rtl/>
        </w:rPr>
        <w:t>,</w:t>
      </w:r>
      <w:r w:rsidRPr="001E641F">
        <w:rPr>
          <w:rtl/>
        </w:rPr>
        <w:t xml:space="preserve"> הפוגעת באנשים רבים ובמיוחד בנשים</w:t>
      </w:r>
      <w:r w:rsidRPr="001E641F">
        <w:rPr>
          <w:rFonts w:hint="cs"/>
          <w:rtl/>
        </w:rPr>
        <w:t xml:space="preserve">. החוק נועד להגן על ערכים חשובים כמו כבוד האדם, חירותו, פרטיותו והזכות לשוויון בין המינים. החוק נחשב לחדשני בהסתכלותו על הטרדות מיניות כתופעה רחבה הקיימת בכל מקום ואינה מצטמצמת רק למקומות עבודה, והוא מספק לנפגעות מגוון מענים משפטיים בדין הפלילי, בדין האזרחי ובדיני העבודה. </w:t>
      </w:r>
    </w:p>
    <w:p w14:paraId="6471FCB4" w14:textId="77777777" w:rsidR="00417266" w:rsidRPr="001E641F" w:rsidRDefault="00417266" w:rsidP="001E641F">
      <w:pPr>
        <w:pStyle w:val="af3"/>
        <w:rPr>
          <w:rtl/>
        </w:rPr>
      </w:pPr>
      <w:r w:rsidRPr="001E641F">
        <w:rPr>
          <w:rFonts w:hint="cs"/>
          <w:rtl/>
        </w:rPr>
        <w:t xml:space="preserve">המאבק בהטרדה מינית אינו מאבקה הפרטי של האישה שבחרה להגיש תלונה או תביעה נגד מי שפגע בה. המאבק חייב להיות מאבק ציבורי, שישלים את התהליך שהחל עם חקיקת החוק ויביא לשינוי השיח הציבורי והמשפטי. </w:t>
      </w:r>
    </w:p>
    <w:p w14:paraId="6BDA1B8D" w14:textId="77777777" w:rsidR="00417266" w:rsidRPr="001E641F" w:rsidRDefault="00417266" w:rsidP="001E641F">
      <w:pPr>
        <w:pStyle w:val="af3"/>
        <w:rPr>
          <w:rtl/>
        </w:rPr>
      </w:pPr>
      <w:r w:rsidRPr="001E641F">
        <w:rPr>
          <w:rFonts w:hint="cs"/>
          <w:rtl/>
        </w:rPr>
        <w:t>מהביקורת עלה כ</w:t>
      </w:r>
      <w:r w:rsidRPr="001E641F">
        <w:rPr>
          <w:rtl/>
        </w:rPr>
        <w:t xml:space="preserve">י </w:t>
      </w:r>
      <w:r w:rsidRPr="001E641F">
        <w:rPr>
          <w:rFonts w:hint="eastAsia"/>
          <w:rtl/>
        </w:rPr>
        <w:t>מוסדות</w:t>
      </w:r>
      <w:r w:rsidRPr="001E641F">
        <w:rPr>
          <w:rtl/>
        </w:rPr>
        <w:t xml:space="preserve"> </w:t>
      </w:r>
      <w:r w:rsidRPr="001E641F">
        <w:rPr>
          <w:rFonts w:hint="eastAsia"/>
          <w:rtl/>
        </w:rPr>
        <w:t>המדינה</w:t>
      </w:r>
      <w:r w:rsidRPr="001E641F">
        <w:rPr>
          <w:rtl/>
        </w:rPr>
        <w:t xml:space="preserve"> </w:t>
      </w:r>
      <w:r w:rsidRPr="001E641F">
        <w:rPr>
          <w:rFonts w:hint="eastAsia"/>
          <w:rtl/>
        </w:rPr>
        <w:t>הקימו</w:t>
      </w:r>
      <w:r w:rsidRPr="001E641F">
        <w:rPr>
          <w:rtl/>
        </w:rPr>
        <w:t xml:space="preserve"> </w:t>
      </w:r>
      <w:r w:rsidRPr="001E641F">
        <w:rPr>
          <w:rFonts w:hint="eastAsia"/>
          <w:rtl/>
        </w:rPr>
        <w:t>מנגנוני</w:t>
      </w:r>
      <w:r w:rsidRPr="001E641F">
        <w:rPr>
          <w:rFonts w:hint="cs"/>
          <w:rtl/>
        </w:rPr>
        <w:t>ם</w:t>
      </w:r>
      <w:r w:rsidRPr="001E641F">
        <w:rPr>
          <w:rtl/>
        </w:rPr>
        <w:t xml:space="preserve"> </w:t>
      </w:r>
      <w:r w:rsidRPr="001E641F">
        <w:rPr>
          <w:rFonts w:hint="cs"/>
          <w:rtl/>
        </w:rPr>
        <w:t>ל</w:t>
      </w:r>
      <w:r w:rsidRPr="001E641F">
        <w:rPr>
          <w:rFonts w:hint="eastAsia"/>
          <w:rtl/>
        </w:rPr>
        <w:t>מניע</w:t>
      </w:r>
      <w:r w:rsidRPr="001E641F">
        <w:rPr>
          <w:rFonts w:hint="cs"/>
          <w:rtl/>
        </w:rPr>
        <w:t xml:space="preserve">ת </w:t>
      </w:r>
      <w:r w:rsidRPr="001E641F">
        <w:rPr>
          <w:rFonts w:hint="eastAsia"/>
          <w:rtl/>
        </w:rPr>
        <w:t>אירועי</w:t>
      </w:r>
      <w:r w:rsidRPr="001E641F">
        <w:rPr>
          <w:rtl/>
        </w:rPr>
        <w:t xml:space="preserve"> </w:t>
      </w:r>
      <w:r w:rsidRPr="001E641F">
        <w:rPr>
          <w:rFonts w:hint="eastAsia"/>
          <w:rtl/>
        </w:rPr>
        <w:t>הטרדה</w:t>
      </w:r>
      <w:r w:rsidRPr="001E641F">
        <w:rPr>
          <w:rtl/>
        </w:rPr>
        <w:t xml:space="preserve"> </w:t>
      </w:r>
      <w:r w:rsidRPr="001E641F">
        <w:rPr>
          <w:rFonts w:hint="eastAsia"/>
          <w:rtl/>
        </w:rPr>
        <w:t>מינית</w:t>
      </w:r>
      <w:r w:rsidRPr="001E641F">
        <w:rPr>
          <w:rtl/>
        </w:rPr>
        <w:t xml:space="preserve"> </w:t>
      </w:r>
      <w:r w:rsidRPr="001E641F">
        <w:rPr>
          <w:rFonts w:hint="eastAsia"/>
          <w:rtl/>
        </w:rPr>
        <w:t>המתרחשים</w:t>
      </w:r>
      <w:r w:rsidRPr="001E641F">
        <w:rPr>
          <w:rtl/>
        </w:rPr>
        <w:t xml:space="preserve"> </w:t>
      </w:r>
      <w:r w:rsidRPr="001E641F">
        <w:rPr>
          <w:rFonts w:hint="eastAsia"/>
          <w:rtl/>
        </w:rPr>
        <w:t>בין</w:t>
      </w:r>
      <w:r w:rsidRPr="001E641F">
        <w:rPr>
          <w:rtl/>
        </w:rPr>
        <w:t xml:space="preserve"> </w:t>
      </w:r>
      <w:r w:rsidRPr="001E641F">
        <w:rPr>
          <w:rFonts w:hint="eastAsia"/>
          <w:rtl/>
        </w:rPr>
        <w:t>עובדי</w:t>
      </w:r>
      <w:r w:rsidRPr="001E641F">
        <w:rPr>
          <w:rtl/>
        </w:rPr>
        <w:t xml:space="preserve"> </w:t>
      </w:r>
      <w:r w:rsidRPr="001E641F">
        <w:rPr>
          <w:rFonts w:hint="eastAsia"/>
          <w:rtl/>
        </w:rPr>
        <w:t>ציבור</w:t>
      </w:r>
      <w:r w:rsidRPr="001E641F">
        <w:rPr>
          <w:rtl/>
        </w:rPr>
        <w:t xml:space="preserve"> </w:t>
      </w:r>
      <w:r w:rsidRPr="001E641F">
        <w:rPr>
          <w:rFonts w:hint="eastAsia"/>
          <w:rtl/>
        </w:rPr>
        <w:t>ועובדי</w:t>
      </w:r>
      <w:r w:rsidRPr="001E641F">
        <w:rPr>
          <w:rtl/>
        </w:rPr>
        <w:t xml:space="preserve"> </w:t>
      </w:r>
      <w:r w:rsidRPr="001E641F">
        <w:rPr>
          <w:rFonts w:hint="eastAsia"/>
          <w:rtl/>
        </w:rPr>
        <w:t>מדינה</w:t>
      </w:r>
      <w:r w:rsidRPr="001E641F">
        <w:rPr>
          <w:rFonts w:hint="cs"/>
          <w:rtl/>
        </w:rPr>
        <w:t xml:space="preserve"> ולטיפול בהם</w:t>
      </w:r>
      <w:r w:rsidRPr="001E641F">
        <w:rPr>
          <w:rtl/>
        </w:rPr>
        <w:t xml:space="preserve">. </w:t>
      </w:r>
      <w:r w:rsidRPr="001E641F">
        <w:rPr>
          <w:rFonts w:hint="eastAsia"/>
          <w:rtl/>
        </w:rPr>
        <w:t>לעומת</w:t>
      </w:r>
      <w:r w:rsidRPr="001E641F">
        <w:rPr>
          <w:rtl/>
        </w:rPr>
        <w:t xml:space="preserve"> </w:t>
      </w:r>
      <w:r w:rsidRPr="001E641F">
        <w:rPr>
          <w:rFonts w:hint="eastAsia"/>
          <w:rtl/>
        </w:rPr>
        <w:t>זאת</w:t>
      </w:r>
      <w:r w:rsidRPr="001E641F">
        <w:rPr>
          <w:rFonts w:hint="cs"/>
          <w:rtl/>
        </w:rPr>
        <w:t>,</w:t>
      </w:r>
      <w:r w:rsidRPr="001E641F">
        <w:rPr>
          <w:rtl/>
        </w:rPr>
        <w:t xml:space="preserve"> אירועי הטרדה </w:t>
      </w:r>
      <w:r w:rsidRPr="001E641F">
        <w:rPr>
          <w:rFonts w:hint="eastAsia"/>
          <w:rtl/>
        </w:rPr>
        <w:t>מינית</w:t>
      </w:r>
      <w:r w:rsidRPr="001E641F">
        <w:rPr>
          <w:rtl/>
        </w:rPr>
        <w:t xml:space="preserve"> שבין עובדי ציבור ובין </w:t>
      </w:r>
      <w:r w:rsidRPr="001E641F">
        <w:rPr>
          <w:rFonts w:hint="cs"/>
          <w:rtl/>
        </w:rPr>
        <w:t>הציבור הרחב</w:t>
      </w:r>
      <w:r w:rsidRPr="001E641F">
        <w:rPr>
          <w:rtl/>
        </w:rPr>
        <w:t xml:space="preserve"> אינם מטופלים די צ</w:t>
      </w:r>
      <w:r w:rsidRPr="001E641F">
        <w:rPr>
          <w:rFonts w:hint="cs"/>
          <w:rtl/>
        </w:rPr>
        <w:t>ו</w:t>
      </w:r>
      <w:r w:rsidRPr="001E641F">
        <w:rPr>
          <w:rtl/>
        </w:rPr>
        <w:t>רכם</w:t>
      </w:r>
      <w:r w:rsidRPr="001E641F">
        <w:rPr>
          <w:rFonts w:hint="cs"/>
          <w:rtl/>
        </w:rPr>
        <w:t xml:space="preserve">, וכך גם </w:t>
      </w:r>
      <w:r w:rsidRPr="001E641F">
        <w:rPr>
          <w:rtl/>
        </w:rPr>
        <w:t xml:space="preserve">הטרדה מינית </w:t>
      </w:r>
      <w:r w:rsidRPr="001E641F">
        <w:rPr>
          <w:rFonts w:hint="cs"/>
          <w:rtl/>
        </w:rPr>
        <w:t>ב</w:t>
      </w:r>
      <w:r w:rsidRPr="001E641F">
        <w:rPr>
          <w:rtl/>
        </w:rPr>
        <w:t>מגזר העבודה הפרטי ובמרחב הציבורי</w:t>
      </w:r>
      <w:r w:rsidRPr="001E641F">
        <w:rPr>
          <w:rFonts w:hint="cs"/>
          <w:rtl/>
        </w:rPr>
        <w:t>.</w:t>
      </w:r>
    </w:p>
    <w:p w14:paraId="7D560887" w14:textId="4632EA29" w:rsidR="00A36941" w:rsidRPr="008B17A0" w:rsidRDefault="00417266" w:rsidP="00A758BE">
      <w:pPr>
        <w:pStyle w:val="af3"/>
        <w:rPr>
          <w:rtl/>
        </w:rPr>
      </w:pPr>
      <w:r w:rsidRPr="001E641F">
        <w:rPr>
          <w:rFonts w:hint="cs"/>
          <w:rtl/>
        </w:rPr>
        <w:t xml:space="preserve">מומלץ כי משרד המשפטים יקדם מהלך של איסוף נתונים שיאפשר להבין את היקף התופעה, ועל בסיסם יקודם פתרון לתופעת תת-הדיווח על </w:t>
      </w:r>
      <w:r w:rsidRPr="001E641F">
        <w:rPr>
          <w:rFonts w:hint="eastAsia"/>
          <w:rtl/>
        </w:rPr>
        <w:t>הטרדות</w:t>
      </w:r>
      <w:r w:rsidRPr="001E641F">
        <w:rPr>
          <w:rtl/>
        </w:rPr>
        <w:t xml:space="preserve"> מיניות. </w:t>
      </w:r>
      <w:r w:rsidRPr="001E641F">
        <w:rPr>
          <w:rFonts w:hint="cs"/>
          <w:rtl/>
        </w:rPr>
        <w:t xml:space="preserve">עוד על משרד המשפטים, הממונה על ביצוע החוק, </w:t>
      </w:r>
      <w:r w:rsidRPr="001E641F">
        <w:rPr>
          <w:rFonts w:hint="eastAsia"/>
          <w:rtl/>
        </w:rPr>
        <w:t>לשקול</w:t>
      </w:r>
      <w:r w:rsidRPr="001E641F">
        <w:rPr>
          <w:rtl/>
        </w:rPr>
        <w:t xml:space="preserve"> </w:t>
      </w:r>
      <w:r w:rsidRPr="001E641F">
        <w:rPr>
          <w:rFonts w:hint="eastAsia"/>
          <w:rtl/>
        </w:rPr>
        <w:t>בחינה</w:t>
      </w:r>
      <w:r w:rsidRPr="001E641F">
        <w:rPr>
          <w:rtl/>
        </w:rPr>
        <w:t xml:space="preserve"> </w:t>
      </w:r>
      <w:r w:rsidRPr="001E641F">
        <w:rPr>
          <w:rFonts w:hint="eastAsia"/>
          <w:rtl/>
        </w:rPr>
        <w:t>של</w:t>
      </w:r>
      <w:r w:rsidRPr="001E641F">
        <w:rPr>
          <w:rtl/>
        </w:rPr>
        <w:t xml:space="preserve"> </w:t>
      </w:r>
      <w:r w:rsidRPr="001E641F">
        <w:rPr>
          <w:rFonts w:hint="eastAsia"/>
          <w:rtl/>
        </w:rPr>
        <w:t>אופן</w:t>
      </w:r>
      <w:r w:rsidRPr="001E641F">
        <w:rPr>
          <w:rtl/>
        </w:rPr>
        <w:t xml:space="preserve"> </w:t>
      </w:r>
      <w:r w:rsidRPr="001E641F">
        <w:rPr>
          <w:rFonts w:hint="eastAsia"/>
          <w:rtl/>
        </w:rPr>
        <w:t>הטיפול</w:t>
      </w:r>
      <w:r w:rsidRPr="001E641F">
        <w:rPr>
          <w:rtl/>
        </w:rPr>
        <w:t xml:space="preserve"> </w:t>
      </w:r>
      <w:r w:rsidRPr="001E641F">
        <w:rPr>
          <w:rFonts w:hint="eastAsia"/>
          <w:rtl/>
        </w:rPr>
        <w:t>הממשלתי</w:t>
      </w:r>
      <w:r w:rsidRPr="001E641F">
        <w:rPr>
          <w:rtl/>
        </w:rPr>
        <w:t xml:space="preserve"> </w:t>
      </w:r>
      <w:r w:rsidRPr="001E641F">
        <w:rPr>
          <w:rFonts w:hint="eastAsia"/>
          <w:rtl/>
        </w:rPr>
        <w:t>הכולל</w:t>
      </w:r>
      <w:r w:rsidRPr="001E641F">
        <w:rPr>
          <w:rtl/>
        </w:rPr>
        <w:t xml:space="preserve"> </w:t>
      </w:r>
      <w:r w:rsidRPr="001E641F">
        <w:rPr>
          <w:rFonts w:hint="eastAsia"/>
          <w:rtl/>
        </w:rPr>
        <w:t>במניעת</w:t>
      </w:r>
      <w:r w:rsidRPr="001E641F">
        <w:rPr>
          <w:rtl/>
        </w:rPr>
        <w:t xml:space="preserve"> </w:t>
      </w:r>
      <w:r w:rsidRPr="001E641F">
        <w:rPr>
          <w:rFonts w:hint="eastAsia"/>
          <w:rtl/>
        </w:rPr>
        <w:t>תופעת</w:t>
      </w:r>
      <w:r w:rsidRPr="001E641F">
        <w:rPr>
          <w:rtl/>
        </w:rPr>
        <w:t xml:space="preserve"> </w:t>
      </w:r>
      <w:r w:rsidRPr="001E641F">
        <w:rPr>
          <w:rFonts w:hint="eastAsia"/>
          <w:rtl/>
        </w:rPr>
        <w:t>ההטרדה</w:t>
      </w:r>
      <w:r w:rsidRPr="001E641F">
        <w:rPr>
          <w:rtl/>
        </w:rPr>
        <w:t xml:space="preserve"> </w:t>
      </w:r>
      <w:r w:rsidRPr="001E641F">
        <w:rPr>
          <w:rFonts w:hint="eastAsia"/>
          <w:rtl/>
        </w:rPr>
        <w:t>המינית</w:t>
      </w:r>
      <w:r w:rsidRPr="001E641F">
        <w:rPr>
          <w:rtl/>
        </w:rPr>
        <w:t xml:space="preserve">, </w:t>
      </w:r>
      <w:r w:rsidRPr="001E641F">
        <w:rPr>
          <w:rFonts w:hint="eastAsia"/>
          <w:rtl/>
        </w:rPr>
        <w:t>לרבות</w:t>
      </w:r>
      <w:r w:rsidRPr="001E641F">
        <w:rPr>
          <w:rtl/>
        </w:rPr>
        <w:t xml:space="preserve"> </w:t>
      </w:r>
      <w:r w:rsidRPr="001E641F">
        <w:rPr>
          <w:rFonts w:hint="eastAsia"/>
          <w:rtl/>
        </w:rPr>
        <w:t>בחינת</w:t>
      </w:r>
      <w:r w:rsidRPr="001E641F">
        <w:rPr>
          <w:rtl/>
        </w:rPr>
        <w:t xml:space="preserve"> </w:t>
      </w:r>
      <w:r w:rsidRPr="001E641F">
        <w:rPr>
          <w:rFonts w:hint="eastAsia"/>
          <w:rtl/>
        </w:rPr>
        <w:t>הצורך</w:t>
      </w:r>
      <w:r w:rsidRPr="001E641F">
        <w:rPr>
          <w:rtl/>
        </w:rPr>
        <w:t xml:space="preserve"> </w:t>
      </w:r>
      <w:r w:rsidRPr="001E641F">
        <w:rPr>
          <w:rFonts w:hint="eastAsia"/>
          <w:rtl/>
        </w:rPr>
        <w:t>בשינויים</w:t>
      </w:r>
      <w:r w:rsidRPr="001E641F">
        <w:rPr>
          <w:rtl/>
        </w:rPr>
        <w:t xml:space="preserve"> </w:t>
      </w:r>
      <w:r w:rsidRPr="001E641F">
        <w:rPr>
          <w:rFonts w:hint="eastAsia"/>
          <w:rtl/>
        </w:rPr>
        <w:t>בחלוקת</w:t>
      </w:r>
      <w:r w:rsidRPr="001E641F">
        <w:rPr>
          <w:rtl/>
        </w:rPr>
        <w:t xml:space="preserve"> </w:t>
      </w:r>
      <w:r w:rsidRPr="001E641F">
        <w:rPr>
          <w:rFonts w:hint="eastAsia"/>
          <w:rtl/>
        </w:rPr>
        <w:t>האחריות</w:t>
      </w:r>
      <w:r w:rsidRPr="001E641F">
        <w:rPr>
          <w:rtl/>
        </w:rPr>
        <w:t xml:space="preserve"> </w:t>
      </w:r>
      <w:r w:rsidRPr="001E641F">
        <w:rPr>
          <w:rFonts w:hint="eastAsia"/>
          <w:rtl/>
        </w:rPr>
        <w:t>בין</w:t>
      </w:r>
      <w:r w:rsidRPr="001E641F">
        <w:rPr>
          <w:rtl/>
        </w:rPr>
        <w:t xml:space="preserve"> </w:t>
      </w:r>
      <w:r w:rsidRPr="001E641F">
        <w:rPr>
          <w:rFonts w:hint="eastAsia"/>
          <w:rtl/>
        </w:rPr>
        <w:t>הגורמים</w:t>
      </w:r>
      <w:r w:rsidRPr="001E641F">
        <w:rPr>
          <w:rtl/>
        </w:rPr>
        <w:t xml:space="preserve"> </w:t>
      </w:r>
      <w:r w:rsidRPr="001E641F">
        <w:rPr>
          <w:rFonts w:hint="eastAsia"/>
          <w:rtl/>
        </w:rPr>
        <w:t>הממשלתיים</w:t>
      </w:r>
      <w:r w:rsidRPr="001E641F">
        <w:rPr>
          <w:rtl/>
        </w:rPr>
        <w:t xml:space="preserve"> הנוגעים בדבר. </w:t>
      </w:r>
      <w:r w:rsidRPr="001E641F">
        <w:rPr>
          <w:rFonts w:hint="cs"/>
          <w:rtl/>
        </w:rPr>
        <w:t xml:space="preserve">יש לשתף </w:t>
      </w:r>
      <w:r w:rsidRPr="001E641F">
        <w:rPr>
          <w:rtl/>
        </w:rPr>
        <w:t>בבחינה זו את משרד העבודה והרווחה, נציבות שוויון הזדמנויות בעבודה והרשות לקידום מעמד האישה</w:t>
      </w:r>
      <w:r w:rsidRPr="00AF25EB">
        <w:rPr>
          <w:rtl/>
        </w:rPr>
        <w:t>.</w:t>
      </w:r>
    </w:p>
    <w:sectPr w:rsidR="00A36941" w:rsidRPr="008B17A0" w:rsidSect="00CA4D91">
      <w:footerReference w:type="default" r:id="rId50"/>
      <w:headerReference w:type="first" r:id="rId51"/>
      <w:footerReference w:type="first" r:id="rId52"/>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492C76" w:rsidRDefault="00492C76">
      <w:pPr>
        <w:spacing w:line="240" w:lineRule="auto"/>
      </w:pPr>
      <w:r>
        <w:separator/>
      </w:r>
    </w:p>
    <w:p w14:paraId="7FDB7CBE" w14:textId="77777777" w:rsidR="00492C76" w:rsidRDefault="00492C76"/>
  </w:endnote>
  <w:endnote w:type="continuationSeparator" w:id="0">
    <w:p w14:paraId="6956BE62" w14:textId="77777777" w:rsidR="00492C76" w:rsidRDefault="00492C76">
      <w:pPr>
        <w:spacing w:line="240" w:lineRule="auto"/>
      </w:pPr>
      <w:r>
        <w:continuationSeparator/>
      </w:r>
    </w:p>
    <w:p w14:paraId="2BC251DF" w14:textId="77777777" w:rsidR="00492C76" w:rsidRDefault="00492C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auto"/>
    <w:pitch w:val="variable"/>
    <w:sig w:usb0="00000803" w:usb1="00000000" w:usb2="00000000" w:usb3="00000000" w:csb0="00000021" w:csb1="00000000"/>
  </w:font>
  <w:font w:name="Cambria">
    <w:panose1 w:val="02040503050406030204"/>
    <w:charset w:val="00"/>
    <w:family w:val="roman"/>
    <w:pitch w:val="variable"/>
    <w:sig w:usb0="A00002EF" w:usb1="400000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203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4E0C46E3" w:rsidR="00492C76" w:rsidRPr="00DE6C5F" w:rsidRDefault="00492C76" w:rsidP="00DE6C5F">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יישום החוק למניעת הטרדה מינית</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2DFA5542" w:rsidR="00492C76" w:rsidRPr="00B92313" w:rsidRDefault="00492C76" w:rsidP="00B92313">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יישום החוק למניעת הטרדה מינית</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492C76" w:rsidRPr="00D15500" w:rsidRDefault="00492C76" w:rsidP="00D15500">
    <w:pPr>
      <w:pStyle w:val="Footer"/>
      <w:spacing w:after="120" w:line="312" w:lineRule="auto"/>
      <w:jc w:val="right"/>
      <w:rPr>
        <w:rFonts w:ascii="Tahoma" w:hAnsi="Tahoma" w:cs="Tahoma"/>
        <w:color w:val="002060"/>
        <w:sz w:val="18"/>
        <w:szCs w:val="18"/>
      </w:rPr>
    </w:pPr>
    <w:bookmarkStart w:id="38" w:name="tempMark"/>
    <w:bookmarkEnd w:id="38"/>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492C76" w:rsidRDefault="00492C76" w:rsidP="00C23CC9">
      <w:pPr>
        <w:spacing w:line="240" w:lineRule="auto"/>
      </w:pPr>
      <w:r>
        <w:separator/>
      </w:r>
    </w:p>
  </w:footnote>
  <w:footnote w:type="continuationSeparator" w:id="0">
    <w:p w14:paraId="10B5AFA0" w14:textId="77777777" w:rsidR="00492C76" w:rsidRDefault="00492C76" w:rsidP="00C23CC9">
      <w:pPr>
        <w:spacing w:line="240" w:lineRule="auto"/>
      </w:pPr>
      <w:r>
        <w:continuationSeparator/>
      </w:r>
    </w:p>
  </w:footnote>
  <w:footnote w:id="1">
    <w:p w14:paraId="6EF5FF25" w14:textId="77777777" w:rsidR="00492C76" w:rsidRDefault="00492C76" w:rsidP="003B639B">
      <w:pPr>
        <w:pStyle w:val="ae"/>
        <w:rPr>
          <w:rtl/>
        </w:rPr>
      </w:pPr>
      <w:r w:rsidRPr="00566629">
        <w:rPr>
          <w:rStyle w:val="FootnoteReference"/>
          <w:vertAlign w:val="baseline"/>
        </w:rPr>
        <w:footnoteRef/>
      </w:r>
      <w:r>
        <w:rPr>
          <w:rtl/>
        </w:rPr>
        <w:t xml:space="preserve"> </w:t>
      </w:r>
      <w:r>
        <w:rPr>
          <w:rtl/>
        </w:rPr>
        <w:tab/>
      </w:r>
      <w:r>
        <w:rPr>
          <w:rFonts w:hint="cs"/>
          <w:rtl/>
        </w:rPr>
        <w:t xml:space="preserve">אורית קמיר, "איזו מין הטרדה: האם הטרדה מינית היא פגיעה בשוויון או בכבוד האדם?", </w:t>
      </w:r>
      <w:r w:rsidRPr="00DD3C6A">
        <w:rPr>
          <w:rFonts w:hint="cs"/>
          <w:b/>
          <w:bCs/>
          <w:rtl/>
        </w:rPr>
        <w:t xml:space="preserve">משפטים </w:t>
      </w:r>
      <w:r>
        <w:rPr>
          <w:rFonts w:hint="cs"/>
          <w:rtl/>
        </w:rPr>
        <w:t>כט (1998), עמ' 317.</w:t>
      </w:r>
    </w:p>
  </w:footnote>
  <w:footnote w:id="2">
    <w:p w14:paraId="6E4A122B" w14:textId="77777777" w:rsidR="00492C76" w:rsidRDefault="00492C76" w:rsidP="003B639B">
      <w:pPr>
        <w:pStyle w:val="ae"/>
        <w:rPr>
          <w:rtl/>
        </w:rPr>
      </w:pPr>
      <w:r w:rsidRPr="00566629">
        <w:rPr>
          <w:rStyle w:val="FootnoteReference"/>
          <w:vertAlign w:val="baseline"/>
        </w:rPr>
        <w:footnoteRef/>
      </w:r>
      <w:r>
        <w:rPr>
          <w:rtl/>
        </w:rPr>
        <w:t xml:space="preserve"> </w:t>
      </w:r>
      <w:r>
        <w:rPr>
          <w:rtl/>
        </w:rPr>
        <w:tab/>
      </w:r>
      <w:r>
        <w:rPr>
          <w:rFonts w:hint="cs"/>
          <w:rtl/>
        </w:rPr>
        <w:t xml:space="preserve">אורית קמיר, "החוק הישראלי למניעת הטרדה מינית - איפה אנחנו במלאת לו עשור", </w:t>
      </w:r>
      <w:r>
        <w:rPr>
          <w:rFonts w:hint="cs"/>
          <w:b/>
          <w:bCs/>
          <w:rtl/>
        </w:rPr>
        <w:t xml:space="preserve">משפט ועסקים </w:t>
      </w:r>
      <w:r>
        <w:rPr>
          <w:rFonts w:hint="cs"/>
          <w:rtl/>
        </w:rPr>
        <w:t>ט 9 (2008).</w:t>
      </w:r>
    </w:p>
  </w:footnote>
  <w:footnote w:id="3">
    <w:p w14:paraId="2AA7F2D5" w14:textId="5CF160C8" w:rsidR="00492C76" w:rsidRPr="00522738" w:rsidRDefault="00492C76" w:rsidP="003B639B">
      <w:pPr>
        <w:pStyle w:val="ae"/>
      </w:pPr>
      <w:r w:rsidRPr="00566629">
        <w:rPr>
          <w:rStyle w:val="FootnoteReference"/>
          <w:vertAlign w:val="baseline"/>
        </w:rPr>
        <w:footnoteRef/>
      </w:r>
      <w:r>
        <w:rPr>
          <w:rtl/>
        </w:rPr>
        <w:t xml:space="preserve"> </w:t>
      </w:r>
      <w:r>
        <w:rPr>
          <w:rtl/>
        </w:rPr>
        <w:tab/>
      </w:r>
      <w:r>
        <w:rPr>
          <w:rFonts w:hint="cs"/>
          <w:rtl/>
        </w:rPr>
        <w:t xml:space="preserve">ראו לדוגמה: </w:t>
      </w:r>
      <w:r w:rsidRPr="002334D8">
        <w:rPr>
          <w:rtl/>
        </w:rPr>
        <w:t>ע"ע 14587-05-16</w:t>
      </w:r>
      <w:r>
        <w:rPr>
          <w:rFonts w:hint="cs"/>
          <w:rtl/>
        </w:rPr>
        <w:t xml:space="preserve"> (ארצי) </w:t>
      </w:r>
      <w:r>
        <w:rPr>
          <w:rFonts w:hint="cs"/>
          <w:b/>
          <w:bCs/>
          <w:rtl/>
        </w:rPr>
        <w:t>זמיר</w:t>
      </w:r>
      <w:r w:rsidRPr="002334D8">
        <w:rPr>
          <w:rFonts w:hint="cs"/>
          <w:b/>
          <w:bCs/>
          <w:rtl/>
        </w:rPr>
        <w:t xml:space="preserve"> נ' מדינת ישראל</w:t>
      </w:r>
      <w:r>
        <w:rPr>
          <w:rFonts w:hint="cs"/>
          <w:rtl/>
        </w:rPr>
        <w:t xml:space="preserve"> (פורסם במאגר ממוחשב, 22.8.18).</w:t>
      </w:r>
    </w:p>
  </w:footnote>
  <w:footnote w:id="4">
    <w:p w14:paraId="081BAEEC" w14:textId="77777777" w:rsidR="00492C76" w:rsidRPr="00022332" w:rsidRDefault="00492C76" w:rsidP="003B639B">
      <w:pPr>
        <w:pStyle w:val="ae"/>
      </w:pPr>
      <w:r w:rsidRPr="00B55E82">
        <w:rPr>
          <w:rStyle w:val="FootnoteReference"/>
          <w:vertAlign w:val="baseline"/>
        </w:rPr>
        <w:footnoteRef/>
      </w:r>
      <w:r>
        <w:rPr>
          <w:rtl/>
        </w:rPr>
        <w:t xml:space="preserve"> </w:t>
      </w:r>
      <w:r>
        <w:rPr>
          <w:rtl/>
        </w:rPr>
        <w:tab/>
      </w:r>
      <w:r>
        <w:rPr>
          <w:rFonts w:hint="cs"/>
          <w:rtl/>
        </w:rPr>
        <w:t xml:space="preserve">מבקר המדינה, </w:t>
      </w:r>
      <w:r w:rsidRPr="001A4256">
        <w:rPr>
          <w:rFonts w:hint="cs"/>
          <w:b/>
          <w:bCs/>
          <w:rtl/>
        </w:rPr>
        <w:t>דוח שנתי 57א</w:t>
      </w:r>
      <w:r>
        <w:rPr>
          <w:rFonts w:hint="cs"/>
          <w:rtl/>
        </w:rPr>
        <w:t xml:space="preserve"> (2006), "הטיפול של צה"ל בהטרדות מיניות"; </w:t>
      </w:r>
      <w:r w:rsidRPr="001A4256">
        <w:rPr>
          <w:rFonts w:hint="cs"/>
          <w:b/>
          <w:bCs/>
          <w:rtl/>
        </w:rPr>
        <w:t>דוחות על הביקורת בשלטון המקומי</w:t>
      </w:r>
      <w:r>
        <w:rPr>
          <w:rFonts w:hint="cs"/>
          <w:rtl/>
        </w:rPr>
        <w:t xml:space="preserve"> (2009), "הטיפול במשמעת השלטון המקומי"; </w:t>
      </w:r>
      <w:r w:rsidRPr="00C15153">
        <w:rPr>
          <w:rFonts w:hint="cs"/>
          <w:b/>
          <w:bCs/>
          <w:rtl/>
        </w:rPr>
        <w:t>דוח</w:t>
      </w:r>
      <w:r w:rsidRPr="00C15153">
        <w:rPr>
          <w:b/>
          <w:bCs/>
          <w:rtl/>
        </w:rPr>
        <w:t xml:space="preserve"> </w:t>
      </w:r>
      <w:r w:rsidRPr="00C15153">
        <w:rPr>
          <w:rFonts w:hint="cs"/>
          <w:b/>
          <w:bCs/>
          <w:rtl/>
        </w:rPr>
        <w:t>שנתי</w:t>
      </w:r>
      <w:r w:rsidRPr="00C15153">
        <w:rPr>
          <w:b/>
          <w:bCs/>
          <w:rtl/>
        </w:rPr>
        <w:t xml:space="preserve"> 63ג</w:t>
      </w:r>
      <w:r>
        <w:rPr>
          <w:rFonts w:hint="cs"/>
          <w:rtl/>
        </w:rPr>
        <w:t xml:space="preserve"> (2013), "טיפול המוסדות להשכלה גבוהה בהטרדות מיניות".</w:t>
      </w:r>
    </w:p>
  </w:footnote>
  <w:footnote w:id="5">
    <w:p w14:paraId="29124989" w14:textId="77777777" w:rsidR="00492C76" w:rsidRDefault="00492C76" w:rsidP="003B639B">
      <w:pPr>
        <w:pStyle w:val="ae"/>
        <w:rPr>
          <w:rtl/>
        </w:rPr>
      </w:pPr>
      <w:r w:rsidRPr="00DD7B55">
        <w:rPr>
          <w:rStyle w:val="FootnoteReference"/>
          <w:vertAlign w:val="baseline"/>
        </w:rPr>
        <w:footnoteRef/>
      </w:r>
      <w:r>
        <w:rPr>
          <w:rtl/>
        </w:rPr>
        <w:t xml:space="preserve"> </w:t>
      </w:r>
      <w:r>
        <w:rPr>
          <w:rtl/>
        </w:rPr>
        <w:tab/>
      </w:r>
      <w:r w:rsidRPr="00C43F1B">
        <w:rPr>
          <w:rFonts w:hint="cs"/>
          <w:rtl/>
        </w:rPr>
        <w:t xml:space="preserve">האיגוד הוקם בשנת 1990 כארגון גג של תשעה מרכזי סיוע אזוריים. מרכזי הסיוע האזוריים פועלים ברמה הפרטנית, </w:t>
      </w:r>
      <w:r>
        <w:rPr>
          <w:rFonts w:hint="cs"/>
          <w:rtl/>
        </w:rPr>
        <w:t>ל</w:t>
      </w:r>
      <w:r w:rsidRPr="00C43F1B">
        <w:rPr>
          <w:rFonts w:hint="cs"/>
          <w:rtl/>
        </w:rPr>
        <w:t>הענקת סיוע נפשי וליווי</w:t>
      </w:r>
      <w:r>
        <w:rPr>
          <w:rFonts w:hint="cs"/>
          <w:rtl/>
        </w:rPr>
        <w:t xml:space="preserve"> </w:t>
      </w:r>
      <w:r w:rsidRPr="00C43F1B">
        <w:rPr>
          <w:rFonts w:hint="cs"/>
          <w:rtl/>
        </w:rPr>
        <w:t xml:space="preserve">לנפגעות תקיפה מינית, וברמה המקומית, </w:t>
      </w:r>
      <w:r>
        <w:rPr>
          <w:rFonts w:hint="cs"/>
          <w:rtl/>
        </w:rPr>
        <w:t>ל</w:t>
      </w:r>
      <w:r w:rsidRPr="00C43F1B">
        <w:rPr>
          <w:rFonts w:hint="cs"/>
          <w:rtl/>
        </w:rPr>
        <w:t>הסברה והעלאת המודעות לנושא.</w:t>
      </w:r>
      <w:r>
        <w:rPr>
          <w:rFonts w:hint="cs"/>
          <w:rtl/>
        </w:rPr>
        <w:t xml:space="preserve"> </w:t>
      </w:r>
      <w:r w:rsidRPr="00C43F1B">
        <w:rPr>
          <w:rFonts w:hint="cs"/>
          <w:rtl/>
        </w:rPr>
        <w:t>המרכזים האזוריים והאיגוד מהווים גוף ידע, הכוונה וליווי לפונות ולפונים אליהם.</w:t>
      </w:r>
    </w:p>
  </w:footnote>
  <w:footnote w:id="6">
    <w:p w14:paraId="3D9BD048" w14:textId="77777777" w:rsidR="00492C76" w:rsidRDefault="00492C76" w:rsidP="003B639B">
      <w:pPr>
        <w:pStyle w:val="ae"/>
        <w:rPr>
          <w:rtl/>
        </w:rPr>
      </w:pPr>
      <w:r w:rsidRPr="00DD7B55">
        <w:rPr>
          <w:rStyle w:val="FootnoteReference"/>
          <w:vertAlign w:val="baseline"/>
        </w:rPr>
        <w:footnoteRef/>
      </w:r>
      <w:r>
        <w:rPr>
          <w:rtl/>
        </w:rPr>
        <w:t xml:space="preserve"> </w:t>
      </w:r>
      <w:r>
        <w:rPr>
          <w:rtl/>
        </w:rPr>
        <w:tab/>
      </w:r>
      <w:r>
        <w:rPr>
          <w:rFonts w:hint="cs"/>
          <w:b/>
          <w:bCs/>
          <w:rtl/>
        </w:rPr>
        <w:t xml:space="preserve">מציאות מטרידה - 20 שנה לחוק למניעת הטרדה מינית - </w:t>
      </w:r>
      <w:r w:rsidRPr="00E64488">
        <w:rPr>
          <w:rFonts w:hint="cs"/>
          <w:b/>
          <w:bCs/>
          <w:rtl/>
        </w:rPr>
        <w:t>הדוח השנתי של איגוד מרכזי הסיוע לנפגעות ונפגעי תקיפה מינית</w:t>
      </w:r>
      <w:r>
        <w:rPr>
          <w:rFonts w:hint="cs"/>
          <w:rtl/>
        </w:rPr>
        <w:t xml:space="preserve"> (2018).</w:t>
      </w:r>
    </w:p>
  </w:footnote>
  <w:footnote w:id="7">
    <w:p w14:paraId="1D9226E3" w14:textId="77777777" w:rsidR="00492C76" w:rsidRDefault="00492C76" w:rsidP="003B639B">
      <w:pPr>
        <w:pStyle w:val="ae"/>
        <w:rPr>
          <w:rtl/>
        </w:rPr>
      </w:pPr>
      <w:r w:rsidRPr="00C64B36">
        <w:rPr>
          <w:rStyle w:val="FootnoteReference"/>
          <w:vertAlign w:val="baseline"/>
        </w:rPr>
        <w:footnoteRef/>
      </w:r>
      <w:r>
        <w:rPr>
          <w:rtl/>
        </w:rPr>
        <w:t xml:space="preserve"> </w:t>
      </w:r>
      <w:r>
        <w:rPr>
          <w:rtl/>
        </w:rPr>
        <w:tab/>
      </w:r>
      <w:r>
        <w:rPr>
          <w:rFonts w:hint="cs"/>
          <w:rtl/>
        </w:rPr>
        <w:t>אורית קמיר ואח', "</w:t>
      </w:r>
      <w:r w:rsidRPr="00E80D6E">
        <w:rPr>
          <w:rFonts w:hint="cs"/>
          <w:rtl/>
        </w:rPr>
        <w:t>החוק למניעת הטרדה מינית במערכות המשפט והמשמעת: נתונים מן העשור הראשון"</w:t>
      </w:r>
      <w:r>
        <w:rPr>
          <w:rFonts w:hint="cs"/>
          <w:i/>
          <w:iCs/>
          <w:rtl/>
        </w:rPr>
        <w:t xml:space="preserve"> </w:t>
      </w:r>
      <w:r>
        <w:rPr>
          <w:rFonts w:hint="cs"/>
          <w:b/>
          <w:bCs/>
          <w:rtl/>
        </w:rPr>
        <w:t xml:space="preserve">"המשפט" ברשת: </w:t>
      </w:r>
      <w:r w:rsidRPr="005637F1">
        <w:rPr>
          <w:rFonts w:hint="cs"/>
          <w:b/>
          <w:bCs/>
          <w:rtl/>
        </w:rPr>
        <w:t>זכויות אדם ב'</w:t>
      </w:r>
      <w:r w:rsidRPr="00917B04">
        <w:rPr>
          <w:rtl/>
        </w:rPr>
        <w:t xml:space="preserve"> </w:t>
      </w:r>
      <w:r w:rsidRPr="005637F1">
        <w:rPr>
          <w:rFonts w:hint="cs"/>
          <w:rtl/>
        </w:rPr>
        <w:t>(</w:t>
      </w:r>
      <w:r>
        <w:rPr>
          <w:rFonts w:hint="cs"/>
          <w:rtl/>
        </w:rPr>
        <w:t>2014</w:t>
      </w:r>
      <w:r w:rsidRPr="005637F1">
        <w:rPr>
          <w:rFonts w:hint="cs"/>
          <w:rtl/>
        </w:rPr>
        <w:t>)</w:t>
      </w:r>
      <w:r>
        <w:rPr>
          <w:rFonts w:hint="cs"/>
          <w:rtl/>
        </w:rPr>
        <w:t>.</w:t>
      </w:r>
    </w:p>
  </w:footnote>
  <w:footnote w:id="8">
    <w:p w14:paraId="0AEA85F2" w14:textId="77777777" w:rsidR="00492C76" w:rsidRPr="00457156" w:rsidRDefault="00492C76" w:rsidP="003B639B">
      <w:pPr>
        <w:pStyle w:val="ae"/>
      </w:pPr>
      <w:r w:rsidRPr="00B03B7D">
        <w:footnoteRef/>
      </w:r>
      <w:r w:rsidRPr="00B03B7D">
        <w:rPr>
          <w:rtl/>
        </w:rPr>
        <w:t xml:space="preserve"> </w:t>
      </w:r>
      <w:r>
        <w:rPr>
          <w:rtl/>
        </w:rPr>
        <w:tab/>
      </w:r>
      <w:r>
        <w:rPr>
          <w:rFonts w:hint="cs"/>
          <w:rtl/>
        </w:rPr>
        <w:t>בכל התיקים שבהם ניתן גזר דין נרשמה נזיפה חמורה ובחלק מהתיקים הושת יותר מעונש אחד. הטבלה מציינת את העונש החמור ביותר שהוטל על המשיב.</w:t>
      </w:r>
    </w:p>
  </w:footnote>
  <w:footnote w:id="9">
    <w:p w14:paraId="62214039" w14:textId="77777777" w:rsidR="00492C76" w:rsidRDefault="00492C76" w:rsidP="003B639B">
      <w:pPr>
        <w:pStyle w:val="ae"/>
        <w:rPr>
          <w:rtl/>
        </w:rPr>
      </w:pPr>
      <w:r w:rsidRPr="003B639B">
        <w:footnoteRef/>
      </w:r>
      <w:r>
        <w:rPr>
          <w:rtl/>
        </w:rPr>
        <w:t xml:space="preserve"> </w:t>
      </w:r>
      <w:r>
        <w:rPr>
          <w:rtl/>
        </w:rPr>
        <w:tab/>
      </w:r>
      <w:r>
        <w:rPr>
          <w:rFonts w:hint="cs"/>
          <w:rtl/>
        </w:rPr>
        <w:t>לא נכללו בסקר בתי הספר של החינוך המיוחד, בתי ספר חרדיים ובתי ספר במזרח ירושלים.</w:t>
      </w:r>
    </w:p>
  </w:footnote>
  <w:footnote w:id="10">
    <w:p w14:paraId="30A9A419" w14:textId="77777777" w:rsidR="00492C76" w:rsidRDefault="00492C76" w:rsidP="00085086">
      <w:pPr>
        <w:pStyle w:val="ae"/>
      </w:pPr>
      <w:r w:rsidRPr="00085086">
        <w:footnoteRef/>
      </w:r>
      <w:r>
        <w:rPr>
          <w:rtl/>
        </w:rPr>
        <w:t xml:space="preserve"> </w:t>
      </w:r>
      <w:r>
        <w:rPr>
          <w:rtl/>
        </w:rPr>
        <w:tab/>
      </w:r>
      <w:r>
        <w:rPr>
          <w:rFonts w:hint="cs"/>
          <w:rtl/>
        </w:rPr>
        <w:t>יודגש כי מספר התלונות למשטרה כוללות את שנת 2016, שאינה כלולה בסקרי ראמ"ה.</w:t>
      </w:r>
    </w:p>
  </w:footnote>
  <w:footnote w:id="11">
    <w:p w14:paraId="7709214E" w14:textId="77777777" w:rsidR="00492C76" w:rsidRDefault="00492C76" w:rsidP="00085086">
      <w:pPr>
        <w:pStyle w:val="ae"/>
        <w:rPr>
          <w:rtl/>
        </w:rPr>
      </w:pPr>
      <w:r w:rsidRPr="00085086">
        <w:footnoteRef/>
      </w:r>
      <w:r w:rsidRPr="00085086">
        <w:rPr>
          <w:rtl/>
        </w:rPr>
        <w:t xml:space="preserve"> </w:t>
      </w:r>
      <w:r>
        <w:rPr>
          <w:rtl/>
        </w:rPr>
        <w:tab/>
      </w:r>
      <w:r>
        <w:rPr>
          <w:rFonts w:hint="cs"/>
          <w:sz w:val="24"/>
          <w:rtl/>
        </w:rPr>
        <w:t>האגף הוקם בשנת 2013, והוא כפוף להנחיות אגף המשמעת בנש</w:t>
      </w:r>
      <w:r>
        <w:rPr>
          <w:sz w:val="24"/>
          <w:rtl/>
        </w:rPr>
        <w:t>"</w:t>
      </w:r>
      <w:r>
        <w:rPr>
          <w:rFonts w:hint="cs"/>
          <w:sz w:val="24"/>
          <w:rtl/>
        </w:rPr>
        <w:t>ם.</w:t>
      </w:r>
    </w:p>
  </w:footnote>
  <w:footnote w:id="12">
    <w:p w14:paraId="344F9F74" w14:textId="77777777" w:rsidR="00492C76" w:rsidRDefault="00492C76" w:rsidP="00085086">
      <w:pPr>
        <w:pStyle w:val="ae"/>
        <w:rPr>
          <w:rtl/>
        </w:rPr>
      </w:pPr>
      <w:r w:rsidRPr="00085086">
        <w:footnoteRef/>
      </w:r>
      <w:r w:rsidRPr="00085086">
        <w:rPr>
          <w:rtl/>
        </w:rPr>
        <w:t xml:space="preserve"> </w:t>
      </w:r>
      <w:r>
        <w:rPr>
          <w:rtl/>
        </w:rPr>
        <w:tab/>
      </w:r>
      <w:r>
        <w:rPr>
          <w:rFonts w:hint="cs"/>
          <w:rtl/>
        </w:rPr>
        <w:t>ראו הרחבה בעניין זה בפרק "הטרדות מיניות במערכת הבריאות".</w:t>
      </w:r>
    </w:p>
  </w:footnote>
  <w:footnote w:id="13">
    <w:p w14:paraId="6DA4F131" w14:textId="77777777" w:rsidR="00492C76" w:rsidRPr="00C63E42" w:rsidRDefault="00492C76" w:rsidP="00322998">
      <w:pPr>
        <w:pStyle w:val="ae"/>
      </w:pPr>
      <w:r w:rsidRPr="00322998">
        <w:footnoteRef/>
      </w:r>
      <w:r w:rsidRPr="00322998">
        <w:rPr>
          <w:rtl/>
        </w:rPr>
        <w:t xml:space="preserve"> </w:t>
      </w:r>
      <w:r>
        <w:rPr>
          <w:rtl/>
        </w:rPr>
        <w:tab/>
      </w:r>
      <w:r>
        <w:t xml:space="preserve">Iliya Kagan RN PhD at al. </w:t>
      </w:r>
      <w:r w:rsidRPr="00C63E42">
        <w:rPr>
          <w:i/>
          <w:iCs/>
        </w:rPr>
        <w:t>Sexual Harassment by patients: the difference experience of female doctors, nurses and nurse aides</w:t>
      </w:r>
      <w:r>
        <w:t xml:space="preserve"> </w:t>
      </w:r>
      <w:r>
        <w:rPr>
          <w:b/>
          <w:bCs/>
        </w:rPr>
        <w:t xml:space="preserve">Medicine and law </w:t>
      </w:r>
      <w:r>
        <w:t>vol. 34 p.8 (2015).</w:t>
      </w:r>
    </w:p>
  </w:footnote>
  <w:footnote w:id="14">
    <w:p w14:paraId="6BC5CCA6" w14:textId="77777777" w:rsidR="00492C76" w:rsidRPr="00C61C83" w:rsidRDefault="00492C76" w:rsidP="00C61C83">
      <w:pPr>
        <w:pStyle w:val="a7"/>
        <w:rPr>
          <w:rtl/>
        </w:rPr>
      </w:pPr>
      <w:r w:rsidRPr="00C61C83">
        <w:rPr>
          <w:rStyle w:val="FootnoteReference"/>
          <w:vertAlign w:val="baseline"/>
        </w:rPr>
        <w:footnoteRef/>
      </w:r>
      <w:r w:rsidRPr="00C61C83">
        <w:rPr>
          <w:rtl/>
        </w:rPr>
        <w:t xml:space="preserve"> </w:t>
      </w:r>
      <w:r w:rsidRPr="00C61C83">
        <w:rPr>
          <w:rtl/>
        </w:rPr>
        <w:tab/>
      </w:r>
      <w:r w:rsidRPr="00C61C83">
        <w:rPr>
          <w:rFonts w:hint="cs"/>
          <w:rtl/>
        </w:rPr>
        <w:t>העמודה המסכמת מציגה את אחוז חשיפת סך כל נשות הצוות הרפואי להטרדות מיניות לסוגיהן.</w:t>
      </w:r>
    </w:p>
  </w:footnote>
  <w:footnote w:id="15">
    <w:p w14:paraId="1E48F338" w14:textId="77777777" w:rsidR="00492C76" w:rsidRDefault="00492C76" w:rsidP="00EB4B77">
      <w:pPr>
        <w:pStyle w:val="ae"/>
        <w:rPr>
          <w:rtl/>
        </w:rPr>
      </w:pPr>
      <w:r w:rsidRPr="00EB4B77">
        <w:footnoteRef/>
      </w:r>
      <w:r>
        <w:rPr>
          <w:rtl/>
        </w:rPr>
        <w:t xml:space="preserve"> </w:t>
      </w:r>
      <w:r>
        <w:rPr>
          <w:rtl/>
        </w:rPr>
        <w:tab/>
      </w:r>
      <w:r>
        <w:rPr>
          <w:rFonts w:hint="cs"/>
          <w:rtl/>
        </w:rPr>
        <w:t xml:space="preserve">הלשכה המרכזית לסטטיסטיקה, </w:t>
      </w:r>
      <w:r w:rsidRPr="000F72CC">
        <w:rPr>
          <w:rFonts w:hint="cs"/>
          <w:b/>
          <w:bCs/>
          <w:rtl/>
        </w:rPr>
        <w:t>סקר</w:t>
      </w:r>
      <w:r w:rsidRPr="00E820FD">
        <w:rPr>
          <w:b/>
          <w:bCs/>
          <w:rtl/>
        </w:rPr>
        <w:t xml:space="preserve"> כוח </w:t>
      </w:r>
      <w:r w:rsidRPr="000F72CC">
        <w:rPr>
          <w:rFonts w:hint="cs"/>
          <w:b/>
          <w:bCs/>
          <w:rtl/>
        </w:rPr>
        <w:t>אדם 2017</w:t>
      </w:r>
      <w:r>
        <w:rPr>
          <w:rFonts w:hint="cs"/>
          <w:rtl/>
        </w:rPr>
        <w:t xml:space="preserve"> (אפריל 2019).</w:t>
      </w:r>
    </w:p>
  </w:footnote>
  <w:footnote w:id="16">
    <w:p w14:paraId="6FA76902" w14:textId="77777777" w:rsidR="00492C76" w:rsidRPr="00A704AF" w:rsidRDefault="00492C76" w:rsidP="00EB4B77">
      <w:pPr>
        <w:pStyle w:val="ae"/>
      </w:pPr>
      <w:r w:rsidRPr="00EB4B77">
        <w:footnoteRef/>
      </w:r>
      <w:r>
        <w:rPr>
          <w:rtl/>
        </w:rPr>
        <w:t xml:space="preserve"> </w:t>
      </w:r>
      <w:r>
        <w:rPr>
          <w:rtl/>
        </w:rPr>
        <w:tab/>
      </w:r>
      <w:r>
        <w:rPr>
          <w:rFonts w:hint="cs"/>
          <w:rtl/>
        </w:rPr>
        <w:t xml:space="preserve">אסנת פיכטלברג-ברמץ ורונית הריס-אולשק, </w:t>
      </w:r>
      <w:r w:rsidRPr="004D1412">
        <w:rPr>
          <w:rFonts w:hint="cs"/>
          <w:b/>
          <w:bCs/>
          <w:rtl/>
        </w:rPr>
        <w:t>הטרדות</w:t>
      </w:r>
      <w:r w:rsidRPr="004D1412">
        <w:rPr>
          <w:b/>
          <w:bCs/>
          <w:rtl/>
        </w:rPr>
        <w:t xml:space="preserve"> </w:t>
      </w:r>
      <w:r w:rsidRPr="004D1412">
        <w:rPr>
          <w:rFonts w:hint="cs"/>
          <w:b/>
          <w:bCs/>
          <w:rtl/>
        </w:rPr>
        <w:t>מיניות</w:t>
      </w:r>
      <w:r w:rsidRPr="004D1412">
        <w:rPr>
          <w:b/>
          <w:bCs/>
          <w:rtl/>
        </w:rPr>
        <w:t xml:space="preserve"> </w:t>
      </w:r>
      <w:r w:rsidRPr="004D1412">
        <w:rPr>
          <w:rFonts w:hint="cs"/>
          <w:b/>
          <w:bCs/>
          <w:rtl/>
        </w:rPr>
        <w:t>בעבודה</w:t>
      </w:r>
      <w:r w:rsidRPr="004D1412">
        <w:rPr>
          <w:b/>
          <w:bCs/>
          <w:rtl/>
        </w:rPr>
        <w:t xml:space="preserve">, </w:t>
      </w:r>
      <w:r w:rsidRPr="004D1412">
        <w:rPr>
          <w:rFonts w:hint="cs"/>
          <w:b/>
          <w:bCs/>
          <w:rtl/>
        </w:rPr>
        <w:t>ממצאים</w:t>
      </w:r>
      <w:r w:rsidRPr="004D1412">
        <w:rPr>
          <w:b/>
          <w:bCs/>
          <w:rtl/>
        </w:rPr>
        <w:t xml:space="preserve"> </w:t>
      </w:r>
      <w:r w:rsidRPr="004D1412">
        <w:rPr>
          <w:rFonts w:hint="cs"/>
          <w:b/>
          <w:bCs/>
          <w:rtl/>
        </w:rPr>
        <w:t>מסקרים</w:t>
      </w:r>
      <w:r w:rsidRPr="004D1412">
        <w:rPr>
          <w:b/>
          <w:bCs/>
          <w:rtl/>
        </w:rPr>
        <w:t xml:space="preserve"> </w:t>
      </w:r>
      <w:r w:rsidRPr="004D1412">
        <w:rPr>
          <w:rFonts w:hint="cs"/>
          <w:b/>
          <w:bCs/>
          <w:rtl/>
        </w:rPr>
        <w:t>באמצעות</w:t>
      </w:r>
      <w:r w:rsidRPr="004D1412">
        <w:rPr>
          <w:b/>
          <w:bCs/>
          <w:rtl/>
        </w:rPr>
        <w:t xml:space="preserve"> </w:t>
      </w:r>
      <w:r w:rsidRPr="004D1412">
        <w:rPr>
          <w:rFonts w:hint="cs"/>
          <w:b/>
          <w:bCs/>
          <w:rtl/>
        </w:rPr>
        <w:t>טלפונים</w:t>
      </w:r>
      <w:r w:rsidRPr="004D1412">
        <w:rPr>
          <w:b/>
          <w:bCs/>
          <w:rtl/>
        </w:rPr>
        <w:t xml:space="preserve"> </w:t>
      </w:r>
      <w:r w:rsidRPr="004D1412">
        <w:rPr>
          <w:rFonts w:hint="cs"/>
          <w:b/>
          <w:bCs/>
          <w:rtl/>
        </w:rPr>
        <w:t>ואינטרנט</w:t>
      </w:r>
      <w:r>
        <w:rPr>
          <w:rFonts w:hint="cs"/>
          <w:rtl/>
        </w:rPr>
        <w:t xml:space="preserve"> (2012)</w:t>
      </w:r>
      <w:r>
        <w:rPr>
          <w:rFonts w:hint="cs"/>
          <w:i/>
          <w:iCs/>
          <w:rtl/>
        </w:rPr>
        <w:t xml:space="preserve">, </w:t>
      </w:r>
      <w:r>
        <w:rPr>
          <w:rFonts w:hint="cs"/>
          <w:rtl/>
        </w:rPr>
        <w:t>עמ' 42, 55 - 57.</w:t>
      </w:r>
    </w:p>
  </w:footnote>
  <w:footnote w:id="17">
    <w:p w14:paraId="04745E60" w14:textId="77777777" w:rsidR="00492C76" w:rsidDel="00F9672F" w:rsidRDefault="00492C76" w:rsidP="00BE61FC">
      <w:pPr>
        <w:pStyle w:val="ae"/>
        <w:rPr>
          <w:rtl/>
        </w:rPr>
      </w:pPr>
      <w:r w:rsidRPr="00BE61FC">
        <w:footnoteRef/>
      </w:r>
      <w:r w:rsidRPr="00BE61FC">
        <w:rPr>
          <w:rtl/>
        </w:rPr>
        <w:t xml:space="preserve"> </w:t>
      </w:r>
      <w:r>
        <w:rPr>
          <w:rtl/>
        </w:rPr>
        <w:tab/>
      </w:r>
      <w:r>
        <w:rPr>
          <w:rFonts w:hint="cs"/>
          <w:rtl/>
        </w:rPr>
        <w:t>מיכל אלפסי, "</w:t>
      </w:r>
      <w:r w:rsidRPr="00451D25">
        <w:rPr>
          <w:rFonts w:hint="cs"/>
          <w:rtl/>
        </w:rPr>
        <w:t xml:space="preserve">מודעות ציבור השכירות בגילאי </w:t>
      </w:r>
      <w:r>
        <w:rPr>
          <w:rFonts w:hint="cs"/>
          <w:rtl/>
        </w:rPr>
        <w:t xml:space="preserve">20 - </w:t>
      </w:r>
      <w:r w:rsidRPr="00451D25">
        <w:rPr>
          <w:rFonts w:hint="cs"/>
          <w:rtl/>
        </w:rPr>
        <w:t>45 לחוק למניעת הטרדה מינית במקום העבודה"</w:t>
      </w:r>
      <w:r>
        <w:rPr>
          <w:rFonts w:hint="cs"/>
          <w:i/>
          <w:iCs/>
          <w:rtl/>
        </w:rPr>
        <w:t xml:space="preserve"> </w:t>
      </w:r>
      <w:r>
        <w:rPr>
          <w:rFonts w:hint="cs"/>
          <w:rtl/>
        </w:rPr>
        <w:t xml:space="preserve">(2007), </w:t>
      </w:r>
      <w:r>
        <w:rPr>
          <w:rFonts w:hint="cs"/>
          <w:b/>
          <w:bCs/>
          <w:rtl/>
        </w:rPr>
        <w:t xml:space="preserve">משרד התעשייה מסחר ותעסוקה - מנהל מחקר וכלכלה, </w:t>
      </w:r>
      <w:r w:rsidRPr="00B60630">
        <w:rPr>
          <w:rFonts w:hint="cs"/>
          <w:rtl/>
        </w:rPr>
        <w:t>עמ' 9</w:t>
      </w:r>
      <w:r>
        <w:rPr>
          <w:rFonts w:hint="cs"/>
          <w:rtl/>
        </w:rPr>
        <w:t>.</w:t>
      </w:r>
    </w:p>
  </w:footnote>
  <w:footnote w:id="18">
    <w:p w14:paraId="7F554B08" w14:textId="77777777" w:rsidR="00492C76" w:rsidRDefault="00492C76" w:rsidP="00AE0764">
      <w:pPr>
        <w:pStyle w:val="ae"/>
        <w:rPr>
          <w:rtl/>
        </w:rPr>
      </w:pPr>
      <w:r w:rsidRPr="00AE0764">
        <w:footnoteRef/>
      </w:r>
      <w:r>
        <w:rPr>
          <w:rtl/>
        </w:rPr>
        <w:t xml:space="preserve"> </w:t>
      </w:r>
      <w:r>
        <w:rPr>
          <w:rtl/>
        </w:rPr>
        <w:tab/>
      </w:r>
      <w:r>
        <w:rPr>
          <w:rFonts w:hint="cs"/>
          <w:rtl/>
        </w:rPr>
        <w:t>נמצא פער בין המענה על שאלות בדבר התנהגויות המהוות הטרדה מינית ובין המענה על השאלה "האם הוטרדת מינית במהלך חייך".</w:t>
      </w:r>
    </w:p>
  </w:footnote>
  <w:footnote w:id="19">
    <w:p w14:paraId="062C8106" w14:textId="77777777" w:rsidR="00492C76" w:rsidRDefault="00492C76" w:rsidP="000E2359">
      <w:pPr>
        <w:pStyle w:val="ae"/>
        <w:rPr>
          <w:rtl/>
        </w:rPr>
      </w:pPr>
      <w:r w:rsidRPr="000E2359">
        <w:footnoteRef/>
      </w:r>
      <w:r>
        <w:rPr>
          <w:rtl/>
        </w:rPr>
        <w:t xml:space="preserve"> </w:t>
      </w:r>
      <w:r>
        <w:rPr>
          <w:rtl/>
        </w:rPr>
        <w:tab/>
      </w:r>
      <w:r>
        <w:rPr>
          <w:rFonts w:hint="cs"/>
          <w:rtl/>
        </w:rPr>
        <w:t>אורית קמיר, "</w:t>
      </w:r>
      <w:r w:rsidRPr="00A31246">
        <w:rPr>
          <w:rFonts w:hint="cs"/>
          <w:rtl/>
        </w:rPr>
        <w:t>החוק הישראלי למניעת הטרדה מינית - העקרונות"</w:t>
      </w:r>
      <w:r>
        <w:rPr>
          <w:rFonts w:hint="cs"/>
          <w:rtl/>
        </w:rPr>
        <w:t>,</w:t>
      </w:r>
      <w:r>
        <w:rPr>
          <w:rFonts w:hint="cs"/>
          <w:i/>
          <w:iCs/>
          <w:rtl/>
        </w:rPr>
        <w:t xml:space="preserve"> </w:t>
      </w:r>
      <w:r>
        <w:rPr>
          <w:rFonts w:hint="cs"/>
          <w:b/>
          <w:bCs/>
          <w:rtl/>
        </w:rPr>
        <w:t>מילים מטרידות: סוגיות בהטרדה מינית מילולית</w:t>
      </w:r>
      <w:r w:rsidRPr="00DA0760">
        <w:rPr>
          <w:rFonts w:hint="cs"/>
          <w:rtl/>
        </w:rPr>
        <w:t xml:space="preserve"> (2011),</w:t>
      </w:r>
      <w:r>
        <w:rPr>
          <w:rFonts w:hint="cs"/>
          <w:b/>
          <w:bCs/>
          <w:rtl/>
        </w:rPr>
        <w:t xml:space="preserve"> </w:t>
      </w:r>
      <w:r>
        <w:rPr>
          <w:rFonts w:hint="cs"/>
          <w:rtl/>
        </w:rPr>
        <w:t xml:space="preserve">עורכת ליאת לבנון, עמ' 155. </w:t>
      </w:r>
    </w:p>
  </w:footnote>
  <w:footnote w:id="20">
    <w:p w14:paraId="745E7441" w14:textId="77777777" w:rsidR="00492C76" w:rsidRDefault="00492C76" w:rsidP="000E2359">
      <w:pPr>
        <w:pStyle w:val="ae"/>
      </w:pPr>
      <w:r w:rsidRPr="00345868">
        <w:footnoteRef/>
      </w:r>
      <w:r>
        <w:rPr>
          <w:rtl/>
        </w:rPr>
        <w:t xml:space="preserve"> </w:t>
      </w:r>
      <w:r>
        <w:rPr>
          <w:rtl/>
        </w:rPr>
        <w:tab/>
      </w:r>
      <w:r>
        <w:rPr>
          <w:rFonts w:hint="cs"/>
          <w:rtl/>
        </w:rPr>
        <w:t>"כוחות הביטחון" כהגדרתם בחוק למניעת הטרדה מינית:</w:t>
      </w:r>
      <w:r w:rsidRPr="009223C8">
        <w:rPr>
          <w:rtl/>
        </w:rPr>
        <w:t xml:space="preserve"> </w:t>
      </w:r>
      <w:r>
        <w:rPr>
          <w:rFonts w:hint="cs"/>
          <w:rtl/>
        </w:rPr>
        <w:t>צה"ל</w:t>
      </w:r>
      <w:r w:rsidRPr="009223C8">
        <w:rPr>
          <w:rtl/>
        </w:rPr>
        <w:t xml:space="preserve">, </w:t>
      </w:r>
      <w:r>
        <w:rPr>
          <w:rFonts w:hint="cs"/>
          <w:rtl/>
        </w:rPr>
        <w:t>ה</w:t>
      </w:r>
      <w:r w:rsidRPr="009223C8">
        <w:rPr>
          <w:rtl/>
        </w:rPr>
        <w:t>משטר</w:t>
      </w:r>
      <w:r>
        <w:rPr>
          <w:rFonts w:hint="cs"/>
          <w:rtl/>
        </w:rPr>
        <w:t>ה</w:t>
      </w:r>
      <w:r w:rsidRPr="009223C8">
        <w:rPr>
          <w:rtl/>
        </w:rPr>
        <w:t xml:space="preserve">, </w:t>
      </w:r>
      <w:r>
        <w:rPr>
          <w:rFonts w:hint="cs"/>
          <w:rtl/>
        </w:rPr>
        <w:t xml:space="preserve">שב"ס </w:t>
      </w:r>
      <w:r w:rsidRPr="009223C8">
        <w:rPr>
          <w:rtl/>
        </w:rPr>
        <w:t>וארגוני הב</w:t>
      </w:r>
      <w:r>
        <w:rPr>
          <w:rFonts w:hint="cs"/>
          <w:rtl/>
        </w:rPr>
        <w:t>י</w:t>
      </w:r>
      <w:r w:rsidRPr="009223C8">
        <w:rPr>
          <w:rtl/>
        </w:rPr>
        <w:t>טחון האחרים של המדינה</w:t>
      </w:r>
      <w:r>
        <w:rPr>
          <w:rFonts w:hint="cs"/>
          <w:rtl/>
        </w:rPr>
        <w:t>.</w:t>
      </w:r>
    </w:p>
  </w:footnote>
  <w:footnote w:id="21">
    <w:p w14:paraId="669EE0D7" w14:textId="77777777" w:rsidR="00492C76" w:rsidRDefault="00492C76" w:rsidP="001B41A2">
      <w:pPr>
        <w:pStyle w:val="ae"/>
        <w:rPr>
          <w:rtl/>
        </w:rPr>
      </w:pPr>
      <w:r w:rsidRPr="001B41A2">
        <w:footnoteRef/>
      </w:r>
      <w:r w:rsidRPr="001B41A2">
        <w:rPr>
          <w:rtl/>
        </w:rPr>
        <w:t xml:space="preserve"> </w:t>
      </w:r>
      <w:r>
        <w:rPr>
          <w:rtl/>
        </w:rPr>
        <w:tab/>
      </w:r>
      <w:r w:rsidRPr="00EC7464">
        <w:rPr>
          <w:rFonts w:hint="eastAsia"/>
          <w:rtl/>
        </w:rPr>
        <w:t>עבירות</w:t>
      </w:r>
      <w:r w:rsidRPr="00EC7464">
        <w:rPr>
          <w:rtl/>
        </w:rPr>
        <w:t xml:space="preserve"> </w:t>
      </w:r>
      <w:r w:rsidRPr="00EC7464">
        <w:rPr>
          <w:rFonts w:hint="eastAsia"/>
          <w:rtl/>
        </w:rPr>
        <w:t>מעשה</w:t>
      </w:r>
      <w:r w:rsidRPr="00EC7464">
        <w:rPr>
          <w:rtl/>
        </w:rPr>
        <w:t xml:space="preserve"> </w:t>
      </w:r>
      <w:r w:rsidRPr="00EC7464">
        <w:rPr>
          <w:rFonts w:hint="eastAsia"/>
          <w:rtl/>
        </w:rPr>
        <w:t>מגונה</w:t>
      </w:r>
      <w:r w:rsidRPr="00EC7464">
        <w:rPr>
          <w:rtl/>
        </w:rPr>
        <w:t xml:space="preserve"> </w:t>
      </w:r>
      <w:r w:rsidRPr="00EC7464">
        <w:rPr>
          <w:rFonts w:hint="eastAsia"/>
          <w:rtl/>
        </w:rPr>
        <w:t>לפי</w:t>
      </w:r>
      <w:r w:rsidRPr="00EC7464">
        <w:rPr>
          <w:rtl/>
        </w:rPr>
        <w:t xml:space="preserve"> </w:t>
      </w:r>
      <w:r w:rsidRPr="00EC7464">
        <w:rPr>
          <w:rFonts w:hint="eastAsia"/>
          <w:rtl/>
        </w:rPr>
        <w:t>סעיף</w:t>
      </w:r>
      <w:r w:rsidRPr="00EC7464">
        <w:rPr>
          <w:rtl/>
        </w:rPr>
        <w:t xml:space="preserve"> 348 </w:t>
      </w:r>
      <w:r w:rsidRPr="00EC7464">
        <w:rPr>
          <w:rFonts w:hint="eastAsia"/>
          <w:rtl/>
        </w:rPr>
        <w:t>וסעיף</w:t>
      </w:r>
      <w:r w:rsidRPr="00EC7464">
        <w:rPr>
          <w:rtl/>
        </w:rPr>
        <w:t xml:space="preserve"> 349 </w:t>
      </w:r>
      <w:r w:rsidRPr="00EC7464">
        <w:rPr>
          <w:rFonts w:hint="eastAsia"/>
          <w:rtl/>
        </w:rPr>
        <w:t>לחוק</w:t>
      </w:r>
      <w:r w:rsidRPr="00EC7464">
        <w:rPr>
          <w:rtl/>
        </w:rPr>
        <w:t xml:space="preserve"> </w:t>
      </w:r>
      <w:r w:rsidRPr="00EC7464">
        <w:rPr>
          <w:rFonts w:hint="eastAsia"/>
          <w:rtl/>
        </w:rPr>
        <w:t>העונשין</w:t>
      </w:r>
      <w:r w:rsidRPr="00EC7464">
        <w:rPr>
          <w:rtl/>
        </w:rPr>
        <w:t xml:space="preserve">, </w:t>
      </w:r>
      <w:r w:rsidRPr="00EC7464">
        <w:rPr>
          <w:rFonts w:hint="eastAsia"/>
          <w:rtl/>
        </w:rPr>
        <w:t>פרסום</w:t>
      </w:r>
      <w:r w:rsidRPr="00EC7464">
        <w:rPr>
          <w:rtl/>
        </w:rPr>
        <w:t xml:space="preserve"> </w:t>
      </w:r>
      <w:r w:rsidRPr="00EC7464">
        <w:rPr>
          <w:rFonts w:hint="eastAsia"/>
          <w:rtl/>
        </w:rPr>
        <w:t>המתמקד</w:t>
      </w:r>
      <w:r w:rsidRPr="00EC7464">
        <w:rPr>
          <w:rtl/>
        </w:rPr>
        <w:t xml:space="preserve"> </w:t>
      </w:r>
      <w:r w:rsidRPr="00EC7464">
        <w:rPr>
          <w:rFonts w:hint="eastAsia"/>
          <w:rtl/>
        </w:rPr>
        <w:t>במיניות</w:t>
      </w:r>
      <w:r w:rsidRPr="00EC7464">
        <w:rPr>
          <w:rtl/>
        </w:rPr>
        <w:t xml:space="preserve"> </w:t>
      </w:r>
      <w:r w:rsidRPr="00EC7464">
        <w:rPr>
          <w:rFonts w:hint="eastAsia"/>
          <w:rtl/>
        </w:rPr>
        <w:t>שלא</w:t>
      </w:r>
      <w:r w:rsidRPr="00EC7464">
        <w:rPr>
          <w:rtl/>
        </w:rPr>
        <w:t xml:space="preserve"> </w:t>
      </w:r>
      <w:r w:rsidRPr="00EC7464">
        <w:rPr>
          <w:rFonts w:hint="eastAsia"/>
          <w:rtl/>
        </w:rPr>
        <w:t>בהסכמה</w:t>
      </w:r>
      <w:r w:rsidRPr="00EC7464">
        <w:rPr>
          <w:rtl/>
        </w:rPr>
        <w:t xml:space="preserve"> </w:t>
      </w:r>
      <w:r w:rsidRPr="00EC7464">
        <w:rPr>
          <w:rFonts w:hint="eastAsia"/>
          <w:rtl/>
        </w:rPr>
        <w:t>דינו</w:t>
      </w:r>
      <w:r w:rsidRPr="00EC7464">
        <w:rPr>
          <w:rtl/>
        </w:rPr>
        <w:t xml:space="preserve"> </w:t>
      </w:r>
      <w:r w:rsidRPr="00EC7464">
        <w:rPr>
          <w:rFonts w:hint="eastAsia"/>
          <w:rtl/>
        </w:rPr>
        <w:t>כדין</w:t>
      </w:r>
      <w:r w:rsidRPr="00EC7464">
        <w:rPr>
          <w:rtl/>
        </w:rPr>
        <w:t xml:space="preserve"> </w:t>
      </w:r>
      <w:r w:rsidRPr="00EC7464">
        <w:rPr>
          <w:rFonts w:hint="eastAsia"/>
          <w:rtl/>
        </w:rPr>
        <w:t>הפוגע</w:t>
      </w:r>
      <w:r w:rsidRPr="00EC7464">
        <w:rPr>
          <w:rtl/>
        </w:rPr>
        <w:t xml:space="preserve"> </w:t>
      </w:r>
      <w:r w:rsidRPr="00EC7464">
        <w:rPr>
          <w:rFonts w:hint="eastAsia"/>
          <w:rtl/>
        </w:rPr>
        <w:t>במזיד</w:t>
      </w:r>
      <w:r w:rsidRPr="00EC7464">
        <w:rPr>
          <w:rtl/>
        </w:rPr>
        <w:t xml:space="preserve"> </w:t>
      </w:r>
      <w:r w:rsidRPr="00EC7464">
        <w:rPr>
          <w:rFonts w:hint="eastAsia"/>
          <w:rtl/>
        </w:rPr>
        <w:t>בפרטיות</w:t>
      </w:r>
      <w:r w:rsidRPr="00EC7464">
        <w:rPr>
          <w:rtl/>
        </w:rPr>
        <w:t xml:space="preserve"> </w:t>
      </w:r>
      <w:r w:rsidRPr="00EC7464">
        <w:rPr>
          <w:rFonts w:hint="eastAsia"/>
          <w:rtl/>
        </w:rPr>
        <w:t>זולתו</w:t>
      </w:r>
      <w:r w:rsidRPr="00EC7464">
        <w:rPr>
          <w:rtl/>
        </w:rPr>
        <w:t xml:space="preserve"> </w:t>
      </w:r>
      <w:r w:rsidRPr="00EC7464">
        <w:rPr>
          <w:rFonts w:hint="eastAsia"/>
          <w:rtl/>
        </w:rPr>
        <w:t>לפי</w:t>
      </w:r>
      <w:r w:rsidRPr="00EC7464">
        <w:rPr>
          <w:rtl/>
        </w:rPr>
        <w:t xml:space="preserve"> </w:t>
      </w:r>
      <w:r w:rsidRPr="00EC7464">
        <w:rPr>
          <w:rFonts w:hint="eastAsia"/>
          <w:rtl/>
        </w:rPr>
        <w:t>סעיף</w:t>
      </w:r>
      <w:r w:rsidRPr="00EC7464">
        <w:rPr>
          <w:rtl/>
        </w:rPr>
        <w:t xml:space="preserve"> 5 </w:t>
      </w:r>
      <w:r w:rsidRPr="00EC7464">
        <w:rPr>
          <w:rFonts w:hint="eastAsia"/>
          <w:rtl/>
        </w:rPr>
        <w:t>לחוק</w:t>
      </w:r>
      <w:r w:rsidRPr="00EC7464">
        <w:rPr>
          <w:rtl/>
        </w:rPr>
        <w:t xml:space="preserve"> </w:t>
      </w:r>
      <w:r w:rsidRPr="00EC7464">
        <w:rPr>
          <w:rFonts w:hint="eastAsia"/>
          <w:rtl/>
        </w:rPr>
        <w:t>הגנת</w:t>
      </w:r>
      <w:r w:rsidRPr="00EC7464">
        <w:rPr>
          <w:rtl/>
        </w:rPr>
        <w:t xml:space="preserve"> </w:t>
      </w:r>
      <w:r w:rsidRPr="00EC7464">
        <w:rPr>
          <w:rFonts w:hint="eastAsia"/>
          <w:rtl/>
        </w:rPr>
        <w:t>הפרטיות</w:t>
      </w:r>
      <w:r w:rsidRPr="00EC7464">
        <w:rPr>
          <w:rtl/>
        </w:rPr>
        <w:t xml:space="preserve">, </w:t>
      </w:r>
      <w:r w:rsidRPr="00EC7464">
        <w:rPr>
          <w:rFonts w:hint="eastAsia"/>
          <w:rtl/>
        </w:rPr>
        <w:t>התשמ</w:t>
      </w:r>
      <w:r w:rsidRPr="00EC7464">
        <w:rPr>
          <w:rtl/>
        </w:rPr>
        <w:t xml:space="preserve">"א-1981, </w:t>
      </w:r>
      <w:r>
        <w:rPr>
          <w:rFonts w:hint="cs"/>
          <w:rtl/>
        </w:rPr>
        <w:t>וסחיטה באיומים לפי סעיף 428 לחוק העונשין, התשל"ז-1977, האסורות גם בחוק למניעת הטרדה מינית, הן עבירות מסוג פשע.</w:t>
      </w:r>
    </w:p>
  </w:footnote>
  <w:footnote w:id="22">
    <w:p w14:paraId="7824826D" w14:textId="77777777" w:rsidR="00492C76" w:rsidRDefault="00492C76" w:rsidP="001B41A2">
      <w:pPr>
        <w:pStyle w:val="ae"/>
      </w:pPr>
      <w:r w:rsidRPr="001B41A2">
        <w:rPr>
          <w:rStyle w:val="FootnoteReference"/>
          <w:vertAlign w:val="baseline"/>
        </w:rPr>
        <w:footnoteRef/>
      </w:r>
      <w:r w:rsidRPr="001B41A2">
        <w:rPr>
          <w:rtl/>
        </w:rPr>
        <w:t xml:space="preserve"> </w:t>
      </w:r>
      <w:r>
        <w:rPr>
          <w:rtl/>
        </w:rPr>
        <w:tab/>
      </w:r>
      <w:r>
        <w:rPr>
          <w:rFonts w:hint="cs"/>
          <w:rtl/>
        </w:rPr>
        <w:t>הצעות חוזרות בעלות אופי מיני בנסיבות המפורטות בסעיף 3(א)(3) או בסעיף 3(6) לחוק למניעת הטרדה מינית, התייחסויות חוזרות ונשנות המתמקדות במיניותו של אדם בנסיבות המפורטות בסעיף 3(א)(4) או בסעיף 3(6) לחוק זה והתייחסות מבזה או משפילה בנסיבות סעיף המפורטות ב3(א)(5) לחוק זה הן עבירות מסוג עוון.</w:t>
      </w:r>
    </w:p>
  </w:footnote>
  <w:footnote w:id="23">
    <w:p w14:paraId="2BAC8623" w14:textId="77777777" w:rsidR="00492C76" w:rsidRDefault="00492C76" w:rsidP="001B41A2">
      <w:pPr>
        <w:pStyle w:val="ae"/>
        <w:rPr>
          <w:rtl/>
        </w:rPr>
      </w:pPr>
      <w:r w:rsidRPr="001B41A2">
        <w:rPr>
          <w:rStyle w:val="FootnoteReference"/>
          <w:vertAlign w:val="baseline"/>
        </w:rPr>
        <w:footnoteRef/>
      </w:r>
      <w:r w:rsidRPr="001B41A2">
        <w:rPr>
          <w:rtl/>
        </w:rPr>
        <w:t xml:space="preserve"> </w:t>
      </w:r>
      <w:r>
        <w:rPr>
          <w:rtl/>
        </w:rPr>
        <w:tab/>
      </w:r>
      <w:r>
        <w:rPr>
          <w:rFonts w:hint="cs"/>
          <w:rtl/>
        </w:rPr>
        <w:t xml:space="preserve">יצוין כי החוק למניעת הטרדה מינית מגדיר כהטרדה מינית גם מעשה מגונה וסחיטה מינית באיומים, אך המשטרה מסווגת אותן כעבירות לפי חוק העונשין, ולא כעבירות לפי החוק למניעת הטרדה מינית, משום שהענישה לפי חוק העונשין מחמירה יותר. </w:t>
      </w:r>
    </w:p>
  </w:footnote>
  <w:footnote w:id="24">
    <w:p w14:paraId="14A2ADFB" w14:textId="77777777" w:rsidR="00492C76" w:rsidRDefault="00492C76" w:rsidP="001B41A2">
      <w:pPr>
        <w:pStyle w:val="ae"/>
        <w:rPr>
          <w:rtl/>
        </w:rPr>
      </w:pPr>
      <w:r w:rsidRPr="001B41A2">
        <w:rPr>
          <w:rStyle w:val="FootnoteReference"/>
          <w:vertAlign w:val="baseline"/>
        </w:rPr>
        <w:footnoteRef/>
      </w:r>
      <w:r w:rsidRPr="001B41A2">
        <w:rPr>
          <w:rtl/>
        </w:rPr>
        <w:t xml:space="preserve"> </w:t>
      </w:r>
      <w:r w:rsidRPr="001B41A2">
        <w:rPr>
          <w:rtl/>
        </w:rPr>
        <w:tab/>
      </w:r>
      <w:r>
        <w:rPr>
          <w:rFonts w:hint="cs"/>
          <w:rtl/>
        </w:rPr>
        <w:t>הנתונים שהתקבלו מהמשטרה היו בפילוח לפי שלושה סוגי תיקים: תיקים שבהם הטרדה מינית היא העבירה היחידה; תיקים שבהם הטרדה מינית היא העבירה החמורה ותיקים שבהם ההטרדה מינית אינה העבירה החמורה. הנתונים המוצגים בדוח מתייחסים לשתי קטגוריות התיקים הראשונות ולא לתיקים שבהם עבירת הטרדה מינית נלווית לעבירות חמורות יותר.</w:t>
      </w:r>
    </w:p>
  </w:footnote>
  <w:footnote w:id="25">
    <w:p w14:paraId="3FF931AD" w14:textId="77777777" w:rsidR="00492C76" w:rsidRDefault="00492C76" w:rsidP="00464DF0">
      <w:pPr>
        <w:pStyle w:val="ae"/>
        <w:rPr>
          <w:rtl/>
        </w:rPr>
      </w:pPr>
      <w:r w:rsidRPr="00464DF0">
        <w:footnoteRef/>
      </w:r>
      <w:r w:rsidRPr="00464DF0">
        <w:rPr>
          <w:rtl/>
        </w:rPr>
        <w:t xml:space="preserve"> </w:t>
      </w:r>
      <w:r>
        <w:rPr>
          <w:rtl/>
        </w:rPr>
        <w:tab/>
      </w:r>
      <w:r>
        <w:rPr>
          <w:rFonts w:hint="cs"/>
          <w:rtl/>
        </w:rPr>
        <w:t>לא נמסר מספר התיקים שבהם הטרדה מינית הייתה העבירה היחידה או המרכזית. התיקים שבהם הטרדה מינית אינה עבירה מרכזית או חמורה הם תיקים שהמיקוד בהם הוא בעבירות מין מהרף הגבוה וההטרדה המינית היא עבירה נלווית בלבד. מנתונים אלו לא ניתן לדעת מה מספר התיקים שבהם הטרדה מינית עמדה במוקד ההליך הפלילי.</w:t>
      </w:r>
    </w:p>
  </w:footnote>
  <w:footnote w:id="26">
    <w:p w14:paraId="55F39C3A" w14:textId="77777777" w:rsidR="00492C76" w:rsidRPr="00864827" w:rsidRDefault="00492C76" w:rsidP="00464DF0">
      <w:pPr>
        <w:pStyle w:val="ae"/>
        <w:rPr>
          <w:rtl/>
        </w:rPr>
      </w:pPr>
      <w:r w:rsidRPr="00464DF0">
        <w:footnoteRef/>
      </w:r>
      <w:r>
        <w:rPr>
          <w:rtl/>
        </w:rPr>
        <w:t xml:space="preserve"> </w:t>
      </w:r>
      <w:r>
        <w:rPr>
          <w:rtl/>
        </w:rPr>
        <w:tab/>
      </w:r>
      <w:r>
        <w:rPr>
          <w:rFonts w:hint="cs"/>
          <w:rtl/>
        </w:rPr>
        <w:t>רוני קרני, "</w:t>
      </w:r>
      <w:r w:rsidRPr="00A31246">
        <w:rPr>
          <w:rFonts w:hint="cs"/>
          <w:rtl/>
        </w:rPr>
        <w:t>מבוקש מקום שקט: על אונס שני בעקבות פסיקת בית המשפט המחוזי בת.א 4057-05-10</w:t>
      </w:r>
      <w:r>
        <w:rPr>
          <w:rFonts w:hint="cs"/>
          <w:rtl/>
        </w:rPr>
        <w:t>",</w:t>
      </w:r>
      <w:r w:rsidRPr="00A31246">
        <w:rPr>
          <w:rFonts w:hint="cs"/>
          <w:rtl/>
        </w:rPr>
        <w:t xml:space="preserve"> </w:t>
      </w:r>
      <w:r>
        <w:rPr>
          <w:rFonts w:hint="cs"/>
          <w:b/>
          <w:bCs/>
          <w:rtl/>
        </w:rPr>
        <w:t xml:space="preserve">המשפט ברשת: זכויות אדם </w:t>
      </w:r>
      <w:r>
        <w:rPr>
          <w:rFonts w:hint="cs"/>
          <w:rtl/>
        </w:rPr>
        <w:t>(מאי 2015); נעמי לבנקורן, "</w:t>
      </w:r>
      <w:r w:rsidRPr="00A31246">
        <w:rPr>
          <w:rFonts w:hint="cs"/>
          <w:rtl/>
        </w:rPr>
        <w:t>חשופות בניידת: הטרדה מינית במשטרת ישראל</w:t>
      </w:r>
      <w:r>
        <w:rPr>
          <w:rFonts w:hint="cs"/>
          <w:rtl/>
        </w:rPr>
        <w:t xml:space="preserve">", </w:t>
      </w:r>
      <w:r>
        <w:rPr>
          <w:rFonts w:hint="cs"/>
          <w:b/>
          <w:bCs/>
          <w:rtl/>
        </w:rPr>
        <w:t xml:space="preserve">המשפט ברשת: זכויות אדם, הכנסת אורחים </w:t>
      </w:r>
      <w:r>
        <w:rPr>
          <w:rFonts w:hint="cs"/>
          <w:rtl/>
        </w:rPr>
        <w:t>ב (2014), עמ' 123.</w:t>
      </w:r>
    </w:p>
  </w:footnote>
  <w:footnote w:id="27">
    <w:p w14:paraId="7DBD49DD" w14:textId="77777777" w:rsidR="00492C76" w:rsidRDefault="00492C76" w:rsidP="00464DF0">
      <w:pPr>
        <w:pStyle w:val="ae"/>
        <w:rPr>
          <w:rtl/>
        </w:rPr>
      </w:pPr>
      <w:r w:rsidRPr="00464DF0">
        <w:footnoteRef/>
      </w:r>
      <w:r>
        <w:rPr>
          <w:rtl/>
        </w:rPr>
        <w:t xml:space="preserve"> </w:t>
      </w:r>
      <w:r>
        <w:rPr>
          <w:rtl/>
        </w:rPr>
        <w:tab/>
      </w:r>
      <w:r>
        <w:rPr>
          <w:rFonts w:hint="cs"/>
          <w:rtl/>
        </w:rPr>
        <w:t>עמדה שהביע איגוד מרכזי הסיוע במכתב מיום 13.12.18 לוועדת ברלינר, שבחנה את טיפול מערכת המשפט בנפגעי עבירות מין, ראו להלן.</w:t>
      </w:r>
    </w:p>
  </w:footnote>
  <w:footnote w:id="28">
    <w:p w14:paraId="61C79998" w14:textId="77777777" w:rsidR="00492C76" w:rsidRPr="00614F32" w:rsidRDefault="00492C76" w:rsidP="00464DF0">
      <w:pPr>
        <w:pStyle w:val="ae"/>
      </w:pPr>
      <w:r w:rsidRPr="00464DF0">
        <w:footnoteRef/>
      </w:r>
      <w:r>
        <w:rPr>
          <w:rtl/>
        </w:rPr>
        <w:t xml:space="preserve"> </w:t>
      </w:r>
      <w:r>
        <w:rPr>
          <w:rtl/>
        </w:rPr>
        <w:tab/>
      </w:r>
      <w:r>
        <w:rPr>
          <w:rFonts w:hint="cs"/>
          <w:rtl/>
        </w:rPr>
        <w:t xml:space="preserve">פני לייסט, דליה טאובר וכרמית קלר-חלמיש, </w:t>
      </w:r>
      <w:r w:rsidRPr="00A31246">
        <w:rPr>
          <w:rFonts w:hint="cs"/>
          <w:rtl/>
        </w:rPr>
        <w:t>"הייתכן צדק מאחה בפגיעות מיניות?</w:t>
      </w:r>
      <w:r w:rsidRPr="00E12F87">
        <w:rPr>
          <w:rtl/>
        </w:rPr>
        <w:t>",</w:t>
      </w:r>
      <w:r>
        <w:rPr>
          <w:rFonts w:hint="cs"/>
          <w:b/>
          <w:bCs/>
          <w:rtl/>
        </w:rPr>
        <w:t xml:space="preserve"> מפגיעה לאיחוי - צדק מאחה ושיח מאחה בישראל</w:t>
      </w:r>
      <w:r>
        <w:rPr>
          <w:rFonts w:hint="cs"/>
          <w:rtl/>
        </w:rPr>
        <w:t xml:space="preserve"> (2016).</w:t>
      </w:r>
    </w:p>
  </w:footnote>
  <w:footnote w:id="29">
    <w:p w14:paraId="415C553A" w14:textId="77777777" w:rsidR="00492C76" w:rsidRDefault="00492C76" w:rsidP="00464DF0">
      <w:pPr>
        <w:pStyle w:val="ae"/>
      </w:pPr>
      <w:r w:rsidRPr="00464DF0">
        <w:footnoteRef/>
      </w:r>
      <w:r w:rsidRPr="00464DF0">
        <w:rPr>
          <w:rtl/>
        </w:rPr>
        <w:t xml:space="preserve"> </w:t>
      </w:r>
      <w:r>
        <w:rPr>
          <w:rtl/>
        </w:rPr>
        <w:tab/>
      </w:r>
      <w:r>
        <w:rPr>
          <w:rFonts w:hint="cs"/>
          <w:rtl/>
        </w:rPr>
        <w:t>הדוח השנתי של איגוד מרכזי הסיוע לשנת 2017.</w:t>
      </w:r>
    </w:p>
  </w:footnote>
  <w:footnote w:id="30">
    <w:p w14:paraId="54BD60BE" w14:textId="77777777" w:rsidR="00492C76" w:rsidRDefault="00492C76" w:rsidP="00464DF0">
      <w:pPr>
        <w:pStyle w:val="ae"/>
        <w:rPr>
          <w:rtl/>
        </w:rPr>
      </w:pPr>
      <w:r w:rsidRPr="00464DF0">
        <w:footnoteRef/>
      </w:r>
      <w:r>
        <w:rPr>
          <w:rtl/>
        </w:rPr>
        <w:tab/>
      </w:r>
      <w:r>
        <w:rPr>
          <w:rFonts w:hint="cs"/>
          <w:rtl/>
        </w:rPr>
        <w:t>אתר משרד המשפטים:</w:t>
      </w:r>
    </w:p>
    <w:p w14:paraId="0E3E7953" w14:textId="34DB1B91" w:rsidR="00492C76" w:rsidRPr="00767A10" w:rsidRDefault="00492C76" w:rsidP="00767A10">
      <w:pPr>
        <w:pStyle w:val="ae"/>
        <w:ind w:left="794"/>
        <w:rPr>
          <w:rStyle w:val="Hyperlink"/>
        </w:rPr>
      </w:pPr>
      <w:r w:rsidRPr="00767A10">
        <w:rPr>
          <w:rStyle w:val="Hyperlink"/>
        </w:rPr>
        <w:t>http://www.justice.gov.il/Units/StateAttorney/Criminal/Pages/Conditional-Order.aspx?WPID=WPQ8&amp;PN=3</w:t>
      </w:r>
    </w:p>
  </w:footnote>
  <w:footnote w:id="31">
    <w:p w14:paraId="0DC1242C" w14:textId="77777777" w:rsidR="00492C76" w:rsidRDefault="00492C76" w:rsidP="00464DF0">
      <w:pPr>
        <w:pStyle w:val="ae"/>
      </w:pPr>
      <w:r w:rsidRPr="00464DF0">
        <w:footnoteRef/>
      </w:r>
      <w:r>
        <w:rPr>
          <w:rtl/>
        </w:rPr>
        <w:t xml:space="preserve"> </w:t>
      </w:r>
      <w:r>
        <w:rPr>
          <w:rtl/>
        </w:rPr>
        <w:tab/>
      </w:r>
      <w:r>
        <w:rPr>
          <w:rFonts w:hint="cs"/>
          <w:rtl/>
        </w:rPr>
        <w:t>ייתכן שחלק מכתבי האישום הוגשו בנוגע לתיקים שנפתחו קודם לתקופה הנבדקת.</w:t>
      </w:r>
    </w:p>
  </w:footnote>
  <w:footnote w:id="32">
    <w:p w14:paraId="4595563E" w14:textId="77777777" w:rsidR="00492C76" w:rsidRDefault="00492C76" w:rsidP="00464DF0">
      <w:pPr>
        <w:pStyle w:val="ae"/>
        <w:rPr>
          <w:rtl/>
        </w:rPr>
      </w:pPr>
      <w:r w:rsidRPr="00464DF0">
        <w:footnoteRef/>
      </w:r>
      <w:r>
        <w:rPr>
          <w:rtl/>
        </w:rPr>
        <w:t xml:space="preserve"> </w:t>
      </w:r>
      <w:r>
        <w:rPr>
          <w:rtl/>
        </w:rPr>
        <w:tab/>
      </w:r>
      <w:r>
        <w:rPr>
          <w:rFonts w:hint="cs"/>
          <w:rtl/>
        </w:rPr>
        <w:t xml:space="preserve">תסקיר שירות המבחן הוא חוות דעת המוגשת במסגרת הליכים פליליים מטעם </w:t>
      </w:r>
      <w:r w:rsidRPr="00D772AC">
        <w:rPr>
          <w:rtl/>
        </w:rPr>
        <w:t xml:space="preserve">משרד העבודה, הרווחה והשירותים החברתיים, </w:t>
      </w:r>
      <w:r>
        <w:rPr>
          <w:rFonts w:hint="cs"/>
          <w:rtl/>
        </w:rPr>
        <w:t xml:space="preserve">והוא </w:t>
      </w:r>
      <w:r w:rsidRPr="00D772AC">
        <w:rPr>
          <w:rtl/>
        </w:rPr>
        <w:t>מעוגן ב</w:t>
      </w:r>
      <w:r>
        <w:rPr>
          <w:rFonts w:hint="cs"/>
          <w:rtl/>
        </w:rPr>
        <w:t>סעיפים 38 - 37 לחוק העונשין.</w:t>
      </w:r>
      <w:r>
        <w:t xml:space="preserve"> </w:t>
      </w:r>
      <w:r>
        <w:rPr>
          <w:rFonts w:hint="cs"/>
          <w:rtl/>
        </w:rPr>
        <w:t xml:space="preserve">התסקיר מוגש בדרך כלל בשלב המעצר ובשלב הטיעונים לעונש. התסקיר מפרט את נתוניו האישיים של הנאשם, וניתן להמליץ במסגרתו המלצות על העונש או על הליכי שיקום חלופיים. </w:t>
      </w:r>
    </w:p>
  </w:footnote>
  <w:footnote w:id="33">
    <w:p w14:paraId="0D1A7373" w14:textId="77777777" w:rsidR="00492C76" w:rsidRDefault="00492C76" w:rsidP="00464DF0">
      <w:pPr>
        <w:pStyle w:val="ae"/>
      </w:pPr>
      <w:r w:rsidRPr="00464DF0">
        <w:footnoteRef/>
      </w:r>
      <w:r>
        <w:rPr>
          <w:rtl/>
        </w:rPr>
        <w:t xml:space="preserve"> </w:t>
      </w:r>
      <w:r>
        <w:rPr>
          <w:rtl/>
        </w:rPr>
        <w:tab/>
      </w:r>
      <w:r>
        <w:rPr>
          <w:rFonts w:hint="cs"/>
          <w:rtl/>
        </w:rPr>
        <w:t>לפי סעיף 10 לחוק, אם ההטרדה המינית או ההתנכלות נעשו במסגרת של יחסי עבודה (כפי שהוגדרו בחוק) והתובעת היא עובדת של המעסיק, החוק מעניק לבית הדין לעבודה סמכות ייחודית לדון בתביעה נזיקית בגין הטרדה מינית (לא פלילית ולא משמעתית) הן נגד הנילון והן נגד המעסיק.</w:t>
      </w:r>
    </w:p>
  </w:footnote>
  <w:footnote w:id="34">
    <w:p w14:paraId="4ACBBDF8" w14:textId="77777777" w:rsidR="00492C76" w:rsidRDefault="00492C76" w:rsidP="001B1655">
      <w:pPr>
        <w:pStyle w:val="ae"/>
      </w:pPr>
      <w:r w:rsidRPr="001B1655">
        <w:footnoteRef/>
      </w:r>
      <w:r>
        <w:rPr>
          <w:rtl/>
        </w:rPr>
        <w:t xml:space="preserve"> </w:t>
      </w:r>
      <w:r>
        <w:rPr>
          <w:rtl/>
        </w:rPr>
        <w:tab/>
      </w:r>
      <w:r>
        <w:rPr>
          <w:rFonts w:hint="cs"/>
          <w:rtl/>
        </w:rPr>
        <w:t>אורית קמיר, "</w:t>
      </w:r>
      <w:r w:rsidRPr="00A31246">
        <w:rPr>
          <w:rFonts w:hint="cs"/>
          <w:rtl/>
        </w:rPr>
        <w:t>החוק הישראלי למניעת הטרדה מינית - העקרונות"</w:t>
      </w:r>
      <w:r>
        <w:rPr>
          <w:rFonts w:hint="cs"/>
          <w:rtl/>
        </w:rPr>
        <w:t>,</w:t>
      </w:r>
      <w:r>
        <w:rPr>
          <w:rFonts w:hint="cs"/>
          <w:i/>
          <w:iCs/>
          <w:rtl/>
        </w:rPr>
        <w:t xml:space="preserve"> </w:t>
      </w:r>
      <w:r>
        <w:rPr>
          <w:rFonts w:hint="cs"/>
          <w:b/>
          <w:bCs/>
          <w:rtl/>
        </w:rPr>
        <w:t>מילים מטרידות: סוגיות בהטרדה מינית מילולית</w:t>
      </w:r>
      <w:r>
        <w:rPr>
          <w:rFonts w:hint="cs"/>
          <w:rtl/>
        </w:rPr>
        <w:t xml:space="preserve"> (2011), עורכת: ליאת לבנון</w:t>
      </w:r>
      <w:r>
        <w:rPr>
          <w:rFonts w:hint="cs"/>
          <w:b/>
          <w:bCs/>
          <w:rtl/>
        </w:rPr>
        <w:t xml:space="preserve">, </w:t>
      </w:r>
      <w:r w:rsidRPr="00A06BD4">
        <w:rPr>
          <w:rFonts w:hint="cs"/>
          <w:rtl/>
        </w:rPr>
        <w:t>עמ'</w:t>
      </w:r>
      <w:r w:rsidRPr="00A06BD4">
        <w:rPr>
          <w:rtl/>
        </w:rPr>
        <w:t xml:space="preserve"> 169</w:t>
      </w:r>
      <w:r>
        <w:rPr>
          <w:rFonts w:hint="cs"/>
          <w:rtl/>
        </w:rPr>
        <w:t>.</w:t>
      </w:r>
    </w:p>
  </w:footnote>
  <w:footnote w:id="35">
    <w:p w14:paraId="0543BFF8" w14:textId="77777777" w:rsidR="00492C76" w:rsidRPr="00240D4A" w:rsidRDefault="00492C76" w:rsidP="001B1655">
      <w:pPr>
        <w:pStyle w:val="ae"/>
      </w:pPr>
      <w:r w:rsidRPr="001B1655">
        <w:footnoteRef/>
      </w:r>
      <w:r w:rsidRPr="00240D4A">
        <w:rPr>
          <w:rStyle w:val="FootnoteReference"/>
          <w:rtl/>
        </w:rPr>
        <w:t xml:space="preserve"> </w:t>
      </w:r>
      <w:r w:rsidRPr="00240D4A">
        <w:rPr>
          <w:rStyle w:val="FootnoteReference"/>
          <w:rtl/>
        </w:rPr>
        <w:tab/>
      </w:r>
      <w:r w:rsidRPr="00240D4A">
        <w:rPr>
          <w:rFonts w:hint="cs"/>
          <w:rtl/>
        </w:rPr>
        <w:t xml:space="preserve">ענבל וילמובסקי, </w:t>
      </w:r>
      <w:r>
        <w:rPr>
          <w:rFonts w:hint="cs"/>
          <w:rtl/>
        </w:rPr>
        <w:t>"</w:t>
      </w:r>
      <w:r w:rsidRPr="00240D4A">
        <w:rPr>
          <w:rtl/>
        </w:rPr>
        <w:t xml:space="preserve">מהרחוב הממוגדר למרחב הווירטואלי ובחזרה: </w:t>
      </w:r>
      <w:r w:rsidRPr="00240D4A">
        <w:rPr>
          <w:rFonts w:hint="cs"/>
          <w:rtl/>
        </w:rPr>
        <w:t xml:space="preserve">על </w:t>
      </w:r>
      <w:r w:rsidRPr="00240D4A">
        <w:rPr>
          <w:rtl/>
        </w:rPr>
        <w:t>הטרדות</w:t>
      </w:r>
      <w:r w:rsidRPr="00240D4A">
        <w:rPr>
          <w:rFonts w:hint="cs"/>
          <w:rtl/>
        </w:rPr>
        <w:t xml:space="preserve"> </w:t>
      </w:r>
      <w:r w:rsidRPr="00240D4A">
        <w:rPr>
          <w:rtl/>
        </w:rPr>
        <w:t>רחוב ו</w:t>
      </w:r>
      <w:r w:rsidRPr="00240D4A">
        <w:rPr>
          <w:rFonts w:hint="cs"/>
          <w:rtl/>
        </w:rPr>
        <w:t xml:space="preserve">על </w:t>
      </w:r>
      <w:r w:rsidRPr="00240D4A">
        <w:rPr>
          <w:rtl/>
        </w:rPr>
        <w:t xml:space="preserve">אתר </w:t>
      </w:r>
      <w:r>
        <w:rPr>
          <w:rFonts w:hint="cs"/>
          <w:rtl/>
        </w:rPr>
        <w:t>'</w:t>
      </w:r>
      <w:r w:rsidRPr="00240D4A">
        <w:rPr>
          <w:rtl/>
        </w:rPr>
        <w:t>הכצעקתה</w:t>
      </w:r>
      <w:r>
        <w:rPr>
          <w:rFonts w:hint="cs"/>
          <w:rtl/>
        </w:rPr>
        <w:t>'</w:t>
      </w:r>
      <w:r w:rsidRPr="00240D4A">
        <w:rPr>
          <w:rFonts w:hint="cs"/>
          <w:rtl/>
        </w:rPr>
        <w:t>" (2013)</w:t>
      </w:r>
      <w:r>
        <w:rPr>
          <w:rFonts w:hint="cs"/>
          <w:rtl/>
        </w:rPr>
        <w:t>,</w:t>
      </w:r>
      <w:r w:rsidRPr="00240D4A">
        <w:rPr>
          <w:rtl/>
        </w:rPr>
        <w:t xml:space="preserve"> בתוך</w:t>
      </w:r>
      <w:r w:rsidRPr="00240D4A">
        <w:rPr>
          <w:rFonts w:hint="cs"/>
          <w:rtl/>
        </w:rPr>
        <w:t>:</w:t>
      </w:r>
      <w:r w:rsidRPr="00240D4A">
        <w:rPr>
          <w:rtl/>
        </w:rPr>
        <w:t xml:space="preserve"> רוני הלפרן (עורכת)</w:t>
      </w:r>
      <w:r>
        <w:rPr>
          <w:rFonts w:hint="cs"/>
          <w:rtl/>
        </w:rPr>
        <w:t>,</w:t>
      </w:r>
      <w:r w:rsidRPr="00240D4A">
        <w:rPr>
          <w:rtl/>
        </w:rPr>
        <w:t xml:space="preserve"> </w:t>
      </w:r>
      <w:r w:rsidRPr="00240D4A">
        <w:rPr>
          <w:b/>
          <w:bCs/>
          <w:rtl/>
        </w:rPr>
        <w:t>היכן אני נמצאת? פרספקטיבות מגדריות על מרחב</w:t>
      </w:r>
      <w:r w:rsidRPr="00240D4A">
        <w:rPr>
          <w:rFonts w:hint="cs"/>
          <w:rtl/>
        </w:rPr>
        <w:t>.</w:t>
      </w:r>
    </w:p>
  </w:footnote>
  <w:footnote w:id="36">
    <w:p w14:paraId="13283DA6" w14:textId="77777777" w:rsidR="00492C76" w:rsidRDefault="00492C76" w:rsidP="0094160F">
      <w:pPr>
        <w:pStyle w:val="ae"/>
        <w:rPr>
          <w:rtl/>
        </w:rPr>
      </w:pPr>
      <w:r w:rsidRPr="0094160F">
        <w:footnoteRef/>
      </w:r>
      <w:r>
        <w:rPr>
          <w:rtl/>
        </w:rPr>
        <w:t xml:space="preserve"> </w:t>
      </w:r>
      <w:r>
        <w:rPr>
          <w:rtl/>
        </w:rPr>
        <w:tab/>
      </w:r>
      <w:r w:rsidRPr="00D54654">
        <w:rPr>
          <w:rtl/>
        </w:rPr>
        <w:t xml:space="preserve">סקר טלפוני </w:t>
      </w:r>
      <w:r>
        <w:rPr>
          <w:rFonts w:hint="cs"/>
          <w:rtl/>
        </w:rPr>
        <w:t>שתקצבה</w:t>
      </w:r>
      <w:r w:rsidRPr="00D54654">
        <w:rPr>
          <w:rtl/>
        </w:rPr>
        <w:t xml:space="preserve"> עיריית תל אביב </w:t>
      </w:r>
      <w:r>
        <w:rPr>
          <w:rFonts w:hint="cs"/>
          <w:rtl/>
        </w:rPr>
        <w:t>וביצעה</w:t>
      </w:r>
      <w:r w:rsidRPr="00D54654">
        <w:rPr>
          <w:rtl/>
        </w:rPr>
        <w:t xml:space="preserve"> חברת הסקרים </w:t>
      </w:r>
      <w:r>
        <w:rPr>
          <w:rFonts w:hint="cs"/>
          <w:rtl/>
        </w:rPr>
        <w:t>"</w:t>
      </w:r>
      <w:r w:rsidRPr="00D54654">
        <w:rPr>
          <w:rtl/>
        </w:rPr>
        <w:t>חקר רייטינג</w:t>
      </w:r>
      <w:r>
        <w:rPr>
          <w:rFonts w:hint="cs"/>
          <w:rtl/>
        </w:rPr>
        <w:t>".</w:t>
      </w:r>
    </w:p>
  </w:footnote>
  <w:footnote w:id="37">
    <w:p w14:paraId="09D1D7C2" w14:textId="77777777" w:rsidR="00492C76" w:rsidRDefault="00492C76" w:rsidP="0094160F">
      <w:pPr>
        <w:pStyle w:val="ae"/>
      </w:pPr>
      <w:r w:rsidRPr="0094160F">
        <w:footnoteRef/>
      </w:r>
      <w:r>
        <w:rPr>
          <w:rtl/>
        </w:rPr>
        <w:t xml:space="preserve"> </w:t>
      </w:r>
      <w:r>
        <w:rPr>
          <w:rtl/>
        </w:rPr>
        <w:tab/>
      </w:r>
      <w:r w:rsidRPr="00CD652A">
        <w:t>https://www.oecd.org/development/ending-sexual-exploitation-and-abuse-usa-september-2019.htm</w:t>
      </w:r>
    </w:p>
  </w:footnote>
  <w:footnote w:id="38">
    <w:p w14:paraId="524EE7C5" w14:textId="22D8D5ED" w:rsidR="00492C76" w:rsidRDefault="00492C76" w:rsidP="0094160F">
      <w:pPr>
        <w:pStyle w:val="ae"/>
        <w:rPr>
          <w:rtl/>
        </w:rPr>
      </w:pPr>
      <w:r w:rsidRPr="0094160F">
        <w:footnoteRef/>
      </w:r>
      <w:r>
        <w:rPr>
          <w:rtl/>
        </w:rPr>
        <w:tab/>
      </w:r>
      <w:r>
        <w:rPr>
          <w:rFonts w:hint="cs"/>
          <w:rtl/>
        </w:rPr>
        <w:t>ראו</w:t>
      </w:r>
    </w:p>
    <w:p w14:paraId="381E568B" w14:textId="77777777" w:rsidR="00492C76" w:rsidRDefault="00492C76" w:rsidP="002A04CC">
      <w:pPr>
        <w:pStyle w:val="a7"/>
        <w:bidi w:val="0"/>
      </w:pPr>
      <w:r w:rsidRPr="00200A77">
        <w:t>https://www.senat.fr/espace_presse/actualites/201806/lutte_contre_les_violences_sexuelles_et_sexistes.html</w:t>
      </w:r>
    </w:p>
  </w:footnote>
  <w:footnote w:id="39">
    <w:p w14:paraId="7EEAF480" w14:textId="77777777" w:rsidR="00492C76" w:rsidRDefault="00492C76" w:rsidP="0094160F">
      <w:pPr>
        <w:pStyle w:val="ae"/>
      </w:pPr>
      <w:r w:rsidRPr="0094160F">
        <w:footnoteRef/>
      </w:r>
      <w:r>
        <w:rPr>
          <w:rtl/>
        </w:rPr>
        <w:t xml:space="preserve"> </w:t>
      </w:r>
      <w:r>
        <w:rPr>
          <w:rtl/>
        </w:rPr>
        <w:tab/>
      </w:r>
      <w:r>
        <w:t>Macmillan, Nierobisz &amp; Welsh, "Experiencing the Streets: Harassment and Perceptions of Safety among Women", in Journal of Research in Crime and Delinquency, Vol. 37, No. 3 (2000), pp. 306-322</w:t>
      </w:r>
    </w:p>
  </w:footnote>
  <w:footnote w:id="40">
    <w:p w14:paraId="16B2C2D2" w14:textId="77777777" w:rsidR="00492C76" w:rsidRDefault="00492C76" w:rsidP="0094160F">
      <w:pPr>
        <w:pStyle w:val="ae"/>
      </w:pPr>
      <w:r w:rsidRPr="0094160F">
        <w:footnoteRef/>
      </w:r>
      <w:r w:rsidRPr="0094160F">
        <w:rPr>
          <w:rtl/>
        </w:rPr>
        <w:t xml:space="preserve"> </w:t>
      </w:r>
      <w:r>
        <w:rPr>
          <w:rtl/>
        </w:rPr>
        <w:tab/>
      </w:r>
      <w:r>
        <w:t>http://womencities.org</w:t>
      </w:r>
    </w:p>
  </w:footnote>
  <w:footnote w:id="41">
    <w:p w14:paraId="62E8B08D" w14:textId="77777777" w:rsidR="00492C76" w:rsidRDefault="00492C76" w:rsidP="0094160F">
      <w:pPr>
        <w:pStyle w:val="ae"/>
        <w:rPr>
          <w:rtl/>
        </w:rPr>
      </w:pPr>
      <w:r w:rsidRPr="0094160F">
        <w:footnoteRef/>
      </w:r>
      <w:r>
        <w:rPr>
          <w:rtl/>
        </w:rPr>
        <w:t xml:space="preserve"> </w:t>
      </w:r>
      <w:r>
        <w:rPr>
          <w:rtl/>
        </w:rPr>
        <w:tab/>
      </w:r>
      <w:r>
        <w:rPr>
          <w:rFonts w:hint="cs"/>
          <w:rtl/>
        </w:rPr>
        <w:t xml:space="preserve">הרשות לקידום מעמד האישה, </w:t>
      </w:r>
      <w:r>
        <w:rPr>
          <w:rtl/>
        </w:rPr>
        <w:t>המלצות הוועדה לגיבוש תכנית לאומית למאבק בתופעת ההטרדות המיניות בחברה הישראלית</w:t>
      </w:r>
      <w:r>
        <w:rPr>
          <w:rFonts w:hint="cs"/>
          <w:rtl/>
        </w:rPr>
        <w:t xml:space="preserve"> (2019).</w:t>
      </w:r>
    </w:p>
  </w:footnote>
  <w:footnote w:id="42">
    <w:p w14:paraId="13CA0F41" w14:textId="77777777" w:rsidR="00492C76" w:rsidRDefault="00492C76" w:rsidP="002A04CC">
      <w:pPr>
        <w:pStyle w:val="a7"/>
        <w:rPr>
          <w:rtl/>
        </w:rPr>
      </w:pPr>
      <w:r w:rsidRPr="0094160F">
        <w:footnoteRef/>
      </w:r>
      <w:r>
        <w:rPr>
          <w:rtl/>
        </w:rPr>
        <w:t xml:space="preserve"> </w:t>
      </w:r>
      <w:r>
        <w:rPr>
          <w:rtl/>
        </w:rPr>
        <w:tab/>
      </w:r>
      <w:r>
        <w:rPr>
          <w:rFonts w:hint="cs"/>
          <w:rtl/>
        </w:rPr>
        <w:t>המלצות הוועדה לגיבוש תכנית לאומית למאבק בתופעת ההטרדות המיניות בחברה הישראלית בפרק "הטרדה מינית במגזר העבודה הפרטי" שלהלן.</w:t>
      </w:r>
    </w:p>
  </w:footnote>
  <w:footnote w:id="43">
    <w:p w14:paraId="49B7F805" w14:textId="77777777" w:rsidR="00492C76" w:rsidRDefault="00492C76" w:rsidP="002A04CC">
      <w:pPr>
        <w:pStyle w:val="a7"/>
        <w:rPr>
          <w:rtl/>
        </w:rPr>
      </w:pPr>
      <w:r w:rsidRPr="0094160F">
        <w:footnoteRef/>
      </w:r>
      <w:r>
        <w:rPr>
          <w:rtl/>
        </w:rPr>
        <w:t xml:space="preserve"> </w:t>
      </w:r>
      <w:r>
        <w:rPr>
          <w:rtl/>
        </w:rPr>
        <w:tab/>
      </w:r>
      <w:r>
        <w:rPr>
          <w:rFonts w:hint="cs"/>
          <w:rtl/>
        </w:rPr>
        <w:t xml:space="preserve">אסנת פיכטלברג-ברמץ ורונית הריס-אולשק, </w:t>
      </w:r>
      <w:r w:rsidRPr="00DA0683">
        <w:rPr>
          <w:rFonts w:hint="eastAsia"/>
          <w:b/>
          <w:bCs/>
          <w:rtl/>
        </w:rPr>
        <w:t>הטרדות</w:t>
      </w:r>
      <w:r w:rsidRPr="00DA0683">
        <w:rPr>
          <w:b/>
          <w:bCs/>
          <w:rtl/>
        </w:rPr>
        <w:t xml:space="preserve"> </w:t>
      </w:r>
      <w:r w:rsidRPr="00DA0683">
        <w:rPr>
          <w:rFonts w:hint="eastAsia"/>
          <w:b/>
          <w:bCs/>
          <w:rtl/>
        </w:rPr>
        <w:t>מיניות</w:t>
      </w:r>
      <w:r w:rsidRPr="00DA0683">
        <w:rPr>
          <w:b/>
          <w:bCs/>
          <w:rtl/>
        </w:rPr>
        <w:t xml:space="preserve"> </w:t>
      </w:r>
      <w:r w:rsidRPr="00DA0683">
        <w:rPr>
          <w:rFonts w:hint="eastAsia"/>
          <w:b/>
          <w:bCs/>
          <w:rtl/>
        </w:rPr>
        <w:t>בעבודה</w:t>
      </w:r>
      <w:r w:rsidRPr="00DA0683">
        <w:rPr>
          <w:b/>
          <w:bCs/>
          <w:rtl/>
        </w:rPr>
        <w:t xml:space="preserve">, </w:t>
      </w:r>
      <w:r w:rsidRPr="00DA0683">
        <w:rPr>
          <w:rFonts w:hint="eastAsia"/>
          <w:b/>
          <w:bCs/>
          <w:rtl/>
        </w:rPr>
        <w:t>ממצאים</w:t>
      </w:r>
      <w:r w:rsidRPr="00DA0683">
        <w:rPr>
          <w:b/>
          <w:bCs/>
          <w:rtl/>
        </w:rPr>
        <w:t xml:space="preserve"> </w:t>
      </w:r>
      <w:r w:rsidRPr="00DA0683">
        <w:rPr>
          <w:rFonts w:hint="eastAsia"/>
          <w:b/>
          <w:bCs/>
          <w:rtl/>
        </w:rPr>
        <w:t>מסקרים</w:t>
      </w:r>
      <w:r w:rsidRPr="00DA0683">
        <w:rPr>
          <w:b/>
          <w:bCs/>
          <w:rtl/>
        </w:rPr>
        <w:t xml:space="preserve"> </w:t>
      </w:r>
      <w:r w:rsidRPr="00DA0683">
        <w:rPr>
          <w:rFonts w:hint="eastAsia"/>
          <w:b/>
          <w:bCs/>
          <w:rtl/>
        </w:rPr>
        <w:t>באמצעות</w:t>
      </w:r>
      <w:r w:rsidRPr="00DA0683">
        <w:rPr>
          <w:b/>
          <w:bCs/>
          <w:rtl/>
        </w:rPr>
        <w:t xml:space="preserve"> </w:t>
      </w:r>
      <w:r w:rsidRPr="00DA0683">
        <w:rPr>
          <w:rFonts w:hint="eastAsia"/>
          <w:b/>
          <w:bCs/>
          <w:rtl/>
        </w:rPr>
        <w:t>טלפונים</w:t>
      </w:r>
      <w:r w:rsidRPr="00DA0683">
        <w:rPr>
          <w:b/>
          <w:bCs/>
          <w:rtl/>
        </w:rPr>
        <w:t xml:space="preserve"> </w:t>
      </w:r>
      <w:r w:rsidRPr="00DA0683">
        <w:rPr>
          <w:rFonts w:hint="eastAsia"/>
          <w:b/>
          <w:bCs/>
          <w:rtl/>
        </w:rPr>
        <w:t>ואינטרנט</w:t>
      </w:r>
      <w:r>
        <w:rPr>
          <w:rFonts w:hint="cs"/>
          <w:i/>
          <w:iCs/>
          <w:rtl/>
        </w:rPr>
        <w:t>,</w:t>
      </w:r>
      <w:r w:rsidRPr="00240D4A">
        <w:rPr>
          <w:rFonts w:hint="cs"/>
          <w:i/>
          <w:iCs/>
          <w:rtl/>
        </w:rPr>
        <w:t xml:space="preserve"> </w:t>
      </w:r>
      <w:r w:rsidRPr="00DA0683">
        <w:rPr>
          <w:rFonts w:hint="eastAsia"/>
          <w:rtl/>
        </w:rPr>
        <w:t>משרד</w:t>
      </w:r>
      <w:r w:rsidRPr="00DA0683">
        <w:rPr>
          <w:rtl/>
        </w:rPr>
        <w:t xml:space="preserve"> </w:t>
      </w:r>
      <w:r w:rsidRPr="00DA0683">
        <w:rPr>
          <w:rFonts w:hint="eastAsia"/>
          <w:rtl/>
        </w:rPr>
        <w:t>התעשייה</w:t>
      </w:r>
      <w:r w:rsidRPr="00DA0683">
        <w:rPr>
          <w:rtl/>
        </w:rPr>
        <w:t xml:space="preserve"> </w:t>
      </w:r>
      <w:r w:rsidRPr="00DA0683">
        <w:rPr>
          <w:rFonts w:hint="eastAsia"/>
          <w:rtl/>
        </w:rPr>
        <w:t>מסחר</w:t>
      </w:r>
      <w:r w:rsidRPr="00DA0683">
        <w:rPr>
          <w:rtl/>
        </w:rPr>
        <w:t xml:space="preserve"> </w:t>
      </w:r>
      <w:r w:rsidRPr="00DA0683">
        <w:rPr>
          <w:rFonts w:hint="eastAsia"/>
          <w:rtl/>
        </w:rPr>
        <w:t>ותעסוקה</w:t>
      </w:r>
      <w:r w:rsidRPr="00DA0683" w:rsidDel="00985AFF">
        <w:rPr>
          <w:rtl/>
        </w:rPr>
        <w:t xml:space="preserve"> </w:t>
      </w:r>
      <w:r w:rsidRPr="00DA0683">
        <w:rPr>
          <w:rtl/>
        </w:rPr>
        <w:t xml:space="preserve">- </w:t>
      </w:r>
      <w:r w:rsidRPr="00DA0683">
        <w:rPr>
          <w:rFonts w:hint="eastAsia"/>
          <w:rtl/>
        </w:rPr>
        <w:t>מחקר</w:t>
      </w:r>
      <w:r w:rsidRPr="00DA0683">
        <w:rPr>
          <w:rtl/>
        </w:rPr>
        <w:t xml:space="preserve"> </w:t>
      </w:r>
      <w:r w:rsidRPr="00DA0683">
        <w:rPr>
          <w:rFonts w:hint="eastAsia"/>
          <w:rtl/>
        </w:rPr>
        <w:t>וכלכלה</w:t>
      </w:r>
      <w:r>
        <w:rPr>
          <w:rFonts w:hint="cs"/>
          <w:rtl/>
        </w:rPr>
        <w:t xml:space="preserve"> (2012), עמ' 9; אורי כרמל, "הפגיעה הכפולה, הנשים והארגון נפגעים כתוצאה מקשר מיני אסור בין מפקד בכיר לאישה הכפופה לו", </w:t>
      </w:r>
      <w:r w:rsidRPr="00541CD2">
        <w:rPr>
          <w:rFonts w:hint="eastAsia"/>
          <w:b/>
          <w:bCs/>
          <w:rtl/>
        </w:rPr>
        <w:t>עבודה</w:t>
      </w:r>
      <w:r w:rsidRPr="00541CD2">
        <w:rPr>
          <w:b/>
          <w:bCs/>
          <w:rtl/>
        </w:rPr>
        <w:t xml:space="preserve"> </w:t>
      </w:r>
      <w:r w:rsidRPr="00265A7C">
        <w:rPr>
          <w:rFonts w:hint="eastAsia"/>
          <w:b/>
          <w:bCs/>
          <w:rtl/>
        </w:rPr>
        <w:t>מטרידה</w:t>
      </w:r>
      <w:r w:rsidRPr="00265A7C">
        <w:rPr>
          <w:b/>
          <w:bCs/>
          <w:rtl/>
        </w:rPr>
        <w:t xml:space="preserve">, </w:t>
      </w:r>
      <w:r w:rsidRPr="00265A7C">
        <w:rPr>
          <w:rFonts w:hint="eastAsia"/>
          <w:b/>
          <w:bCs/>
          <w:rtl/>
        </w:rPr>
        <w:t>התמודדות</w:t>
      </w:r>
      <w:r w:rsidRPr="00265A7C">
        <w:rPr>
          <w:b/>
          <w:bCs/>
          <w:rtl/>
        </w:rPr>
        <w:t xml:space="preserve"> </w:t>
      </w:r>
      <w:r w:rsidRPr="00265A7C">
        <w:rPr>
          <w:rFonts w:hint="eastAsia"/>
          <w:b/>
          <w:bCs/>
          <w:rtl/>
        </w:rPr>
        <w:t>עם</w:t>
      </w:r>
      <w:r w:rsidRPr="00265A7C">
        <w:rPr>
          <w:b/>
          <w:bCs/>
          <w:rtl/>
        </w:rPr>
        <w:t xml:space="preserve"> </w:t>
      </w:r>
      <w:r w:rsidRPr="00265A7C">
        <w:rPr>
          <w:rFonts w:hint="eastAsia"/>
          <w:b/>
          <w:bCs/>
          <w:rtl/>
        </w:rPr>
        <w:t>תופעת</w:t>
      </w:r>
      <w:r w:rsidRPr="00265A7C">
        <w:rPr>
          <w:b/>
          <w:bCs/>
          <w:rtl/>
        </w:rPr>
        <w:t xml:space="preserve"> </w:t>
      </w:r>
      <w:r w:rsidRPr="00265A7C">
        <w:rPr>
          <w:rFonts w:hint="eastAsia"/>
          <w:b/>
          <w:bCs/>
          <w:rtl/>
        </w:rPr>
        <w:t>ההטרדות</w:t>
      </w:r>
      <w:r w:rsidRPr="00265A7C">
        <w:rPr>
          <w:b/>
          <w:bCs/>
          <w:rtl/>
        </w:rPr>
        <w:t xml:space="preserve"> </w:t>
      </w:r>
      <w:r w:rsidRPr="00265A7C">
        <w:rPr>
          <w:rFonts w:hint="eastAsia"/>
          <w:b/>
          <w:bCs/>
          <w:rtl/>
        </w:rPr>
        <w:t>המיניות</w:t>
      </w:r>
      <w:r w:rsidRPr="00265A7C">
        <w:rPr>
          <w:b/>
          <w:bCs/>
          <w:rtl/>
        </w:rPr>
        <w:t xml:space="preserve"> </w:t>
      </w:r>
      <w:r w:rsidRPr="00265A7C">
        <w:rPr>
          <w:rFonts w:hint="eastAsia"/>
          <w:b/>
          <w:bCs/>
          <w:rtl/>
        </w:rPr>
        <w:t>במדינת</w:t>
      </w:r>
      <w:r w:rsidRPr="00265A7C">
        <w:rPr>
          <w:b/>
          <w:bCs/>
          <w:rtl/>
        </w:rPr>
        <w:t xml:space="preserve"> </w:t>
      </w:r>
      <w:r w:rsidRPr="00265A7C">
        <w:rPr>
          <w:rFonts w:hint="eastAsia"/>
          <w:b/>
          <w:bCs/>
          <w:rtl/>
        </w:rPr>
        <w:t>ישראל</w:t>
      </w:r>
      <w:r w:rsidRPr="00265A7C">
        <w:rPr>
          <w:b/>
          <w:bCs/>
          <w:rtl/>
        </w:rPr>
        <w:t xml:space="preserve"> 2014</w:t>
      </w:r>
      <w:r>
        <w:rPr>
          <w:rFonts w:hint="cs"/>
          <w:rtl/>
        </w:rPr>
        <w:t xml:space="preserve"> (2014).</w:t>
      </w:r>
    </w:p>
  </w:footnote>
  <w:footnote w:id="44">
    <w:p w14:paraId="31B2B5A1" w14:textId="77777777" w:rsidR="00492C76" w:rsidRDefault="00492C76" w:rsidP="002A04CC">
      <w:pPr>
        <w:pStyle w:val="a7"/>
        <w:rPr>
          <w:rtl/>
        </w:rPr>
      </w:pPr>
      <w:r w:rsidRPr="0094160F">
        <w:footnoteRef/>
      </w:r>
      <w:r>
        <w:rPr>
          <w:rtl/>
        </w:rPr>
        <w:t xml:space="preserve"> </w:t>
      </w:r>
      <w:r>
        <w:rPr>
          <w:rtl/>
        </w:rPr>
        <w:tab/>
      </w:r>
      <w:r>
        <w:rPr>
          <w:rFonts w:hint="cs"/>
          <w:rtl/>
        </w:rPr>
        <w:t xml:space="preserve">הלשכה המרכזית לסטטיסטיקה, </w:t>
      </w:r>
      <w:r w:rsidRPr="00FC0B63">
        <w:rPr>
          <w:rFonts w:hint="eastAsia"/>
          <w:b/>
          <w:bCs/>
          <w:rtl/>
        </w:rPr>
        <w:t>שוק</w:t>
      </w:r>
      <w:r w:rsidRPr="00FC0B63">
        <w:rPr>
          <w:b/>
          <w:bCs/>
          <w:rtl/>
        </w:rPr>
        <w:t xml:space="preserve"> העבודה - שנתון סטטיסטי לישראל </w:t>
      </w:r>
      <w:r>
        <w:rPr>
          <w:rFonts w:hint="cs"/>
          <w:rtl/>
        </w:rPr>
        <w:t xml:space="preserve">מס' 70 (2019). </w:t>
      </w:r>
    </w:p>
  </w:footnote>
  <w:footnote w:id="45">
    <w:p w14:paraId="2FEEA4DA" w14:textId="77777777" w:rsidR="00492C76" w:rsidRDefault="00492C76" w:rsidP="002A04CC">
      <w:pPr>
        <w:pStyle w:val="a7"/>
      </w:pPr>
      <w:r w:rsidRPr="0094160F">
        <w:footnoteRef/>
      </w:r>
      <w:r>
        <w:rPr>
          <w:rtl/>
        </w:rPr>
        <w:t xml:space="preserve"> </w:t>
      </w:r>
      <w:r>
        <w:rPr>
          <w:rtl/>
        </w:rPr>
        <w:tab/>
      </w:r>
      <w:r>
        <w:rPr>
          <w:rFonts w:hint="cs"/>
          <w:rtl/>
        </w:rPr>
        <w:t>חוק המשמעת חל על עובדי מדינה, למעט עובדי גופי ביטחון, וכן על עובדי מועצות דתיות וחלק מעובדי התאגידים הציבוריים.</w:t>
      </w:r>
    </w:p>
  </w:footnote>
  <w:footnote w:id="46">
    <w:p w14:paraId="7136FDFC" w14:textId="77777777" w:rsidR="00492C76" w:rsidRDefault="00492C76" w:rsidP="002A04CC">
      <w:pPr>
        <w:pStyle w:val="a7"/>
        <w:rPr>
          <w:rtl/>
        </w:rPr>
      </w:pPr>
      <w:r w:rsidRPr="0094160F">
        <w:footnoteRef/>
      </w:r>
      <w:r>
        <w:rPr>
          <w:rtl/>
        </w:rPr>
        <w:t xml:space="preserve"> </w:t>
      </w:r>
      <w:r>
        <w:rPr>
          <w:rtl/>
        </w:rPr>
        <w:tab/>
      </w:r>
      <w:r>
        <w:rPr>
          <w:rFonts w:hint="cs"/>
          <w:rtl/>
        </w:rPr>
        <w:t xml:space="preserve">ע"ע (ארצי) 14587-05-16 </w:t>
      </w:r>
      <w:r w:rsidRPr="007E751F">
        <w:rPr>
          <w:rFonts w:hint="cs"/>
          <w:b/>
          <w:bCs/>
          <w:rtl/>
        </w:rPr>
        <w:t xml:space="preserve">אלמוני נ' </w:t>
      </w:r>
      <w:r>
        <w:rPr>
          <w:rFonts w:hint="cs"/>
          <w:b/>
          <w:bCs/>
          <w:rtl/>
        </w:rPr>
        <w:t>מדינת ישראל</w:t>
      </w:r>
      <w:r>
        <w:rPr>
          <w:rFonts w:hint="cs"/>
          <w:rtl/>
        </w:rPr>
        <w:t>, פס' 27 לדברי הנשיאה וירט-ליבנה (פורסם במאגר ממוחשב, 22.8.18).</w:t>
      </w:r>
    </w:p>
  </w:footnote>
  <w:footnote w:id="47">
    <w:p w14:paraId="65BA8EA0" w14:textId="77777777" w:rsidR="00492C76" w:rsidRDefault="00492C76" w:rsidP="002A04CC">
      <w:pPr>
        <w:pStyle w:val="a7"/>
      </w:pPr>
      <w:r w:rsidRPr="0094160F">
        <w:footnoteRef/>
      </w:r>
      <w:r>
        <w:rPr>
          <w:rtl/>
        </w:rPr>
        <w:t xml:space="preserve"> </w:t>
      </w:r>
      <w:r>
        <w:rPr>
          <w:rtl/>
        </w:rPr>
        <w:tab/>
      </w:r>
      <w:r>
        <w:rPr>
          <w:rFonts w:hint="cs"/>
          <w:rtl/>
        </w:rPr>
        <w:t xml:space="preserve">אורי כרמל, "הפגיעה הכפולה, הנשים והארגון נפגעים כתוצאה מקשר מיני אסור בין מפקד בכיר לאישה הכפופה לו", </w:t>
      </w:r>
      <w:r w:rsidRPr="000C5A59">
        <w:rPr>
          <w:rFonts w:hint="cs"/>
          <w:b/>
          <w:bCs/>
          <w:rtl/>
        </w:rPr>
        <w:t>"עבודה מטרידה", התמודדות עם תופעת ההטרדות המיניות במדינת ישראל - ה</w:t>
      </w:r>
      <w:r>
        <w:rPr>
          <w:rFonts w:hint="cs"/>
          <w:b/>
          <w:bCs/>
          <w:rtl/>
        </w:rPr>
        <w:t>דוח</w:t>
      </w:r>
      <w:r w:rsidRPr="000C5A59">
        <w:rPr>
          <w:rFonts w:hint="cs"/>
          <w:b/>
          <w:bCs/>
          <w:rtl/>
        </w:rPr>
        <w:t xml:space="preserve"> השנתי של איגוד מרכזי הסיוע לנפגעות ולנפגעי תקיפה מינית </w:t>
      </w:r>
      <w:r>
        <w:rPr>
          <w:rFonts w:hint="cs"/>
          <w:rtl/>
        </w:rPr>
        <w:t>(2014).</w:t>
      </w:r>
    </w:p>
  </w:footnote>
  <w:footnote w:id="48">
    <w:p w14:paraId="40FE877C" w14:textId="77777777" w:rsidR="00492C76" w:rsidRDefault="00492C76" w:rsidP="002A04CC">
      <w:pPr>
        <w:pStyle w:val="a7"/>
        <w:rPr>
          <w:rtl/>
        </w:rPr>
      </w:pPr>
      <w:r w:rsidRPr="0094160F">
        <w:footnoteRef/>
      </w:r>
      <w:r>
        <w:rPr>
          <w:rtl/>
        </w:rPr>
        <w:t xml:space="preserve"> </w:t>
      </w:r>
      <w:r>
        <w:rPr>
          <w:rtl/>
        </w:rPr>
        <w:tab/>
      </w:r>
      <w:r>
        <w:rPr>
          <w:rFonts w:hint="cs"/>
          <w:rtl/>
        </w:rPr>
        <w:t>אסנת פיכטלברג-ברמץ ורונית הריס-אולשק, "</w:t>
      </w:r>
      <w:r w:rsidRPr="00E80D6E">
        <w:rPr>
          <w:rFonts w:hint="cs"/>
          <w:rtl/>
        </w:rPr>
        <w:t>הטרדות מיניות בעבודה, ממצאים מסקרים באמצעות טלפונים ואינטרנט"</w:t>
      </w:r>
      <w:r>
        <w:rPr>
          <w:rFonts w:hint="cs"/>
          <w:rtl/>
        </w:rPr>
        <w:t>,</w:t>
      </w:r>
      <w:r>
        <w:rPr>
          <w:rFonts w:hint="cs"/>
          <w:i/>
          <w:iCs/>
          <w:rtl/>
        </w:rPr>
        <w:t xml:space="preserve"> </w:t>
      </w:r>
      <w:r>
        <w:rPr>
          <w:rFonts w:hint="cs"/>
          <w:b/>
          <w:bCs/>
          <w:rtl/>
        </w:rPr>
        <w:t>משרד התעשייה מסחר ותעסוקה</w:t>
      </w:r>
      <w:r w:rsidDel="00985AFF">
        <w:rPr>
          <w:rFonts w:hint="cs"/>
          <w:b/>
          <w:bCs/>
          <w:rtl/>
        </w:rPr>
        <w:t xml:space="preserve"> </w:t>
      </w:r>
      <w:r>
        <w:rPr>
          <w:rFonts w:hint="cs"/>
          <w:b/>
          <w:bCs/>
          <w:rtl/>
        </w:rPr>
        <w:t xml:space="preserve">- מחקר וכלכלה </w:t>
      </w:r>
      <w:r>
        <w:rPr>
          <w:rFonts w:hint="cs"/>
          <w:rtl/>
        </w:rPr>
        <w:t>(2012).</w:t>
      </w:r>
    </w:p>
  </w:footnote>
  <w:footnote w:id="49">
    <w:p w14:paraId="7FA08772" w14:textId="77777777" w:rsidR="00492C76" w:rsidRPr="00D36232" w:rsidRDefault="00492C76" w:rsidP="002A04CC">
      <w:pPr>
        <w:pStyle w:val="a7"/>
      </w:pPr>
      <w:r w:rsidRPr="0094160F">
        <w:footnoteRef/>
      </w:r>
      <w:r>
        <w:rPr>
          <w:rtl/>
        </w:rPr>
        <w:t xml:space="preserve"> </w:t>
      </w:r>
      <w:r>
        <w:rPr>
          <w:rtl/>
        </w:rPr>
        <w:tab/>
      </w:r>
      <w:r>
        <w:rPr>
          <w:rFonts w:hint="cs"/>
          <w:rtl/>
        </w:rPr>
        <w:t xml:space="preserve">מתלונן לפי סעיף 1 לתקנות למניעת הטרדה מינית הוא </w:t>
      </w:r>
      <w:r w:rsidRPr="008E4F7B">
        <w:rPr>
          <w:rFonts w:hint="cs"/>
          <w:rtl/>
        </w:rPr>
        <w:t>אדם הטוען כי הוטרד מינית או כי התנכלו לו, במסגרת יחסי עבודה</w:t>
      </w:r>
      <w:r>
        <w:rPr>
          <w:rFonts w:hint="cs"/>
          <w:rtl/>
        </w:rPr>
        <w:t xml:space="preserve">. </w:t>
      </w:r>
      <w:r w:rsidRPr="00D36232">
        <w:rPr>
          <w:rtl/>
        </w:rPr>
        <w:t>בסעיף 12(2) לתקנון</w:t>
      </w:r>
      <w:r>
        <w:rPr>
          <w:rFonts w:hint="cs"/>
          <w:rtl/>
        </w:rPr>
        <w:t xml:space="preserve"> לדוגמה המופיע בתוספת לתקנות נקבע</w:t>
      </w:r>
      <w:r w:rsidRPr="00D36232">
        <w:rPr>
          <w:rtl/>
        </w:rPr>
        <w:t xml:space="preserve"> כי מי שיכול להגיש תלונה הוא בין היתר "אדם </w:t>
      </w:r>
      <w:r w:rsidRPr="00686AB8">
        <w:rPr>
          <w:b/>
          <w:bCs/>
          <w:rtl/>
        </w:rPr>
        <w:t>אחר</w:t>
      </w:r>
      <w:r w:rsidRPr="00D36232">
        <w:rPr>
          <w:rtl/>
        </w:rPr>
        <w:t xml:space="preserve"> שטוען כי עובדו של המעסיק או ממונה מטעמו הטריד אותו מינית או התנכל לו, במסגרת יחסי עבודה".</w:t>
      </w:r>
    </w:p>
  </w:footnote>
  <w:footnote w:id="50">
    <w:p w14:paraId="4C7913BA" w14:textId="77777777" w:rsidR="00492C76" w:rsidRDefault="00492C76" w:rsidP="002A04CC">
      <w:pPr>
        <w:pStyle w:val="a7"/>
      </w:pPr>
      <w:r w:rsidRPr="0094160F">
        <w:footnoteRef/>
      </w:r>
      <w:r>
        <w:rPr>
          <w:rtl/>
        </w:rPr>
        <w:t xml:space="preserve"> </w:t>
      </w:r>
      <w:r>
        <w:rPr>
          <w:rtl/>
        </w:rPr>
        <w:tab/>
      </w:r>
      <w:r>
        <w:rPr>
          <w:rFonts w:hint="cs"/>
          <w:rtl/>
        </w:rPr>
        <w:t xml:space="preserve">סע"ש (ב"ש) 40261-03-14 </w:t>
      </w:r>
      <w:r w:rsidRPr="00883F37">
        <w:rPr>
          <w:rFonts w:hint="cs"/>
          <w:b/>
          <w:bCs/>
          <w:rtl/>
        </w:rPr>
        <w:t>פלונית נ' אלמוני</w:t>
      </w:r>
      <w:r>
        <w:rPr>
          <w:rFonts w:hint="cs"/>
          <w:rtl/>
        </w:rPr>
        <w:t xml:space="preserve"> (פורסם במאגר ממוחשב, 29.11.17); ע"ב (ת"א) 1852-01 </w:t>
      </w:r>
      <w:r w:rsidRPr="003F5487">
        <w:rPr>
          <w:rFonts w:hint="cs"/>
          <w:b/>
          <w:bCs/>
          <w:rtl/>
        </w:rPr>
        <w:t xml:space="preserve">ברנשטיין נ' חברת מזדה מצדה בע"מ </w:t>
      </w:r>
      <w:r>
        <w:rPr>
          <w:rFonts w:hint="cs"/>
          <w:rtl/>
        </w:rPr>
        <w:t>(פורסם במאגר ממוחשב, 10.4.05).</w:t>
      </w:r>
    </w:p>
  </w:footnote>
  <w:footnote w:id="51">
    <w:p w14:paraId="5BF6B563" w14:textId="77777777" w:rsidR="00492C76" w:rsidRDefault="00492C76" w:rsidP="002A04CC">
      <w:pPr>
        <w:pStyle w:val="a7"/>
      </w:pPr>
      <w:r w:rsidRPr="0094160F">
        <w:footnoteRef/>
      </w:r>
      <w:r>
        <w:rPr>
          <w:rtl/>
        </w:rPr>
        <w:t xml:space="preserve"> </w:t>
      </w:r>
      <w:r>
        <w:rPr>
          <w:rtl/>
        </w:rPr>
        <w:tab/>
      </w:r>
      <w:r>
        <w:rPr>
          <w:rFonts w:hint="cs"/>
          <w:rtl/>
        </w:rPr>
        <w:t xml:space="preserve">ס"ע (י-ם) 1594-10 </w:t>
      </w:r>
      <w:r>
        <w:rPr>
          <w:rFonts w:hint="cs"/>
          <w:b/>
          <w:bCs/>
          <w:rtl/>
        </w:rPr>
        <w:t xml:space="preserve">חנקוביץ נ' אלמוני </w:t>
      </w:r>
      <w:r>
        <w:rPr>
          <w:rFonts w:hint="cs"/>
          <w:rtl/>
        </w:rPr>
        <w:t>(פורסם במאגר ממוחשב, 12.4.15).</w:t>
      </w:r>
    </w:p>
  </w:footnote>
  <w:footnote w:id="52">
    <w:p w14:paraId="2299899B" w14:textId="77777777" w:rsidR="00492C76" w:rsidRDefault="00492C76" w:rsidP="002A04CC">
      <w:pPr>
        <w:pStyle w:val="a7"/>
        <w:rPr>
          <w:rtl/>
        </w:rPr>
      </w:pPr>
      <w:r w:rsidRPr="0094160F">
        <w:footnoteRef/>
      </w:r>
      <w:r>
        <w:rPr>
          <w:rtl/>
        </w:rPr>
        <w:t xml:space="preserve"> </w:t>
      </w:r>
      <w:r>
        <w:rPr>
          <w:rtl/>
        </w:rPr>
        <w:tab/>
      </w:r>
      <w:r>
        <w:rPr>
          <w:rFonts w:hint="cs"/>
          <w:rtl/>
        </w:rPr>
        <w:t>לדוגמה: סעיף 1(א) לתקנון מבהיר כי החוק חל על הטרדה בידי שני המינים וכלפי שני המינים; סעיף 1(ב)(6) לתקנון מבהיר כי "תצלום, סרט או הקלטה" כוללים גם עריכה או שילוב של תצלום, סרט או הקלטה באופן שניתן לזהות את האדם.</w:t>
      </w:r>
    </w:p>
  </w:footnote>
  <w:footnote w:id="53">
    <w:p w14:paraId="7740D5B3" w14:textId="77777777" w:rsidR="00492C76" w:rsidRDefault="00492C76" w:rsidP="002A04CC">
      <w:pPr>
        <w:pStyle w:val="a7"/>
      </w:pPr>
      <w:r w:rsidRPr="0094160F">
        <w:footnoteRef/>
      </w:r>
      <w:r>
        <w:rPr>
          <w:rtl/>
        </w:rPr>
        <w:t xml:space="preserve"> </w:t>
      </w:r>
      <w:r>
        <w:rPr>
          <w:rtl/>
        </w:rPr>
        <w:tab/>
      </w:r>
      <w:r>
        <w:rPr>
          <w:rFonts w:hint="cs"/>
          <w:rtl/>
        </w:rPr>
        <w:t>ראו גם אורית קמיר, "</w:t>
      </w:r>
      <w:r w:rsidRPr="00D20840">
        <w:rPr>
          <w:rFonts w:hint="cs"/>
          <w:rtl/>
        </w:rPr>
        <w:t>הערכת מצב בתום העשור הראשון"</w:t>
      </w:r>
      <w:r>
        <w:rPr>
          <w:rFonts w:hint="cs"/>
          <w:rtl/>
        </w:rPr>
        <w:t xml:space="preserve">, </w:t>
      </w:r>
      <w:r>
        <w:rPr>
          <w:rFonts w:hint="cs"/>
          <w:b/>
          <w:bCs/>
          <w:rtl/>
        </w:rPr>
        <w:t xml:space="preserve">מילים מטרידות: סוגיות בהטרדה מינית מילולית </w:t>
      </w:r>
      <w:r>
        <w:rPr>
          <w:rFonts w:hint="cs"/>
          <w:rtl/>
        </w:rPr>
        <w:t>(בעריכת ליאת לבנון, 2011).</w:t>
      </w:r>
    </w:p>
  </w:footnote>
  <w:footnote w:id="54">
    <w:p w14:paraId="0D531E6E" w14:textId="77777777" w:rsidR="00492C76" w:rsidRPr="005C5920" w:rsidRDefault="00492C76" w:rsidP="002A04CC">
      <w:pPr>
        <w:pStyle w:val="a7"/>
      </w:pPr>
      <w:r w:rsidRPr="0094160F">
        <w:footnoteRef/>
      </w:r>
      <w:r>
        <w:rPr>
          <w:rtl/>
        </w:rPr>
        <w:t xml:space="preserve"> </w:t>
      </w:r>
      <w:r>
        <w:rPr>
          <w:rtl/>
        </w:rPr>
        <w:tab/>
      </w:r>
      <w:r>
        <w:rPr>
          <w:rFonts w:hint="cs"/>
          <w:rtl/>
        </w:rPr>
        <w:t xml:space="preserve">נתנאל קופראק, </w:t>
      </w:r>
      <w:r w:rsidRPr="00DA0683">
        <w:rPr>
          <w:rFonts w:hint="eastAsia"/>
          <w:b/>
          <w:bCs/>
          <w:rtl/>
        </w:rPr>
        <w:t>מערך</w:t>
      </w:r>
      <w:r w:rsidRPr="00DA0683">
        <w:rPr>
          <w:b/>
          <w:bCs/>
          <w:rtl/>
        </w:rPr>
        <w:t xml:space="preserve"> </w:t>
      </w:r>
      <w:r w:rsidRPr="00DA0683">
        <w:rPr>
          <w:rFonts w:hint="eastAsia"/>
          <w:b/>
          <w:bCs/>
          <w:rtl/>
        </w:rPr>
        <w:t>הדיור</w:t>
      </w:r>
      <w:r w:rsidRPr="00DA0683">
        <w:rPr>
          <w:b/>
          <w:bCs/>
          <w:rtl/>
        </w:rPr>
        <w:t xml:space="preserve"> </w:t>
      </w:r>
      <w:r w:rsidRPr="00DA0683">
        <w:rPr>
          <w:rFonts w:hint="eastAsia"/>
          <w:b/>
          <w:bCs/>
          <w:rtl/>
        </w:rPr>
        <w:t>הציבורי</w:t>
      </w:r>
      <w:r w:rsidRPr="00DA0683">
        <w:rPr>
          <w:b/>
          <w:bCs/>
          <w:rtl/>
        </w:rPr>
        <w:t xml:space="preserve"> </w:t>
      </w:r>
      <w:r w:rsidRPr="00DA0683">
        <w:rPr>
          <w:rFonts w:hint="eastAsia"/>
          <w:b/>
          <w:bCs/>
          <w:rtl/>
        </w:rPr>
        <w:t>בישראל</w:t>
      </w:r>
      <w:r w:rsidRPr="00DA0683">
        <w:rPr>
          <w:b/>
          <w:bCs/>
          <w:rtl/>
        </w:rPr>
        <w:t xml:space="preserve">, </w:t>
      </w:r>
      <w:r w:rsidRPr="00DA0683">
        <w:rPr>
          <w:rFonts w:hint="eastAsia"/>
          <w:b/>
          <w:bCs/>
          <w:rtl/>
        </w:rPr>
        <w:t>נתונים</w:t>
      </w:r>
      <w:r w:rsidRPr="00DA0683">
        <w:rPr>
          <w:b/>
          <w:bCs/>
          <w:rtl/>
        </w:rPr>
        <w:t xml:space="preserve"> </w:t>
      </w:r>
      <w:r w:rsidRPr="00DA0683">
        <w:rPr>
          <w:rFonts w:hint="eastAsia"/>
          <w:b/>
          <w:bCs/>
          <w:rtl/>
        </w:rPr>
        <w:t>ותנאי</w:t>
      </w:r>
      <w:r w:rsidRPr="00DA0683">
        <w:rPr>
          <w:b/>
          <w:bCs/>
          <w:rtl/>
        </w:rPr>
        <w:t xml:space="preserve"> </w:t>
      </w:r>
      <w:r w:rsidRPr="00DA0683">
        <w:rPr>
          <w:rFonts w:hint="eastAsia"/>
          <w:b/>
          <w:bCs/>
          <w:rtl/>
        </w:rPr>
        <w:t>זכאות</w:t>
      </w:r>
      <w:r>
        <w:rPr>
          <w:rFonts w:hint="cs"/>
          <w:b/>
          <w:bCs/>
          <w:rtl/>
        </w:rPr>
        <w:t xml:space="preserve"> </w:t>
      </w:r>
      <w:r>
        <w:rPr>
          <w:rFonts w:hint="cs"/>
          <w:rtl/>
        </w:rPr>
        <w:t xml:space="preserve">(2019), הכנסת, </w:t>
      </w:r>
      <w:r w:rsidRPr="00DA0683">
        <w:rPr>
          <w:rFonts w:hint="eastAsia"/>
          <w:rtl/>
        </w:rPr>
        <w:t>מרכז</w:t>
      </w:r>
      <w:r w:rsidRPr="00DA0683">
        <w:rPr>
          <w:rtl/>
        </w:rPr>
        <w:t xml:space="preserve"> </w:t>
      </w:r>
      <w:r w:rsidRPr="00DA0683">
        <w:rPr>
          <w:rFonts w:hint="eastAsia"/>
          <w:rtl/>
        </w:rPr>
        <w:t>המחקר</w:t>
      </w:r>
      <w:r w:rsidRPr="00DA0683">
        <w:rPr>
          <w:rtl/>
        </w:rPr>
        <w:t xml:space="preserve"> </w:t>
      </w:r>
      <w:r w:rsidRPr="00DA0683">
        <w:rPr>
          <w:rFonts w:hint="eastAsia"/>
          <w:rtl/>
        </w:rPr>
        <w:t>והמידע</w:t>
      </w:r>
      <w:r>
        <w:rPr>
          <w:rFonts w:hint="cs"/>
          <w:rtl/>
        </w:rPr>
        <w:t>.</w:t>
      </w:r>
      <w:r w:rsidRPr="00A172D2">
        <w:rPr>
          <w:rFonts w:hint="cs"/>
          <w:rtl/>
        </w:rPr>
        <w:t xml:space="preserve"> </w:t>
      </w:r>
    </w:p>
  </w:footnote>
  <w:footnote w:id="55">
    <w:p w14:paraId="48C312BD" w14:textId="0F7A1849" w:rsidR="00492C76" w:rsidRDefault="00492C76" w:rsidP="002A04CC">
      <w:pPr>
        <w:pStyle w:val="a7"/>
        <w:rPr>
          <w:rtl/>
        </w:rPr>
      </w:pPr>
      <w:r w:rsidRPr="0094160F">
        <w:footnoteRef/>
      </w:r>
      <w:r>
        <w:rPr>
          <w:rtl/>
        </w:rPr>
        <w:t xml:space="preserve"> </w:t>
      </w:r>
      <w:r>
        <w:rPr>
          <w:rtl/>
        </w:rPr>
        <w:tab/>
      </w:r>
      <w:r>
        <w:rPr>
          <w:rFonts w:hint="cs"/>
          <w:rtl/>
        </w:rPr>
        <w:t xml:space="preserve">ח"כ עאידה תומא סולימאן, </w:t>
      </w:r>
      <w:r w:rsidRPr="00345F78">
        <w:rPr>
          <w:rFonts w:hint="cs"/>
          <w:rtl/>
        </w:rPr>
        <w:t>פרוטוקול מס' 167</w:t>
      </w:r>
      <w:r>
        <w:rPr>
          <w:rFonts w:hint="cs"/>
          <w:rtl/>
        </w:rPr>
        <w:t>,</w:t>
      </w:r>
      <w:r w:rsidRPr="00345F78">
        <w:rPr>
          <w:rFonts w:hint="cs"/>
          <w:rtl/>
        </w:rPr>
        <w:t xml:space="preserve"> </w:t>
      </w:r>
      <w:r>
        <w:rPr>
          <w:rFonts w:hint="cs"/>
          <w:rtl/>
        </w:rPr>
        <w:t>ו</w:t>
      </w:r>
      <w:r w:rsidRPr="00345F78">
        <w:rPr>
          <w:rFonts w:hint="cs"/>
          <w:rtl/>
        </w:rPr>
        <w:t>עד</w:t>
      </w:r>
      <w:r>
        <w:rPr>
          <w:rFonts w:hint="cs"/>
          <w:rtl/>
        </w:rPr>
        <w:t>ת</w:t>
      </w:r>
      <w:r w:rsidRPr="00345F78">
        <w:rPr>
          <w:rFonts w:hint="cs"/>
          <w:rtl/>
        </w:rPr>
        <w:t xml:space="preserve"> </w:t>
      </w:r>
      <w:r>
        <w:rPr>
          <w:rFonts w:hint="cs"/>
          <w:rtl/>
        </w:rPr>
        <w:t xml:space="preserve">הכנסת </w:t>
      </w:r>
      <w:r w:rsidRPr="00345F78">
        <w:rPr>
          <w:rFonts w:hint="cs"/>
          <w:rtl/>
        </w:rPr>
        <w:t>לקידום מעמד האישה</w:t>
      </w:r>
      <w:r>
        <w:rPr>
          <w:rFonts w:hint="cs"/>
          <w:rtl/>
        </w:rPr>
        <w:t>, עמ' 1 (16.5.17).</w:t>
      </w:r>
    </w:p>
  </w:footnote>
  <w:footnote w:id="56">
    <w:p w14:paraId="7EB2C003" w14:textId="05BBC4D0" w:rsidR="00492C76" w:rsidRDefault="00492C76" w:rsidP="002A04CC">
      <w:pPr>
        <w:pStyle w:val="a7"/>
        <w:rPr>
          <w:rtl/>
        </w:rPr>
      </w:pPr>
      <w:r w:rsidRPr="0094160F">
        <w:footnoteRef/>
      </w:r>
      <w:r>
        <w:rPr>
          <w:rtl/>
        </w:rPr>
        <w:t xml:space="preserve"> </w:t>
      </w:r>
      <w:r>
        <w:rPr>
          <w:rtl/>
        </w:rPr>
        <w:tab/>
      </w:r>
      <w:r>
        <w:rPr>
          <w:rFonts w:hint="cs"/>
          <w:rtl/>
        </w:rPr>
        <w:t xml:space="preserve">פרוטוקול 167, ועדת הכנסת לקידום מעמדה האישה (16.5.17). </w:t>
      </w:r>
    </w:p>
  </w:footnote>
  <w:footnote w:id="57">
    <w:p w14:paraId="2A7D2DC0" w14:textId="77777777" w:rsidR="00492C76" w:rsidRDefault="00492C76" w:rsidP="002A04CC">
      <w:pPr>
        <w:pStyle w:val="a7"/>
        <w:rPr>
          <w:rtl/>
        </w:rPr>
      </w:pPr>
      <w:r w:rsidRPr="0094160F">
        <w:footnoteRef/>
      </w:r>
      <w:r>
        <w:rPr>
          <w:rtl/>
        </w:rPr>
        <w:t xml:space="preserve"> </w:t>
      </w:r>
      <w:r>
        <w:rPr>
          <w:rtl/>
        </w:rPr>
        <w:tab/>
      </w:r>
      <w:r>
        <w:t xml:space="preserve">Students Regulations and Policies guide, Models - Rules for Classrooms and studios </w:t>
      </w:r>
      <w:r w:rsidRPr="001A79C7">
        <w:rPr>
          <w:b/>
          <w:bCs/>
        </w:rPr>
        <w:t>Pennsylvania Academy of the fine arts</w:t>
      </w:r>
      <w:r>
        <w:t xml:space="preserve">, Policy prohibiting sexual and gender-based discrimination, harassment, and misconduct - </w:t>
      </w:r>
      <w:r w:rsidRPr="000A07A3">
        <w:rPr>
          <w:b/>
          <w:bCs/>
        </w:rPr>
        <w:t>Pennsylvania Academy of the fine arts</w:t>
      </w:r>
      <w:r>
        <w:t xml:space="preserve"> </w:t>
      </w:r>
      <w:r w:rsidRPr="000F0C2A">
        <w:t>https://www.pafa.org/titleix</w:t>
      </w:r>
      <w:r>
        <w:rPr>
          <w:rFonts w:hint="cs"/>
          <w:rtl/>
        </w:rPr>
        <w:t>.</w:t>
      </w:r>
    </w:p>
  </w:footnote>
  <w:footnote w:id="58">
    <w:p w14:paraId="1F50DF91" w14:textId="77777777" w:rsidR="00492C76" w:rsidRDefault="00492C76" w:rsidP="002A04CC">
      <w:pPr>
        <w:pStyle w:val="a7"/>
        <w:rPr>
          <w:rtl/>
        </w:rPr>
      </w:pPr>
      <w:r w:rsidRPr="0094160F">
        <w:footnoteRef/>
      </w:r>
      <w:r>
        <w:rPr>
          <w:rtl/>
        </w:rPr>
        <w:t xml:space="preserve"> </w:t>
      </w:r>
      <w:r>
        <w:rPr>
          <w:rtl/>
        </w:rPr>
        <w:tab/>
      </w:r>
      <w:r>
        <w:rPr>
          <w:rFonts w:hint="cs"/>
          <w:rtl/>
        </w:rPr>
        <w:t>בשיתוף וליווי של מרכז הסיוע לנפגעות תקיפה מינית בתל אביב.</w:t>
      </w:r>
    </w:p>
  </w:footnote>
  <w:footnote w:id="59">
    <w:p w14:paraId="7C9D75B8" w14:textId="77777777" w:rsidR="00492C76" w:rsidRPr="003A289D" w:rsidRDefault="00492C76" w:rsidP="002A04CC">
      <w:pPr>
        <w:pStyle w:val="a7"/>
        <w:rPr>
          <w:b/>
          <w:bCs/>
        </w:rPr>
      </w:pPr>
      <w:r w:rsidRPr="0094160F">
        <w:footnoteRef/>
      </w:r>
      <w:r>
        <w:rPr>
          <w:rtl/>
        </w:rPr>
        <w:t xml:space="preserve"> </w:t>
      </w:r>
      <w:r>
        <w:rPr>
          <w:rtl/>
        </w:rPr>
        <w:tab/>
      </w:r>
      <w:r w:rsidRPr="003A289D">
        <w:rPr>
          <w:rFonts w:hint="eastAsia"/>
          <w:rtl/>
        </w:rPr>
        <w:t>דנה</w:t>
      </w:r>
      <w:r w:rsidRPr="003A289D">
        <w:rPr>
          <w:rtl/>
        </w:rPr>
        <w:t xml:space="preserve"> גינוסר ותמי </w:t>
      </w:r>
      <w:r w:rsidRPr="003A289D">
        <w:rPr>
          <w:rFonts w:hint="eastAsia"/>
          <w:rtl/>
        </w:rPr>
        <w:t>קצביאן</w:t>
      </w:r>
      <w:r w:rsidRPr="003A289D">
        <w:rPr>
          <w:rtl/>
        </w:rPr>
        <w:t xml:space="preserve">, "בשירות </w:t>
      </w:r>
      <w:r w:rsidRPr="003A289D">
        <w:rPr>
          <w:rFonts w:hint="eastAsia"/>
          <w:rtl/>
        </w:rPr>
        <w:t>המדינה</w:t>
      </w:r>
      <w:r w:rsidRPr="003A289D">
        <w:rPr>
          <w:rtl/>
        </w:rPr>
        <w:t xml:space="preserve">: </w:t>
      </w:r>
      <w:r w:rsidRPr="003A289D">
        <w:rPr>
          <w:rFonts w:hint="eastAsia"/>
          <w:rtl/>
        </w:rPr>
        <w:t>מבט</w:t>
      </w:r>
      <w:r w:rsidRPr="003A289D">
        <w:rPr>
          <w:rtl/>
        </w:rPr>
        <w:t xml:space="preserve"> </w:t>
      </w:r>
      <w:r w:rsidRPr="003A289D">
        <w:rPr>
          <w:rFonts w:hint="eastAsia"/>
          <w:rtl/>
        </w:rPr>
        <w:t>ביקורתי</w:t>
      </w:r>
      <w:r w:rsidRPr="003A289D">
        <w:rPr>
          <w:rtl/>
        </w:rPr>
        <w:t xml:space="preserve"> </w:t>
      </w:r>
      <w:r w:rsidRPr="003A289D">
        <w:rPr>
          <w:rFonts w:hint="eastAsia"/>
          <w:rtl/>
        </w:rPr>
        <w:t>על</w:t>
      </w:r>
      <w:r w:rsidRPr="003A289D">
        <w:rPr>
          <w:rtl/>
        </w:rPr>
        <w:t xml:space="preserve"> </w:t>
      </w:r>
      <w:r w:rsidRPr="003A289D">
        <w:rPr>
          <w:rFonts w:hint="eastAsia"/>
          <w:rtl/>
        </w:rPr>
        <w:t>מניעה</w:t>
      </w:r>
      <w:r w:rsidRPr="003A289D">
        <w:rPr>
          <w:rtl/>
        </w:rPr>
        <w:t xml:space="preserve"> </w:t>
      </w:r>
      <w:r w:rsidRPr="003A289D">
        <w:rPr>
          <w:rFonts w:hint="eastAsia"/>
          <w:rtl/>
        </w:rPr>
        <w:t>וטיפול</w:t>
      </w:r>
      <w:r w:rsidRPr="003A289D">
        <w:rPr>
          <w:rtl/>
        </w:rPr>
        <w:t xml:space="preserve"> </w:t>
      </w:r>
      <w:r w:rsidRPr="003A289D">
        <w:rPr>
          <w:rFonts w:hint="eastAsia"/>
          <w:rtl/>
        </w:rPr>
        <w:t>בהטרדות</w:t>
      </w:r>
      <w:r w:rsidRPr="003A289D">
        <w:rPr>
          <w:rtl/>
        </w:rPr>
        <w:t xml:space="preserve"> </w:t>
      </w:r>
      <w:r w:rsidRPr="003A289D">
        <w:rPr>
          <w:rFonts w:hint="eastAsia"/>
          <w:rtl/>
        </w:rPr>
        <w:t>המיניות</w:t>
      </w:r>
      <w:r w:rsidRPr="003A289D">
        <w:rPr>
          <w:rtl/>
        </w:rPr>
        <w:t xml:space="preserve"> </w:t>
      </w:r>
      <w:r w:rsidRPr="003A289D">
        <w:rPr>
          <w:rFonts w:hint="eastAsia"/>
          <w:rtl/>
        </w:rPr>
        <w:t>במגזר</w:t>
      </w:r>
      <w:r w:rsidRPr="003A289D">
        <w:rPr>
          <w:rtl/>
        </w:rPr>
        <w:t xml:space="preserve"> </w:t>
      </w:r>
      <w:r w:rsidRPr="003A289D">
        <w:rPr>
          <w:rFonts w:hint="eastAsia"/>
          <w:rtl/>
        </w:rPr>
        <w:t>הציבורי</w:t>
      </w:r>
      <w:r w:rsidRPr="003A289D">
        <w:rPr>
          <w:rtl/>
        </w:rPr>
        <w:t>"</w:t>
      </w:r>
      <w:r>
        <w:rPr>
          <w:rFonts w:hint="cs"/>
          <w:b/>
          <w:bCs/>
          <w:rtl/>
        </w:rPr>
        <w:t xml:space="preserve">, </w:t>
      </w:r>
      <w:r w:rsidRPr="003A289D">
        <w:rPr>
          <w:b/>
          <w:bCs/>
          <w:rtl/>
        </w:rPr>
        <w:t xml:space="preserve">עבודה מטרידה: דו"ח שנתי </w:t>
      </w:r>
      <w:r>
        <w:rPr>
          <w:rFonts w:hint="cs"/>
          <w:b/>
          <w:bCs/>
          <w:rtl/>
        </w:rPr>
        <w:t xml:space="preserve">של </w:t>
      </w:r>
      <w:r w:rsidRPr="003A289D">
        <w:rPr>
          <w:b/>
          <w:bCs/>
          <w:rtl/>
        </w:rPr>
        <w:t>איגוד מרכזי הסיוע</w:t>
      </w:r>
      <w:r>
        <w:rPr>
          <w:rFonts w:hint="cs"/>
          <w:b/>
          <w:bCs/>
          <w:rtl/>
        </w:rPr>
        <w:t xml:space="preserve"> לנפגעות ונפגעי פגיעה מינית</w:t>
      </w:r>
      <w:r w:rsidRPr="00C903A9">
        <w:rPr>
          <w:rtl/>
        </w:rPr>
        <w:t xml:space="preserve"> (2014)</w:t>
      </w:r>
      <w:r>
        <w:rPr>
          <w:rFonts w:hint="cs"/>
          <w:b/>
          <w:bCs/>
          <w:rtl/>
        </w:rPr>
        <w:t>.</w:t>
      </w:r>
    </w:p>
  </w:footnote>
  <w:footnote w:id="60">
    <w:p w14:paraId="3FBA0EF4" w14:textId="77777777" w:rsidR="00492C76" w:rsidRDefault="00492C76" w:rsidP="002A04CC">
      <w:pPr>
        <w:pStyle w:val="a7"/>
      </w:pPr>
      <w:r w:rsidRPr="0094160F">
        <w:footnoteRef/>
      </w:r>
      <w:r>
        <w:rPr>
          <w:rtl/>
        </w:rPr>
        <w:t xml:space="preserve"> </w:t>
      </w:r>
      <w:r>
        <w:rPr>
          <w:rtl/>
        </w:rPr>
        <w:tab/>
      </w:r>
      <w:r>
        <w:rPr>
          <w:rFonts w:hint="cs"/>
          <w:rtl/>
        </w:rPr>
        <w:t>אילת ברעם</w:t>
      </w:r>
      <w:r w:rsidRPr="003A289D">
        <w:rPr>
          <w:rtl/>
        </w:rPr>
        <w:t>, "מנקודת מבטו של האחראי על החוק למניעת הטרדה מינית"</w:t>
      </w:r>
      <w:r>
        <w:rPr>
          <w:rFonts w:hint="cs"/>
          <w:rtl/>
        </w:rPr>
        <w:t>,</w:t>
      </w:r>
      <w:r w:rsidRPr="003A289D">
        <w:rPr>
          <w:rtl/>
        </w:rPr>
        <w:t xml:space="preserve"> בתוך: </w:t>
      </w:r>
      <w:r w:rsidRPr="003A289D">
        <w:rPr>
          <w:b/>
          <w:bCs/>
          <w:rtl/>
        </w:rPr>
        <w:t>מוצאים את ההטרדה לאור, דו"ח שנתי של איגוד מרכזי הסיוע</w:t>
      </w:r>
      <w:r>
        <w:rPr>
          <w:rFonts w:hint="cs"/>
          <w:rtl/>
        </w:rPr>
        <w:t xml:space="preserve"> (2008)</w:t>
      </w:r>
      <w:r w:rsidRPr="003A289D">
        <w:rPr>
          <w:rtl/>
        </w:rPr>
        <w:t xml:space="preserve">. </w:t>
      </w:r>
    </w:p>
  </w:footnote>
  <w:footnote w:id="61">
    <w:p w14:paraId="5FDC6AE6" w14:textId="77777777" w:rsidR="00492C76" w:rsidRDefault="00492C76" w:rsidP="002A04CC">
      <w:pPr>
        <w:pStyle w:val="a7"/>
      </w:pPr>
      <w:r w:rsidRPr="0094160F">
        <w:footnoteRef/>
      </w:r>
      <w:r>
        <w:rPr>
          <w:rtl/>
        </w:rPr>
        <w:t xml:space="preserve"> </w:t>
      </w:r>
      <w:r>
        <w:rPr>
          <w:rtl/>
        </w:rPr>
        <w:tab/>
      </w:r>
      <w:r>
        <w:rPr>
          <w:rFonts w:hint="cs"/>
          <w:rtl/>
        </w:rPr>
        <w:t>23% מהמשתתפות היו ממגזר העבודה הציבורי וכל השאר ממגזר העבודה הפרטי.</w:t>
      </w:r>
    </w:p>
  </w:footnote>
  <w:footnote w:id="62">
    <w:p w14:paraId="25FDE59A" w14:textId="77777777" w:rsidR="00492C76" w:rsidRDefault="00492C76" w:rsidP="002A04CC">
      <w:pPr>
        <w:pStyle w:val="a7"/>
        <w:rPr>
          <w:rtl/>
        </w:rPr>
      </w:pPr>
      <w:r w:rsidRPr="0094160F">
        <w:footnoteRef/>
      </w:r>
      <w:r>
        <w:rPr>
          <w:rtl/>
        </w:rPr>
        <w:t xml:space="preserve"> </w:t>
      </w:r>
      <w:r>
        <w:rPr>
          <w:rtl/>
        </w:rPr>
        <w:tab/>
      </w:r>
      <w:r>
        <w:rPr>
          <w:rFonts w:hint="cs"/>
          <w:rtl/>
        </w:rPr>
        <w:t>לפי הגדרת מינהל הסדרה ואכיפה, "עבירה רישומית" היא הפרת חובה מינהלית, בדומה להפרת חובות דיווח לרשויות שונות, ולא הפרה של חובה מהותית שיש בה כדי להשפיע על העובדים.</w:t>
      </w:r>
    </w:p>
  </w:footnote>
  <w:footnote w:id="63">
    <w:p w14:paraId="185E1BF1" w14:textId="77777777" w:rsidR="00492C76" w:rsidRDefault="00492C76" w:rsidP="002A04CC">
      <w:pPr>
        <w:pStyle w:val="a7"/>
      </w:pPr>
      <w:r w:rsidRPr="0094160F">
        <w:footnoteRef/>
      </w:r>
      <w:r>
        <w:rPr>
          <w:rtl/>
        </w:rPr>
        <w:t xml:space="preserve"> </w:t>
      </w:r>
      <w:r>
        <w:rPr>
          <w:rtl/>
        </w:rPr>
        <w:tab/>
      </w:r>
      <w:r>
        <w:rPr>
          <w:rFonts w:hint="cs"/>
          <w:rtl/>
        </w:rPr>
        <w:t xml:space="preserve">"ידיד בית המשפט" הוא </w:t>
      </w:r>
      <w:r w:rsidRPr="009067B4">
        <w:rPr>
          <w:rtl/>
        </w:rPr>
        <w:t xml:space="preserve">מוסד משפטי </w:t>
      </w:r>
      <w:r w:rsidRPr="009067B4">
        <w:rPr>
          <w:rFonts w:hint="cs"/>
          <w:rtl/>
        </w:rPr>
        <w:t>שמטרתו</w:t>
      </w:r>
      <w:r w:rsidRPr="009067B4">
        <w:rPr>
          <w:rtl/>
        </w:rPr>
        <w:t xml:space="preserve"> לסייע ל</w:t>
      </w:r>
      <w:hyperlink r:id="rId1" w:tooltip="בית משפט" w:history="1">
        <w:r w:rsidRPr="009067B4">
          <w:rPr>
            <w:rtl/>
          </w:rPr>
          <w:t>בית המשפט</w:t>
        </w:r>
      </w:hyperlink>
      <w:r w:rsidRPr="009067B4">
        <w:t> </w:t>
      </w:r>
      <w:r w:rsidRPr="009067B4">
        <w:rPr>
          <w:rtl/>
        </w:rPr>
        <w:t xml:space="preserve">בסוגיה כלשהי, </w:t>
      </w:r>
      <w:r>
        <w:rPr>
          <w:rFonts w:hint="cs"/>
          <w:rtl/>
        </w:rPr>
        <w:t xml:space="preserve">והוא </w:t>
      </w:r>
      <w:r w:rsidRPr="009067B4">
        <w:rPr>
          <w:rtl/>
        </w:rPr>
        <w:t>אינו צד ישיר לסכסוך הנדו</w:t>
      </w:r>
      <w:r>
        <w:rPr>
          <w:rFonts w:hint="cs"/>
          <w:rtl/>
        </w:rPr>
        <w:t xml:space="preserve">ן, </w:t>
      </w:r>
      <w:r w:rsidRPr="009067B4">
        <w:rPr>
          <w:rtl/>
        </w:rPr>
        <w:t xml:space="preserve">אלא שהוא מייצג - מתוקף תפקידו או עיסוקו - אינטרס או מומחיות שמן הראוי שיישמעו בפני בית המשפט בסכסוך </w:t>
      </w:r>
      <w:r>
        <w:rPr>
          <w:rFonts w:hint="cs"/>
          <w:rtl/>
        </w:rPr>
        <w:t>מסוים</w:t>
      </w:r>
      <w:r w:rsidRPr="009067B4">
        <w:t>.</w:t>
      </w:r>
    </w:p>
  </w:footnote>
  <w:footnote w:id="64">
    <w:p w14:paraId="6D629B9A" w14:textId="77777777" w:rsidR="00492C76" w:rsidRDefault="00492C76" w:rsidP="002A04CC">
      <w:pPr>
        <w:pStyle w:val="a7"/>
        <w:rPr>
          <w:rtl/>
        </w:rPr>
      </w:pPr>
      <w:r w:rsidRPr="0094160F">
        <w:footnoteRef/>
      </w:r>
      <w:r>
        <w:rPr>
          <w:rtl/>
        </w:rPr>
        <w:t xml:space="preserve"> </w:t>
      </w:r>
      <w:r>
        <w:rPr>
          <w:rtl/>
        </w:rPr>
        <w:tab/>
      </w:r>
      <w:r>
        <w:rPr>
          <w:rFonts w:hint="cs"/>
          <w:rtl/>
        </w:rPr>
        <w:t xml:space="preserve">החלטת ממשלה 3229 (אשה/7). </w:t>
      </w:r>
    </w:p>
  </w:footnote>
  <w:footnote w:id="65">
    <w:p w14:paraId="7AF865D7" w14:textId="77777777" w:rsidR="00492C76" w:rsidRDefault="00492C76" w:rsidP="002A04CC">
      <w:pPr>
        <w:pStyle w:val="a7"/>
        <w:rPr>
          <w:rtl/>
        </w:rPr>
      </w:pPr>
      <w:r w:rsidRPr="0094160F">
        <w:footnoteRef/>
      </w:r>
      <w:r>
        <w:rPr>
          <w:rtl/>
        </w:rPr>
        <w:t xml:space="preserve"> </w:t>
      </w:r>
      <w:r>
        <w:rPr>
          <w:rtl/>
        </w:rPr>
        <w:tab/>
      </w:r>
      <w:r>
        <w:rPr>
          <w:rFonts w:hint="cs"/>
          <w:rtl/>
        </w:rPr>
        <w:t xml:space="preserve">מתוך הסיכום השנתי לשנת 2017 של מינהל הסדרה. </w:t>
      </w:r>
    </w:p>
  </w:footnote>
  <w:footnote w:id="66">
    <w:p w14:paraId="2667F5E6" w14:textId="77777777" w:rsidR="00492C76" w:rsidRDefault="00492C76" w:rsidP="002A04CC">
      <w:pPr>
        <w:pStyle w:val="a7"/>
      </w:pPr>
      <w:r w:rsidRPr="0094160F">
        <w:footnoteRef/>
      </w:r>
      <w:r>
        <w:rPr>
          <w:rtl/>
        </w:rPr>
        <w:t xml:space="preserve"> </w:t>
      </w:r>
      <w:r>
        <w:rPr>
          <w:rtl/>
        </w:rPr>
        <w:tab/>
      </w:r>
      <w:r>
        <w:rPr>
          <w:rFonts w:hint="cs"/>
          <w:rtl/>
        </w:rPr>
        <w:t xml:space="preserve">דוגמת מערכת לפי ת"י (תקן ישראלי) 9001:2008, שהוא תקן לניהול איכות או מערכת דומה. </w:t>
      </w:r>
    </w:p>
  </w:footnote>
  <w:footnote w:id="67">
    <w:p w14:paraId="7D5137B7" w14:textId="77777777" w:rsidR="00492C76" w:rsidRDefault="00492C76" w:rsidP="002A04CC">
      <w:pPr>
        <w:pStyle w:val="a7"/>
        <w:rPr>
          <w:rtl/>
        </w:rPr>
      </w:pPr>
      <w:r w:rsidRPr="0094160F">
        <w:footnoteRef/>
      </w:r>
      <w:r>
        <w:rPr>
          <w:rtl/>
        </w:rPr>
        <w:t xml:space="preserve"> </w:t>
      </w:r>
      <w:r>
        <w:rPr>
          <w:rtl/>
        </w:rPr>
        <w:tab/>
      </w:r>
      <w:r>
        <w:rPr>
          <w:rFonts w:hint="cs"/>
          <w:rtl/>
        </w:rPr>
        <w:t>ת"י 10000.</w:t>
      </w:r>
    </w:p>
  </w:footnote>
  <w:footnote w:id="68">
    <w:p w14:paraId="2FD36C68" w14:textId="77777777" w:rsidR="00492C76" w:rsidRDefault="00492C76" w:rsidP="002A04CC">
      <w:pPr>
        <w:pStyle w:val="a7"/>
        <w:rPr>
          <w:rtl/>
        </w:rPr>
      </w:pPr>
      <w:r w:rsidRPr="0094160F">
        <w:footnoteRef/>
      </w:r>
      <w:r>
        <w:rPr>
          <w:rtl/>
        </w:rPr>
        <w:t xml:space="preserve"> </w:t>
      </w:r>
      <w:r>
        <w:rPr>
          <w:rtl/>
        </w:rPr>
        <w:tab/>
      </w:r>
      <w:r>
        <w:rPr>
          <w:rFonts w:hint="cs"/>
          <w:rtl/>
        </w:rPr>
        <w:t>ת"י 6567.</w:t>
      </w:r>
    </w:p>
  </w:footnote>
  <w:footnote w:id="69">
    <w:p w14:paraId="5CF28E3F" w14:textId="77777777" w:rsidR="00492C76" w:rsidRDefault="00492C76" w:rsidP="002A04CC">
      <w:pPr>
        <w:pStyle w:val="a7"/>
        <w:rPr>
          <w:rtl/>
        </w:rPr>
      </w:pPr>
      <w:r w:rsidRPr="0094160F">
        <w:footnoteRef/>
      </w:r>
      <w:r>
        <w:rPr>
          <w:rtl/>
        </w:rPr>
        <w:t xml:space="preserve"> </w:t>
      </w:r>
      <w:r>
        <w:rPr>
          <w:rtl/>
        </w:rPr>
        <w:tab/>
      </w:r>
      <w:r>
        <w:rPr>
          <w:rFonts w:hint="cs"/>
          <w:rtl/>
        </w:rPr>
        <w:t>סעיף 13 לחוק קובע כי "שר המשפטים ממונה על ביצוע חוק זה והוא רשאי, באישור הוועדה לקידום מעמד האשה של הכנסת, להתקין תקנות בכל עניין הנוגע לביצועו".</w:t>
      </w:r>
    </w:p>
  </w:footnote>
  <w:footnote w:id="70">
    <w:p w14:paraId="6047F721" w14:textId="77777777" w:rsidR="00492C76" w:rsidRDefault="00492C76" w:rsidP="002A04CC">
      <w:pPr>
        <w:pStyle w:val="a7"/>
      </w:pPr>
      <w:r w:rsidRPr="0094160F">
        <w:footnoteRef/>
      </w:r>
      <w:r>
        <w:rPr>
          <w:rtl/>
        </w:rPr>
        <w:t xml:space="preserve"> </w:t>
      </w:r>
      <w:r>
        <w:rPr>
          <w:rtl/>
        </w:rPr>
        <w:tab/>
      </w:r>
      <w:r w:rsidRPr="001F30DB">
        <w:rPr>
          <w:rtl/>
        </w:rPr>
        <w:t>ניתוח ההשפעה הרגולטורית (</w:t>
      </w:r>
      <w:r w:rsidRPr="001F30DB">
        <w:t>RIA</w:t>
      </w:r>
      <w:r w:rsidRPr="001F30DB">
        <w:rPr>
          <w:rtl/>
        </w:rPr>
        <w:t xml:space="preserve">) </w:t>
      </w:r>
      <w:r>
        <w:rPr>
          <w:rFonts w:hint="cs"/>
          <w:rtl/>
        </w:rPr>
        <w:t xml:space="preserve">הוא </w:t>
      </w:r>
      <w:r w:rsidRPr="001F30DB">
        <w:rPr>
          <w:rtl/>
        </w:rPr>
        <w:t xml:space="preserve">הערכה של ההשפעות החיוביות והשליליות של </w:t>
      </w:r>
      <w:r>
        <w:rPr>
          <w:rFonts w:hint="cs"/>
          <w:rtl/>
        </w:rPr>
        <w:t>חקיקה קיימת ועתידית</w:t>
      </w:r>
      <w:r>
        <w:rPr>
          <w:rtl/>
        </w:rPr>
        <w:t xml:space="preserve"> ו</w:t>
      </w:r>
      <w:r>
        <w:rPr>
          <w:rFonts w:hint="cs"/>
          <w:rtl/>
        </w:rPr>
        <w:t xml:space="preserve">של </w:t>
      </w:r>
      <w:r>
        <w:rPr>
          <w:rtl/>
        </w:rPr>
        <w:t>חלופות שאינן רגולטוריו</w:t>
      </w:r>
      <w:r>
        <w:rPr>
          <w:rFonts w:hint="cs"/>
          <w:rtl/>
        </w:rPr>
        <w:t>ת,</w:t>
      </w:r>
      <w:r w:rsidRPr="001F30DB">
        <w:rPr>
          <w:rtl/>
        </w:rPr>
        <w:t xml:space="preserve"> כמקובל במדינות ה-</w:t>
      </w:r>
      <w:r w:rsidRPr="001F30DB">
        <w:t>OECD</w:t>
      </w:r>
      <w:r>
        <w:rPr>
          <w:rFonts w:hint="cs"/>
          <w:rtl/>
        </w:rPr>
        <w:t>.</w:t>
      </w:r>
      <w:r w:rsidRPr="001F30DB">
        <w:rPr>
          <w:rtl/>
        </w:rPr>
        <w:t xml:space="preserve"> זהו מרכיב חשוב ב</w:t>
      </w:r>
      <w:r>
        <w:rPr>
          <w:rFonts w:hint="cs"/>
          <w:rtl/>
        </w:rPr>
        <w:t>תכנון מדיניות המתבסס על עובדות.</w:t>
      </w:r>
      <w:r w:rsidRPr="00367C69">
        <w:rPr>
          <w:rFonts w:hint="cs"/>
          <w:rtl/>
        </w:rPr>
        <w:t xml:space="preserve"> </w:t>
      </w:r>
      <w:r>
        <w:rPr>
          <w:rFonts w:hint="cs"/>
          <w:rtl/>
        </w:rPr>
        <w:t xml:space="preserve">(מתוך אתר </w:t>
      </w:r>
      <w:hyperlink r:id="rId2" w:history="1">
        <w:r w:rsidRPr="008F5CFB">
          <w:rPr>
            <w:rStyle w:val="Hyperlink"/>
          </w:rPr>
          <w:t>http://www.oecd.org/regreform/regulatory-policy/ria.htm</w:t>
        </w:r>
      </w:hyperlink>
      <w:r>
        <w:rPr>
          <w:rFonts w:hint="cs"/>
          <w:rtl/>
        </w:rPr>
        <w:t>)</w:t>
      </w:r>
    </w:p>
  </w:footnote>
  <w:footnote w:id="71">
    <w:p w14:paraId="43E08A93" w14:textId="77777777" w:rsidR="00492C76" w:rsidRDefault="00492C76" w:rsidP="002A04CC">
      <w:pPr>
        <w:pStyle w:val="a7"/>
      </w:pPr>
      <w:r w:rsidRPr="0094160F">
        <w:footnoteRef/>
      </w:r>
      <w:r>
        <w:rPr>
          <w:rtl/>
        </w:rPr>
        <w:t xml:space="preserve"> </w:t>
      </w:r>
      <w:r>
        <w:rPr>
          <w:rtl/>
        </w:rPr>
        <w:tab/>
      </w:r>
      <w:r>
        <w:rPr>
          <w:rFonts w:hint="cs"/>
          <w:rtl/>
        </w:rPr>
        <w:t xml:space="preserve">מבקר המדינה, </w:t>
      </w:r>
      <w:r>
        <w:rPr>
          <w:rFonts w:hint="cs"/>
          <w:b/>
          <w:bCs/>
          <w:rtl/>
        </w:rPr>
        <w:t xml:space="preserve">דוח ביקורת מיוחד, </w:t>
      </w:r>
      <w:r w:rsidRPr="00D41185">
        <w:rPr>
          <w:b/>
          <w:bCs/>
          <w:rtl/>
        </w:rPr>
        <w:t>הטיפול בעבירות משמעת בשירות המדינה</w:t>
      </w:r>
      <w:r>
        <w:rPr>
          <w:rFonts w:hint="cs"/>
          <w:rtl/>
        </w:rPr>
        <w:t xml:space="preserve"> (2017).</w:t>
      </w:r>
    </w:p>
  </w:footnote>
  <w:footnote w:id="72">
    <w:p w14:paraId="1830FE39" w14:textId="77777777" w:rsidR="00492C76" w:rsidRPr="008713DF" w:rsidRDefault="00492C76" w:rsidP="002A04CC">
      <w:pPr>
        <w:pStyle w:val="a7"/>
      </w:pPr>
      <w:r w:rsidRPr="0094160F">
        <w:footnoteRef/>
      </w:r>
      <w:r>
        <w:rPr>
          <w:rtl/>
        </w:rPr>
        <w:t xml:space="preserve"> </w:t>
      </w:r>
      <w:r>
        <w:rPr>
          <w:rtl/>
        </w:rPr>
        <w:tab/>
      </w:r>
      <w:r w:rsidRPr="008713DF">
        <w:rPr>
          <w:rFonts w:hint="cs"/>
          <w:rtl/>
        </w:rPr>
        <w:t xml:space="preserve">ראו </w:t>
      </w:r>
      <w:r>
        <w:rPr>
          <w:rFonts w:hint="cs"/>
          <w:rtl/>
        </w:rPr>
        <w:t>להלן</w:t>
      </w:r>
      <w:r w:rsidRPr="008713DF">
        <w:rPr>
          <w:rFonts w:hint="cs"/>
          <w:rtl/>
        </w:rPr>
        <w:t xml:space="preserve"> </w:t>
      </w:r>
      <w:r>
        <w:rPr>
          <w:rFonts w:hint="cs"/>
          <w:rtl/>
        </w:rPr>
        <w:t>את ה</w:t>
      </w:r>
      <w:r w:rsidRPr="008713DF">
        <w:rPr>
          <w:rFonts w:hint="cs"/>
          <w:rtl/>
        </w:rPr>
        <w:t>פרק העוסק</w:t>
      </w:r>
      <w:r>
        <w:rPr>
          <w:rFonts w:hint="cs"/>
          <w:rtl/>
        </w:rPr>
        <w:t xml:space="preserve"> </w:t>
      </w:r>
      <w:r w:rsidRPr="008713DF">
        <w:rPr>
          <w:rFonts w:hint="cs"/>
          <w:rtl/>
        </w:rPr>
        <w:t>ב</w:t>
      </w:r>
      <w:r w:rsidRPr="008713DF">
        <w:rPr>
          <w:rFonts w:hint="eastAsia"/>
          <w:rtl/>
        </w:rPr>
        <w:t>יישום</w:t>
      </w:r>
      <w:r w:rsidRPr="008713DF">
        <w:rPr>
          <w:rtl/>
        </w:rPr>
        <w:t xml:space="preserve"> </w:t>
      </w:r>
      <w:r w:rsidRPr="008713DF">
        <w:rPr>
          <w:rFonts w:hint="eastAsia"/>
          <w:rtl/>
        </w:rPr>
        <w:t>החוק</w:t>
      </w:r>
      <w:r w:rsidRPr="008713DF">
        <w:rPr>
          <w:rtl/>
        </w:rPr>
        <w:t xml:space="preserve"> </w:t>
      </w:r>
      <w:r w:rsidRPr="008713DF">
        <w:rPr>
          <w:rFonts w:hint="eastAsia"/>
          <w:rtl/>
        </w:rPr>
        <w:t>למניעת</w:t>
      </w:r>
      <w:r w:rsidRPr="008713DF">
        <w:rPr>
          <w:rtl/>
        </w:rPr>
        <w:t xml:space="preserve"> </w:t>
      </w:r>
      <w:r w:rsidRPr="008713DF">
        <w:rPr>
          <w:rFonts w:hint="eastAsia"/>
          <w:rtl/>
        </w:rPr>
        <w:t>הטרדה</w:t>
      </w:r>
      <w:r w:rsidRPr="008713DF">
        <w:rPr>
          <w:rtl/>
        </w:rPr>
        <w:t xml:space="preserve"> </w:t>
      </w:r>
      <w:r w:rsidRPr="008713DF">
        <w:rPr>
          <w:rFonts w:hint="eastAsia"/>
          <w:rtl/>
        </w:rPr>
        <w:t>מינית</w:t>
      </w:r>
      <w:r w:rsidRPr="008713DF">
        <w:rPr>
          <w:rtl/>
        </w:rPr>
        <w:t xml:space="preserve"> </w:t>
      </w:r>
      <w:r w:rsidRPr="008713DF">
        <w:rPr>
          <w:rFonts w:hint="eastAsia"/>
          <w:rtl/>
        </w:rPr>
        <w:t>במשרד</w:t>
      </w:r>
      <w:r w:rsidRPr="008713DF">
        <w:rPr>
          <w:rtl/>
        </w:rPr>
        <w:t xml:space="preserve"> </w:t>
      </w:r>
      <w:r w:rsidRPr="008713DF">
        <w:rPr>
          <w:rFonts w:hint="eastAsia"/>
          <w:rtl/>
        </w:rPr>
        <w:t>הבריאות</w:t>
      </w:r>
      <w:r w:rsidRPr="008713DF">
        <w:rPr>
          <w:rtl/>
        </w:rPr>
        <w:t xml:space="preserve"> </w:t>
      </w:r>
      <w:r w:rsidRPr="008713DF">
        <w:rPr>
          <w:rFonts w:hint="eastAsia"/>
          <w:rtl/>
        </w:rPr>
        <w:t>ובמשרד</w:t>
      </w:r>
      <w:r w:rsidRPr="008713DF">
        <w:rPr>
          <w:rtl/>
        </w:rPr>
        <w:t xml:space="preserve"> </w:t>
      </w:r>
      <w:r w:rsidRPr="008713DF">
        <w:rPr>
          <w:rFonts w:hint="eastAsia"/>
          <w:rtl/>
        </w:rPr>
        <w:t>החינוך</w:t>
      </w:r>
      <w:r>
        <w:rPr>
          <w:rFonts w:hint="cs"/>
          <w:rtl/>
        </w:rPr>
        <w:t>.</w:t>
      </w:r>
      <w:r w:rsidRPr="008713DF">
        <w:rPr>
          <w:rtl/>
        </w:rPr>
        <w:t xml:space="preserve"> </w:t>
      </w:r>
    </w:p>
  </w:footnote>
  <w:footnote w:id="73">
    <w:p w14:paraId="2A959BDD" w14:textId="77777777" w:rsidR="00492C76" w:rsidRDefault="00492C76" w:rsidP="002A04CC">
      <w:pPr>
        <w:pStyle w:val="a7"/>
        <w:rPr>
          <w:rtl/>
        </w:rPr>
      </w:pPr>
      <w:r w:rsidRPr="0094160F">
        <w:footnoteRef/>
      </w:r>
      <w:r>
        <w:rPr>
          <w:rtl/>
        </w:rPr>
        <w:t xml:space="preserve"> </w:t>
      </w:r>
      <w:r>
        <w:rPr>
          <w:rtl/>
        </w:rPr>
        <w:tab/>
      </w:r>
      <w:r>
        <w:rPr>
          <w:rFonts w:hint="cs"/>
          <w:rtl/>
        </w:rPr>
        <w:t>מיכל אלברשטין, "</w:t>
      </w:r>
      <w:r w:rsidRPr="00CF1806">
        <w:rPr>
          <w:rtl/>
        </w:rPr>
        <w:t>נציבות למניעת הטרדה מינית כטיפול בצל הסמכות: בין קרבנות ותוקפים</w:t>
      </w:r>
      <w:r>
        <w:rPr>
          <w:rFonts w:hint="cs"/>
          <w:rtl/>
        </w:rPr>
        <w:t xml:space="preserve">" (המאמר טרם פורסם). במאמר מדובר על טיפול בתלונות באוניברסיטת בר אילן על ידי הממונה באוניברסיטה (המכונה "נציבה"). </w:t>
      </w:r>
    </w:p>
  </w:footnote>
  <w:footnote w:id="74">
    <w:p w14:paraId="488927E1" w14:textId="77777777" w:rsidR="00492C76" w:rsidRDefault="00492C76" w:rsidP="002A04CC">
      <w:pPr>
        <w:pStyle w:val="a7"/>
        <w:rPr>
          <w:rtl/>
        </w:rPr>
      </w:pPr>
      <w:r w:rsidRPr="0094160F">
        <w:footnoteRef/>
      </w:r>
      <w:r>
        <w:rPr>
          <w:rtl/>
        </w:rPr>
        <w:t xml:space="preserve"> </w:t>
      </w:r>
      <w:r>
        <w:rPr>
          <w:rtl/>
        </w:rPr>
        <w:tab/>
      </w:r>
      <w:r>
        <w:rPr>
          <w:rFonts w:hint="cs"/>
          <w:rtl/>
        </w:rPr>
        <w:t>סעיף 1ח לפקודה מגדיר את המונח "יחסי מרות", שאיננו מוגדר בחוק למניעת הטרדה מינית, כ"יחסים שבין מפקד ופקוד בכל נתיבי הפיקוד או יחסים שיש בהם מרות או סמכות או השפעה, בין במישרין ובין בעקיפין".</w:t>
      </w:r>
    </w:p>
  </w:footnote>
  <w:footnote w:id="75">
    <w:p w14:paraId="50CBBE3A" w14:textId="77777777" w:rsidR="00492C76" w:rsidRDefault="00492C76" w:rsidP="002A04CC">
      <w:pPr>
        <w:pStyle w:val="a7"/>
      </w:pPr>
      <w:r w:rsidRPr="0094160F">
        <w:footnoteRef/>
      </w:r>
      <w:r>
        <w:rPr>
          <w:rtl/>
        </w:rPr>
        <w:t xml:space="preserve"> </w:t>
      </w:r>
      <w:r>
        <w:rPr>
          <w:rtl/>
        </w:rPr>
        <w:tab/>
      </w:r>
      <w:r>
        <w:rPr>
          <w:rFonts w:hint="cs"/>
          <w:rtl/>
        </w:rPr>
        <w:t>סעיף 9 לפקודה קובע כי החובה חלה על שוטר או מפקד שהיה עד להטרדה או שמע ממתלונן על הטרדה שחווה וכן מפקד שהובא לידיעתו מידע המעלה חשד למעשה של הטרדה מינית.</w:t>
      </w:r>
    </w:p>
  </w:footnote>
  <w:footnote w:id="76">
    <w:p w14:paraId="334D8898" w14:textId="77777777" w:rsidR="00492C76" w:rsidRDefault="00492C76" w:rsidP="002A04CC">
      <w:pPr>
        <w:pStyle w:val="a7"/>
        <w:rPr>
          <w:rtl/>
        </w:rPr>
      </w:pPr>
      <w:r w:rsidRPr="0094160F">
        <w:footnoteRef/>
      </w:r>
      <w:r>
        <w:rPr>
          <w:rtl/>
        </w:rPr>
        <w:t xml:space="preserve"> </w:t>
      </w:r>
      <w:r>
        <w:rPr>
          <w:rtl/>
        </w:rPr>
        <w:tab/>
      </w:r>
      <w:r>
        <w:rPr>
          <w:rFonts w:hint="cs"/>
          <w:rtl/>
        </w:rPr>
        <w:t>חוק לתיקון פקודת בתי הסוהר (מס' 35), התשס"ח-2008.</w:t>
      </w:r>
    </w:p>
  </w:footnote>
  <w:footnote w:id="77">
    <w:p w14:paraId="407DFAAC" w14:textId="77777777" w:rsidR="00492C76" w:rsidRDefault="00492C76" w:rsidP="002A04CC">
      <w:pPr>
        <w:pStyle w:val="a7"/>
      </w:pPr>
      <w:r w:rsidRPr="0094160F">
        <w:footnoteRef/>
      </w:r>
      <w:r>
        <w:rPr>
          <w:rtl/>
        </w:rPr>
        <w:t xml:space="preserve"> </w:t>
      </w:r>
      <w:r>
        <w:rPr>
          <w:rtl/>
        </w:rPr>
        <w:tab/>
      </w:r>
      <w:r>
        <w:rPr>
          <w:rFonts w:hint="cs"/>
          <w:rtl/>
        </w:rPr>
        <w:t>חוות דעת לוועדת שרים וחקיקה בעניין: הצעת חוק למניעת הטרדה מינית (תיקון - הרחבת התחולה לגבי מוסד ציבורי הנותן שירות חיוני), התשע"ז-2016</w:t>
      </w:r>
      <w:r w:rsidRPr="00EC34C0">
        <w:rPr>
          <w:rFonts w:hint="cs"/>
          <w:rtl/>
        </w:rPr>
        <w:t>.</w:t>
      </w:r>
    </w:p>
  </w:footnote>
  <w:footnote w:id="78">
    <w:p w14:paraId="3C066EF4" w14:textId="77777777" w:rsidR="00492C76" w:rsidRDefault="00492C76" w:rsidP="002A04CC">
      <w:pPr>
        <w:pStyle w:val="a7"/>
      </w:pPr>
      <w:r w:rsidRPr="002E24BB">
        <w:footnoteRef/>
      </w:r>
      <w:r>
        <w:rPr>
          <w:rtl/>
        </w:rPr>
        <w:t xml:space="preserve"> </w:t>
      </w:r>
      <w:r>
        <w:rPr>
          <w:rtl/>
        </w:rPr>
        <w:tab/>
      </w:r>
      <w:r>
        <w:rPr>
          <w:rFonts w:hint="cs"/>
          <w:rtl/>
        </w:rPr>
        <w:t>ישיבת ועדת הכנסת לקידום מעמד האישה ביום 9.2.16.</w:t>
      </w:r>
    </w:p>
  </w:footnote>
  <w:footnote w:id="79">
    <w:p w14:paraId="5DDB51A4" w14:textId="77777777" w:rsidR="00492C76" w:rsidRDefault="00492C76" w:rsidP="002A04CC">
      <w:pPr>
        <w:pStyle w:val="a7"/>
      </w:pPr>
      <w:r w:rsidRPr="002E24BB">
        <w:footnoteRef/>
      </w:r>
      <w:r>
        <w:rPr>
          <w:rtl/>
        </w:rPr>
        <w:t xml:space="preserve"> </w:t>
      </w:r>
      <w:r>
        <w:rPr>
          <w:rtl/>
        </w:rPr>
        <w:tab/>
      </w:r>
      <w:r>
        <w:rPr>
          <w:rFonts w:hint="cs"/>
          <w:rtl/>
        </w:rPr>
        <w:t>התקנה החילה חובות ייחודיות למניעת הטרדה מינית מלבד החובות המוטלות על פי החוק, ובהן: ביצוע פעולות הדרכה והסברה שעניינן מניעת הטרדה מינית והתנכלות אחת לשנה לפחות; מינוי שני אחראים למניעת הטרדה מינית במוסדות גדולים; קיום הכשרה לאחראים ש</w:t>
      </w:r>
      <w:r w:rsidRPr="009223C8">
        <w:rPr>
          <w:rtl/>
        </w:rPr>
        <w:t>היק</w:t>
      </w:r>
      <w:r>
        <w:rPr>
          <w:rFonts w:hint="cs"/>
          <w:rtl/>
        </w:rPr>
        <w:t xml:space="preserve">פה </w:t>
      </w:r>
      <w:r w:rsidRPr="009223C8">
        <w:rPr>
          <w:rtl/>
        </w:rPr>
        <w:t>לא יפחת מ-18 שעות</w:t>
      </w:r>
      <w:r>
        <w:rPr>
          <w:rFonts w:hint="cs"/>
          <w:rtl/>
        </w:rPr>
        <w:t xml:space="preserve"> ואשר </w:t>
      </w:r>
      <w:r w:rsidRPr="009223C8">
        <w:rPr>
          <w:rtl/>
        </w:rPr>
        <w:t xml:space="preserve">תעסוק בין השאר במהות התפקיד, </w:t>
      </w:r>
      <w:r>
        <w:rPr>
          <w:rFonts w:hint="cs"/>
          <w:rtl/>
        </w:rPr>
        <w:t>ב</w:t>
      </w:r>
      <w:r w:rsidRPr="009223C8">
        <w:rPr>
          <w:rtl/>
        </w:rPr>
        <w:t xml:space="preserve">הכרת החוק למניעת הטרדה מינית, </w:t>
      </w:r>
      <w:r>
        <w:rPr>
          <w:rFonts w:hint="cs"/>
          <w:rtl/>
        </w:rPr>
        <w:t>ב</w:t>
      </w:r>
      <w:r w:rsidRPr="009223C8">
        <w:rPr>
          <w:rtl/>
        </w:rPr>
        <w:t>דרכי מניעה ו</w:t>
      </w:r>
      <w:r>
        <w:rPr>
          <w:rFonts w:hint="cs"/>
          <w:rtl/>
        </w:rPr>
        <w:t>ב</w:t>
      </w:r>
      <w:r w:rsidRPr="009223C8">
        <w:rPr>
          <w:rtl/>
        </w:rPr>
        <w:t>אופן הטיפול בתלונות</w:t>
      </w:r>
      <w:r>
        <w:rPr>
          <w:rFonts w:hint="cs"/>
          <w:rtl/>
        </w:rPr>
        <w:t>; הגדרת "כוחות הביטחון" בחוק למניעת הטרדה מינית היא:</w:t>
      </w:r>
      <w:r w:rsidRPr="009223C8">
        <w:rPr>
          <w:rtl/>
        </w:rPr>
        <w:t xml:space="preserve"> </w:t>
      </w:r>
      <w:r>
        <w:rPr>
          <w:rFonts w:hint="cs"/>
          <w:rtl/>
        </w:rPr>
        <w:t>צה"ל</w:t>
      </w:r>
      <w:r w:rsidRPr="009223C8">
        <w:rPr>
          <w:rtl/>
        </w:rPr>
        <w:t xml:space="preserve">, </w:t>
      </w:r>
      <w:r>
        <w:rPr>
          <w:rFonts w:hint="cs"/>
          <w:rtl/>
        </w:rPr>
        <w:t>ה</w:t>
      </w:r>
      <w:r w:rsidRPr="009223C8">
        <w:rPr>
          <w:rtl/>
        </w:rPr>
        <w:t>משטר</w:t>
      </w:r>
      <w:r>
        <w:rPr>
          <w:rFonts w:hint="cs"/>
          <w:rtl/>
        </w:rPr>
        <w:t>ה</w:t>
      </w:r>
      <w:r w:rsidRPr="009223C8">
        <w:rPr>
          <w:rtl/>
        </w:rPr>
        <w:t xml:space="preserve">, </w:t>
      </w:r>
      <w:r>
        <w:rPr>
          <w:rFonts w:hint="cs"/>
          <w:rtl/>
        </w:rPr>
        <w:t xml:space="preserve">שב"ס </w:t>
      </w:r>
      <w:r w:rsidRPr="009223C8">
        <w:rPr>
          <w:rtl/>
        </w:rPr>
        <w:t>וארגוני הב</w:t>
      </w:r>
      <w:r>
        <w:rPr>
          <w:rFonts w:hint="cs"/>
          <w:rtl/>
        </w:rPr>
        <w:t>י</w:t>
      </w:r>
      <w:r w:rsidRPr="009223C8">
        <w:rPr>
          <w:rtl/>
        </w:rPr>
        <w:t>טחון האחרים של המדינה</w:t>
      </w:r>
      <w:r>
        <w:rPr>
          <w:rFonts w:hint="cs"/>
          <w:rtl/>
        </w:rPr>
        <w:t>.</w:t>
      </w:r>
    </w:p>
  </w:footnote>
  <w:footnote w:id="80">
    <w:p w14:paraId="41D7F9F6" w14:textId="77777777" w:rsidR="00492C76" w:rsidRDefault="00492C76" w:rsidP="002A04CC">
      <w:pPr>
        <w:pStyle w:val="a7"/>
      </w:pPr>
      <w:r w:rsidRPr="002E24BB">
        <w:footnoteRef/>
      </w:r>
      <w:r>
        <w:rPr>
          <w:rtl/>
        </w:rPr>
        <w:t xml:space="preserve"> </w:t>
      </w:r>
      <w:r>
        <w:rPr>
          <w:rtl/>
        </w:rPr>
        <w:tab/>
      </w:r>
      <w:r w:rsidRPr="0094011E">
        <w:rPr>
          <w:rFonts w:hint="eastAsia"/>
          <w:sz w:val="24"/>
          <w:rtl/>
        </w:rPr>
        <w:t>בהסתמך</w:t>
      </w:r>
      <w:r w:rsidRPr="0094011E">
        <w:rPr>
          <w:sz w:val="24"/>
          <w:rtl/>
        </w:rPr>
        <w:t xml:space="preserve"> </w:t>
      </w:r>
      <w:r w:rsidRPr="0094011E">
        <w:rPr>
          <w:rFonts w:hint="eastAsia"/>
          <w:sz w:val="24"/>
          <w:rtl/>
        </w:rPr>
        <w:t>על</w:t>
      </w:r>
      <w:r w:rsidRPr="0094011E">
        <w:rPr>
          <w:sz w:val="24"/>
          <w:rtl/>
        </w:rPr>
        <w:t xml:space="preserve"> </w:t>
      </w:r>
      <w:r w:rsidRPr="0094011E">
        <w:rPr>
          <w:rFonts w:hint="eastAsia"/>
          <w:sz w:val="24"/>
          <w:rtl/>
        </w:rPr>
        <w:t>תקנה</w:t>
      </w:r>
      <w:r w:rsidRPr="0094011E">
        <w:rPr>
          <w:sz w:val="24"/>
          <w:rtl/>
        </w:rPr>
        <w:t xml:space="preserve"> 6(ה) </w:t>
      </w:r>
      <w:r w:rsidRPr="0094011E">
        <w:rPr>
          <w:rFonts w:hint="eastAsia"/>
          <w:sz w:val="24"/>
          <w:rtl/>
        </w:rPr>
        <w:t>לתקנות</w:t>
      </w:r>
      <w:r>
        <w:rPr>
          <w:rFonts w:hint="cs"/>
          <w:sz w:val="24"/>
          <w:rtl/>
        </w:rPr>
        <w:t>,</w:t>
      </w:r>
      <w:r w:rsidRPr="0094011E">
        <w:rPr>
          <w:sz w:val="24"/>
          <w:rtl/>
        </w:rPr>
        <w:t xml:space="preserve"> </w:t>
      </w:r>
      <w:r w:rsidRPr="0094011E">
        <w:rPr>
          <w:rFonts w:hint="eastAsia"/>
          <w:sz w:val="24"/>
          <w:rtl/>
        </w:rPr>
        <w:t>הקובעת</w:t>
      </w:r>
      <w:r w:rsidRPr="0094011E">
        <w:rPr>
          <w:sz w:val="24"/>
          <w:rtl/>
        </w:rPr>
        <w:t xml:space="preserve"> </w:t>
      </w:r>
      <w:r w:rsidRPr="0094011E">
        <w:rPr>
          <w:rFonts w:hint="eastAsia"/>
          <w:sz w:val="24"/>
          <w:rtl/>
        </w:rPr>
        <w:t>כי</w:t>
      </w:r>
      <w:r w:rsidRPr="0094011E">
        <w:rPr>
          <w:sz w:val="24"/>
          <w:rtl/>
        </w:rPr>
        <w:t xml:space="preserve"> </w:t>
      </w:r>
      <w:r w:rsidRPr="0094011E">
        <w:rPr>
          <w:rFonts w:hint="eastAsia"/>
          <w:sz w:val="24"/>
          <w:rtl/>
        </w:rPr>
        <w:t>האחראי</w:t>
      </w:r>
      <w:r w:rsidRPr="0094011E">
        <w:rPr>
          <w:sz w:val="24"/>
          <w:rtl/>
        </w:rPr>
        <w:t xml:space="preserve"> </w:t>
      </w:r>
      <w:r w:rsidRPr="0094011E">
        <w:rPr>
          <w:rFonts w:hint="eastAsia"/>
          <w:sz w:val="24"/>
          <w:rtl/>
        </w:rPr>
        <w:t>למניעת</w:t>
      </w:r>
      <w:r w:rsidRPr="0094011E">
        <w:rPr>
          <w:sz w:val="24"/>
          <w:rtl/>
        </w:rPr>
        <w:t xml:space="preserve"> </w:t>
      </w:r>
      <w:r w:rsidRPr="0094011E">
        <w:rPr>
          <w:rFonts w:hint="eastAsia"/>
          <w:sz w:val="24"/>
          <w:rtl/>
        </w:rPr>
        <w:t>הטרדה</w:t>
      </w:r>
      <w:r w:rsidRPr="0094011E">
        <w:rPr>
          <w:sz w:val="24"/>
          <w:rtl/>
        </w:rPr>
        <w:t xml:space="preserve"> </w:t>
      </w:r>
      <w:r w:rsidRPr="0094011E">
        <w:rPr>
          <w:rFonts w:hint="eastAsia"/>
          <w:sz w:val="24"/>
          <w:rtl/>
        </w:rPr>
        <w:t>מינית</w:t>
      </w:r>
      <w:r w:rsidRPr="0094011E">
        <w:rPr>
          <w:sz w:val="24"/>
          <w:rtl/>
        </w:rPr>
        <w:t xml:space="preserve"> </w:t>
      </w:r>
      <w:r w:rsidRPr="0094011E">
        <w:rPr>
          <w:rFonts w:hint="eastAsia"/>
          <w:sz w:val="24"/>
          <w:rtl/>
        </w:rPr>
        <w:t>לא</w:t>
      </w:r>
      <w:r w:rsidRPr="0094011E">
        <w:rPr>
          <w:sz w:val="24"/>
          <w:rtl/>
        </w:rPr>
        <w:t xml:space="preserve"> </w:t>
      </w:r>
      <w:r w:rsidRPr="0094011E">
        <w:rPr>
          <w:rFonts w:hint="eastAsia"/>
          <w:sz w:val="24"/>
          <w:rtl/>
        </w:rPr>
        <w:t>יגלה</w:t>
      </w:r>
      <w:r w:rsidRPr="0094011E">
        <w:rPr>
          <w:sz w:val="24"/>
          <w:rtl/>
        </w:rPr>
        <w:t xml:space="preserve"> </w:t>
      </w:r>
      <w:r w:rsidRPr="0094011E">
        <w:rPr>
          <w:rFonts w:hint="eastAsia"/>
          <w:sz w:val="24"/>
          <w:rtl/>
        </w:rPr>
        <w:t>מידע</w:t>
      </w:r>
      <w:r w:rsidRPr="0094011E">
        <w:rPr>
          <w:sz w:val="24"/>
          <w:rtl/>
        </w:rPr>
        <w:t xml:space="preserve"> </w:t>
      </w:r>
      <w:r w:rsidRPr="0094011E">
        <w:rPr>
          <w:rFonts w:hint="eastAsia"/>
          <w:sz w:val="24"/>
          <w:rtl/>
        </w:rPr>
        <w:t>שהגיע</w:t>
      </w:r>
      <w:r w:rsidRPr="0094011E">
        <w:rPr>
          <w:sz w:val="24"/>
          <w:rtl/>
        </w:rPr>
        <w:t xml:space="preserve"> </w:t>
      </w:r>
      <w:r w:rsidRPr="0094011E">
        <w:rPr>
          <w:rFonts w:hint="eastAsia"/>
          <w:sz w:val="24"/>
          <w:rtl/>
        </w:rPr>
        <w:t>אליו</w:t>
      </w:r>
      <w:r w:rsidRPr="0094011E">
        <w:rPr>
          <w:sz w:val="24"/>
          <w:rtl/>
        </w:rPr>
        <w:t xml:space="preserve"> </w:t>
      </w:r>
      <w:r w:rsidRPr="0094011E">
        <w:rPr>
          <w:rFonts w:hint="eastAsia"/>
          <w:sz w:val="24"/>
          <w:rtl/>
        </w:rPr>
        <w:t>במהלך</w:t>
      </w:r>
      <w:r w:rsidRPr="0094011E">
        <w:rPr>
          <w:sz w:val="24"/>
          <w:rtl/>
        </w:rPr>
        <w:t xml:space="preserve"> </w:t>
      </w:r>
      <w:r w:rsidRPr="0094011E">
        <w:rPr>
          <w:rFonts w:hint="eastAsia"/>
          <w:sz w:val="24"/>
          <w:rtl/>
        </w:rPr>
        <w:t>בירור</w:t>
      </w:r>
      <w:r w:rsidRPr="0094011E">
        <w:rPr>
          <w:sz w:val="24"/>
          <w:rtl/>
        </w:rPr>
        <w:t xml:space="preserve"> </w:t>
      </w:r>
      <w:r w:rsidRPr="0094011E">
        <w:rPr>
          <w:rFonts w:hint="eastAsia"/>
          <w:sz w:val="24"/>
          <w:rtl/>
        </w:rPr>
        <w:t>התלונה</w:t>
      </w:r>
      <w:r w:rsidRPr="0094011E">
        <w:rPr>
          <w:sz w:val="24"/>
          <w:rtl/>
        </w:rPr>
        <w:t xml:space="preserve">, </w:t>
      </w:r>
      <w:r w:rsidRPr="0094011E">
        <w:rPr>
          <w:rFonts w:hint="eastAsia"/>
          <w:sz w:val="24"/>
          <w:rtl/>
        </w:rPr>
        <w:t>אלא</w:t>
      </w:r>
      <w:r w:rsidRPr="0094011E">
        <w:rPr>
          <w:sz w:val="24"/>
          <w:rtl/>
        </w:rPr>
        <w:t xml:space="preserve"> </w:t>
      </w:r>
      <w:r w:rsidRPr="0094011E">
        <w:rPr>
          <w:rFonts w:hint="eastAsia"/>
          <w:sz w:val="24"/>
          <w:rtl/>
        </w:rPr>
        <w:t>אם</w:t>
      </w:r>
      <w:r w:rsidRPr="0094011E">
        <w:rPr>
          <w:sz w:val="24"/>
          <w:rtl/>
        </w:rPr>
        <w:t xml:space="preserve"> </w:t>
      </w:r>
      <w:r w:rsidRPr="0094011E">
        <w:rPr>
          <w:rFonts w:hint="eastAsia"/>
          <w:sz w:val="24"/>
          <w:rtl/>
        </w:rPr>
        <w:t>כן</w:t>
      </w:r>
      <w:r w:rsidRPr="0094011E">
        <w:rPr>
          <w:sz w:val="24"/>
          <w:rtl/>
        </w:rPr>
        <w:t xml:space="preserve"> </w:t>
      </w:r>
      <w:r w:rsidRPr="0094011E">
        <w:rPr>
          <w:rFonts w:hint="eastAsia"/>
          <w:sz w:val="24"/>
          <w:rtl/>
        </w:rPr>
        <w:t>הוא</w:t>
      </w:r>
      <w:r w:rsidRPr="0094011E">
        <w:rPr>
          <w:sz w:val="24"/>
          <w:rtl/>
        </w:rPr>
        <w:t xml:space="preserve"> </w:t>
      </w:r>
      <w:r w:rsidRPr="0094011E">
        <w:rPr>
          <w:rFonts w:hint="eastAsia"/>
          <w:sz w:val="24"/>
          <w:rtl/>
        </w:rPr>
        <w:t>חייב</w:t>
      </w:r>
      <w:r w:rsidRPr="0094011E">
        <w:rPr>
          <w:sz w:val="24"/>
          <w:rtl/>
        </w:rPr>
        <w:t xml:space="preserve"> </w:t>
      </w:r>
      <w:r w:rsidRPr="0094011E">
        <w:rPr>
          <w:rFonts w:hint="eastAsia"/>
          <w:sz w:val="24"/>
          <w:rtl/>
        </w:rPr>
        <w:t>לעשות</w:t>
      </w:r>
      <w:r w:rsidRPr="0094011E">
        <w:rPr>
          <w:sz w:val="24"/>
          <w:rtl/>
        </w:rPr>
        <w:t xml:space="preserve"> </w:t>
      </w:r>
      <w:r w:rsidRPr="0094011E">
        <w:rPr>
          <w:rFonts w:hint="eastAsia"/>
          <w:sz w:val="24"/>
          <w:rtl/>
        </w:rPr>
        <w:t>כן</w:t>
      </w:r>
      <w:r w:rsidRPr="0094011E">
        <w:rPr>
          <w:sz w:val="24"/>
          <w:rtl/>
        </w:rPr>
        <w:t xml:space="preserve"> </w:t>
      </w:r>
      <w:r w:rsidRPr="0094011E">
        <w:rPr>
          <w:rFonts w:hint="eastAsia"/>
          <w:sz w:val="24"/>
          <w:rtl/>
        </w:rPr>
        <w:t>לשם</w:t>
      </w:r>
      <w:r w:rsidRPr="0094011E">
        <w:rPr>
          <w:sz w:val="24"/>
          <w:rtl/>
        </w:rPr>
        <w:t xml:space="preserve"> </w:t>
      </w:r>
      <w:r w:rsidRPr="0094011E">
        <w:rPr>
          <w:rFonts w:hint="eastAsia"/>
          <w:sz w:val="24"/>
          <w:rtl/>
        </w:rPr>
        <w:t>הבירור</w:t>
      </w:r>
      <w:r w:rsidRPr="0094011E">
        <w:rPr>
          <w:sz w:val="24"/>
          <w:rtl/>
        </w:rPr>
        <w:t xml:space="preserve"> </w:t>
      </w:r>
      <w:r w:rsidRPr="0094011E">
        <w:rPr>
          <w:rFonts w:hint="eastAsia"/>
          <w:sz w:val="24"/>
          <w:rtl/>
        </w:rPr>
        <w:t>עצמו</w:t>
      </w:r>
      <w:r w:rsidRPr="0094011E">
        <w:rPr>
          <w:sz w:val="24"/>
          <w:rtl/>
        </w:rPr>
        <w:t xml:space="preserve"> </w:t>
      </w:r>
      <w:r w:rsidRPr="0094011E">
        <w:rPr>
          <w:rFonts w:hint="eastAsia"/>
          <w:sz w:val="24"/>
          <w:rtl/>
        </w:rPr>
        <w:t>או</w:t>
      </w:r>
      <w:r w:rsidRPr="0094011E">
        <w:rPr>
          <w:sz w:val="24"/>
          <w:rtl/>
        </w:rPr>
        <w:t xml:space="preserve"> </w:t>
      </w:r>
      <w:r w:rsidRPr="0094011E">
        <w:rPr>
          <w:rFonts w:hint="eastAsia"/>
          <w:sz w:val="24"/>
          <w:rtl/>
        </w:rPr>
        <w:t>על</w:t>
      </w:r>
      <w:r w:rsidRPr="0094011E">
        <w:rPr>
          <w:sz w:val="24"/>
          <w:rtl/>
        </w:rPr>
        <w:t xml:space="preserve"> </w:t>
      </w:r>
      <w:r w:rsidRPr="0094011E">
        <w:rPr>
          <w:rFonts w:hint="eastAsia"/>
          <w:sz w:val="24"/>
          <w:rtl/>
        </w:rPr>
        <w:t>פי</w:t>
      </w:r>
      <w:r w:rsidRPr="0094011E">
        <w:rPr>
          <w:sz w:val="24"/>
          <w:rtl/>
        </w:rPr>
        <w:t xml:space="preserve"> </w:t>
      </w:r>
      <w:r w:rsidRPr="0094011E">
        <w:rPr>
          <w:rFonts w:hint="eastAsia"/>
          <w:sz w:val="24"/>
          <w:rtl/>
        </w:rPr>
        <w:t>דין</w:t>
      </w:r>
      <w:r>
        <w:rPr>
          <w:rFonts w:hint="cs"/>
          <w:rtl/>
        </w:rPr>
        <w:t>.</w:t>
      </w:r>
    </w:p>
  </w:footnote>
  <w:footnote w:id="81">
    <w:p w14:paraId="159D361A" w14:textId="77777777" w:rsidR="00492C76" w:rsidRDefault="00492C76" w:rsidP="002A04CC">
      <w:pPr>
        <w:pStyle w:val="a7"/>
        <w:rPr>
          <w:rtl/>
        </w:rPr>
      </w:pPr>
      <w:r w:rsidRPr="002E24BB">
        <w:footnoteRef/>
      </w:r>
      <w:r>
        <w:rPr>
          <w:rtl/>
        </w:rPr>
        <w:t xml:space="preserve"> </w:t>
      </w:r>
      <w:r>
        <w:rPr>
          <w:rtl/>
        </w:rPr>
        <w:tab/>
      </w:r>
      <w:r>
        <w:rPr>
          <w:rFonts w:hint="cs"/>
          <w:rtl/>
        </w:rPr>
        <w:t xml:space="preserve">הילה רימון גרינשפן, </w:t>
      </w:r>
      <w:r w:rsidRPr="00F42582">
        <w:rPr>
          <w:rFonts w:hint="eastAsia"/>
          <w:b/>
          <w:bCs/>
          <w:rtl/>
        </w:rPr>
        <w:t>טראומה</w:t>
      </w:r>
      <w:r w:rsidRPr="00F42582">
        <w:rPr>
          <w:b/>
          <w:bCs/>
          <w:rtl/>
        </w:rPr>
        <w:t xml:space="preserve"> </w:t>
      </w:r>
      <w:r w:rsidRPr="00F42582">
        <w:rPr>
          <w:rFonts w:hint="eastAsia"/>
          <w:b/>
          <w:bCs/>
          <w:rtl/>
        </w:rPr>
        <w:t>בטיפול</w:t>
      </w:r>
      <w:r w:rsidRPr="00F42582">
        <w:rPr>
          <w:b/>
          <w:bCs/>
          <w:rtl/>
        </w:rPr>
        <w:t xml:space="preserve"> - </w:t>
      </w:r>
      <w:r w:rsidRPr="00F42582">
        <w:rPr>
          <w:rFonts w:hint="eastAsia"/>
          <w:b/>
          <w:bCs/>
          <w:rtl/>
        </w:rPr>
        <w:t>פגיעה</w:t>
      </w:r>
      <w:r w:rsidRPr="00F42582">
        <w:rPr>
          <w:b/>
          <w:bCs/>
          <w:rtl/>
        </w:rPr>
        <w:t xml:space="preserve"> </w:t>
      </w:r>
      <w:r w:rsidRPr="00F42582">
        <w:rPr>
          <w:rFonts w:hint="eastAsia"/>
          <w:b/>
          <w:bCs/>
          <w:rtl/>
        </w:rPr>
        <w:t>מינית</w:t>
      </w:r>
      <w:r w:rsidRPr="00F42582">
        <w:rPr>
          <w:b/>
          <w:bCs/>
          <w:rtl/>
        </w:rPr>
        <w:t xml:space="preserve"> </w:t>
      </w:r>
      <w:r w:rsidRPr="00F42582">
        <w:rPr>
          <w:rFonts w:hint="eastAsia"/>
          <w:b/>
          <w:bCs/>
          <w:rtl/>
        </w:rPr>
        <w:t>ואשפוז</w:t>
      </w:r>
      <w:r w:rsidRPr="00F42582">
        <w:rPr>
          <w:b/>
          <w:bCs/>
          <w:rtl/>
        </w:rPr>
        <w:t xml:space="preserve"> </w:t>
      </w:r>
      <w:r w:rsidRPr="00F42582">
        <w:rPr>
          <w:rFonts w:hint="eastAsia"/>
          <w:b/>
          <w:bCs/>
          <w:rtl/>
        </w:rPr>
        <w:t>פסיכיאטרי</w:t>
      </w:r>
      <w:r w:rsidRPr="00F42582">
        <w:rPr>
          <w:b/>
          <w:bCs/>
          <w:rtl/>
        </w:rPr>
        <w:t xml:space="preserve">: </w:t>
      </w:r>
      <w:r w:rsidRPr="00F42582">
        <w:rPr>
          <w:rFonts w:hint="eastAsia"/>
          <w:b/>
          <w:bCs/>
          <w:rtl/>
        </w:rPr>
        <w:t>מיפוי</w:t>
      </w:r>
      <w:r w:rsidRPr="00F42582">
        <w:rPr>
          <w:b/>
          <w:bCs/>
          <w:rtl/>
        </w:rPr>
        <w:t xml:space="preserve"> </w:t>
      </w:r>
      <w:r w:rsidRPr="00F42582">
        <w:rPr>
          <w:rFonts w:hint="eastAsia"/>
          <w:b/>
          <w:bCs/>
          <w:rtl/>
        </w:rPr>
        <w:t>שירותים</w:t>
      </w:r>
      <w:r w:rsidRPr="00F42582">
        <w:rPr>
          <w:b/>
          <w:bCs/>
          <w:rtl/>
        </w:rPr>
        <w:t xml:space="preserve"> </w:t>
      </w:r>
      <w:r w:rsidRPr="00F42582">
        <w:rPr>
          <w:rFonts w:hint="eastAsia"/>
          <w:b/>
          <w:bCs/>
          <w:rtl/>
        </w:rPr>
        <w:t>ומדיניות</w:t>
      </w:r>
      <w:r w:rsidRPr="00F42582">
        <w:rPr>
          <w:b/>
          <w:bCs/>
          <w:rtl/>
        </w:rPr>
        <w:t xml:space="preserve"> </w:t>
      </w:r>
      <w:r w:rsidRPr="00F42582">
        <w:rPr>
          <w:rFonts w:hint="eastAsia"/>
          <w:b/>
          <w:bCs/>
          <w:rtl/>
        </w:rPr>
        <w:t>רווחה</w:t>
      </w:r>
      <w:r>
        <w:rPr>
          <w:rFonts w:hint="cs"/>
          <w:b/>
          <w:bCs/>
          <w:rtl/>
        </w:rPr>
        <w:t xml:space="preserve"> -</w:t>
      </w:r>
      <w:r w:rsidRPr="005074C3">
        <w:rPr>
          <w:rFonts w:hint="cs"/>
          <w:b/>
          <w:bCs/>
          <w:rtl/>
        </w:rPr>
        <w:t xml:space="preserve"> נייר מדיניות</w:t>
      </w:r>
      <w:r>
        <w:rPr>
          <w:rFonts w:hint="cs"/>
          <w:rtl/>
        </w:rPr>
        <w:t xml:space="preserve"> (2016), עמ' 26.</w:t>
      </w:r>
    </w:p>
  </w:footnote>
  <w:footnote w:id="82">
    <w:p w14:paraId="4B312DDB" w14:textId="77777777" w:rsidR="00492C76" w:rsidRDefault="00492C76" w:rsidP="002A04CC">
      <w:pPr>
        <w:pStyle w:val="a7"/>
        <w:rPr>
          <w:rtl/>
        </w:rPr>
      </w:pPr>
      <w:r w:rsidRPr="002E24BB">
        <w:footnoteRef/>
      </w:r>
      <w:r>
        <w:rPr>
          <w:rtl/>
        </w:rPr>
        <w:t xml:space="preserve"> </w:t>
      </w:r>
      <w:r>
        <w:rPr>
          <w:rtl/>
        </w:rPr>
        <w:tab/>
      </w:r>
      <w:r>
        <w:rPr>
          <w:rFonts w:hint="cs"/>
          <w:rtl/>
        </w:rPr>
        <w:t xml:space="preserve">טל ספירו, </w:t>
      </w:r>
      <w:r w:rsidRPr="00F42582">
        <w:rPr>
          <w:rFonts w:hint="eastAsia"/>
          <w:b/>
          <w:bCs/>
          <w:rtl/>
        </w:rPr>
        <w:t>אלימות</w:t>
      </w:r>
      <w:r w:rsidRPr="00F42582">
        <w:rPr>
          <w:b/>
          <w:bCs/>
          <w:rtl/>
        </w:rPr>
        <w:t xml:space="preserve"> </w:t>
      </w:r>
      <w:r w:rsidRPr="00F42582">
        <w:rPr>
          <w:rFonts w:hint="eastAsia"/>
          <w:b/>
          <w:bCs/>
          <w:rtl/>
        </w:rPr>
        <w:t>כלפי</w:t>
      </w:r>
      <w:r w:rsidRPr="00F42582">
        <w:rPr>
          <w:b/>
          <w:bCs/>
          <w:rtl/>
        </w:rPr>
        <w:t xml:space="preserve"> </w:t>
      </w:r>
      <w:r w:rsidRPr="00F42582">
        <w:rPr>
          <w:rFonts w:hint="eastAsia"/>
          <w:b/>
          <w:bCs/>
          <w:rtl/>
        </w:rPr>
        <w:t>מאושפזים</w:t>
      </w:r>
      <w:r w:rsidRPr="00F42582">
        <w:rPr>
          <w:b/>
          <w:bCs/>
          <w:rtl/>
        </w:rPr>
        <w:t xml:space="preserve"> </w:t>
      </w:r>
      <w:r w:rsidRPr="00F42582">
        <w:rPr>
          <w:rFonts w:hint="eastAsia"/>
          <w:b/>
          <w:bCs/>
          <w:rtl/>
        </w:rPr>
        <w:t>בבתי</w:t>
      </w:r>
      <w:r w:rsidRPr="00F42582">
        <w:rPr>
          <w:b/>
          <w:bCs/>
          <w:rtl/>
        </w:rPr>
        <w:t xml:space="preserve"> </w:t>
      </w:r>
      <w:r w:rsidRPr="00F42582">
        <w:rPr>
          <w:rFonts w:hint="eastAsia"/>
          <w:b/>
          <w:bCs/>
          <w:rtl/>
        </w:rPr>
        <w:t>החולים</w:t>
      </w:r>
      <w:r w:rsidRPr="00F42582">
        <w:rPr>
          <w:b/>
          <w:bCs/>
          <w:rtl/>
        </w:rPr>
        <w:t xml:space="preserve"> </w:t>
      </w:r>
      <w:r w:rsidRPr="00F42582">
        <w:rPr>
          <w:rFonts w:hint="eastAsia"/>
          <w:b/>
          <w:bCs/>
          <w:rtl/>
        </w:rPr>
        <w:t>לבריאות</w:t>
      </w:r>
      <w:r w:rsidRPr="00F42582">
        <w:rPr>
          <w:b/>
          <w:bCs/>
          <w:rtl/>
        </w:rPr>
        <w:t xml:space="preserve"> </w:t>
      </w:r>
      <w:r w:rsidRPr="00F42582">
        <w:rPr>
          <w:rFonts w:hint="eastAsia"/>
          <w:b/>
          <w:bCs/>
          <w:rtl/>
        </w:rPr>
        <w:t>הנפש</w:t>
      </w:r>
      <w:r>
        <w:rPr>
          <w:rFonts w:hint="cs"/>
          <w:i/>
          <w:iCs/>
          <w:rtl/>
        </w:rPr>
        <w:t xml:space="preserve"> </w:t>
      </w:r>
      <w:r>
        <w:rPr>
          <w:rFonts w:hint="cs"/>
          <w:rtl/>
        </w:rPr>
        <w:t xml:space="preserve">(23.12.13); הילה רימון גרינשפן, </w:t>
      </w:r>
      <w:r w:rsidRPr="00F42582">
        <w:rPr>
          <w:rFonts w:hint="eastAsia"/>
          <w:b/>
          <w:bCs/>
          <w:rtl/>
        </w:rPr>
        <w:t>טראומה</w:t>
      </w:r>
      <w:r w:rsidRPr="00F42582">
        <w:rPr>
          <w:b/>
          <w:bCs/>
          <w:rtl/>
        </w:rPr>
        <w:t xml:space="preserve"> </w:t>
      </w:r>
      <w:r w:rsidRPr="00F42582">
        <w:rPr>
          <w:rFonts w:hint="eastAsia"/>
          <w:b/>
          <w:bCs/>
          <w:rtl/>
        </w:rPr>
        <w:t>בטיפול</w:t>
      </w:r>
      <w:r w:rsidRPr="00F42582">
        <w:rPr>
          <w:b/>
          <w:bCs/>
          <w:rtl/>
        </w:rPr>
        <w:t xml:space="preserve"> - </w:t>
      </w:r>
      <w:r w:rsidRPr="00F42582">
        <w:rPr>
          <w:rFonts w:hint="eastAsia"/>
          <w:b/>
          <w:bCs/>
          <w:rtl/>
        </w:rPr>
        <w:t>פגיעה</w:t>
      </w:r>
      <w:r w:rsidRPr="00F42582">
        <w:rPr>
          <w:b/>
          <w:bCs/>
          <w:rtl/>
        </w:rPr>
        <w:t xml:space="preserve"> </w:t>
      </w:r>
      <w:r w:rsidRPr="00F42582">
        <w:rPr>
          <w:rFonts w:hint="eastAsia"/>
          <w:b/>
          <w:bCs/>
          <w:rtl/>
        </w:rPr>
        <w:t>מינית</w:t>
      </w:r>
      <w:r w:rsidRPr="00F42582">
        <w:rPr>
          <w:b/>
          <w:bCs/>
          <w:rtl/>
        </w:rPr>
        <w:t xml:space="preserve"> </w:t>
      </w:r>
      <w:r w:rsidRPr="00F42582">
        <w:rPr>
          <w:rFonts w:hint="eastAsia"/>
          <w:b/>
          <w:bCs/>
          <w:rtl/>
        </w:rPr>
        <w:t>ואשפוז</w:t>
      </w:r>
      <w:r w:rsidRPr="00F42582">
        <w:rPr>
          <w:b/>
          <w:bCs/>
          <w:rtl/>
        </w:rPr>
        <w:t xml:space="preserve"> </w:t>
      </w:r>
      <w:r w:rsidRPr="00F42582">
        <w:rPr>
          <w:rFonts w:hint="eastAsia"/>
          <w:b/>
          <w:bCs/>
          <w:rtl/>
        </w:rPr>
        <w:t>פסיכיאטרי</w:t>
      </w:r>
      <w:r w:rsidRPr="00F42582">
        <w:rPr>
          <w:b/>
          <w:bCs/>
          <w:rtl/>
        </w:rPr>
        <w:t>:</w:t>
      </w:r>
      <w:r w:rsidRPr="00D707DD">
        <w:rPr>
          <w:rFonts w:hint="cs"/>
          <w:rtl/>
        </w:rPr>
        <w:t xml:space="preserve"> </w:t>
      </w:r>
      <w:r w:rsidRPr="00F42582">
        <w:rPr>
          <w:rFonts w:hint="eastAsia"/>
          <w:b/>
          <w:bCs/>
          <w:rtl/>
        </w:rPr>
        <w:t>מיפוי</w:t>
      </w:r>
      <w:r w:rsidRPr="00F42582">
        <w:rPr>
          <w:b/>
          <w:bCs/>
          <w:rtl/>
        </w:rPr>
        <w:t xml:space="preserve"> </w:t>
      </w:r>
      <w:r w:rsidRPr="00F42582">
        <w:rPr>
          <w:rFonts w:hint="eastAsia"/>
          <w:b/>
          <w:bCs/>
          <w:rtl/>
        </w:rPr>
        <w:t>שירותים</w:t>
      </w:r>
      <w:r w:rsidRPr="00F42582">
        <w:rPr>
          <w:b/>
          <w:bCs/>
          <w:rtl/>
        </w:rPr>
        <w:t xml:space="preserve"> </w:t>
      </w:r>
      <w:r w:rsidRPr="00F42582">
        <w:rPr>
          <w:rFonts w:hint="eastAsia"/>
          <w:b/>
          <w:bCs/>
          <w:rtl/>
        </w:rPr>
        <w:t>ומדיניות</w:t>
      </w:r>
      <w:r w:rsidRPr="00F42582">
        <w:rPr>
          <w:b/>
          <w:bCs/>
          <w:rtl/>
        </w:rPr>
        <w:t xml:space="preserve"> </w:t>
      </w:r>
      <w:r w:rsidRPr="00F42582">
        <w:rPr>
          <w:rFonts w:hint="eastAsia"/>
          <w:b/>
          <w:bCs/>
          <w:rtl/>
        </w:rPr>
        <w:t>רווחה</w:t>
      </w:r>
      <w:r>
        <w:rPr>
          <w:rFonts w:hint="cs"/>
          <w:b/>
          <w:bCs/>
          <w:rtl/>
        </w:rPr>
        <w:t>,</w:t>
      </w:r>
      <w:r w:rsidRPr="005074C3">
        <w:rPr>
          <w:rFonts w:hint="cs"/>
          <w:b/>
          <w:bCs/>
          <w:rtl/>
        </w:rPr>
        <w:t xml:space="preserve"> נייר מדיניות</w:t>
      </w:r>
      <w:r>
        <w:rPr>
          <w:rFonts w:hint="cs"/>
          <w:rtl/>
        </w:rPr>
        <w:t xml:space="preserve"> (מאי 2016),</w:t>
      </w:r>
      <w:r w:rsidRPr="008A0AA4">
        <w:rPr>
          <w:rFonts w:hint="cs"/>
          <w:rtl/>
        </w:rPr>
        <w:t xml:space="preserve"> </w:t>
      </w:r>
      <w:r>
        <w:rPr>
          <w:rFonts w:hint="cs"/>
          <w:rtl/>
        </w:rPr>
        <w:t xml:space="preserve">עמ' 26. </w:t>
      </w:r>
    </w:p>
  </w:footnote>
  <w:footnote w:id="83">
    <w:p w14:paraId="38B8FD0E" w14:textId="77777777" w:rsidR="00492C76" w:rsidRDefault="00492C76" w:rsidP="002A04CC">
      <w:pPr>
        <w:pStyle w:val="a7"/>
        <w:rPr>
          <w:rtl/>
        </w:rPr>
      </w:pPr>
      <w:r w:rsidRPr="002E24BB">
        <w:footnoteRef/>
      </w:r>
      <w:r>
        <w:rPr>
          <w:rtl/>
        </w:rPr>
        <w:t xml:space="preserve"> </w:t>
      </w:r>
      <w:r>
        <w:rPr>
          <w:rtl/>
        </w:rPr>
        <w:tab/>
      </w:r>
      <w:r>
        <w:rPr>
          <w:rFonts w:hint="cs"/>
          <w:rtl/>
        </w:rPr>
        <w:t>פרוטוקול ישיבת ועדת הכנסת לקידום מעמד האישה (11.12.17),</w:t>
      </w:r>
      <w:r w:rsidRPr="00C6536A">
        <w:rPr>
          <w:rFonts w:hint="cs"/>
          <w:rtl/>
        </w:rPr>
        <w:t xml:space="preserve"> </w:t>
      </w:r>
      <w:r>
        <w:rPr>
          <w:rFonts w:hint="cs"/>
          <w:rtl/>
        </w:rPr>
        <w:t>עמ' 15.</w:t>
      </w:r>
    </w:p>
  </w:footnote>
  <w:footnote w:id="84">
    <w:p w14:paraId="2BD0DB67" w14:textId="77777777" w:rsidR="00492C76" w:rsidRDefault="00492C76" w:rsidP="002A04CC">
      <w:pPr>
        <w:pStyle w:val="a7"/>
      </w:pPr>
      <w:r w:rsidRPr="002E24BB">
        <w:footnoteRef/>
      </w:r>
      <w:r>
        <w:rPr>
          <w:rtl/>
        </w:rPr>
        <w:t xml:space="preserve"> </w:t>
      </w:r>
      <w:r>
        <w:rPr>
          <w:rtl/>
        </w:rPr>
        <w:tab/>
      </w:r>
      <w:r>
        <w:rPr>
          <w:rFonts w:hint="cs"/>
          <w:rtl/>
        </w:rPr>
        <w:t>הפרטים הנדרשים בטופס הפנייה המקוון, ערוצי הפנייה האפשריים, הפרטים שיש לכלול בפניה לצורך תחילת טיפול, אישור קבלת פנייה סטנדרטי שיישלח לפונה, הליך בקשת תגובה מהגורם המקצועי, מועדי הטיפול בתלונות וכיו"ב.</w:t>
      </w:r>
    </w:p>
  </w:footnote>
  <w:footnote w:id="85">
    <w:p w14:paraId="067DC5AE" w14:textId="499E2B0C" w:rsidR="00492C76" w:rsidRPr="00D707DD" w:rsidRDefault="00492C76" w:rsidP="002A04CC">
      <w:pPr>
        <w:pStyle w:val="a7"/>
        <w:rPr>
          <w:b/>
          <w:bCs/>
          <w:rtl/>
        </w:rPr>
      </w:pPr>
      <w:r w:rsidRPr="002E24BB">
        <w:footnoteRef/>
      </w:r>
      <w:r>
        <w:rPr>
          <w:rtl/>
        </w:rPr>
        <w:t xml:space="preserve"> </w:t>
      </w:r>
      <w:r>
        <w:rPr>
          <w:rtl/>
        </w:rPr>
        <w:tab/>
      </w:r>
      <w:r>
        <w:t>Ilia Kagan at al</w:t>
      </w:r>
      <w:r w:rsidRPr="00AF423D">
        <w:rPr>
          <w:i/>
          <w:iCs/>
        </w:rPr>
        <w:t>.</w:t>
      </w:r>
      <w:r>
        <w:t>,</w:t>
      </w:r>
      <w:r w:rsidRPr="00AF423D">
        <w:rPr>
          <w:i/>
          <w:iCs/>
        </w:rPr>
        <w:t xml:space="preserve"> </w:t>
      </w:r>
      <w:r>
        <w:t>"</w:t>
      </w:r>
      <w:r w:rsidRPr="00D707DD">
        <w:t>Sexual harassment by patients: the difference experience of female doctors, nurses and nurse aides</w:t>
      </w:r>
      <w:r>
        <w:t xml:space="preserve">", </w:t>
      </w:r>
      <w:r>
        <w:rPr>
          <w:b/>
          <w:bCs/>
        </w:rPr>
        <w:t xml:space="preserve">Medicine and Law </w:t>
      </w:r>
      <w:r w:rsidRPr="006A7B25">
        <w:t xml:space="preserve">vol.34 </w:t>
      </w:r>
      <w:r>
        <w:t>p</w:t>
      </w:r>
      <w:r w:rsidRPr="006A7B25">
        <w:t>.</w:t>
      </w:r>
      <w:r>
        <w:t xml:space="preserve"> </w:t>
      </w:r>
      <w:r w:rsidRPr="006A7B25">
        <w:t>8 (2015)</w:t>
      </w:r>
      <w:r>
        <w:rPr>
          <w:rFonts w:hint="cs"/>
          <w:b/>
          <w:bCs/>
          <w:rtl/>
        </w:rPr>
        <w:t>.</w:t>
      </w:r>
    </w:p>
  </w:footnote>
  <w:footnote w:id="86">
    <w:p w14:paraId="22154DB9" w14:textId="77777777" w:rsidR="00492C76" w:rsidRPr="004C6400" w:rsidRDefault="00492C76" w:rsidP="002A04CC">
      <w:pPr>
        <w:pStyle w:val="a7"/>
        <w:rPr>
          <w:rtl/>
        </w:rPr>
      </w:pPr>
      <w:r w:rsidRPr="002E24BB">
        <w:footnoteRef/>
      </w:r>
      <w:r>
        <w:rPr>
          <w:rtl/>
        </w:rPr>
        <w:t xml:space="preserve"> </w:t>
      </w:r>
      <w:r>
        <w:rPr>
          <w:rtl/>
        </w:rPr>
        <w:tab/>
      </w:r>
      <w:r w:rsidRPr="004C6400">
        <w:rPr>
          <w:rFonts w:ascii="Arial" w:hAnsi="Arial"/>
          <w:color w:val="333333"/>
          <w:shd w:val="clear" w:color="auto" w:fill="FFFFFF"/>
          <w:rtl/>
        </w:rPr>
        <w:t>מ</w:t>
      </w:r>
      <w:r>
        <w:rPr>
          <w:rFonts w:ascii="Arial" w:hAnsi="Arial" w:hint="cs"/>
          <w:color w:val="333333"/>
          <w:shd w:val="clear" w:color="auto" w:fill="FFFFFF"/>
          <w:rtl/>
        </w:rPr>
        <w:t>י</w:t>
      </w:r>
      <w:r w:rsidRPr="004C6400">
        <w:rPr>
          <w:rFonts w:ascii="Arial" w:hAnsi="Arial"/>
          <w:color w:val="333333"/>
          <w:shd w:val="clear" w:color="auto" w:fill="FFFFFF"/>
          <w:rtl/>
        </w:rPr>
        <w:t>נהל חברה ונוער</w:t>
      </w:r>
      <w:r w:rsidRPr="004C6400">
        <w:rPr>
          <w:rFonts w:ascii="Arial" w:hAnsi="Arial" w:hint="cs"/>
          <w:color w:val="333333"/>
          <w:shd w:val="clear" w:color="auto" w:fill="FFFFFF"/>
          <w:rtl/>
        </w:rPr>
        <w:t xml:space="preserve"> במשרד החינוך</w:t>
      </w:r>
      <w:r w:rsidRPr="004C6400">
        <w:rPr>
          <w:rFonts w:ascii="Arial" w:hAnsi="Arial"/>
          <w:color w:val="333333"/>
          <w:shd w:val="clear" w:color="auto" w:fill="FFFFFF"/>
          <w:rtl/>
        </w:rPr>
        <w:t xml:space="preserve"> אחראי </w:t>
      </w:r>
      <w:r>
        <w:rPr>
          <w:rFonts w:ascii="Arial" w:hAnsi="Arial" w:hint="cs"/>
          <w:color w:val="333333"/>
          <w:shd w:val="clear" w:color="auto" w:fill="FFFFFF"/>
          <w:rtl/>
        </w:rPr>
        <w:t>ל</w:t>
      </w:r>
      <w:r w:rsidRPr="004C6400">
        <w:rPr>
          <w:rFonts w:ascii="Arial" w:hAnsi="Arial"/>
          <w:color w:val="333333"/>
          <w:shd w:val="clear" w:color="auto" w:fill="FFFFFF"/>
          <w:rtl/>
        </w:rPr>
        <w:t xml:space="preserve">חינוך הערכי-חברתי-קהילתי (החינוך הבלתי פורמלי) </w:t>
      </w:r>
      <w:r>
        <w:rPr>
          <w:rFonts w:ascii="Arial" w:hAnsi="Arial" w:hint="cs"/>
          <w:color w:val="333333"/>
          <w:shd w:val="clear" w:color="auto" w:fill="FFFFFF"/>
          <w:rtl/>
        </w:rPr>
        <w:t>ש</w:t>
      </w:r>
      <w:r w:rsidRPr="004C6400">
        <w:rPr>
          <w:rFonts w:ascii="Arial" w:hAnsi="Arial"/>
          <w:color w:val="333333"/>
          <w:shd w:val="clear" w:color="auto" w:fill="FFFFFF"/>
          <w:rtl/>
        </w:rPr>
        <w:t>ל</w:t>
      </w:r>
      <w:r>
        <w:rPr>
          <w:rFonts w:ascii="Arial" w:hAnsi="Arial" w:hint="cs"/>
          <w:color w:val="333333"/>
          <w:shd w:val="clear" w:color="auto" w:fill="FFFFFF"/>
          <w:rtl/>
        </w:rPr>
        <w:t xml:space="preserve"> </w:t>
      </w:r>
      <w:r w:rsidRPr="004C6400">
        <w:rPr>
          <w:rFonts w:ascii="Arial" w:hAnsi="Arial"/>
          <w:color w:val="333333"/>
          <w:shd w:val="clear" w:color="auto" w:fill="FFFFFF"/>
          <w:rtl/>
        </w:rPr>
        <w:t xml:space="preserve">כלל בני הנוער במדינת ישראל לאור מטרות החינוך </w:t>
      </w:r>
      <w:r>
        <w:rPr>
          <w:rFonts w:ascii="Arial" w:hAnsi="Arial" w:hint="cs"/>
          <w:color w:val="333333"/>
          <w:shd w:val="clear" w:color="auto" w:fill="FFFFFF"/>
          <w:rtl/>
        </w:rPr>
        <w:t>ה</w:t>
      </w:r>
      <w:r w:rsidRPr="004C6400">
        <w:rPr>
          <w:rFonts w:ascii="Arial" w:hAnsi="Arial" w:hint="cs"/>
          <w:color w:val="333333"/>
          <w:shd w:val="clear" w:color="auto" w:fill="FFFFFF"/>
          <w:rtl/>
        </w:rPr>
        <w:t>אמור</w:t>
      </w:r>
      <w:r>
        <w:rPr>
          <w:rFonts w:ascii="Arial" w:hAnsi="Arial" w:hint="cs"/>
          <w:color w:val="333333"/>
          <w:shd w:val="clear" w:color="auto" w:fill="FFFFFF"/>
          <w:rtl/>
        </w:rPr>
        <w:t>ות</w:t>
      </w:r>
      <w:r w:rsidRPr="004C6400">
        <w:rPr>
          <w:rFonts w:ascii="Arial" w:hAnsi="Arial" w:hint="cs"/>
          <w:color w:val="333333"/>
          <w:shd w:val="clear" w:color="auto" w:fill="FFFFFF"/>
          <w:rtl/>
        </w:rPr>
        <w:t xml:space="preserve"> ב</w:t>
      </w:r>
      <w:r w:rsidRPr="004C6400">
        <w:rPr>
          <w:rFonts w:ascii="Arial" w:hAnsi="Arial"/>
          <w:color w:val="333333"/>
          <w:shd w:val="clear" w:color="auto" w:fill="FFFFFF"/>
          <w:rtl/>
        </w:rPr>
        <w:t xml:space="preserve">חוק חינוך </w:t>
      </w:r>
      <w:r w:rsidRPr="004C6400">
        <w:rPr>
          <w:rFonts w:ascii="Arial" w:hAnsi="Arial" w:hint="cs"/>
          <w:color w:val="333333"/>
          <w:shd w:val="clear" w:color="auto" w:fill="FFFFFF"/>
          <w:rtl/>
        </w:rPr>
        <w:t>ממלכתי</w:t>
      </w:r>
      <w:r>
        <w:rPr>
          <w:rFonts w:ascii="Arial" w:hAnsi="Arial" w:hint="cs"/>
          <w:color w:val="333333"/>
          <w:shd w:val="clear" w:color="auto" w:fill="FFFFFF"/>
          <w:rtl/>
        </w:rPr>
        <w:t>,</w:t>
      </w:r>
      <w:r w:rsidRPr="004C6400">
        <w:rPr>
          <w:rFonts w:ascii="Arial" w:hAnsi="Arial" w:hint="cs"/>
          <w:color w:val="333333"/>
          <w:shd w:val="clear" w:color="auto" w:fill="FFFFFF"/>
          <w:rtl/>
        </w:rPr>
        <w:t xml:space="preserve"> התשי"ג-1953. מ</w:t>
      </w:r>
      <w:r>
        <w:rPr>
          <w:rFonts w:ascii="Arial" w:hAnsi="Arial" w:hint="cs"/>
          <w:color w:val="333333"/>
          <w:shd w:val="clear" w:color="auto" w:fill="FFFFFF"/>
          <w:rtl/>
        </w:rPr>
        <w:t>י</w:t>
      </w:r>
      <w:r w:rsidRPr="004C6400">
        <w:rPr>
          <w:rFonts w:ascii="Arial" w:hAnsi="Arial" w:hint="cs"/>
          <w:color w:val="333333"/>
          <w:shd w:val="clear" w:color="auto" w:fill="FFFFFF"/>
          <w:rtl/>
        </w:rPr>
        <w:t xml:space="preserve">נהל חברה ונוער אחראי </w:t>
      </w:r>
      <w:r>
        <w:rPr>
          <w:rFonts w:ascii="Arial" w:hAnsi="Arial" w:hint="cs"/>
          <w:color w:val="333333"/>
          <w:shd w:val="clear" w:color="auto" w:fill="FFFFFF"/>
          <w:rtl/>
        </w:rPr>
        <w:t>ל</w:t>
      </w:r>
      <w:r w:rsidRPr="004C6400">
        <w:rPr>
          <w:rFonts w:ascii="Arial" w:hAnsi="Arial" w:hint="cs"/>
          <w:color w:val="333333"/>
          <w:shd w:val="clear" w:color="auto" w:fill="FFFFFF"/>
          <w:rtl/>
        </w:rPr>
        <w:t xml:space="preserve">חינוך בלתי פורמלי הן בתוך מערכת החינוך הרשמית והן במסגרות חינוכיות </w:t>
      </w:r>
      <w:r>
        <w:rPr>
          <w:rFonts w:hint="cs"/>
          <w:rtl/>
        </w:rPr>
        <w:t xml:space="preserve">מחוץ </w:t>
      </w:r>
      <w:r w:rsidRPr="004C6400">
        <w:rPr>
          <w:rFonts w:hint="cs"/>
          <w:rtl/>
        </w:rPr>
        <w:t>לבתי הספר כגון תנועות נוער ומתנ"סים</w:t>
      </w:r>
      <w:r>
        <w:rPr>
          <w:rFonts w:hint="cs"/>
          <w:rtl/>
        </w:rPr>
        <w:t>.</w:t>
      </w:r>
      <w:r w:rsidRPr="004C6400">
        <w:rPr>
          <w:rFonts w:hint="eastAsia"/>
          <w:rtl/>
        </w:rPr>
        <w:t xml:space="preserve"> ראו</w:t>
      </w:r>
      <w:r w:rsidRPr="004C6400">
        <w:rPr>
          <w:rtl/>
        </w:rPr>
        <w:t xml:space="preserve"> </w:t>
      </w:r>
      <w:r w:rsidRPr="004C6400">
        <w:t>http://edu.gov.il/noar/minhal/Pages/hp.aspx</w:t>
      </w:r>
    </w:p>
  </w:footnote>
  <w:footnote w:id="87">
    <w:p w14:paraId="26537DD0" w14:textId="5850F2DC" w:rsidR="00492C76" w:rsidRDefault="00492C76" w:rsidP="002A04CC">
      <w:pPr>
        <w:pStyle w:val="a7"/>
        <w:rPr>
          <w:rtl/>
        </w:rPr>
      </w:pPr>
      <w:r w:rsidRPr="002E24BB">
        <w:footnoteRef/>
      </w:r>
      <w:r>
        <w:rPr>
          <w:rtl/>
        </w:rPr>
        <w:t xml:space="preserve"> </w:t>
      </w:r>
      <w:r>
        <w:rPr>
          <w:rtl/>
        </w:rPr>
        <w:tab/>
      </w:r>
      <w:r>
        <w:rPr>
          <w:rFonts w:hint="cs"/>
          <w:rtl/>
        </w:rPr>
        <w:t>ספטמבר 2016 - אוגוסט 2017</w:t>
      </w:r>
      <w:r>
        <w:t>.</w:t>
      </w:r>
    </w:p>
  </w:footnote>
  <w:footnote w:id="88">
    <w:p w14:paraId="6C0E529A" w14:textId="77777777" w:rsidR="00492C76" w:rsidRPr="004C6400" w:rsidRDefault="00492C76" w:rsidP="002A04CC">
      <w:pPr>
        <w:pStyle w:val="a7"/>
      </w:pPr>
      <w:r w:rsidRPr="002E24BB">
        <w:footnoteRef/>
      </w:r>
      <w:r w:rsidRPr="004C6400">
        <w:rPr>
          <w:rtl/>
        </w:rPr>
        <w:t xml:space="preserve"> </w:t>
      </w:r>
      <w:r w:rsidRPr="004C6400">
        <w:rPr>
          <w:rtl/>
        </w:rPr>
        <w:tab/>
      </w:r>
      <w:r w:rsidRPr="004C6400">
        <w:rPr>
          <w:rFonts w:hint="cs"/>
          <w:rtl/>
        </w:rPr>
        <w:t>מערכת החינוך לשנת הלימודים תשע"</w:t>
      </w:r>
      <w:r>
        <w:rPr>
          <w:rFonts w:hint="cs"/>
          <w:rtl/>
        </w:rPr>
        <w:t>ט</w:t>
      </w:r>
      <w:r w:rsidRPr="004C6400">
        <w:rPr>
          <w:rFonts w:hint="cs"/>
          <w:rtl/>
        </w:rPr>
        <w:t xml:space="preserve"> - משרד החינוך, המ</w:t>
      </w:r>
      <w:r>
        <w:rPr>
          <w:rFonts w:hint="cs"/>
          <w:rtl/>
        </w:rPr>
        <w:t>י</w:t>
      </w:r>
      <w:r w:rsidRPr="004C6400">
        <w:rPr>
          <w:rFonts w:hint="cs"/>
          <w:rtl/>
        </w:rPr>
        <w:t>נהל לכלכלה ותקציבים (</w:t>
      </w:r>
      <w:r>
        <w:rPr>
          <w:rFonts w:hint="cs"/>
          <w:rtl/>
        </w:rPr>
        <w:t>אוגוסט 2018</w:t>
      </w:r>
      <w:r w:rsidRPr="004C6400">
        <w:rPr>
          <w:rFonts w:hint="cs"/>
          <w:rtl/>
        </w:rPr>
        <w:t>).</w:t>
      </w:r>
    </w:p>
  </w:footnote>
  <w:footnote w:id="89">
    <w:p w14:paraId="7C83C711" w14:textId="77777777" w:rsidR="00492C76" w:rsidRPr="004C6400" w:rsidRDefault="00492C76" w:rsidP="002A04CC">
      <w:pPr>
        <w:pStyle w:val="a7"/>
      </w:pPr>
      <w:r w:rsidRPr="002E24BB">
        <w:footnoteRef/>
      </w:r>
      <w:r w:rsidRPr="004C6400">
        <w:rPr>
          <w:rtl/>
        </w:rPr>
        <w:t xml:space="preserve"> </w:t>
      </w:r>
      <w:r w:rsidRPr="004C6400">
        <w:rPr>
          <w:rtl/>
        </w:rPr>
        <w:tab/>
      </w:r>
      <w:r w:rsidRPr="004C6400">
        <w:rPr>
          <w:rFonts w:hint="cs"/>
          <w:sz w:val="24"/>
          <w:rtl/>
        </w:rPr>
        <w:t>בעיקר עובדי ההוראה המועסקים במוסדות החינוך הרשמי (בתי הספר היסודיים וחטיבות הביניים)</w:t>
      </w:r>
      <w:r w:rsidRPr="004C6400">
        <w:rPr>
          <w:rFonts w:hint="cs"/>
          <w:rtl/>
        </w:rPr>
        <w:t>.</w:t>
      </w:r>
    </w:p>
  </w:footnote>
  <w:footnote w:id="90">
    <w:p w14:paraId="6678D162" w14:textId="77777777" w:rsidR="00492C76" w:rsidRPr="004C6400" w:rsidRDefault="00492C76" w:rsidP="002A04CC">
      <w:pPr>
        <w:pStyle w:val="a7"/>
        <w:rPr>
          <w:rtl/>
        </w:rPr>
      </w:pPr>
      <w:r w:rsidRPr="002E24BB">
        <w:footnoteRef/>
      </w:r>
      <w:r w:rsidRPr="004C6400">
        <w:rPr>
          <w:rtl/>
        </w:rPr>
        <w:t xml:space="preserve"> </w:t>
      </w:r>
      <w:r w:rsidRPr="004C6400">
        <w:rPr>
          <w:rtl/>
        </w:rPr>
        <w:tab/>
      </w:r>
      <w:r w:rsidRPr="004C6400">
        <w:rPr>
          <w:rFonts w:hint="cs"/>
          <w:sz w:val="24"/>
          <w:rtl/>
        </w:rPr>
        <w:t>בעיקר עובדי ההוראה המועסקים במוסדות החינוך המוכר ושאינו רשמי (תיכונים)</w:t>
      </w:r>
      <w:r w:rsidRPr="004C6400">
        <w:rPr>
          <w:rFonts w:hint="cs"/>
          <w:rtl/>
        </w:rPr>
        <w:t>.</w:t>
      </w:r>
    </w:p>
  </w:footnote>
  <w:footnote w:id="91">
    <w:p w14:paraId="44058055" w14:textId="77777777" w:rsidR="00492C76" w:rsidRPr="00523264" w:rsidRDefault="00492C76" w:rsidP="002A04CC">
      <w:pPr>
        <w:pStyle w:val="a7"/>
        <w:rPr>
          <w:rtl/>
        </w:rPr>
      </w:pPr>
      <w:r w:rsidRPr="002E24BB">
        <w:footnoteRef/>
      </w:r>
      <w:r>
        <w:rPr>
          <w:rtl/>
        </w:rPr>
        <w:t xml:space="preserve"> </w:t>
      </w:r>
      <w:r>
        <w:rPr>
          <w:rtl/>
        </w:rPr>
        <w:tab/>
      </w:r>
      <w:r w:rsidRPr="006E6920">
        <w:rPr>
          <w:rFonts w:hint="cs"/>
          <w:rtl/>
        </w:rPr>
        <w:t>יובל וורגן</w:t>
      </w:r>
      <w:r w:rsidRPr="006E6920">
        <w:rPr>
          <w:rtl/>
        </w:rPr>
        <w:t>,</w:t>
      </w:r>
      <w:r>
        <w:rPr>
          <w:rFonts w:hint="cs"/>
          <w:rtl/>
        </w:rPr>
        <w:t xml:space="preserve"> </w:t>
      </w:r>
      <w:r w:rsidRPr="009431EE">
        <w:rPr>
          <w:rFonts w:hint="eastAsia"/>
          <w:b/>
          <w:bCs/>
          <w:rtl/>
        </w:rPr>
        <w:t>העסקת</w:t>
      </w:r>
      <w:r w:rsidRPr="009431EE">
        <w:rPr>
          <w:b/>
          <w:bCs/>
          <w:rtl/>
        </w:rPr>
        <w:t xml:space="preserve"> </w:t>
      </w:r>
      <w:r w:rsidRPr="009431EE">
        <w:rPr>
          <w:rFonts w:hint="eastAsia"/>
          <w:b/>
          <w:bCs/>
          <w:rtl/>
        </w:rPr>
        <w:t>מורים</w:t>
      </w:r>
      <w:r w:rsidRPr="009431EE">
        <w:rPr>
          <w:b/>
          <w:bCs/>
          <w:rtl/>
        </w:rPr>
        <w:t xml:space="preserve"> </w:t>
      </w:r>
      <w:r w:rsidRPr="009431EE">
        <w:rPr>
          <w:rFonts w:hint="eastAsia"/>
          <w:b/>
          <w:bCs/>
          <w:rtl/>
        </w:rPr>
        <w:t>במערכת</w:t>
      </w:r>
      <w:r w:rsidRPr="009431EE">
        <w:rPr>
          <w:b/>
          <w:bCs/>
          <w:rtl/>
        </w:rPr>
        <w:t xml:space="preserve"> </w:t>
      </w:r>
      <w:r w:rsidRPr="009431EE">
        <w:rPr>
          <w:rFonts w:hint="eastAsia"/>
          <w:b/>
          <w:bCs/>
          <w:rtl/>
        </w:rPr>
        <w:t>החינוך</w:t>
      </w:r>
      <w:r w:rsidRPr="009431EE">
        <w:rPr>
          <w:b/>
          <w:bCs/>
          <w:rtl/>
        </w:rPr>
        <w:t xml:space="preserve">: </w:t>
      </w:r>
      <w:r w:rsidRPr="009431EE">
        <w:rPr>
          <w:rFonts w:hint="eastAsia"/>
          <w:b/>
          <w:bCs/>
          <w:rtl/>
        </w:rPr>
        <w:t>מעקב</w:t>
      </w:r>
      <w:r w:rsidRPr="009431EE">
        <w:rPr>
          <w:b/>
          <w:bCs/>
          <w:rtl/>
        </w:rPr>
        <w:t xml:space="preserve"> </w:t>
      </w:r>
      <w:r w:rsidRPr="009431EE">
        <w:rPr>
          <w:rFonts w:hint="eastAsia"/>
          <w:b/>
          <w:bCs/>
          <w:rtl/>
        </w:rPr>
        <w:t>אחר</w:t>
      </w:r>
      <w:r w:rsidRPr="009431EE">
        <w:rPr>
          <w:b/>
          <w:bCs/>
          <w:rtl/>
        </w:rPr>
        <w:t xml:space="preserve"> </w:t>
      </w:r>
      <w:r w:rsidRPr="009431EE">
        <w:rPr>
          <w:rFonts w:hint="eastAsia"/>
          <w:b/>
          <w:bCs/>
          <w:rtl/>
        </w:rPr>
        <w:t>התופעה</w:t>
      </w:r>
      <w:r w:rsidRPr="009431EE">
        <w:rPr>
          <w:b/>
          <w:bCs/>
          <w:rtl/>
        </w:rPr>
        <w:t xml:space="preserve"> </w:t>
      </w:r>
      <w:r w:rsidRPr="009431EE">
        <w:rPr>
          <w:rFonts w:hint="eastAsia"/>
          <w:b/>
          <w:bCs/>
          <w:rtl/>
        </w:rPr>
        <w:t>של</w:t>
      </w:r>
      <w:r w:rsidRPr="009431EE">
        <w:rPr>
          <w:b/>
          <w:bCs/>
          <w:rtl/>
        </w:rPr>
        <w:t xml:space="preserve"> </w:t>
      </w:r>
      <w:r w:rsidRPr="009431EE">
        <w:rPr>
          <w:rFonts w:hint="eastAsia"/>
          <w:b/>
          <w:bCs/>
          <w:rtl/>
        </w:rPr>
        <w:t>העסקת</w:t>
      </w:r>
      <w:r w:rsidRPr="009431EE">
        <w:rPr>
          <w:b/>
          <w:bCs/>
          <w:rtl/>
        </w:rPr>
        <w:t xml:space="preserve"> </w:t>
      </w:r>
      <w:r w:rsidRPr="009431EE">
        <w:rPr>
          <w:rFonts w:hint="eastAsia"/>
          <w:b/>
          <w:bCs/>
          <w:rtl/>
        </w:rPr>
        <w:t>מורים</w:t>
      </w:r>
      <w:r w:rsidRPr="009431EE">
        <w:rPr>
          <w:b/>
          <w:bCs/>
          <w:rtl/>
        </w:rPr>
        <w:t xml:space="preserve"> </w:t>
      </w:r>
      <w:r w:rsidRPr="009431EE">
        <w:rPr>
          <w:rFonts w:hint="eastAsia"/>
          <w:b/>
          <w:bCs/>
          <w:rtl/>
        </w:rPr>
        <w:t>באמצעות</w:t>
      </w:r>
      <w:r w:rsidRPr="009431EE">
        <w:rPr>
          <w:b/>
          <w:bCs/>
          <w:rtl/>
        </w:rPr>
        <w:t xml:space="preserve"> </w:t>
      </w:r>
      <w:r w:rsidRPr="009431EE">
        <w:rPr>
          <w:rFonts w:hint="eastAsia"/>
          <w:b/>
          <w:bCs/>
          <w:rtl/>
        </w:rPr>
        <w:t>גופים</w:t>
      </w:r>
      <w:r w:rsidRPr="009431EE">
        <w:rPr>
          <w:b/>
          <w:bCs/>
          <w:rtl/>
        </w:rPr>
        <w:t xml:space="preserve"> </w:t>
      </w:r>
      <w:r w:rsidRPr="009431EE">
        <w:rPr>
          <w:rFonts w:hint="eastAsia"/>
          <w:b/>
          <w:bCs/>
          <w:rtl/>
        </w:rPr>
        <w:t>מתווכים</w:t>
      </w:r>
      <w:r>
        <w:rPr>
          <w:rFonts w:hint="cs"/>
          <w:rtl/>
        </w:rPr>
        <w:t xml:space="preserve"> (8.12.11).</w:t>
      </w:r>
    </w:p>
  </w:footnote>
  <w:footnote w:id="92">
    <w:p w14:paraId="22190DA7" w14:textId="77777777" w:rsidR="00492C76" w:rsidRPr="004C6400" w:rsidRDefault="00492C76" w:rsidP="002A04CC">
      <w:pPr>
        <w:pStyle w:val="a7"/>
        <w:rPr>
          <w:rtl/>
        </w:rPr>
      </w:pPr>
      <w:r w:rsidRPr="002E24BB">
        <w:footnoteRef/>
      </w:r>
      <w:r w:rsidRPr="004C6400">
        <w:rPr>
          <w:rtl/>
        </w:rPr>
        <w:t xml:space="preserve"> </w:t>
      </w:r>
      <w:r w:rsidRPr="004C6400">
        <w:rPr>
          <w:rtl/>
        </w:rPr>
        <w:tab/>
      </w:r>
      <w:r w:rsidRPr="004C6400">
        <w:rPr>
          <w:rFonts w:hint="cs"/>
          <w:rtl/>
        </w:rPr>
        <w:t xml:space="preserve">חוזר </w:t>
      </w:r>
      <w:r w:rsidRPr="004C6400">
        <w:rPr>
          <w:rFonts w:hint="cs"/>
          <w:sz w:val="24"/>
          <w:rtl/>
        </w:rPr>
        <w:t>עה/8(ב)</w:t>
      </w:r>
      <w:r w:rsidRPr="004C6400">
        <w:rPr>
          <w:rFonts w:hint="cs"/>
          <w:rtl/>
        </w:rPr>
        <w:t>.</w:t>
      </w:r>
    </w:p>
  </w:footnote>
  <w:footnote w:id="93">
    <w:p w14:paraId="362D922A" w14:textId="77777777" w:rsidR="00492C76" w:rsidRDefault="00492C76" w:rsidP="002A04CC">
      <w:pPr>
        <w:pStyle w:val="a7"/>
        <w:rPr>
          <w:rtl/>
        </w:rPr>
      </w:pPr>
      <w:r w:rsidRPr="002E24BB">
        <w:footnoteRef/>
      </w:r>
      <w:r>
        <w:rPr>
          <w:rtl/>
        </w:rPr>
        <w:t xml:space="preserve"> </w:t>
      </w:r>
      <w:r>
        <w:rPr>
          <w:rtl/>
        </w:rPr>
        <w:tab/>
      </w:r>
      <w:r>
        <w:rPr>
          <w:rFonts w:hint="cs"/>
          <w:rtl/>
        </w:rPr>
        <w:t>הוועדה המייעצת למנכ"ל משרד החינוך לעניין מתן אישור העסקה לעובדי הוראה על רקע בחינת מידע בעניינם מהמרשם הפלילי - הנחיות פעולה (23.4.17).</w:t>
      </w:r>
    </w:p>
  </w:footnote>
  <w:footnote w:id="94">
    <w:p w14:paraId="0D4D2E93" w14:textId="77777777" w:rsidR="00492C76" w:rsidRDefault="00492C76" w:rsidP="002A04CC">
      <w:pPr>
        <w:pStyle w:val="a7"/>
      </w:pPr>
      <w:r w:rsidRPr="002E24BB">
        <w:footnoteRef/>
      </w:r>
      <w:r>
        <w:rPr>
          <w:rtl/>
        </w:rPr>
        <w:t xml:space="preserve"> </w:t>
      </w:r>
      <w:r>
        <w:rPr>
          <w:rtl/>
        </w:rPr>
        <w:tab/>
      </w:r>
      <w:r>
        <w:rPr>
          <w:rFonts w:hint="cs"/>
          <w:rtl/>
        </w:rPr>
        <w:t xml:space="preserve">הטעם לאי-הוצאת אישור העסקה במקרה זה הוא שהוכח למנכ"ל הכללי שיש בהתנהגותו של העובד משום השפעה מזיקה על תלמידים לפי סעיף 16(ב) לחוק הפיקוח על בתי הספר, התשכ"ט-1969. ראו לדוגמה את המלצת הוועדה למנכ"ל מ-6.4.17. על המלצה זו הוגשה עתירה לבג"ץ (בג"ץ 3904-18 </w:t>
      </w:r>
      <w:r w:rsidRPr="003A5FA5">
        <w:rPr>
          <w:rFonts w:hint="eastAsia"/>
          <w:b/>
          <w:bCs/>
          <w:rtl/>
        </w:rPr>
        <w:t>פלוני</w:t>
      </w:r>
      <w:r w:rsidRPr="003A5FA5">
        <w:rPr>
          <w:b/>
          <w:bCs/>
          <w:rtl/>
        </w:rPr>
        <w:t xml:space="preserve"> </w:t>
      </w:r>
      <w:r w:rsidRPr="003A5FA5">
        <w:rPr>
          <w:rFonts w:hint="eastAsia"/>
          <w:b/>
          <w:bCs/>
          <w:rtl/>
        </w:rPr>
        <w:t>נ</w:t>
      </w:r>
      <w:r w:rsidRPr="003A5FA5">
        <w:rPr>
          <w:b/>
          <w:bCs/>
          <w:rtl/>
        </w:rPr>
        <w:t xml:space="preserve">' </w:t>
      </w:r>
      <w:r w:rsidRPr="003A5FA5">
        <w:rPr>
          <w:rFonts w:hint="eastAsia"/>
          <w:b/>
          <w:bCs/>
          <w:rtl/>
        </w:rPr>
        <w:t>שר</w:t>
      </w:r>
      <w:r w:rsidRPr="003A5FA5">
        <w:rPr>
          <w:b/>
          <w:bCs/>
          <w:rtl/>
        </w:rPr>
        <w:t xml:space="preserve"> </w:t>
      </w:r>
      <w:r w:rsidRPr="003A5FA5">
        <w:rPr>
          <w:rFonts w:hint="eastAsia"/>
          <w:b/>
          <w:bCs/>
          <w:rtl/>
        </w:rPr>
        <w:t>החינוך</w:t>
      </w:r>
      <w:r>
        <w:rPr>
          <w:rFonts w:hint="cs"/>
          <w:rtl/>
        </w:rPr>
        <w:t xml:space="preserve">), אך היא נמחקה ביום 23.7.18 לאחר שבהמלצת בית המשפט חזר בו העותר מעתירתו. </w:t>
      </w:r>
    </w:p>
  </w:footnote>
  <w:footnote w:id="95">
    <w:p w14:paraId="650084A8" w14:textId="77777777" w:rsidR="00492C76" w:rsidRDefault="00492C76" w:rsidP="002A04CC">
      <w:pPr>
        <w:pStyle w:val="a7"/>
        <w:rPr>
          <w:rtl/>
        </w:rPr>
      </w:pPr>
      <w:r w:rsidRPr="002E24BB">
        <w:footnoteRef/>
      </w:r>
      <w:r>
        <w:rPr>
          <w:rtl/>
        </w:rPr>
        <w:t xml:space="preserve"> </w:t>
      </w:r>
      <w:r>
        <w:rPr>
          <w:sz w:val="24"/>
          <w:rtl/>
        </w:rPr>
        <w:tab/>
      </w:r>
      <w:r>
        <w:rPr>
          <w:rFonts w:hint="cs"/>
          <w:sz w:val="24"/>
          <w:rtl/>
        </w:rPr>
        <w:t xml:space="preserve">מבקר המדינה, </w:t>
      </w:r>
      <w:r w:rsidRPr="00A70474">
        <w:rPr>
          <w:rFonts w:hint="eastAsia"/>
          <w:b/>
          <w:bCs/>
          <w:sz w:val="24"/>
          <w:rtl/>
        </w:rPr>
        <w:t>דוח</w:t>
      </w:r>
      <w:r w:rsidRPr="00A70474">
        <w:rPr>
          <w:b/>
          <w:bCs/>
          <w:sz w:val="24"/>
          <w:rtl/>
        </w:rPr>
        <w:t xml:space="preserve"> </w:t>
      </w:r>
      <w:r w:rsidRPr="00A70474">
        <w:rPr>
          <w:rFonts w:hint="eastAsia"/>
          <w:b/>
          <w:bCs/>
          <w:sz w:val="24"/>
          <w:rtl/>
        </w:rPr>
        <w:t>שנתי</w:t>
      </w:r>
      <w:r w:rsidRPr="00A70474">
        <w:rPr>
          <w:b/>
          <w:bCs/>
          <w:sz w:val="24"/>
          <w:rtl/>
        </w:rPr>
        <w:t xml:space="preserve"> 66ג </w:t>
      </w:r>
      <w:r>
        <w:rPr>
          <w:rFonts w:hint="cs"/>
          <w:rtl/>
        </w:rPr>
        <w:t>(2016)</w:t>
      </w:r>
      <w:r w:rsidRPr="00A70474">
        <w:rPr>
          <w:b/>
          <w:bCs/>
          <w:sz w:val="24"/>
          <w:rtl/>
        </w:rPr>
        <w:t xml:space="preserve"> </w:t>
      </w:r>
      <w:r w:rsidRPr="00A70474">
        <w:rPr>
          <w:sz w:val="24"/>
          <w:rtl/>
        </w:rPr>
        <w:t>"</w:t>
      </w:r>
      <w:r w:rsidRPr="00DA3E47">
        <w:rPr>
          <w:rFonts w:hint="eastAsia"/>
          <w:sz w:val="24"/>
          <w:rtl/>
        </w:rPr>
        <w:t>ניהול</w:t>
      </w:r>
      <w:r w:rsidRPr="00DA3E47">
        <w:rPr>
          <w:sz w:val="24"/>
          <w:rtl/>
        </w:rPr>
        <w:t xml:space="preserve"> </w:t>
      </w:r>
      <w:r w:rsidRPr="00DA3E47">
        <w:rPr>
          <w:rFonts w:hint="eastAsia"/>
          <w:sz w:val="24"/>
          <w:rtl/>
        </w:rPr>
        <w:t>רשומות</w:t>
      </w:r>
      <w:r w:rsidRPr="00DA3E47">
        <w:rPr>
          <w:sz w:val="24"/>
          <w:rtl/>
        </w:rPr>
        <w:t xml:space="preserve"> </w:t>
      </w:r>
      <w:r w:rsidRPr="00DA3E47">
        <w:rPr>
          <w:rFonts w:hint="eastAsia"/>
          <w:sz w:val="24"/>
          <w:rtl/>
        </w:rPr>
        <w:t>אלקטרוניות</w:t>
      </w:r>
      <w:r w:rsidRPr="00DA3E47">
        <w:rPr>
          <w:sz w:val="24"/>
          <w:rtl/>
        </w:rPr>
        <w:t xml:space="preserve"> </w:t>
      </w:r>
      <w:r w:rsidRPr="00DA3E47">
        <w:rPr>
          <w:rFonts w:hint="eastAsia"/>
          <w:sz w:val="24"/>
          <w:rtl/>
        </w:rPr>
        <w:t>ושימורן</w:t>
      </w:r>
      <w:r w:rsidRPr="00DA3E47">
        <w:rPr>
          <w:sz w:val="24"/>
          <w:rtl/>
        </w:rPr>
        <w:t xml:space="preserve"> </w:t>
      </w:r>
      <w:r w:rsidRPr="00DA3E47">
        <w:rPr>
          <w:rFonts w:hint="eastAsia"/>
          <w:sz w:val="24"/>
          <w:rtl/>
        </w:rPr>
        <w:t>במשרדי</w:t>
      </w:r>
      <w:r w:rsidRPr="00DA3E47">
        <w:rPr>
          <w:sz w:val="24"/>
          <w:rtl/>
        </w:rPr>
        <w:t xml:space="preserve"> </w:t>
      </w:r>
      <w:r w:rsidRPr="00DA3E47">
        <w:rPr>
          <w:rFonts w:hint="eastAsia"/>
          <w:sz w:val="24"/>
          <w:rtl/>
        </w:rPr>
        <w:t>ממשלה</w:t>
      </w:r>
      <w:r>
        <w:rPr>
          <w:rFonts w:hint="cs"/>
          <w:rtl/>
        </w:rPr>
        <w:t>", עמ' 151.</w:t>
      </w:r>
    </w:p>
  </w:footnote>
  <w:footnote w:id="96">
    <w:p w14:paraId="5FEE1744" w14:textId="77777777" w:rsidR="00492C76" w:rsidRDefault="00492C76" w:rsidP="002A04CC">
      <w:pPr>
        <w:pStyle w:val="a7"/>
        <w:rPr>
          <w:rtl/>
        </w:rPr>
      </w:pPr>
      <w:r w:rsidRPr="002E24BB">
        <w:footnoteRef/>
      </w:r>
      <w:r>
        <w:rPr>
          <w:rtl/>
        </w:rPr>
        <w:t xml:space="preserve"> </w:t>
      </w:r>
      <w:r>
        <w:rPr>
          <w:rtl/>
        </w:rPr>
        <w:tab/>
      </w:r>
      <w:r>
        <w:rPr>
          <w:rFonts w:hint="cs"/>
          <w:sz w:val="24"/>
          <w:rtl/>
        </w:rPr>
        <w:t>שם</w:t>
      </w:r>
      <w:r>
        <w:rPr>
          <w:rFonts w:hint="cs"/>
          <w:rtl/>
        </w:rPr>
        <w:t>, עמ' 161.</w:t>
      </w:r>
    </w:p>
  </w:footnote>
  <w:footnote w:id="97">
    <w:p w14:paraId="4BFF7DAB" w14:textId="77777777" w:rsidR="00492C76" w:rsidRPr="003704CF" w:rsidRDefault="00492C76" w:rsidP="002A04CC">
      <w:pPr>
        <w:pStyle w:val="a7"/>
      </w:pPr>
      <w:r w:rsidRPr="002E24BB">
        <w:footnoteRef/>
      </w:r>
      <w:r>
        <w:rPr>
          <w:rtl/>
        </w:rPr>
        <w:t xml:space="preserve"> </w:t>
      </w:r>
      <w:r>
        <w:rPr>
          <w:rtl/>
        </w:rPr>
        <w:tab/>
      </w:r>
      <w:r>
        <w:rPr>
          <w:rFonts w:hint="cs"/>
          <w:rtl/>
        </w:rPr>
        <w:t xml:space="preserve">משרד החינוך, השירות הפסיכולוגי-ייעוצי, </w:t>
      </w:r>
      <w:r>
        <w:rPr>
          <w:rFonts w:hint="cs"/>
          <w:b/>
          <w:bCs/>
          <w:rtl/>
        </w:rPr>
        <w:t>קטינים פוגעים מינית: אסופת מאמרים ותיאורי מקרה</w:t>
      </w:r>
      <w:r>
        <w:rPr>
          <w:rFonts w:hint="cs"/>
          <w:rtl/>
        </w:rPr>
        <w:t xml:space="preserve"> (2001)</w:t>
      </w:r>
      <w:r>
        <w:rPr>
          <w:rFonts w:hint="cs"/>
          <w:b/>
          <w:bCs/>
          <w:rtl/>
        </w:rPr>
        <w:t xml:space="preserve">, </w:t>
      </w:r>
      <w:r>
        <w:rPr>
          <w:rFonts w:hint="cs"/>
          <w:rtl/>
        </w:rPr>
        <w:t>עורכת: שוש צימרמן.</w:t>
      </w:r>
    </w:p>
  </w:footnote>
  <w:footnote w:id="98">
    <w:p w14:paraId="2384ED87" w14:textId="77777777" w:rsidR="00492C76" w:rsidRPr="003704CF" w:rsidRDefault="00492C76" w:rsidP="002A04CC">
      <w:pPr>
        <w:pStyle w:val="a7"/>
        <w:rPr>
          <w:rtl/>
        </w:rPr>
      </w:pPr>
      <w:r w:rsidRPr="002E24BB">
        <w:footnoteRef/>
      </w:r>
      <w:r>
        <w:rPr>
          <w:rtl/>
        </w:rPr>
        <w:t xml:space="preserve"> </w:t>
      </w:r>
      <w:r>
        <w:rPr>
          <w:rtl/>
        </w:rPr>
        <w:tab/>
      </w:r>
      <w:r>
        <w:rPr>
          <w:rFonts w:hint="cs"/>
          <w:rtl/>
        </w:rPr>
        <w:t>אתי וייסבלאי, "</w:t>
      </w:r>
      <w:r w:rsidRPr="000C5A59">
        <w:rPr>
          <w:rFonts w:hint="cs"/>
          <w:rtl/>
        </w:rPr>
        <w:t xml:space="preserve">פגיעה מינית של קטינים בקטינים - נתונים </w:t>
      </w:r>
      <w:r>
        <w:rPr>
          <w:rFonts w:hint="cs"/>
          <w:rtl/>
        </w:rPr>
        <w:t>ו</w:t>
      </w:r>
      <w:r w:rsidRPr="000C5A59">
        <w:rPr>
          <w:rFonts w:hint="cs"/>
          <w:rtl/>
        </w:rPr>
        <w:t>דרכי טיפול"</w:t>
      </w:r>
      <w:r>
        <w:rPr>
          <w:rFonts w:hint="cs"/>
          <w:b/>
          <w:bCs/>
          <w:rtl/>
        </w:rPr>
        <w:t xml:space="preserve"> </w:t>
      </w:r>
      <w:r>
        <w:rPr>
          <w:rFonts w:hint="cs"/>
          <w:rtl/>
        </w:rPr>
        <w:t>(9.3.08), מרכז המחקר והמידע של הכנסת.</w:t>
      </w:r>
    </w:p>
  </w:footnote>
  <w:footnote w:id="99">
    <w:p w14:paraId="3D9916CE" w14:textId="77777777" w:rsidR="00492C76" w:rsidRDefault="00492C76" w:rsidP="002A04CC">
      <w:pPr>
        <w:pStyle w:val="a7"/>
        <w:rPr>
          <w:rtl/>
        </w:rPr>
      </w:pPr>
      <w:r w:rsidRPr="002E24BB">
        <w:footnoteRef/>
      </w:r>
      <w:r>
        <w:rPr>
          <w:rtl/>
        </w:rPr>
        <w:t xml:space="preserve"> </w:t>
      </w:r>
      <w:r>
        <w:rPr>
          <w:rtl/>
        </w:rPr>
        <w:tab/>
      </w:r>
      <w:r>
        <w:rPr>
          <w:rFonts w:hint="cs"/>
          <w:rtl/>
        </w:rPr>
        <w:t>ההיגדים שאליהם התייחסו התלמידים בדיווחיהם על אלימות מינית ציינו התנהגויות המהוות הטרדה מינית - מעשים מגונים והערות מיניות - ולא התנהגויות המהוות עבירות מין חמורות.</w:t>
      </w:r>
    </w:p>
  </w:footnote>
  <w:footnote w:id="100">
    <w:p w14:paraId="350CB09B" w14:textId="4D320E8D" w:rsidR="00492C76" w:rsidRPr="00171AE0" w:rsidRDefault="00492C76" w:rsidP="002A04CC">
      <w:pPr>
        <w:pStyle w:val="a7"/>
        <w:rPr>
          <w:rtl/>
        </w:rPr>
      </w:pPr>
      <w:r w:rsidRPr="002E24BB">
        <w:footnoteRef/>
      </w:r>
      <w:r>
        <w:t xml:space="preserve"> </w:t>
      </w:r>
      <w:r>
        <w:tab/>
        <w:t xml:space="preserve">Ayelet Giladi, </w:t>
      </w:r>
      <w:r w:rsidRPr="001019BF">
        <w:rPr>
          <w:b/>
          <w:bCs/>
        </w:rPr>
        <w:t>Sexual harassment Perceptions and observations of young</w:t>
      </w:r>
      <w:r>
        <w:rPr>
          <w:b/>
          <w:bCs/>
        </w:rPr>
        <w:t xml:space="preserve"> </w:t>
      </w:r>
      <w:r w:rsidRPr="001019BF">
        <w:rPr>
          <w:b/>
          <w:bCs/>
        </w:rPr>
        <w:t xml:space="preserve">children's experience </w:t>
      </w:r>
      <w:r w:rsidRPr="00C978FF">
        <w:rPr>
          <w:b/>
          <w:bCs/>
        </w:rPr>
        <w:t xml:space="preserve">in kinder garten </w:t>
      </w:r>
      <w:r w:rsidRPr="001019BF">
        <w:rPr>
          <w:b/>
          <w:bCs/>
        </w:rPr>
        <w:t>and early schooling in Israel</w:t>
      </w:r>
      <w:r>
        <w:t xml:space="preserve"> (2004).</w:t>
      </w:r>
    </w:p>
  </w:footnote>
  <w:footnote w:id="101">
    <w:p w14:paraId="42E006FF" w14:textId="77777777" w:rsidR="00492C76" w:rsidRDefault="00492C76" w:rsidP="002A04CC">
      <w:pPr>
        <w:pStyle w:val="a7"/>
        <w:rPr>
          <w:rtl/>
        </w:rPr>
      </w:pPr>
      <w:r w:rsidRPr="002E24BB">
        <w:footnoteRef/>
      </w:r>
      <w:r>
        <w:rPr>
          <w:rtl/>
        </w:rPr>
        <w:t xml:space="preserve"> </w:t>
      </w:r>
      <w:r>
        <w:rPr>
          <w:rtl/>
        </w:rPr>
        <w:tab/>
      </w:r>
      <w:r>
        <w:rPr>
          <w:rFonts w:hint="cs"/>
          <w:rtl/>
        </w:rPr>
        <w:t xml:space="preserve">"אלימות מילולית בעלת אופי מיני, הצעות חוזרות בעלות אופי מיני, התייחסות חוזרת המופנית לאדם בהקשר למינו ולמיניותו, לרבות נטייתו המינית ופגיעה באמצעים דיגיטליים על רקע מיני והפצת תמונות". </w:t>
      </w:r>
    </w:p>
  </w:footnote>
  <w:footnote w:id="102">
    <w:p w14:paraId="27793290" w14:textId="77777777" w:rsidR="00492C76" w:rsidRDefault="00492C76" w:rsidP="002A04CC">
      <w:pPr>
        <w:pStyle w:val="a7"/>
      </w:pPr>
      <w:r w:rsidRPr="002E24BB">
        <w:footnoteRef/>
      </w:r>
      <w:r>
        <w:rPr>
          <w:rtl/>
        </w:rPr>
        <w:t xml:space="preserve"> </w:t>
      </w:r>
      <w:r>
        <w:rPr>
          <w:rtl/>
        </w:rPr>
        <w:tab/>
      </w:r>
      <w:r>
        <w:rPr>
          <w:rFonts w:hint="cs"/>
          <w:rtl/>
        </w:rPr>
        <w:t xml:space="preserve">בחוזר אקלים חינוכי נקבע כי ככל שהאירוע עומד באמות מידה רבות יותר הוא יסווג כחמור יותר. אלה אמות המידה שצוינו בו: מידת החומרה של הפגיעה הנפשית או הגופנית, תדירות האירועים, מספר המעורבים, מידת חוסר השוויון ביחסי הכוחות בין הפוגע לנפגע, מספר סוגי הפגיעות, מידת השפעתו של האירוע על ההתנהלות הבית-ספרית. </w:t>
      </w:r>
    </w:p>
  </w:footnote>
  <w:footnote w:id="103">
    <w:p w14:paraId="6F95948D" w14:textId="77777777" w:rsidR="00492C76" w:rsidRDefault="00492C76" w:rsidP="002A04CC">
      <w:pPr>
        <w:pStyle w:val="a7"/>
        <w:rPr>
          <w:rtl/>
        </w:rPr>
      </w:pPr>
      <w:r w:rsidRPr="002E24BB">
        <w:footnoteRef/>
      </w:r>
      <w:r>
        <w:rPr>
          <w:rtl/>
        </w:rPr>
        <w:t xml:space="preserve"> </w:t>
      </w:r>
      <w:r>
        <w:rPr>
          <w:rtl/>
        </w:rPr>
        <w:tab/>
      </w:r>
      <w:r w:rsidRPr="00534B6A">
        <w:rPr>
          <w:rFonts w:hint="cs"/>
          <w:rtl/>
        </w:rPr>
        <w:t>צביה שיר</w:t>
      </w:r>
      <w:r>
        <w:rPr>
          <w:rFonts w:hint="cs"/>
          <w:rtl/>
        </w:rPr>
        <w:t>, "</w:t>
      </w:r>
      <w:r w:rsidRPr="000C5A59">
        <w:rPr>
          <w:rFonts w:hint="cs"/>
          <w:rtl/>
        </w:rPr>
        <w:t>מי קובע מהו פיל? יועצות חינוכיות מתמודדות עם הטרדות מיניות בבתי הספר היסודיים</w:t>
      </w:r>
      <w:r>
        <w:rPr>
          <w:rFonts w:hint="cs"/>
          <w:rtl/>
        </w:rPr>
        <w:t xml:space="preserve">" </w:t>
      </w:r>
      <w:r w:rsidRPr="00534B6A">
        <w:rPr>
          <w:rFonts w:hint="cs"/>
          <w:b/>
          <w:bCs/>
          <w:rtl/>
        </w:rPr>
        <w:t>עבודה לקראת התואר "מוסמך במדעי הרוח" (</w:t>
      </w:r>
      <w:r w:rsidRPr="00534B6A">
        <w:rPr>
          <w:b/>
          <w:bCs/>
        </w:rPr>
        <w:t>M.A.</w:t>
      </w:r>
      <w:r w:rsidRPr="00534B6A">
        <w:rPr>
          <w:rFonts w:hint="cs"/>
          <w:b/>
          <w:bCs/>
          <w:rtl/>
        </w:rPr>
        <w:t>)</w:t>
      </w:r>
      <w:r>
        <w:rPr>
          <w:rFonts w:hint="cs"/>
          <w:rtl/>
        </w:rPr>
        <w:t>, עמ' 76 - 78 (בית הספר לחינוך, אוניברסיטת תל אביב, פברואר 2016).</w:t>
      </w:r>
    </w:p>
  </w:footnote>
  <w:footnote w:id="104">
    <w:p w14:paraId="5870E80C" w14:textId="77777777" w:rsidR="00492C76" w:rsidRPr="00AE6970" w:rsidRDefault="00492C76" w:rsidP="002A04CC">
      <w:pPr>
        <w:pStyle w:val="a7"/>
        <w:rPr>
          <w:rtl/>
        </w:rPr>
      </w:pPr>
      <w:r w:rsidRPr="002E24BB">
        <w:footnoteRef/>
      </w:r>
      <w:r>
        <w:rPr>
          <w:rtl/>
        </w:rPr>
        <w:t xml:space="preserve"> </w:t>
      </w:r>
      <w:r>
        <w:rPr>
          <w:rtl/>
        </w:rPr>
        <w:tab/>
      </w:r>
      <w:r>
        <w:rPr>
          <w:rFonts w:hint="cs"/>
          <w:sz w:val="24"/>
          <w:rtl/>
        </w:rPr>
        <w:t>במדגם שערכה היחידה למיניות בשנת 2018 נמצא כי כ-88% מהפניות להיוועצות עם מדריכות היחידה הן בעקבות אירועים שקרו בבית הספר</w:t>
      </w:r>
      <w:r>
        <w:rPr>
          <w:rFonts w:hint="cs"/>
          <w:rtl/>
        </w:rPr>
        <w:t>. כ-9% מהפניות היו לצורך התייעצות לגבי תוכניות מניעה, כ-1.4% לגבי היריון ומצבי סיכון וכ-1.5% היו לגבי זהות ונטייה.</w:t>
      </w:r>
    </w:p>
  </w:footnote>
  <w:footnote w:id="105">
    <w:p w14:paraId="7E82F3E4" w14:textId="77777777" w:rsidR="00492C76" w:rsidRPr="00FC0956" w:rsidRDefault="00492C76" w:rsidP="002A04CC">
      <w:pPr>
        <w:pStyle w:val="a7"/>
        <w:rPr>
          <w:rtl/>
        </w:rPr>
      </w:pPr>
      <w:r w:rsidRPr="002E24BB">
        <w:footnoteRef/>
      </w:r>
      <w:r>
        <w:rPr>
          <w:rtl/>
        </w:rPr>
        <w:t xml:space="preserve"> </w:t>
      </w:r>
      <w:r>
        <w:rPr>
          <w:rtl/>
        </w:rPr>
        <w:tab/>
      </w:r>
      <w:r>
        <w:rPr>
          <w:rFonts w:hint="cs"/>
          <w:rtl/>
        </w:rPr>
        <w:t xml:space="preserve">סעיף 4.7 לחוזר מנכ"ל אקלים חינוכי קובע כי "יש להקים בבית הספר ועדה בין מקצועית לטיפול בכל אירוע של תקיפה מינית החייבת דיווח. מומלץ שוועדה זו תכלול את מנהל בית הספר, את היועץ, את הפסיכולוג, את המפקח, את היועץ הבכיר, את מנהל מחלקת החינוך ברשות המקומית, את מדריך שפ"י ואת פקיד הסעד. מרכז הוועדה יהיה היועץ הבכיר. מספר המשתתפים בוועדה יושפע מחומרת האירוע. היועץ הבכיר ומפקח בית הספר ישתתפו בוועדה </w:t>
      </w:r>
      <w:r>
        <w:rPr>
          <w:rFonts w:hint="cs"/>
          <w:b/>
          <w:bCs/>
          <w:rtl/>
        </w:rPr>
        <w:t>בכל הרכב שהוא</w:t>
      </w:r>
      <w:r>
        <w:rPr>
          <w:rFonts w:hint="cs"/>
          <w:rtl/>
        </w:rPr>
        <w:t>. על הוועדה להחליט לגבי המשך הטיפול על פי הנהלים ובהתאם לחוק".</w:t>
      </w:r>
    </w:p>
  </w:footnote>
  <w:footnote w:id="106">
    <w:p w14:paraId="00D36260" w14:textId="77777777" w:rsidR="00492C76" w:rsidRPr="00CE38B9" w:rsidRDefault="00492C76" w:rsidP="002A04CC">
      <w:pPr>
        <w:pStyle w:val="a7"/>
      </w:pPr>
      <w:r w:rsidRPr="002E24BB">
        <w:footnoteRef/>
      </w:r>
      <w:r>
        <w:rPr>
          <w:rtl/>
        </w:rPr>
        <w:t xml:space="preserve"> </w:t>
      </w:r>
      <w:r>
        <w:rPr>
          <w:rtl/>
        </w:rPr>
        <w:tab/>
      </w:r>
      <w:r>
        <w:rPr>
          <w:rFonts w:hint="cs"/>
          <w:rtl/>
        </w:rPr>
        <w:t xml:space="preserve">הדרכת מוסדות חינוך באירועים של פגיעת עובדי הוראה ואנשי צוות בתלמידים, </w:t>
      </w:r>
      <w:r>
        <w:rPr>
          <w:rFonts w:hint="cs"/>
          <w:b/>
          <w:bCs/>
          <w:rtl/>
        </w:rPr>
        <w:t>חוברת הדרכה למדריכים</w:t>
      </w:r>
      <w:r>
        <w:rPr>
          <w:rFonts w:hint="cs"/>
          <w:rtl/>
        </w:rPr>
        <w:t xml:space="preserve"> (פברואר 2018).</w:t>
      </w:r>
    </w:p>
  </w:footnote>
  <w:footnote w:id="107">
    <w:p w14:paraId="4871A9C2" w14:textId="77777777" w:rsidR="00492C76" w:rsidRDefault="00492C76" w:rsidP="002A04CC">
      <w:pPr>
        <w:pStyle w:val="a7"/>
        <w:rPr>
          <w:rtl/>
        </w:rPr>
      </w:pPr>
      <w:r w:rsidRPr="002E24BB">
        <w:footnoteRef/>
      </w:r>
      <w:r>
        <w:rPr>
          <w:rtl/>
        </w:rPr>
        <w:t xml:space="preserve"> </w:t>
      </w:r>
      <w:r>
        <w:rPr>
          <w:rtl/>
        </w:rPr>
        <w:tab/>
      </w:r>
      <w:r w:rsidRPr="00483071">
        <w:rPr>
          <w:rFonts w:hint="eastAsia"/>
          <w:b/>
          <w:bCs/>
          <w:rtl/>
        </w:rPr>
        <w:t>דוח</w:t>
      </w:r>
      <w:r w:rsidRPr="00483071">
        <w:rPr>
          <w:b/>
          <w:bCs/>
          <w:rtl/>
        </w:rPr>
        <w:t xml:space="preserve"> </w:t>
      </w:r>
      <w:r w:rsidRPr="00483071">
        <w:rPr>
          <w:rFonts w:hint="eastAsia"/>
          <w:b/>
          <w:bCs/>
          <w:rtl/>
        </w:rPr>
        <w:t>שנתי</w:t>
      </w:r>
      <w:r w:rsidRPr="00483071">
        <w:rPr>
          <w:b/>
          <w:bCs/>
          <w:rtl/>
        </w:rPr>
        <w:t xml:space="preserve"> 69ב</w:t>
      </w:r>
      <w:r>
        <w:rPr>
          <w:rFonts w:hint="cs"/>
          <w:rtl/>
        </w:rPr>
        <w:t xml:space="preserve"> (2019).</w:t>
      </w:r>
    </w:p>
  </w:footnote>
  <w:footnote w:id="108">
    <w:p w14:paraId="4B8A49C0" w14:textId="77777777" w:rsidR="00492C76" w:rsidRDefault="00492C76" w:rsidP="002A04CC">
      <w:pPr>
        <w:pStyle w:val="a7"/>
        <w:rPr>
          <w:rtl/>
        </w:rPr>
      </w:pPr>
      <w:r w:rsidRPr="002E24BB">
        <w:footnoteRef/>
      </w:r>
      <w:r>
        <w:rPr>
          <w:rtl/>
        </w:rPr>
        <w:t xml:space="preserve"> </w:t>
      </w:r>
      <w:r>
        <w:rPr>
          <w:rtl/>
        </w:rPr>
        <w:tab/>
      </w:r>
      <w:r>
        <w:rPr>
          <w:rFonts w:hint="cs"/>
          <w:rtl/>
        </w:rPr>
        <w:t xml:space="preserve">יובל וורגן, </w:t>
      </w:r>
      <w:r w:rsidRPr="00617F66">
        <w:rPr>
          <w:rFonts w:hint="eastAsia"/>
          <w:b/>
          <w:bCs/>
          <w:rtl/>
        </w:rPr>
        <w:t>נתונים</w:t>
      </w:r>
      <w:r w:rsidRPr="00617F66">
        <w:rPr>
          <w:b/>
          <w:bCs/>
          <w:rtl/>
        </w:rPr>
        <w:t xml:space="preserve"> </w:t>
      </w:r>
      <w:r w:rsidRPr="00617F66">
        <w:rPr>
          <w:rFonts w:hint="eastAsia"/>
          <w:b/>
          <w:bCs/>
          <w:rtl/>
        </w:rPr>
        <w:t>על</w:t>
      </w:r>
      <w:r w:rsidRPr="00617F66">
        <w:rPr>
          <w:b/>
          <w:bCs/>
          <w:rtl/>
        </w:rPr>
        <w:t xml:space="preserve"> </w:t>
      </w:r>
      <w:r w:rsidRPr="00617F66">
        <w:rPr>
          <w:rFonts w:hint="eastAsia"/>
          <w:b/>
          <w:bCs/>
          <w:rtl/>
        </w:rPr>
        <w:t>הטרדה</w:t>
      </w:r>
      <w:r w:rsidRPr="00617F66">
        <w:rPr>
          <w:b/>
          <w:bCs/>
          <w:rtl/>
        </w:rPr>
        <w:t xml:space="preserve"> </w:t>
      </w:r>
      <w:r w:rsidRPr="00617F66">
        <w:rPr>
          <w:rFonts w:hint="eastAsia"/>
          <w:b/>
          <w:bCs/>
          <w:rtl/>
        </w:rPr>
        <w:t>מינית</w:t>
      </w:r>
      <w:r w:rsidRPr="00617F66">
        <w:rPr>
          <w:b/>
          <w:bCs/>
          <w:rtl/>
        </w:rPr>
        <w:t xml:space="preserve"> </w:t>
      </w:r>
      <w:r w:rsidRPr="00617F66">
        <w:rPr>
          <w:rFonts w:hint="eastAsia"/>
          <w:b/>
          <w:bCs/>
          <w:rtl/>
        </w:rPr>
        <w:t>במערכת</w:t>
      </w:r>
      <w:r w:rsidRPr="00617F66">
        <w:rPr>
          <w:b/>
          <w:bCs/>
          <w:rtl/>
        </w:rPr>
        <w:t xml:space="preserve"> </w:t>
      </w:r>
      <w:r w:rsidRPr="00617F66">
        <w:rPr>
          <w:rFonts w:hint="eastAsia"/>
          <w:b/>
          <w:bCs/>
          <w:rtl/>
        </w:rPr>
        <w:t>החינוך</w:t>
      </w:r>
      <w:r>
        <w:rPr>
          <w:rFonts w:hint="cs"/>
          <w:rtl/>
        </w:rPr>
        <w:t xml:space="preserve"> (2010), </w:t>
      </w:r>
      <w:r w:rsidRPr="00617F66">
        <w:rPr>
          <w:rFonts w:hint="eastAsia"/>
          <w:rtl/>
        </w:rPr>
        <w:t>הכנסת</w:t>
      </w:r>
      <w:r w:rsidRPr="00617F66">
        <w:rPr>
          <w:rtl/>
        </w:rPr>
        <w:t>,</w:t>
      </w:r>
      <w:r w:rsidRPr="00A172D2">
        <w:rPr>
          <w:rFonts w:hint="cs"/>
          <w:rtl/>
        </w:rPr>
        <w:t xml:space="preserve"> </w:t>
      </w:r>
      <w:r w:rsidRPr="00617F66">
        <w:rPr>
          <w:rFonts w:hint="eastAsia"/>
          <w:rtl/>
        </w:rPr>
        <w:t>מרכז</w:t>
      </w:r>
      <w:r w:rsidRPr="00617F66">
        <w:rPr>
          <w:rtl/>
        </w:rPr>
        <w:t xml:space="preserve"> </w:t>
      </w:r>
      <w:r w:rsidRPr="00617F66">
        <w:rPr>
          <w:rFonts w:hint="eastAsia"/>
          <w:rtl/>
        </w:rPr>
        <w:t>המחקר</w:t>
      </w:r>
      <w:r w:rsidRPr="00617F66">
        <w:rPr>
          <w:rtl/>
        </w:rPr>
        <w:t xml:space="preserve"> </w:t>
      </w:r>
      <w:r w:rsidRPr="00617F66">
        <w:rPr>
          <w:rFonts w:hint="eastAsia"/>
          <w:rtl/>
        </w:rPr>
        <w:t>והמידע</w:t>
      </w:r>
      <w:r>
        <w:rPr>
          <w:rFonts w:hint="cs"/>
          <w:b/>
          <w:bCs/>
          <w:rtl/>
        </w:rPr>
        <w:t>.</w:t>
      </w:r>
      <w:r w:rsidRPr="006A1C51">
        <w:rPr>
          <w:rFonts w:hint="cs"/>
          <w:b/>
          <w:bCs/>
          <w:rtl/>
        </w:rPr>
        <w:t xml:space="preserve"> </w:t>
      </w:r>
    </w:p>
  </w:footnote>
  <w:footnote w:id="109">
    <w:p w14:paraId="133C1AA0" w14:textId="77777777" w:rsidR="00492C76" w:rsidRDefault="00492C76" w:rsidP="002A04CC">
      <w:pPr>
        <w:pStyle w:val="a7"/>
      </w:pPr>
      <w:r w:rsidRPr="002E24BB">
        <w:footnoteRef/>
      </w:r>
      <w:r>
        <w:rPr>
          <w:rtl/>
        </w:rPr>
        <w:t xml:space="preserve"> </w:t>
      </w:r>
      <w:r>
        <w:rPr>
          <w:rtl/>
        </w:rPr>
        <w:tab/>
      </w:r>
      <w:r>
        <w:rPr>
          <w:rFonts w:hint="cs"/>
          <w:rtl/>
        </w:rPr>
        <w:t>לדוגמה: עובדי הוראה המועסקים על ידי חברה חיצונית.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2F310" w14:textId="187221F1" w:rsidR="00492C76" w:rsidRDefault="00492C76" w:rsidP="0072059F">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4384" behindDoc="1" locked="0" layoutInCell="1" allowOverlap="1" wp14:anchorId="24D4D38B" wp14:editId="13C44561">
          <wp:simplePos x="0" y="0"/>
          <wp:positionH relativeFrom="column">
            <wp:posOffset>-635</wp:posOffset>
          </wp:positionH>
          <wp:positionV relativeFrom="paragraph">
            <wp:posOffset>-81915</wp:posOffset>
          </wp:positionV>
          <wp:extent cx="5219700" cy="30924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noProof/>
        <w:rtl/>
      </w:rPr>
      <w:t>21</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07EDF" w14:textId="77777777" w:rsidR="00492C76" w:rsidRDefault="00492C76" w:rsidP="00400F4F">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6432" behindDoc="1" locked="0" layoutInCell="1" allowOverlap="1" wp14:anchorId="0C200DC7" wp14:editId="44BD39D3">
          <wp:simplePos x="0" y="0"/>
          <wp:positionH relativeFrom="column">
            <wp:posOffset>-635</wp:posOffset>
          </wp:positionH>
          <wp:positionV relativeFrom="paragraph">
            <wp:posOffset>-81915</wp:posOffset>
          </wp:positionV>
          <wp:extent cx="5219700" cy="3092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2</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508D04CD" w14:textId="77777777" w:rsidR="00492C76" w:rsidRPr="00400F4F" w:rsidRDefault="00492C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492C76" w:rsidRPr="00D15500" w:rsidRDefault="00492C76"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492C76" w:rsidRPr="005B4811" w:rsidRDefault="00492C7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B115B17" id="_x0000_t202" coordsize="21600,21600" o:spt="202" path="m,l,21600r21600,l21600,xe">
              <v:stroke joinstyle="miter"/>
              <v:path gradientshapeok="t" o:connecttype="rect"/>
            </v:shapetype>
            <v:shape id="_x0000_s1032"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492C76" w:rsidRPr="005B4811" w:rsidRDefault="00492C7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492C76" w:rsidRPr="005B4811" w:rsidRDefault="00492C76"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7228728C" id="_x0000_s1033"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492C76" w:rsidRPr="005B4811" w:rsidRDefault="00492C76"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363B1"/>
    <w:multiLevelType w:val="multilevel"/>
    <w:tmpl w:val="934E7D1E"/>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111C1457"/>
    <w:multiLevelType w:val="multilevel"/>
    <w:tmpl w:val="A4EA536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
      <w:lvlText w:val="א."/>
      <w:lvlJc w:val="left"/>
      <w:pPr>
        <w:tabs>
          <w:tab w:val="num" w:pos="652"/>
        </w:tabs>
        <w:ind w:left="652"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1D795FCB"/>
    <w:multiLevelType w:val="multilevel"/>
    <w:tmpl w:val="76307FF2"/>
    <w:lvl w:ilvl="0">
      <w:start w:val="1"/>
      <w:numFmt w:val="decimal"/>
      <w:lvlRestart w:val="0"/>
      <w:lvlText w:val="%1."/>
      <w:lvlJc w:val="left"/>
      <w:pPr>
        <w:ind w:left="340" w:hanging="340"/>
      </w:pPr>
      <w:rPr>
        <w:lang w:bidi="he-IL"/>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2AD44157"/>
    <w:multiLevelType w:val="multilevel"/>
    <w:tmpl w:val="268878AC"/>
    <w:lvl w:ilvl="0">
      <w:start w:val="1"/>
      <w:numFmt w:val="decimal"/>
      <w:lvlRestart w:val="0"/>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2D3C0221"/>
    <w:multiLevelType w:val="multilevel"/>
    <w:tmpl w:val="E94EFD1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3BC1088C"/>
    <w:multiLevelType w:val="multilevel"/>
    <w:tmpl w:val="1C8A3202"/>
    <w:lvl w:ilvl="0">
      <w:start w:val="1"/>
      <w:numFmt w:val="decimal"/>
      <w:pStyle w:val="a0"/>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44EF3E49"/>
    <w:multiLevelType w:val="multilevel"/>
    <w:tmpl w:val="6EC4E486"/>
    <w:lvl w:ilvl="0">
      <w:start w:val="1"/>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520" w:hanging="1800"/>
      </w:pPr>
      <w:rPr>
        <w:rFonts w:hint="default"/>
      </w:rPr>
    </w:lvl>
  </w:abstractNum>
  <w:abstractNum w:abstractNumId="8" w15:restartNumberingAfterBreak="0">
    <w:nsid w:val="52932B22"/>
    <w:multiLevelType w:val="multilevel"/>
    <w:tmpl w:val="FC6E99E2"/>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54586F22"/>
    <w:multiLevelType w:val="multilevel"/>
    <w:tmpl w:val="0FF22712"/>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5E7D2F72"/>
    <w:multiLevelType w:val="hybridMultilevel"/>
    <w:tmpl w:val="FAB236FC"/>
    <w:lvl w:ilvl="0" w:tplc="164E2682">
      <w:start w:val="1"/>
      <w:numFmt w:val="decimal"/>
      <w:lvlText w:val="%1."/>
      <w:lvlJc w:val="left"/>
      <w:pPr>
        <w:ind w:left="720" w:hanging="360"/>
      </w:pPr>
      <w:rPr>
        <w:rFonts w:hint="default"/>
      </w:rPr>
    </w:lvl>
    <w:lvl w:ilvl="1" w:tplc="A98C0C8A" w:tentative="1">
      <w:start w:val="1"/>
      <w:numFmt w:val="lowerLetter"/>
      <w:lvlText w:val="%2."/>
      <w:lvlJc w:val="left"/>
      <w:pPr>
        <w:ind w:left="1440" w:hanging="360"/>
      </w:pPr>
    </w:lvl>
    <w:lvl w:ilvl="2" w:tplc="6032E990" w:tentative="1">
      <w:start w:val="1"/>
      <w:numFmt w:val="lowerRoman"/>
      <w:lvlText w:val="%3."/>
      <w:lvlJc w:val="right"/>
      <w:pPr>
        <w:ind w:left="2160" w:hanging="180"/>
      </w:pPr>
    </w:lvl>
    <w:lvl w:ilvl="3" w:tplc="C76ACA82" w:tentative="1">
      <w:start w:val="1"/>
      <w:numFmt w:val="decimal"/>
      <w:lvlText w:val="%4."/>
      <w:lvlJc w:val="left"/>
      <w:pPr>
        <w:ind w:left="2880" w:hanging="360"/>
      </w:pPr>
    </w:lvl>
    <w:lvl w:ilvl="4" w:tplc="5B38DC2C" w:tentative="1">
      <w:start w:val="1"/>
      <w:numFmt w:val="lowerLetter"/>
      <w:lvlText w:val="%5."/>
      <w:lvlJc w:val="left"/>
      <w:pPr>
        <w:ind w:left="3600" w:hanging="360"/>
      </w:pPr>
    </w:lvl>
    <w:lvl w:ilvl="5" w:tplc="190A1E4A" w:tentative="1">
      <w:start w:val="1"/>
      <w:numFmt w:val="lowerRoman"/>
      <w:lvlText w:val="%6."/>
      <w:lvlJc w:val="right"/>
      <w:pPr>
        <w:ind w:left="4320" w:hanging="180"/>
      </w:pPr>
    </w:lvl>
    <w:lvl w:ilvl="6" w:tplc="884428E8" w:tentative="1">
      <w:start w:val="1"/>
      <w:numFmt w:val="decimal"/>
      <w:lvlText w:val="%7."/>
      <w:lvlJc w:val="left"/>
      <w:pPr>
        <w:ind w:left="5040" w:hanging="360"/>
      </w:pPr>
    </w:lvl>
    <w:lvl w:ilvl="7" w:tplc="95428A6A" w:tentative="1">
      <w:start w:val="1"/>
      <w:numFmt w:val="lowerLetter"/>
      <w:lvlText w:val="%8."/>
      <w:lvlJc w:val="left"/>
      <w:pPr>
        <w:ind w:left="5760" w:hanging="360"/>
      </w:pPr>
    </w:lvl>
    <w:lvl w:ilvl="8" w:tplc="968ADA16" w:tentative="1">
      <w:start w:val="1"/>
      <w:numFmt w:val="lowerRoman"/>
      <w:lvlText w:val="%9."/>
      <w:lvlJc w:val="right"/>
      <w:pPr>
        <w:ind w:left="6480" w:hanging="180"/>
      </w:pPr>
    </w:lvl>
  </w:abstractNum>
  <w:abstractNum w:abstractNumId="11" w15:restartNumberingAfterBreak="0">
    <w:nsid w:val="6A0F17B9"/>
    <w:multiLevelType w:val="hybridMultilevel"/>
    <w:tmpl w:val="1F14A4A2"/>
    <w:lvl w:ilvl="0" w:tplc="AFB68402">
      <w:start w:val="3"/>
      <w:numFmt w:val="decimal"/>
      <w:lvlText w:val="%1."/>
      <w:lvlJc w:val="left"/>
      <w:pPr>
        <w:ind w:left="643" w:hanging="360"/>
      </w:pPr>
      <w:rPr>
        <w:rFonts w:hint="default"/>
        <w:b/>
      </w:rPr>
    </w:lvl>
    <w:lvl w:ilvl="1" w:tplc="D8DE52E6" w:tentative="1">
      <w:start w:val="1"/>
      <w:numFmt w:val="lowerLetter"/>
      <w:lvlText w:val="%2."/>
      <w:lvlJc w:val="left"/>
      <w:pPr>
        <w:ind w:left="1363" w:hanging="360"/>
      </w:pPr>
    </w:lvl>
    <w:lvl w:ilvl="2" w:tplc="DC203CA4" w:tentative="1">
      <w:start w:val="1"/>
      <w:numFmt w:val="lowerRoman"/>
      <w:lvlText w:val="%3."/>
      <w:lvlJc w:val="right"/>
      <w:pPr>
        <w:ind w:left="2083" w:hanging="180"/>
      </w:pPr>
    </w:lvl>
    <w:lvl w:ilvl="3" w:tplc="BEF0826C" w:tentative="1">
      <w:start w:val="1"/>
      <w:numFmt w:val="decimal"/>
      <w:lvlText w:val="%4."/>
      <w:lvlJc w:val="left"/>
      <w:pPr>
        <w:ind w:left="2803" w:hanging="360"/>
      </w:pPr>
    </w:lvl>
    <w:lvl w:ilvl="4" w:tplc="07024B22" w:tentative="1">
      <w:start w:val="1"/>
      <w:numFmt w:val="lowerLetter"/>
      <w:lvlText w:val="%5."/>
      <w:lvlJc w:val="left"/>
      <w:pPr>
        <w:ind w:left="3523" w:hanging="360"/>
      </w:pPr>
    </w:lvl>
    <w:lvl w:ilvl="5" w:tplc="B5CABE86" w:tentative="1">
      <w:start w:val="1"/>
      <w:numFmt w:val="lowerRoman"/>
      <w:lvlText w:val="%6."/>
      <w:lvlJc w:val="right"/>
      <w:pPr>
        <w:ind w:left="4243" w:hanging="180"/>
      </w:pPr>
    </w:lvl>
    <w:lvl w:ilvl="6" w:tplc="BA284726" w:tentative="1">
      <w:start w:val="1"/>
      <w:numFmt w:val="decimal"/>
      <w:lvlText w:val="%7."/>
      <w:lvlJc w:val="left"/>
      <w:pPr>
        <w:ind w:left="4963" w:hanging="360"/>
      </w:pPr>
    </w:lvl>
    <w:lvl w:ilvl="7" w:tplc="1292B178" w:tentative="1">
      <w:start w:val="1"/>
      <w:numFmt w:val="lowerLetter"/>
      <w:lvlText w:val="%8."/>
      <w:lvlJc w:val="left"/>
      <w:pPr>
        <w:ind w:left="5683" w:hanging="360"/>
      </w:pPr>
    </w:lvl>
    <w:lvl w:ilvl="8" w:tplc="C6424548" w:tentative="1">
      <w:start w:val="1"/>
      <w:numFmt w:val="lowerRoman"/>
      <w:lvlText w:val="%9."/>
      <w:lvlJc w:val="right"/>
      <w:pPr>
        <w:ind w:left="6403" w:hanging="180"/>
      </w:pPr>
    </w:lvl>
  </w:abstractNum>
  <w:abstractNum w:abstractNumId="12" w15:restartNumberingAfterBreak="0">
    <w:nsid w:val="6DB6403D"/>
    <w:multiLevelType w:val="multilevel"/>
    <w:tmpl w:val="6D9ECE7A"/>
    <w:lvl w:ilvl="0">
      <w:start w:val="1"/>
      <w:numFmt w:val="decimal"/>
      <w:lvlRestart w:val="0"/>
      <w:lvlText w:val="%1."/>
      <w:lvlJc w:val="left"/>
      <w:pPr>
        <w:ind w:left="340" w:hanging="340"/>
      </w:pPr>
      <w:rPr>
        <w:rFonts w:hint="default"/>
        <w:b w:val="0"/>
        <w:bCs w:val="0"/>
      </w:rPr>
    </w:lvl>
    <w:lvl w:ilvl="1">
      <w:start w:val="3"/>
      <w:numFmt w:val="decimal"/>
      <w:pStyle w:val="a2"/>
      <w:lvlText w:val="%2."/>
      <w:lvlJc w:val="left"/>
      <w:pPr>
        <w:ind w:left="68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6DD42F23"/>
    <w:multiLevelType w:val="multilevel"/>
    <w:tmpl w:val="26D622D4"/>
    <w:lvl w:ilvl="0">
      <w:start w:val="1"/>
      <w:numFmt w:val="decimal"/>
      <w:lvlRestart w:val="0"/>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75260E61"/>
    <w:multiLevelType w:val="multilevel"/>
    <w:tmpl w:val="2A6CF1AA"/>
    <w:lvl w:ilvl="0">
      <w:start w:val="1"/>
      <w:numFmt w:val="decimal"/>
      <w:lvlRestart w:val="0"/>
      <w:lvlText w:val="%1."/>
      <w:lvlJc w:val="left"/>
      <w:pPr>
        <w:ind w:left="340" w:hanging="340"/>
      </w:pPr>
    </w:lvl>
    <w:lvl w:ilvl="1">
      <w:start w:val="1"/>
      <w:numFmt w:val="hebrew1"/>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7A56038F"/>
    <w:multiLevelType w:val="multilevel"/>
    <w:tmpl w:val="E63E61F4"/>
    <w:lvl w:ilvl="0">
      <w:start w:val="1"/>
      <w:numFmt w:val="decimal"/>
      <w:lvlRestart w:val="0"/>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7B327C60"/>
    <w:multiLevelType w:val="multilevel"/>
    <w:tmpl w:val="80F6C696"/>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7D5E4F3E"/>
    <w:multiLevelType w:val="multilevel"/>
    <w:tmpl w:val="007CCF7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10"/>
  </w:num>
  <w:num w:numId="2">
    <w:abstractNumId w:val="11"/>
  </w:num>
  <w:num w:numId="3">
    <w:abstractNumId w:val="1"/>
  </w:num>
  <w:num w:numId="4">
    <w:abstractNumId w:val="2"/>
  </w:num>
  <w:num w:numId="5">
    <w:abstractNumId w:val="3"/>
  </w:num>
  <w:num w:numId="6">
    <w:abstractNumId w:val="4"/>
  </w:num>
  <w:num w:numId="7">
    <w:abstractNumId w:val="9"/>
  </w:num>
  <w:num w:numId="8">
    <w:abstractNumId w:val="14"/>
  </w:num>
  <w:num w:numId="9">
    <w:abstractNumId w:val="8"/>
  </w:num>
  <w:num w:numId="10">
    <w:abstractNumId w:val="0"/>
  </w:num>
  <w:num w:numId="11">
    <w:abstractNumId w:val="13"/>
  </w:num>
  <w:num w:numId="12">
    <w:abstractNumId w:val="16"/>
  </w:num>
  <w:num w:numId="13">
    <w:abstractNumId w:val="17"/>
  </w:num>
  <w:num w:numId="14">
    <w:abstractNumId w:val="15"/>
  </w:num>
  <w:num w:numId="15">
    <w:abstractNumId w:val="5"/>
  </w:num>
  <w:num w:numId="16">
    <w:abstractNumId w:val="6"/>
  </w:num>
  <w:num w:numId="17">
    <w:abstractNumId w:val="6"/>
    <w:lvlOverride w:ilvl="0">
      <w:startOverride w:val="1"/>
    </w:lvlOverride>
    <w:lvlOverride w:ilvl="1">
      <w:startOverride w:val="3"/>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2"/>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2"/>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2"/>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2"/>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2"/>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hideSpellingErrors/>
  <w:hideGrammaticalErrors/>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14C"/>
    <w:rsid w:val="00011BFC"/>
    <w:rsid w:val="00011DF7"/>
    <w:rsid w:val="00012657"/>
    <w:rsid w:val="00013BC3"/>
    <w:rsid w:val="000155F0"/>
    <w:rsid w:val="000157CF"/>
    <w:rsid w:val="00015A22"/>
    <w:rsid w:val="0001735B"/>
    <w:rsid w:val="000206F1"/>
    <w:rsid w:val="00021FFB"/>
    <w:rsid w:val="00024E0C"/>
    <w:rsid w:val="0002582E"/>
    <w:rsid w:val="00026367"/>
    <w:rsid w:val="000264D7"/>
    <w:rsid w:val="00026ACC"/>
    <w:rsid w:val="000303C9"/>
    <w:rsid w:val="00031C68"/>
    <w:rsid w:val="00031CEB"/>
    <w:rsid w:val="00032932"/>
    <w:rsid w:val="0003494D"/>
    <w:rsid w:val="00035B80"/>
    <w:rsid w:val="00036B0F"/>
    <w:rsid w:val="00040918"/>
    <w:rsid w:val="00040C4D"/>
    <w:rsid w:val="000413AB"/>
    <w:rsid w:val="000419ED"/>
    <w:rsid w:val="00042688"/>
    <w:rsid w:val="00042837"/>
    <w:rsid w:val="00043204"/>
    <w:rsid w:val="00043931"/>
    <w:rsid w:val="000448BE"/>
    <w:rsid w:val="00046670"/>
    <w:rsid w:val="00047976"/>
    <w:rsid w:val="00047A92"/>
    <w:rsid w:val="000501A4"/>
    <w:rsid w:val="00050BDE"/>
    <w:rsid w:val="00050D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9A"/>
    <w:rsid w:val="000618D0"/>
    <w:rsid w:val="00063297"/>
    <w:rsid w:val="00064637"/>
    <w:rsid w:val="0006721D"/>
    <w:rsid w:val="000675B0"/>
    <w:rsid w:val="00067F12"/>
    <w:rsid w:val="000710A8"/>
    <w:rsid w:val="00072B83"/>
    <w:rsid w:val="00072FE8"/>
    <w:rsid w:val="000736B3"/>
    <w:rsid w:val="000738F6"/>
    <w:rsid w:val="0007429C"/>
    <w:rsid w:val="00074F31"/>
    <w:rsid w:val="00076758"/>
    <w:rsid w:val="00076ED7"/>
    <w:rsid w:val="0007717F"/>
    <w:rsid w:val="0007762A"/>
    <w:rsid w:val="00080072"/>
    <w:rsid w:val="00081D0E"/>
    <w:rsid w:val="0008345D"/>
    <w:rsid w:val="00084E3A"/>
    <w:rsid w:val="00085086"/>
    <w:rsid w:val="00085B99"/>
    <w:rsid w:val="00086BCD"/>
    <w:rsid w:val="00091A72"/>
    <w:rsid w:val="00093E30"/>
    <w:rsid w:val="0009432F"/>
    <w:rsid w:val="00094F15"/>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2074"/>
    <w:rsid w:val="000B2C5B"/>
    <w:rsid w:val="000B2DBE"/>
    <w:rsid w:val="000B3056"/>
    <w:rsid w:val="000B3A23"/>
    <w:rsid w:val="000B55BB"/>
    <w:rsid w:val="000B7912"/>
    <w:rsid w:val="000B7B95"/>
    <w:rsid w:val="000C05CB"/>
    <w:rsid w:val="000C0F17"/>
    <w:rsid w:val="000C164B"/>
    <w:rsid w:val="000C16F6"/>
    <w:rsid w:val="000C2AB9"/>
    <w:rsid w:val="000C404B"/>
    <w:rsid w:val="000C50A1"/>
    <w:rsid w:val="000C6AAF"/>
    <w:rsid w:val="000C7459"/>
    <w:rsid w:val="000D11EB"/>
    <w:rsid w:val="000D1883"/>
    <w:rsid w:val="000D2056"/>
    <w:rsid w:val="000D22F0"/>
    <w:rsid w:val="000D2F93"/>
    <w:rsid w:val="000D5B81"/>
    <w:rsid w:val="000D5C0B"/>
    <w:rsid w:val="000E013E"/>
    <w:rsid w:val="000E1FBD"/>
    <w:rsid w:val="000E2359"/>
    <w:rsid w:val="000E23EA"/>
    <w:rsid w:val="000E2715"/>
    <w:rsid w:val="000E2B2C"/>
    <w:rsid w:val="000E3022"/>
    <w:rsid w:val="000E3D52"/>
    <w:rsid w:val="000E44FD"/>
    <w:rsid w:val="000E5149"/>
    <w:rsid w:val="000E5834"/>
    <w:rsid w:val="000E7B7C"/>
    <w:rsid w:val="000F158C"/>
    <w:rsid w:val="000F1DEA"/>
    <w:rsid w:val="000F2408"/>
    <w:rsid w:val="000F3700"/>
    <w:rsid w:val="000F4B6E"/>
    <w:rsid w:val="000F6F38"/>
    <w:rsid w:val="000F76A8"/>
    <w:rsid w:val="000F7725"/>
    <w:rsid w:val="000F78AE"/>
    <w:rsid w:val="00101681"/>
    <w:rsid w:val="00101BB0"/>
    <w:rsid w:val="00101D0F"/>
    <w:rsid w:val="00105970"/>
    <w:rsid w:val="00107175"/>
    <w:rsid w:val="00107A35"/>
    <w:rsid w:val="00111F8A"/>
    <w:rsid w:val="00112E28"/>
    <w:rsid w:val="001132D9"/>
    <w:rsid w:val="00113C2F"/>
    <w:rsid w:val="00113E28"/>
    <w:rsid w:val="00114325"/>
    <w:rsid w:val="00115432"/>
    <w:rsid w:val="001157CE"/>
    <w:rsid w:val="00115E66"/>
    <w:rsid w:val="001172DF"/>
    <w:rsid w:val="00121EA1"/>
    <w:rsid w:val="0012279D"/>
    <w:rsid w:val="001239A8"/>
    <w:rsid w:val="00124DC1"/>
    <w:rsid w:val="00125881"/>
    <w:rsid w:val="00134F83"/>
    <w:rsid w:val="001354CB"/>
    <w:rsid w:val="00135695"/>
    <w:rsid w:val="00135742"/>
    <w:rsid w:val="00135A23"/>
    <w:rsid w:val="00136496"/>
    <w:rsid w:val="0013664A"/>
    <w:rsid w:val="00136A10"/>
    <w:rsid w:val="00137337"/>
    <w:rsid w:val="00137FF0"/>
    <w:rsid w:val="00140CC4"/>
    <w:rsid w:val="00141BD6"/>
    <w:rsid w:val="00142206"/>
    <w:rsid w:val="00143176"/>
    <w:rsid w:val="001451A4"/>
    <w:rsid w:val="0014715B"/>
    <w:rsid w:val="00150A48"/>
    <w:rsid w:val="00150BE4"/>
    <w:rsid w:val="00150BEB"/>
    <w:rsid w:val="00150CC9"/>
    <w:rsid w:val="00150F89"/>
    <w:rsid w:val="00152C2F"/>
    <w:rsid w:val="00153149"/>
    <w:rsid w:val="00153A60"/>
    <w:rsid w:val="00154682"/>
    <w:rsid w:val="00154827"/>
    <w:rsid w:val="00155501"/>
    <w:rsid w:val="00156CAA"/>
    <w:rsid w:val="0015702B"/>
    <w:rsid w:val="00157D86"/>
    <w:rsid w:val="00160155"/>
    <w:rsid w:val="0016031C"/>
    <w:rsid w:val="00161124"/>
    <w:rsid w:val="001637C1"/>
    <w:rsid w:val="001643E4"/>
    <w:rsid w:val="00164534"/>
    <w:rsid w:val="00164B64"/>
    <w:rsid w:val="00164C99"/>
    <w:rsid w:val="00166477"/>
    <w:rsid w:val="00166D27"/>
    <w:rsid w:val="00170230"/>
    <w:rsid w:val="00170320"/>
    <w:rsid w:val="00170625"/>
    <w:rsid w:val="00171B4A"/>
    <w:rsid w:val="0017200D"/>
    <w:rsid w:val="001730B0"/>
    <w:rsid w:val="00173FDD"/>
    <w:rsid w:val="001747CF"/>
    <w:rsid w:val="00174A21"/>
    <w:rsid w:val="00175053"/>
    <w:rsid w:val="00175FE2"/>
    <w:rsid w:val="00176411"/>
    <w:rsid w:val="00176B96"/>
    <w:rsid w:val="00177D09"/>
    <w:rsid w:val="00177D2F"/>
    <w:rsid w:val="00180392"/>
    <w:rsid w:val="001821A3"/>
    <w:rsid w:val="00182DC0"/>
    <w:rsid w:val="00183DDC"/>
    <w:rsid w:val="0018586A"/>
    <w:rsid w:val="00185B85"/>
    <w:rsid w:val="0018758B"/>
    <w:rsid w:val="0019015A"/>
    <w:rsid w:val="00190F93"/>
    <w:rsid w:val="00191FF6"/>
    <w:rsid w:val="00192F16"/>
    <w:rsid w:val="00193071"/>
    <w:rsid w:val="00194286"/>
    <w:rsid w:val="00195BC7"/>
    <w:rsid w:val="00195EBA"/>
    <w:rsid w:val="001960B4"/>
    <w:rsid w:val="00197B8A"/>
    <w:rsid w:val="001A0CA6"/>
    <w:rsid w:val="001A2081"/>
    <w:rsid w:val="001A2F88"/>
    <w:rsid w:val="001A325B"/>
    <w:rsid w:val="001A38A7"/>
    <w:rsid w:val="001A3974"/>
    <w:rsid w:val="001A5D04"/>
    <w:rsid w:val="001A613C"/>
    <w:rsid w:val="001A6276"/>
    <w:rsid w:val="001A72F6"/>
    <w:rsid w:val="001A7D06"/>
    <w:rsid w:val="001B1655"/>
    <w:rsid w:val="001B17FB"/>
    <w:rsid w:val="001B2821"/>
    <w:rsid w:val="001B285C"/>
    <w:rsid w:val="001B2ACB"/>
    <w:rsid w:val="001B2DBB"/>
    <w:rsid w:val="001B3BE6"/>
    <w:rsid w:val="001B3EFA"/>
    <w:rsid w:val="001B41A2"/>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C72B2"/>
    <w:rsid w:val="001D1192"/>
    <w:rsid w:val="001D223A"/>
    <w:rsid w:val="001D2793"/>
    <w:rsid w:val="001D2F2A"/>
    <w:rsid w:val="001D3679"/>
    <w:rsid w:val="001D3CC2"/>
    <w:rsid w:val="001D461F"/>
    <w:rsid w:val="001D77E6"/>
    <w:rsid w:val="001E0D0D"/>
    <w:rsid w:val="001E1C40"/>
    <w:rsid w:val="001E1EC3"/>
    <w:rsid w:val="001E1FB9"/>
    <w:rsid w:val="001E1FD1"/>
    <w:rsid w:val="001E23E2"/>
    <w:rsid w:val="001E3778"/>
    <w:rsid w:val="001E3F7F"/>
    <w:rsid w:val="001E475C"/>
    <w:rsid w:val="001E641F"/>
    <w:rsid w:val="001E649A"/>
    <w:rsid w:val="001E773D"/>
    <w:rsid w:val="001F068F"/>
    <w:rsid w:val="001F407D"/>
    <w:rsid w:val="001F6AE0"/>
    <w:rsid w:val="001F6B1F"/>
    <w:rsid w:val="00200434"/>
    <w:rsid w:val="00200E5B"/>
    <w:rsid w:val="0020114F"/>
    <w:rsid w:val="00202F8B"/>
    <w:rsid w:val="00203277"/>
    <w:rsid w:val="00203604"/>
    <w:rsid w:val="002064F7"/>
    <w:rsid w:val="00206BDB"/>
    <w:rsid w:val="002127FD"/>
    <w:rsid w:val="00212B04"/>
    <w:rsid w:val="00212EEA"/>
    <w:rsid w:val="002130B4"/>
    <w:rsid w:val="00214BC0"/>
    <w:rsid w:val="00214CAA"/>
    <w:rsid w:val="00215BEE"/>
    <w:rsid w:val="0021654E"/>
    <w:rsid w:val="0022072A"/>
    <w:rsid w:val="0022100A"/>
    <w:rsid w:val="00221160"/>
    <w:rsid w:val="002213EE"/>
    <w:rsid w:val="00221922"/>
    <w:rsid w:val="002248C1"/>
    <w:rsid w:val="00224C04"/>
    <w:rsid w:val="00225718"/>
    <w:rsid w:val="00225CAE"/>
    <w:rsid w:val="00227E88"/>
    <w:rsid w:val="00230B94"/>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68A"/>
    <w:rsid w:val="00250751"/>
    <w:rsid w:val="0025701A"/>
    <w:rsid w:val="00260BF5"/>
    <w:rsid w:val="00260D04"/>
    <w:rsid w:val="00261C84"/>
    <w:rsid w:val="00263521"/>
    <w:rsid w:val="00266AA9"/>
    <w:rsid w:val="0027121E"/>
    <w:rsid w:val="0027188F"/>
    <w:rsid w:val="002739B2"/>
    <w:rsid w:val="002746DE"/>
    <w:rsid w:val="00275A79"/>
    <w:rsid w:val="002813A0"/>
    <w:rsid w:val="002841CB"/>
    <w:rsid w:val="00284ABA"/>
    <w:rsid w:val="0028686C"/>
    <w:rsid w:val="0028694C"/>
    <w:rsid w:val="002920D3"/>
    <w:rsid w:val="00292A58"/>
    <w:rsid w:val="00293FC3"/>
    <w:rsid w:val="00294784"/>
    <w:rsid w:val="00294AF0"/>
    <w:rsid w:val="00296A9F"/>
    <w:rsid w:val="00297B77"/>
    <w:rsid w:val="002A04CC"/>
    <w:rsid w:val="002A1117"/>
    <w:rsid w:val="002A18D6"/>
    <w:rsid w:val="002A2132"/>
    <w:rsid w:val="002A2C5A"/>
    <w:rsid w:val="002A4153"/>
    <w:rsid w:val="002A4707"/>
    <w:rsid w:val="002A57EB"/>
    <w:rsid w:val="002A598C"/>
    <w:rsid w:val="002A6418"/>
    <w:rsid w:val="002A64F8"/>
    <w:rsid w:val="002A68DE"/>
    <w:rsid w:val="002A6A8F"/>
    <w:rsid w:val="002A6B3B"/>
    <w:rsid w:val="002A7D21"/>
    <w:rsid w:val="002B10E8"/>
    <w:rsid w:val="002B637F"/>
    <w:rsid w:val="002B65DC"/>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AC8"/>
    <w:rsid w:val="002D572F"/>
    <w:rsid w:val="002D5930"/>
    <w:rsid w:val="002D65CF"/>
    <w:rsid w:val="002D6964"/>
    <w:rsid w:val="002D6DBD"/>
    <w:rsid w:val="002E01CC"/>
    <w:rsid w:val="002E188D"/>
    <w:rsid w:val="002E1E1F"/>
    <w:rsid w:val="002E24BB"/>
    <w:rsid w:val="002E2DB0"/>
    <w:rsid w:val="002E3AA6"/>
    <w:rsid w:val="002E424B"/>
    <w:rsid w:val="002E4818"/>
    <w:rsid w:val="002E5757"/>
    <w:rsid w:val="002E6B3E"/>
    <w:rsid w:val="002E707E"/>
    <w:rsid w:val="002E70B8"/>
    <w:rsid w:val="002F06E7"/>
    <w:rsid w:val="002F11D2"/>
    <w:rsid w:val="002F1610"/>
    <w:rsid w:val="002F2019"/>
    <w:rsid w:val="002F24F0"/>
    <w:rsid w:val="002F29CA"/>
    <w:rsid w:val="002F42B0"/>
    <w:rsid w:val="002F5163"/>
    <w:rsid w:val="002F5A80"/>
    <w:rsid w:val="002F5B51"/>
    <w:rsid w:val="002F6FA5"/>
    <w:rsid w:val="002F724D"/>
    <w:rsid w:val="002F7C75"/>
    <w:rsid w:val="0030043A"/>
    <w:rsid w:val="00301153"/>
    <w:rsid w:val="003020D6"/>
    <w:rsid w:val="00302DC7"/>
    <w:rsid w:val="0030338B"/>
    <w:rsid w:val="00304E57"/>
    <w:rsid w:val="003050D0"/>
    <w:rsid w:val="0030516B"/>
    <w:rsid w:val="003067B1"/>
    <w:rsid w:val="00307A51"/>
    <w:rsid w:val="003108E3"/>
    <w:rsid w:val="00311190"/>
    <w:rsid w:val="00313D58"/>
    <w:rsid w:val="00313EEC"/>
    <w:rsid w:val="00315624"/>
    <w:rsid w:val="00315BD6"/>
    <w:rsid w:val="00315D7F"/>
    <w:rsid w:val="00315FF2"/>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7593"/>
    <w:rsid w:val="00332F33"/>
    <w:rsid w:val="00334A65"/>
    <w:rsid w:val="00334D20"/>
    <w:rsid w:val="0033564C"/>
    <w:rsid w:val="003356A2"/>
    <w:rsid w:val="00335A0A"/>
    <w:rsid w:val="00337048"/>
    <w:rsid w:val="003370BA"/>
    <w:rsid w:val="00337846"/>
    <w:rsid w:val="0034038A"/>
    <w:rsid w:val="003405E7"/>
    <w:rsid w:val="00340C7C"/>
    <w:rsid w:val="0034149F"/>
    <w:rsid w:val="003453E8"/>
    <w:rsid w:val="00345868"/>
    <w:rsid w:val="0034637E"/>
    <w:rsid w:val="00346930"/>
    <w:rsid w:val="00347612"/>
    <w:rsid w:val="003513C7"/>
    <w:rsid w:val="0035145F"/>
    <w:rsid w:val="00351F4E"/>
    <w:rsid w:val="00355453"/>
    <w:rsid w:val="003559A1"/>
    <w:rsid w:val="00355B59"/>
    <w:rsid w:val="00356540"/>
    <w:rsid w:val="00356926"/>
    <w:rsid w:val="00356C79"/>
    <w:rsid w:val="003606C0"/>
    <w:rsid w:val="00363344"/>
    <w:rsid w:val="003633E1"/>
    <w:rsid w:val="00363FE3"/>
    <w:rsid w:val="00364581"/>
    <w:rsid w:val="0036568B"/>
    <w:rsid w:val="00365C9E"/>
    <w:rsid w:val="00365D63"/>
    <w:rsid w:val="00365DC9"/>
    <w:rsid w:val="00365DE2"/>
    <w:rsid w:val="0036639F"/>
    <w:rsid w:val="003675CC"/>
    <w:rsid w:val="00371181"/>
    <w:rsid w:val="0037128C"/>
    <w:rsid w:val="00372476"/>
    <w:rsid w:val="0037259B"/>
    <w:rsid w:val="0037289B"/>
    <w:rsid w:val="003729F9"/>
    <w:rsid w:val="0037370B"/>
    <w:rsid w:val="00375AE4"/>
    <w:rsid w:val="00375C87"/>
    <w:rsid w:val="00376061"/>
    <w:rsid w:val="00376625"/>
    <w:rsid w:val="0037752E"/>
    <w:rsid w:val="0037753E"/>
    <w:rsid w:val="00377B33"/>
    <w:rsid w:val="00380052"/>
    <w:rsid w:val="003806AE"/>
    <w:rsid w:val="00382741"/>
    <w:rsid w:val="00382981"/>
    <w:rsid w:val="003839AA"/>
    <w:rsid w:val="003843E4"/>
    <w:rsid w:val="00385CBB"/>
    <w:rsid w:val="003907CF"/>
    <w:rsid w:val="00391943"/>
    <w:rsid w:val="00391D47"/>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3D05"/>
    <w:rsid w:val="003A613A"/>
    <w:rsid w:val="003A66EF"/>
    <w:rsid w:val="003A769E"/>
    <w:rsid w:val="003B166B"/>
    <w:rsid w:val="003B4CBF"/>
    <w:rsid w:val="003B505F"/>
    <w:rsid w:val="003B5A1E"/>
    <w:rsid w:val="003B639B"/>
    <w:rsid w:val="003B71E3"/>
    <w:rsid w:val="003C26AC"/>
    <w:rsid w:val="003C2A0B"/>
    <w:rsid w:val="003C2EC6"/>
    <w:rsid w:val="003C3358"/>
    <w:rsid w:val="003C4F30"/>
    <w:rsid w:val="003C5153"/>
    <w:rsid w:val="003C5BB1"/>
    <w:rsid w:val="003C6C20"/>
    <w:rsid w:val="003C7AD3"/>
    <w:rsid w:val="003C7B2D"/>
    <w:rsid w:val="003D0F91"/>
    <w:rsid w:val="003D16F2"/>
    <w:rsid w:val="003D1D5C"/>
    <w:rsid w:val="003D2AE6"/>
    <w:rsid w:val="003D4194"/>
    <w:rsid w:val="003D43B8"/>
    <w:rsid w:val="003D5549"/>
    <w:rsid w:val="003D5B8A"/>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1A9B"/>
    <w:rsid w:val="003F2708"/>
    <w:rsid w:val="003F316F"/>
    <w:rsid w:val="003F48CD"/>
    <w:rsid w:val="003F5B6A"/>
    <w:rsid w:val="003F6CB2"/>
    <w:rsid w:val="003F6D65"/>
    <w:rsid w:val="003F7B2B"/>
    <w:rsid w:val="004002DD"/>
    <w:rsid w:val="00400F4F"/>
    <w:rsid w:val="00403EED"/>
    <w:rsid w:val="0040494A"/>
    <w:rsid w:val="00405277"/>
    <w:rsid w:val="004064E0"/>
    <w:rsid w:val="00406F61"/>
    <w:rsid w:val="004078B5"/>
    <w:rsid w:val="0041045D"/>
    <w:rsid w:val="00410935"/>
    <w:rsid w:val="00410D75"/>
    <w:rsid w:val="0041180B"/>
    <w:rsid w:val="0041212D"/>
    <w:rsid w:val="0041284E"/>
    <w:rsid w:val="00413464"/>
    <w:rsid w:val="00416D06"/>
    <w:rsid w:val="00417266"/>
    <w:rsid w:val="00420371"/>
    <w:rsid w:val="004204DC"/>
    <w:rsid w:val="004206BA"/>
    <w:rsid w:val="0042090E"/>
    <w:rsid w:val="00420DB1"/>
    <w:rsid w:val="0042545B"/>
    <w:rsid w:val="00425E72"/>
    <w:rsid w:val="00425E85"/>
    <w:rsid w:val="00426862"/>
    <w:rsid w:val="004276E0"/>
    <w:rsid w:val="00427A72"/>
    <w:rsid w:val="00430277"/>
    <w:rsid w:val="00432A56"/>
    <w:rsid w:val="00434C19"/>
    <w:rsid w:val="00436048"/>
    <w:rsid w:val="00436B23"/>
    <w:rsid w:val="00436B37"/>
    <w:rsid w:val="0043791D"/>
    <w:rsid w:val="00437D9B"/>
    <w:rsid w:val="004413C7"/>
    <w:rsid w:val="004414E6"/>
    <w:rsid w:val="004428A8"/>
    <w:rsid w:val="00442E2D"/>
    <w:rsid w:val="00443D1B"/>
    <w:rsid w:val="00444597"/>
    <w:rsid w:val="00445522"/>
    <w:rsid w:val="004470C5"/>
    <w:rsid w:val="004474BB"/>
    <w:rsid w:val="00451A68"/>
    <w:rsid w:val="00451AA2"/>
    <w:rsid w:val="00451E5C"/>
    <w:rsid w:val="0045209D"/>
    <w:rsid w:val="00452950"/>
    <w:rsid w:val="00453CEB"/>
    <w:rsid w:val="004547C8"/>
    <w:rsid w:val="00455BC0"/>
    <w:rsid w:val="00456AD9"/>
    <w:rsid w:val="00460179"/>
    <w:rsid w:val="00460B1C"/>
    <w:rsid w:val="00462348"/>
    <w:rsid w:val="00463683"/>
    <w:rsid w:val="00464D56"/>
    <w:rsid w:val="00464DF0"/>
    <w:rsid w:val="00465DDF"/>
    <w:rsid w:val="004661DB"/>
    <w:rsid w:val="00466B28"/>
    <w:rsid w:val="00467D5E"/>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5787"/>
    <w:rsid w:val="00486172"/>
    <w:rsid w:val="004875EB"/>
    <w:rsid w:val="0049015A"/>
    <w:rsid w:val="00491199"/>
    <w:rsid w:val="004919A3"/>
    <w:rsid w:val="00492C76"/>
    <w:rsid w:val="00492D47"/>
    <w:rsid w:val="004930AA"/>
    <w:rsid w:val="004939B6"/>
    <w:rsid w:val="00493CBE"/>
    <w:rsid w:val="004955D7"/>
    <w:rsid w:val="004965B9"/>
    <w:rsid w:val="004A0385"/>
    <w:rsid w:val="004A07F3"/>
    <w:rsid w:val="004A0E02"/>
    <w:rsid w:val="004A0E75"/>
    <w:rsid w:val="004A144B"/>
    <w:rsid w:val="004A3415"/>
    <w:rsid w:val="004A3A1C"/>
    <w:rsid w:val="004A5AE0"/>
    <w:rsid w:val="004A5FCA"/>
    <w:rsid w:val="004A6C9C"/>
    <w:rsid w:val="004A77C4"/>
    <w:rsid w:val="004A7854"/>
    <w:rsid w:val="004A7ABE"/>
    <w:rsid w:val="004B09A3"/>
    <w:rsid w:val="004B117A"/>
    <w:rsid w:val="004B18AE"/>
    <w:rsid w:val="004B21B0"/>
    <w:rsid w:val="004B2958"/>
    <w:rsid w:val="004B3850"/>
    <w:rsid w:val="004B6164"/>
    <w:rsid w:val="004B7C1A"/>
    <w:rsid w:val="004C0FFF"/>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5AD1"/>
    <w:rsid w:val="004D708B"/>
    <w:rsid w:val="004E0BE3"/>
    <w:rsid w:val="004E0E03"/>
    <w:rsid w:val="004E0F37"/>
    <w:rsid w:val="004E13FA"/>
    <w:rsid w:val="004E1D0E"/>
    <w:rsid w:val="004E1DB7"/>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85"/>
    <w:rsid w:val="004F539A"/>
    <w:rsid w:val="004F5B56"/>
    <w:rsid w:val="0050010C"/>
    <w:rsid w:val="005001D8"/>
    <w:rsid w:val="005006C5"/>
    <w:rsid w:val="005011A2"/>
    <w:rsid w:val="00501D89"/>
    <w:rsid w:val="0050204B"/>
    <w:rsid w:val="00502507"/>
    <w:rsid w:val="00502A0F"/>
    <w:rsid w:val="00503072"/>
    <w:rsid w:val="005031BB"/>
    <w:rsid w:val="00503380"/>
    <w:rsid w:val="00503B67"/>
    <w:rsid w:val="00503E67"/>
    <w:rsid w:val="00503F81"/>
    <w:rsid w:val="005048AA"/>
    <w:rsid w:val="005048E9"/>
    <w:rsid w:val="00504A34"/>
    <w:rsid w:val="00505366"/>
    <w:rsid w:val="00510184"/>
    <w:rsid w:val="00510973"/>
    <w:rsid w:val="00510D89"/>
    <w:rsid w:val="005118B9"/>
    <w:rsid w:val="00511F6D"/>
    <w:rsid w:val="0051326F"/>
    <w:rsid w:val="00513F33"/>
    <w:rsid w:val="005147FC"/>
    <w:rsid w:val="005158BE"/>
    <w:rsid w:val="00515C82"/>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27F31"/>
    <w:rsid w:val="00530147"/>
    <w:rsid w:val="0053022D"/>
    <w:rsid w:val="005315AB"/>
    <w:rsid w:val="005325F3"/>
    <w:rsid w:val="005326D9"/>
    <w:rsid w:val="00533572"/>
    <w:rsid w:val="00534021"/>
    <w:rsid w:val="00534623"/>
    <w:rsid w:val="005346A1"/>
    <w:rsid w:val="00535D72"/>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934"/>
    <w:rsid w:val="00550BA0"/>
    <w:rsid w:val="00550E94"/>
    <w:rsid w:val="00551B42"/>
    <w:rsid w:val="00551DB7"/>
    <w:rsid w:val="00554AAD"/>
    <w:rsid w:val="005550A3"/>
    <w:rsid w:val="005554C5"/>
    <w:rsid w:val="005559D1"/>
    <w:rsid w:val="00555D63"/>
    <w:rsid w:val="005565B2"/>
    <w:rsid w:val="00556F6F"/>
    <w:rsid w:val="00557296"/>
    <w:rsid w:val="00557A6C"/>
    <w:rsid w:val="005608B2"/>
    <w:rsid w:val="00560A43"/>
    <w:rsid w:val="00561000"/>
    <w:rsid w:val="00563749"/>
    <w:rsid w:val="00563C85"/>
    <w:rsid w:val="00563DDB"/>
    <w:rsid w:val="00564813"/>
    <w:rsid w:val="0056546C"/>
    <w:rsid w:val="0056563A"/>
    <w:rsid w:val="00565966"/>
    <w:rsid w:val="00565BD3"/>
    <w:rsid w:val="00566629"/>
    <w:rsid w:val="00567686"/>
    <w:rsid w:val="005676DC"/>
    <w:rsid w:val="005715C9"/>
    <w:rsid w:val="00571D67"/>
    <w:rsid w:val="0057253F"/>
    <w:rsid w:val="00572E40"/>
    <w:rsid w:val="00573801"/>
    <w:rsid w:val="00574579"/>
    <w:rsid w:val="00574593"/>
    <w:rsid w:val="0057527E"/>
    <w:rsid w:val="00575A1D"/>
    <w:rsid w:val="00575A7F"/>
    <w:rsid w:val="005764A9"/>
    <w:rsid w:val="00576867"/>
    <w:rsid w:val="00576D2C"/>
    <w:rsid w:val="00576EFD"/>
    <w:rsid w:val="00580508"/>
    <w:rsid w:val="00580C5C"/>
    <w:rsid w:val="00580DA8"/>
    <w:rsid w:val="00580F79"/>
    <w:rsid w:val="0058142E"/>
    <w:rsid w:val="0058597D"/>
    <w:rsid w:val="00585F34"/>
    <w:rsid w:val="00587DC2"/>
    <w:rsid w:val="005906E5"/>
    <w:rsid w:val="00590EBE"/>
    <w:rsid w:val="0059185F"/>
    <w:rsid w:val="00592EBE"/>
    <w:rsid w:val="0059531A"/>
    <w:rsid w:val="0059595B"/>
    <w:rsid w:val="00595A3D"/>
    <w:rsid w:val="00595D44"/>
    <w:rsid w:val="0059614A"/>
    <w:rsid w:val="005963B4"/>
    <w:rsid w:val="005A021D"/>
    <w:rsid w:val="005A0CEA"/>
    <w:rsid w:val="005A1450"/>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6AB5"/>
    <w:rsid w:val="005B78A1"/>
    <w:rsid w:val="005C05FF"/>
    <w:rsid w:val="005C14A0"/>
    <w:rsid w:val="005C198B"/>
    <w:rsid w:val="005C23D7"/>
    <w:rsid w:val="005C2859"/>
    <w:rsid w:val="005C438E"/>
    <w:rsid w:val="005C43F3"/>
    <w:rsid w:val="005C552D"/>
    <w:rsid w:val="005C62D9"/>
    <w:rsid w:val="005D00DB"/>
    <w:rsid w:val="005D07D2"/>
    <w:rsid w:val="005D0F46"/>
    <w:rsid w:val="005D14F8"/>
    <w:rsid w:val="005D293C"/>
    <w:rsid w:val="005D30B8"/>
    <w:rsid w:val="005D48FE"/>
    <w:rsid w:val="005D5EAC"/>
    <w:rsid w:val="005D66B0"/>
    <w:rsid w:val="005D6C63"/>
    <w:rsid w:val="005D7598"/>
    <w:rsid w:val="005E009F"/>
    <w:rsid w:val="005E1528"/>
    <w:rsid w:val="005E2189"/>
    <w:rsid w:val="005E2A5A"/>
    <w:rsid w:val="005E2C15"/>
    <w:rsid w:val="005E46DC"/>
    <w:rsid w:val="005E4C95"/>
    <w:rsid w:val="005E58A5"/>
    <w:rsid w:val="005F00DC"/>
    <w:rsid w:val="005F0B3C"/>
    <w:rsid w:val="005F0E3E"/>
    <w:rsid w:val="005F2129"/>
    <w:rsid w:val="005F27EF"/>
    <w:rsid w:val="005F3AEF"/>
    <w:rsid w:val="005F492A"/>
    <w:rsid w:val="005F49D2"/>
    <w:rsid w:val="005F4CED"/>
    <w:rsid w:val="005F5352"/>
    <w:rsid w:val="005F5527"/>
    <w:rsid w:val="005F6F91"/>
    <w:rsid w:val="00600F74"/>
    <w:rsid w:val="00603ABE"/>
    <w:rsid w:val="00603F19"/>
    <w:rsid w:val="00604D69"/>
    <w:rsid w:val="006052E4"/>
    <w:rsid w:val="00605442"/>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3595"/>
    <w:rsid w:val="00634521"/>
    <w:rsid w:val="0063468C"/>
    <w:rsid w:val="00634DAD"/>
    <w:rsid w:val="006358A5"/>
    <w:rsid w:val="006359D0"/>
    <w:rsid w:val="00635B2E"/>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14C8"/>
    <w:rsid w:val="00651A21"/>
    <w:rsid w:val="006531CB"/>
    <w:rsid w:val="0065322E"/>
    <w:rsid w:val="00653453"/>
    <w:rsid w:val="00653F03"/>
    <w:rsid w:val="00654347"/>
    <w:rsid w:val="00654C6A"/>
    <w:rsid w:val="00655B41"/>
    <w:rsid w:val="00656821"/>
    <w:rsid w:val="006569B1"/>
    <w:rsid w:val="006572F6"/>
    <w:rsid w:val="006600F5"/>
    <w:rsid w:val="0066027D"/>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34E5"/>
    <w:rsid w:val="00683A28"/>
    <w:rsid w:val="00684959"/>
    <w:rsid w:val="00684DEA"/>
    <w:rsid w:val="006854F2"/>
    <w:rsid w:val="006862BE"/>
    <w:rsid w:val="00686E12"/>
    <w:rsid w:val="00690E56"/>
    <w:rsid w:val="0069249C"/>
    <w:rsid w:val="00692613"/>
    <w:rsid w:val="00697E8B"/>
    <w:rsid w:val="006A1039"/>
    <w:rsid w:val="006A21AF"/>
    <w:rsid w:val="006A2D1D"/>
    <w:rsid w:val="006A49AE"/>
    <w:rsid w:val="006A5A4C"/>
    <w:rsid w:val="006A6846"/>
    <w:rsid w:val="006A75AC"/>
    <w:rsid w:val="006A7897"/>
    <w:rsid w:val="006A7B25"/>
    <w:rsid w:val="006A7F23"/>
    <w:rsid w:val="006B056A"/>
    <w:rsid w:val="006B0FA2"/>
    <w:rsid w:val="006B1475"/>
    <w:rsid w:val="006B1A63"/>
    <w:rsid w:val="006B2A03"/>
    <w:rsid w:val="006B2ABD"/>
    <w:rsid w:val="006B3858"/>
    <w:rsid w:val="006B5363"/>
    <w:rsid w:val="006B56D9"/>
    <w:rsid w:val="006B657B"/>
    <w:rsid w:val="006B709C"/>
    <w:rsid w:val="006C01B3"/>
    <w:rsid w:val="006C0671"/>
    <w:rsid w:val="006C1ABF"/>
    <w:rsid w:val="006C1BD3"/>
    <w:rsid w:val="006C1C44"/>
    <w:rsid w:val="006C1C92"/>
    <w:rsid w:val="006C1D80"/>
    <w:rsid w:val="006C34ED"/>
    <w:rsid w:val="006C3B12"/>
    <w:rsid w:val="006C3D2D"/>
    <w:rsid w:val="006C4D54"/>
    <w:rsid w:val="006C7199"/>
    <w:rsid w:val="006D04D2"/>
    <w:rsid w:val="006D176D"/>
    <w:rsid w:val="006D280F"/>
    <w:rsid w:val="006D383A"/>
    <w:rsid w:val="006D4161"/>
    <w:rsid w:val="006D6131"/>
    <w:rsid w:val="006D66B2"/>
    <w:rsid w:val="006D6CC0"/>
    <w:rsid w:val="006D6DC4"/>
    <w:rsid w:val="006D76F3"/>
    <w:rsid w:val="006D786C"/>
    <w:rsid w:val="006D79E4"/>
    <w:rsid w:val="006D7BA7"/>
    <w:rsid w:val="006E07AA"/>
    <w:rsid w:val="006E123A"/>
    <w:rsid w:val="006E3C03"/>
    <w:rsid w:val="006E52CE"/>
    <w:rsid w:val="006E57B4"/>
    <w:rsid w:val="006E585B"/>
    <w:rsid w:val="006E5FB1"/>
    <w:rsid w:val="006E6297"/>
    <w:rsid w:val="006E6560"/>
    <w:rsid w:val="006E663F"/>
    <w:rsid w:val="006E787E"/>
    <w:rsid w:val="006F10E1"/>
    <w:rsid w:val="006F11DD"/>
    <w:rsid w:val="006F19AA"/>
    <w:rsid w:val="006F281D"/>
    <w:rsid w:val="006F285F"/>
    <w:rsid w:val="006F347B"/>
    <w:rsid w:val="006F3536"/>
    <w:rsid w:val="006F3A6E"/>
    <w:rsid w:val="006F4A1E"/>
    <w:rsid w:val="006F713A"/>
    <w:rsid w:val="007021CD"/>
    <w:rsid w:val="0070320C"/>
    <w:rsid w:val="007033B5"/>
    <w:rsid w:val="00704670"/>
    <w:rsid w:val="00704B20"/>
    <w:rsid w:val="00705DA7"/>
    <w:rsid w:val="00710AF8"/>
    <w:rsid w:val="00710BF9"/>
    <w:rsid w:val="00710F65"/>
    <w:rsid w:val="0071327A"/>
    <w:rsid w:val="00713714"/>
    <w:rsid w:val="0071397B"/>
    <w:rsid w:val="007139D1"/>
    <w:rsid w:val="00715002"/>
    <w:rsid w:val="007163C0"/>
    <w:rsid w:val="007202FA"/>
    <w:rsid w:val="0072059F"/>
    <w:rsid w:val="00720648"/>
    <w:rsid w:val="00720C94"/>
    <w:rsid w:val="0072219B"/>
    <w:rsid w:val="00722424"/>
    <w:rsid w:val="00722DED"/>
    <w:rsid w:val="00723C1D"/>
    <w:rsid w:val="007244C8"/>
    <w:rsid w:val="00724A11"/>
    <w:rsid w:val="00725154"/>
    <w:rsid w:val="007264A6"/>
    <w:rsid w:val="00726680"/>
    <w:rsid w:val="00726C56"/>
    <w:rsid w:val="00727068"/>
    <w:rsid w:val="007270D6"/>
    <w:rsid w:val="00727786"/>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450C"/>
    <w:rsid w:val="00744632"/>
    <w:rsid w:val="007452B3"/>
    <w:rsid w:val="0074683C"/>
    <w:rsid w:val="007474F0"/>
    <w:rsid w:val="00747AC3"/>
    <w:rsid w:val="00750F58"/>
    <w:rsid w:val="007524DB"/>
    <w:rsid w:val="007526C7"/>
    <w:rsid w:val="00753941"/>
    <w:rsid w:val="00753A65"/>
    <w:rsid w:val="00753ADE"/>
    <w:rsid w:val="007566C1"/>
    <w:rsid w:val="00756E3A"/>
    <w:rsid w:val="0075719C"/>
    <w:rsid w:val="00757B56"/>
    <w:rsid w:val="00760578"/>
    <w:rsid w:val="00760B67"/>
    <w:rsid w:val="00761CE2"/>
    <w:rsid w:val="00761E43"/>
    <w:rsid w:val="00763E35"/>
    <w:rsid w:val="00764C13"/>
    <w:rsid w:val="00766829"/>
    <w:rsid w:val="00766AEC"/>
    <w:rsid w:val="00767A10"/>
    <w:rsid w:val="0077170D"/>
    <w:rsid w:val="00771F85"/>
    <w:rsid w:val="00772487"/>
    <w:rsid w:val="00772730"/>
    <w:rsid w:val="00773308"/>
    <w:rsid w:val="0077389E"/>
    <w:rsid w:val="00773F61"/>
    <w:rsid w:val="00774E68"/>
    <w:rsid w:val="0077505C"/>
    <w:rsid w:val="0077594D"/>
    <w:rsid w:val="007761EE"/>
    <w:rsid w:val="00777DAD"/>
    <w:rsid w:val="00780D40"/>
    <w:rsid w:val="00781F3B"/>
    <w:rsid w:val="00784F53"/>
    <w:rsid w:val="00786364"/>
    <w:rsid w:val="00787591"/>
    <w:rsid w:val="00787AC0"/>
    <w:rsid w:val="00791581"/>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4C1"/>
    <w:rsid w:val="007A711B"/>
    <w:rsid w:val="007A75A0"/>
    <w:rsid w:val="007A7E74"/>
    <w:rsid w:val="007A7F2A"/>
    <w:rsid w:val="007B0184"/>
    <w:rsid w:val="007B06A5"/>
    <w:rsid w:val="007B0C46"/>
    <w:rsid w:val="007B112B"/>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56D2"/>
    <w:rsid w:val="007D5C93"/>
    <w:rsid w:val="007D61B8"/>
    <w:rsid w:val="007D6945"/>
    <w:rsid w:val="007D70B5"/>
    <w:rsid w:val="007D72D2"/>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DE"/>
    <w:rsid w:val="007F34EB"/>
    <w:rsid w:val="007F3B2C"/>
    <w:rsid w:val="007F42D5"/>
    <w:rsid w:val="007F4A1B"/>
    <w:rsid w:val="007F4AD9"/>
    <w:rsid w:val="007F6056"/>
    <w:rsid w:val="007F7FF2"/>
    <w:rsid w:val="00800A64"/>
    <w:rsid w:val="00802129"/>
    <w:rsid w:val="008024D4"/>
    <w:rsid w:val="00802E55"/>
    <w:rsid w:val="008059B4"/>
    <w:rsid w:val="00805B42"/>
    <w:rsid w:val="00805E4B"/>
    <w:rsid w:val="00806D63"/>
    <w:rsid w:val="00807409"/>
    <w:rsid w:val="0080798A"/>
    <w:rsid w:val="008102AD"/>
    <w:rsid w:val="0081167C"/>
    <w:rsid w:val="0081297F"/>
    <w:rsid w:val="008168F8"/>
    <w:rsid w:val="00817040"/>
    <w:rsid w:val="00820393"/>
    <w:rsid w:val="008203CF"/>
    <w:rsid w:val="00820603"/>
    <w:rsid w:val="00820A82"/>
    <w:rsid w:val="0082350D"/>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2138"/>
    <w:rsid w:val="00842F70"/>
    <w:rsid w:val="00845894"/>
    <w:rsid w:val="00845E9A"/>
    <w:rsid w:val="008474A5"/>
    <w:rsid w:val="00847B0A"/>
    <w:rsid w:val="00847C79"/>
    <w:rsid w:val="00847D4E"/>
    <w:rsid w:val="00850599"/>
    <w:rsid w:val="00850910"/>
    <w:rsid w:val="00851CD4"/>
    <w:rsid w:val="00851FD3"/>
    <w:rsid w:val="00852213"/>
    <w:rsid w:val="0085238A"/>
    <w:rsid w:val="008524EB"/>
    <w:rsid w:val="00852890"/>
    <w:rsid w:val="0085318D"/>
    <w:rsid w:val="008565BC"/>
    <w:rsid w:val="00856648"/>
    <w:rsid w:val="00856A67"/>
    <w:rsid w:val="00857D59"/>
    <w:rsid w:val="00861731"/>
    <w:rsid w:val="0086190F"/>
    <w:rsid w:val="00863B4F"/>
    <w:rsid w:val="00864147"/>
    <w:rsid w:val="008642D0"/>
    <w:rsid w:val="0086437F"/>
    <w:rsid w:val="00867FC5"/>
    <w:rsid w:val="008714DB"/>
    <w:rsid w:val="00871B57"/>
    <w:rsid w:val="00871E21"/>
    <w:rsid w:val="008747C9"/>
    <w:rsid w:val="00875402"/>
    <w:rsid w:val="00875449"/>
    <w:rsid w:val="00875858"/>
    <w:rsid w:val="00877E88"/>
    <w:rsid w:val="0088002F"/>
    <w:rsid w:val="008802A2"/>
    <w:rsid w:val="00881072"/>
    <w:rsid w:val="008816A3"/>
    <w:rsid w:val="008829F7"/>
    <w:rsid w:val="00882E18"/>
    <w:rsid w:val="0088414B"/>
    <w:rsid w:val="00884B09"/>
    <w:rsid w:val="00885345"/>
    <w:rsid w:val="00885469"/>
    <w:rsid w:val="008865D6"/>
    <w:rsid w:val="008866DF"/>
    <w:rsid w:val="00886AEF"/>
    <w:rsid w:val="00887178"/>
    <w:rsid w:val="0088747B"/>
    <w:rsid w:val="008879D3"/>
    <w:rsid w:val="00890D9C"/>
    <w:rsid w:val="00892310"/>
    <w:rsid w:val="00892F80"/>
    <w:rsid w:val="00893A03"/>
    <w:rsid w:val="00894E27"/>
    <w:rsid w:val="00895566"/>
    <w:rsid w:val="00895CB8"/>
    <w:rsid w:val="00895E96"/>
    <w:rsid w:val="0089661E"/>
    <w:rsid w:val="00897D19"/>
    <w:rsid w:val="00897F55"/>
    <w:rsid w:val="008A056C"/>
    <w:rsid w:val="008A0D84"/>
    <w:rsid w:val="008A14DB"/>
    <w:rsid w:val="008A1A62"/>
    <w:rsid w:val="008A1D01"/>
    <w:rsid w:val="008A1FFE"/>
    <w:rsid w:val="008A21D4"/>
    <w:rsid w:val="008A2C51"/>
    <w:rsid w:val="008A342D"/>
    <w:rsid w:val="008A4780"/>
    <w:rsid w:val="008A5963"/>
    <w:rsid w:val="008A5ABF"/>
    <w:rsid w:val="008A5FD4"/>
    <w:rsid w:val="008A78F7"/>
    <w:rsid w:val="008B0887"/>
    <w:rsid w:val="008B17A0"/>
    <w:rsid w:val="008B22B0"/>
    <w:rsid w:val="008B2C01"/>
    <w:rsid w:val="008B31F7"/>
    <w:rsid w:val="008B33C0"/>
    <w:rsid w:val="008B3522"/>
    <w:rsid w:val="008B3869"/>
    <w:rsid w:val="008B4F41"/>
    <w:rsid w:val="008B5F0A"/>
    <w:rsid w:val="008B6972"/>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3DE1"/>
    <w:rsid w:val="008D4146"/>
    <w:rsid w:val="008D42F6"/>
    <w:rsid w:val="008D5013"/>
    <w:rsid w:val="008D59E9"/>
    <w:rsid w:val="008D7367"/>
    <w:rsid w:val="008D7D2D"/>
    <w:rsid w:val="008E0F0B"/>
    <w:rsid w:val="008E1159"/>
    <w:rsid w:val="008E1580"/>
    <w:rsid w:val="008E1A9C"/>
    <w:rsid w:val="008E20F1"/>
    <w:rsid w:val="008E3175"/>
    <w:rsid w:val="008E32CE"/>
    <w:rsid w:val="008E3CC4"/>
    <w:rsid w:val="008E417F"/>
    <w:rsid w:val="008E4F24"/>
    <w:rsid w:val="008E5512"/>
    <w:rsid w:val="008E59C0"/>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1051D"/>
    <w:rsid w:val="00910533"/>
    <w:rsid w:val="00910C50"/>
    <w:rsid w:val="00912CB8"/>
    <w:rsid w:val="00916484"/>
    <w:rsid w:val="00916B7D"/>
    <w:rsid w:val="00916F2F"/>
    <w:rsid w:val="00917575"/>
    <w:rsid w:val="009176BF"/>
    <w:rsid w:val="00917ABD"/>
    <w:rsid w:val="00920136"/>
    <w:rsid w:val="009209E3"/>
    <w:rsid w:val="00921847"/>
    <w:rsid w:val="00923A33"/>
    <w:rsid w:val="00923DB7"/>
    <w:rsid w:val="009261BF"/>
    <w:rsid w:val="009266A4"/>
    <w:rsid w:val="009272C6"/>
    <w:rsid w:val="009313EE"/>
    <w:rsid w:val="00931A9D"/>
    <w:rsid w:val="00933A3E"/>
    <w:rsid w:val="00934D39"/>
    <w:rsid w:val="00934DEB"/>
    <w:rsid w:val="0093548A"/>
    <w:rsid w:val="00936381"/>
    <w:rsid w:val="00936F5C"/>
    <w:rsid w:val="00936F84"/>
    <w:rsid w:val="00937A6E"/>
    <w:rsid w:val="00940851"/>
    <w:rsid w:val="00941194"/>
    <w:rsid w:val="0094160F"/>
    <w:rsid w:val="009422BC"/>
    <w:rsid w:val="0094287F"/>
    <w:rsid w:val="00942B51"/>
    <w:rsid w:val="009430E5"/>
    <w:rsid w:val="0094315F"/>
    <w:rsid w:val="009432CB"/>
    <w:rsid w:val="00943DE3"/>
    <w:rsid w:val="00944192"/>
    <w:rsid w:val="0094678B"/>
    <w:rsid w:val="00946AB7"/>
    <w:rsid w:val="00946B07"/>
    <w:rsid w:val="009513BE"/>
    <w:rsid w:val="0095242E"/>
    <w:rsid w:val="00953B97"/>
    <w:rsid w:val="00954408"/>
    <w:rsid w:val="00954FE1"/>
    <w:rsid w:val="0095542B"/>
    <w:rsid w:val="009556AE"/>
    <w:rsid w:val="00955DD9"/>
    <w:rsid w:val="009565BD"/>
    <w:rsid w:val="00956939"/>
    <w:rsid w:val="00956AB0"/>
    <w:rsid w:val="00960079"/>
    <w:rsid w:val="00961EF6"/>
    <w:rsid w:val="00962780"/>
    <w:rsid w:val="00962B87"/>
    <w:rsid w:val="00962FF1"/>
    <w:rsid w:val="009630CE"/>
    <w:rsid w:val="009641AD"/>
    <w:rsid w:val="00965842"/>
    <w:rsid w:val="009679D9"/>
    <w:rsid w:val="009703F8"/>
    <w:rsid w:val="0097067B"/>
    <w:rsid w:val="009712AE"/>
    <w:rsid w:val="00971BE0"/>
    <w:rsid w:val="00971EFA"/>
    <w:rsid w:val="009725A2"/>
    <w:rsid w:val="00973381"/>
    <w:rsid w:val="00974915"/>
    <w:rsid w:val="009752C7"/>
    <w:rsid w:val="009759F2"/>
    <w:rsid w:val="00976190"/>
    <w:rsid w:val="00976469"/>
    <w:rsid w:val="00976532"/>
    <w:rsid w:val="0097654B"/>
    <w:rsid w:val="009770B8"/>
    <w:rsid w:val="00977C6D"/>
    <w:rsid w:val="00977F17"/>
    <w:rsid w:val="00981AF3"/>
    <w:rsid w:val="00982497"/>
    <w:rsid w:val="00982CD1"/>
    <w:rsid w:val="0098342A"/>
    <w:rsid w:val="00983AE1"/>
    <w:rsid w:val="00985829"/>
    <w:rsid w:val="00985D36"/>
    <w:rsid w:val="00985DBA"/>
    <w:rsid w:val="009865D6"/>
    <w:rsid w:val="00990506"/>
    <w:rsid w:val="009910DC"/>
    <w:rsid w:val="0099172C"/>
    <w:rsid w:val="00991B19"/>
    <w:rsid w:val="00993599"/>
    <w:rsid w:val="009974A8"/>
    <w:rsid w:val="009A0A09"/>
    <w:rsid w:val="009A245B"/>
    <w:rsid w:val="009A2516"/>
    <w:rsid w:val="009A2FAA"/>
    <w:rsid w:val="009B18D7"/>
    <w:rsid w:val="009B23EE"/>
    <w:rsid w:val="009B3610"/>
    <w:rsid w:val="009B37D3"/>
    <w:rsid w:val="009B4C61"/>
    <w:rsid w:val="009B4CE0"/>
    <w:rsid w:val="009B54CF"/>
    <w:rsid w:val="009B5A8C"/>
    <w:rsid w:val="009B5C74"/>
    <w:rsid w:val="009C01B9"/>
    <w:rsid w:val="009C0342"/>
    <w:rsid w:val="009C0408"/>
    <w:rsid w:val="009C161A"/>
    <w:rsid w:val="009C1E60"/>
    <w:rsid w:val="009C3C12"/>
    <w:rsid w:val="009C4088"/>
    <w:rsid w:val="009C7BBD"/>
    <w:rsid w:val="009C7FE0"/>
    <w:rsid w:val="009D05CC"/>
    <w:rsid w:val="009D09AE"/>
    <w:rsid w:val="009D1B21"/>
    <w:rsid w:val="009D2A1F"/>
    <w:rsid w:val="009D2BAC"/>
    <w:rsid w:val="009D55EE"/>
    <w:rsid w:val="009D5970"/>
    <w:rsid w:val="009D5C32"/>
    <w:rsid w:val="009D73F5"/>
    <w:rsid w:val="009D740A"/>
    <w:rsid w:val="009D7D93"/>
    <w:rsid w:val="009E1607"/>
    <w:rsid w:val="009E1A3F"/>
    <w:rsid w:val="009E21B7"/>
    <w:rsid w:val="009E2CF2"/>
    <w:rsid w:val="009E2EA7"/>
    <w:rsid w:val="009E312B"/>
    <w:rsid w:val="009E4844"/>
    <w:rsid w:val="009E564F"/>
    <w:rsid w:val="009E6184"/>
    <w:rsid w:val="009E655C"/>
    <w:rsid w:val="009E6F2E"/>
    <w:rsid w:val="009F0BD3"/>
    <w:rsid w:val="009F3218"/>
    <w:rsid w:val="009F3EFD"/>
    <w:rsid w:val="009F7F2B"/>
    <w:rsid w:val="00A0001D"/>
    <w:rsid w:val="00A01037"/>
    <w:rsid w:val="00A0119C"/>
    <w:rsid w:val="00A03332"/>
    <w:rsid w:val="00A0541B"/>
    <w:rsid w:val="00A06208"/>
    <w:rsid w:val="00A0628B"/>
    <w:rsid w:val="00A1016F"/>
    <w:rsid w:val="00A10996"/>
    <w:rsid w:val="00A10EC9"/>
    <w:rsid w:val="00A11F7F"/>
    <w:rsid w:val="00A12648"/>
    <w:rsid w:val="00A13855"/>
    <w:rsid w:val="00A140A3"/>
    <w:rsid w:val="00A15500"/>
    <w:rsid w:val="00A155A6"/>
    <w:rsid w:val="00A15B34"/>
    <w:rsid w:val="00A1647B"/>
    <w:rsid w:val="00A177A3"/>
    <w:rsid w:val="00A20EFE"/>
    <w:rsid w:val="00A21556"/>
    <w:rsid w:val="00A21903"/>
    <w:rsid w:val="00A21A25"/>
    <w:rsid w:val="00A22531"/>
    <w:rsid w:val="00A22AF7"/>
    <w:rsid w:val="00A2551C"/>
    <w:rsid w:val="00A25C16"/>
    <w:rsid w:val="00A30028"/>
    <w:rsid w:val="00A301EF"/>
    <w:rsid w:val="00A3040F"/>
    <w:rsid w:val="00A3168A"/>
    <w:rsid w:val="00A31CD2"/>
    <w:rsid w:val="00A32EFA"/>
    <w:rsid w:val="00A339B5"/>
    <w:rsid w:val="00A35D28"/>
    <w:rsid w:val="00A35E53"/>
    <w:rsid w:val="00A3635F"/>
    <w:rsid w:val="00A36941"/>
    <w:rsid w:val="00A37995"/>
    <w:rsid w:val="00A41A4E"/>
    <w:rsid w:val="00A42621"/>
    <w:rsid w:val="00A436D2"/>
    <w:rsid w:val="00A43752"/>
    <w:rsid w:val="00A443B8"/>
    <w:rsid w:val="00A452B2"/>
    <w:rsid w:val="00A454E3"/>
    <w:rsid w:val="00A463F3"/>
    <w:rsid w:val="00A50258"/>
    <w:rsid w:val="00A51149"/>
    <w:rsid w:val="00A5498C"/>
    <w:rsid w:val="00A54FE4"/>
    <w:rsid w:val="00A5541A"/>
    <w:rsid w:val="00A56676"/>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C9E"/>
    <w:rsid w:val="00A71DDE"/>
    <w:rsid w:val="00A7228B"/>
    <w:rsid w:val="00A72A7B"/>
    <w:rsid w:val="00A72B75"/>
    <w:rsid w:val="00A73038"/>
    <w:rsid w:val="00A73F8D"/>
    <w:rsid w:val="00A749FD"/>
    <w:rsid w:val="00A74B8A"/>
    <w:rsid w:val="00A74C77"/>
    <w:rsid w:val="00A75387"/>
    <w:rsid w:val="00A758BE"/>
    <w:rsid w:val="00A75C2A"/>
    <w:rsid w:val="00A76C99"/>
    <w:rsid w:val="00A76F14"/>
    <w:rsid w:val="00A775D5"/>
    <w:rsid w:val="00A800C8"/>
    <w:rsid w:val="00A811CB"/>
    <w:rsid w:val="00A81D2F"/>
    <w:rsid w:val="00A81E59"/>
    <w:rsid w:val="00A81EBE"/>
    <w:rsid w:val="00A826F1"/>
    <w:rsid w:val="00A82D02"/>
    <w:rsid w:val="00A84CD0"/>
    <w:rsid w:val="00A915F4"/>
    <w:rsid w:val="00A917A9"/>
    <w:rsid w:val="00A91C36"/>
    <w:rsid w:val="00A91D41"/>
    <w:rsid w:val="00A9684D"/>
    <w:rsid w:val="00A97402"/>
    <w:rsid w:val="00A97873"/>
    <w:rsid w:val="00AA321D"/>
    <w:rsid w:val="00AA3C4B"/>
    <w:rsid w:val="00AA4CFF"/>
    <w:rsid w:val="00AA6669"/>
    <w:rsid w:val="00AA690A"/>
    <w:rsid w:val="00AA6AB3"/>
    <w:rsid w:val="00AA6D26"/>
    <w:rsid w:val="00AB0541"/>
    <w:rsid w:val="00AB09EE"/>
    <w:rsid w:val="00AB2400"/>
    <w:rsid w:val="00AB5377"/>
    <w:rsid w:val="00AB5B77"/>
    <w:rsid w:val="00AB7D08"/>
    <w:rsid w:val="00AC0B81"/>
    <w:rsid w:val="00AC3506"/>
    <w:rsid w:val="00AC387E"/>
    <w:rsid w:val="00AC4DD2"/>
    <w:rsid w:val="00AC5BDF"/>
    <w:rsid w:val="00AC6903"/>
    <w:rsid w:val="00AC6B95"/>
    <w:rsid w:val="00AC7669"/>
    <w:rsid w:val="00AD0AF6"/>
    <w:rsid w:val="00AD343E"/>
    <w:rsid w:val="00AD476A"/>
    <w:rsid w:val="00AD47AA"/>
    <w:rsid w:val="00AD4ABF"/>
    <w:rsid w:val="00AD4C67"/>
    <w:rsid w:val="00AD52D1"/>
    <w:rsid w:val="00AD54E1"/>
    <w:rsid w:val="00AD5632"/>
    <w:rsid w:val="00AD6306"/>
    <w:rsid w:val="00AD7076"/>
    <w:rsid w:val="00AE0764"/>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9DC"/>
    <w:rsid w:val="00AF3BD3"/>
    <w:rsid w:val="00AF3FE3"/>
    <w:rsid w:val="00AF4A53"/>
    <w:rsid w:val="00AF52DC"/>
    <w:rsid w:val="00AF6305"/>
    <w:rsid w:val="00AF6A68"/>
    <w:rsid w:val="00B008DF"/>
    <w:rsid w:val="00B00E5C"/>
    <w:rsid w:val="00B0131B"/>
    <w:rsid w:val="00B01819"/>
    <w:rsid w:val="00B022D8"/>
    <w:rsid w:val="00B02540"/>
    <w:rsid w:val="00B03B7D"/>
    <w:rsid w:val="00B04DC3"/>
    <w:rsid w:val="00B0529B"/>
    <w:rsid w:val="00B1077D"/>
    <w:rsid w:val="00B11176"/>
    <w:rsid w:val="00B13CB1"/>
    <w:rsid w:val="00B167CE"/>
    <w:rsid w:val="00B16B62"/>
    <w:rsid w:val="00B17A2E"/>
    <w:rsid w:val="00B17C66"/>
    <w:rsid w:val="00B20292"/>
    <w:rsid w:val="00B206B1"/>
    <w:rsid w:val="00B22004"/>
    <w:rsid w:val="00B22C0A"/>
    <w:rsid w:val="00B22FF9"/>
    <w:rsid w:val="00B25B42"/>
    <w:rsid w:val="00B267F1"/>
    <w:rsid w:val="00B2725F"/>
    <w:rsid w:val="00B27998"/>
    <w:rsid w:val="00B308E1"/>
    <w:rsid w:val="00B331DC"/>
    <w:rsid w:val="00B33BCF"/>
    <w:rsid w:val="00B35546"/>
    <w:rsid w:val="00B3556A"/>
    <w:rsid w:val="00B35594"/>
    <w:rsid w:val="00B3580D"/>
    <w:rsid w:val="00B36B6D"/>
    <w:rsid w:val="00B3756E"/>
    <w:rsid w:val="00B401AE"/>
    <w:rsid w:val="00B402BB"/>
    <w:rsid w:val="00B414AF"/>
    <w:rsid w:val="00B41708"/>
    <w:rsid w:val="00B4301A"/>
    <w:rsid w:val="00B43FF7"/>
    <w:rsid w:val="00B4438B"/>
    <w:rsid w:val="00B46241"/>
    <w:rsid w:val="00B46422"/>
    <w:rsid w:val="00B47C72"/>
    <w:rsid w:val="00B50D0F"/>
    <w:rsid w:val="00B524C0"/>
    <w:rsid w:val="00B52CF9"/>
    <w:rsid w:val="00B52D9E"/>
    <w:rsid w:val="00B53C31"/>
    <w:rsid w:val="00B555A9"/>
    <w:rsid w:val="00B55E82"/>
    <w:rsid w:val="00B563E9"/>
    <w:rsid w:val="00B60ED0"/>
    <w:rsid w:val="00B627E7"/>
    <w:rsid w:val="00B6283F"/>
    <w:rsid w:val="00B62F33"/>
    <w:rsid w:val="00B65066"/>
    <w:rsid w:val="00B6668D"/>
    <w:rsid w:val="00B666B9"/>
    <w:rsid w:val="00B66A94"/>
    <w:rsid w:val="00B66F81"/>
    <w:rsid w:val="00B677F1"/>
    <w:rsid w:val="00B707AF"/>
    <w:rsid w:val="00B70882"/>
    <w:rsid w:val="00B709B8"/>
    <w:rsid w:val="00B72D75"/>
    <w:rsid w:val="00B72F97"/>
    <w:rsid w:val="00B741EF"/>
    <w:rsid w:val="00B75F72"/>
    <w:rsid w:val="00B76DC1"/>
    <w:rsid w:val="00B77CFD"/>
    <w:rsid w:val="00B805C4"/>
    <w:rsid w:val="00B81548"/>
    <w:rsid w:val="00B81633"/>
    <w:rsid w:val="00B82FF5"/>
    <w:rsid w:val="00B83A38"/>
    <w:rsid w:val="00B850CE"/>
    <w:rsid w:val="00B862C0"/>
    <w:rsid w:val="00B863D9"/>
    <w:rsid w:val="00B86C03"/>
    <w:rsid w:val="00B86E98"/>
    <w:rsid w:val="00B90192"/>
    <w:rsid w:val="00B90B9B"/>
    <w:rsid w:val="00B90C7D"/>
    <w:rsid w:val="00B91455"/>
    <w:rsid w:val="00B919E1"/>
    <w:rsid w:val="00B92313"/>
    <w:rsid w:val="00B945A2"/>
    <w:rsid w:val="00B962AB"/>
    <w:rsid w:val="00B96C66"/>
    <w:rsid w:val="00B97B6F"/>
    <w:rsid w:val="00BA0622"/>
    <w:rsid w:val="00BA13D0"/>
    <w:rsid w:val="00BA1C0C"/>
    <w:rsid w:val="00BA1C65"/>
    <w:rsid w:val="00BA1F66"/>
    <w:rsid w:val="00BA2A52"/>
    <w:rsid w:val="00BA3293"/>
    <w:rsid w:val="00BA35C3"/>
    <w:rsid w:val="00BA3F2E"/>
    <w:rsid w:val="00BA4357"/>
    <w:rsid w:val="00BA4760"/>
    <w:rsid w:val="00BA4FF0"/>
    <w:rsid w:val="00BA5FB5"/>
    <w:rsid w:val="00BA7003"/>
    <w:rsid w:val="00BB065D"/>
    <w:rsid w:val="00BB14CF"/>
    <w:rsid w:val="00BB1CF9"/>
    <w:rsid w:val="00BB26DC"/>
    <w:rsid w:val="00BB315F"/>
    <w:rsid w:val="00BB5036"/>
    <w:rsid w:val="00BB6888"/>
    <w:rsid w:val="00BB6EFD"/>
    <w:rsid w:val="00BC3D44"/>
    <w:rsid w:val="00BC4213"/>
    <w:rsid w:val="00BC5C80"/>
    <w:rsid w:val="00BC5D5B"/>
    <w:rsid w:val="00BC5F08"/>
    <w:rsid w:val="00BC65B2"/>
    <w:rsid w:val="00BD09B1"/>
    <w:rsid w:val="00BD1B72"/>
    <w:rsid w:val="00BD3BB5"/>
    <w:rsid w:val="00BD41C0"/>
    <w:rsid w:val="00BD4AA0"/>
    <w:rsid w:val="00BD6053"/>
    <w:rsid w:val="00BD6593"/>
    <w:rsid w:val="00BD66B2"/>
    <w:rsid w:val="00BD71AD"/>
    <w:rsid w:val="00BD7725"/>
    <w:rsid w:val="00BD78AD"/>
    <w:rsid w:val="00BD78F4"/>
    <w:rsid w:val="00BE0F6C"/>
    <w:rsid w:val="00BE1F09"/>
    <w:rsid w:val="00BE2DD8"/>
    <w:rsid w:val="00BE301A"/>
    <w:rsid w:val="00BE400A"/>
    <w:rsid w:val="00BE458A"/>
    <w:rsid w:val="00BE4E51"/>
    <w:rsid w:val="00BE61FC"/>
    <w:rsid w:val="00BE7A1E"/>
    <w:rsid w:val="00BF0159"/>
    <w:rsid w:val="00BF0D84"/>
    <w:rsid w:val="00BF18FE"/>
    <w:rsid w:val="00BF1C55"/>
    <w:rsid w:val="00BF224A"/>
    <w:rsid w:val="00BF37C5"/>
    <w:rsid w:val="00BF3AAA"/>
    <w:rsid w:val="00BF497A"/>
    <w:rsid w:val="00BF4AC8"/>
    <w:rsid w:val="00BF70D4"/>
    <w:rsid w:val="00BF71E4"/>
    <w:rsid w:val="00BF7B13"/>
    <w:rsid w:val="00C0163D"/>
    <w:rsid w:val="00C017CA"/>
    <w:rsid w:val="00C03CE8"/>
    <w:rsid w:val="00C0494D"/>
    <w:rsid w:val="00C05806"/>
    <w:rsid w:val="00C06A1F"/>
    <w:rsid w:val="00C108A9"/>
    <w:rsid w:val="00C12466"/>
    <w:rsid w:val="00C143BD"/>
    <w:rsid w:val="00C1441B"/>
    <w:rsid w:val="00C14FB5"/>
    <w:rsid w:val="00C151EC"/>
    <w:rsid w:val="00C1544B"/>
    <w:rsid w:val="00C15A04"/>
    <w:rsid w:val="00C1656A"/>
    <w:rsid w:val="00C16815"/>
    <w:rsid w:val="00C17D4D"/>
    <w:rsid w:val="00C2100C"/>
    <w:rsid w:val="00C2106B"/>
    <w:rsid w:val="00C21175"/>
    <w:rsid w:val="00C226C2"/>
    <w:rsid w:val="00C2305A"/>
    <w:rsid w:val="00C23CC9"/>
    <w:rsid w:val="00C24114"/>
    <w:rsid w:val="00C2492B"/>
    <w:rsid w:val="00C30B3D"/>
    <w:rsid w:val="00C30BEF"/>
    <w:rsid w:val="00C32004"/>
    <w:rsid w:val="00C323BD"/>
    <w:rsid w:val="00C33180"/>
    <w:rsid w:val="00C33462"/>
    <w:rsid w:val="00C33AE2"/>
    <w:rsid w:val="00C34138"/>
    <w:rsid w:val="00C34324"/>
    <w:rsid w:val="00C344E9"/>
    <w:rsid w:val="00C3492B"/>
    <w:rsid w:val="00C34AE8"/>
    <w:rsid w:val="00C35315"/>
    <w:rsid w:val="00C3555A"/>
    <w:rsid w:val="00C3626C"/>
    <w:rsid w:val="00C36CE9"/>
    <w:rsid w:val="00C37741"/>
    <w:rsid w:val="00C37E3D"/>
    <w:rsid w:val="00C4041E"/>
    <w:rsid w:val="00C40C64"/>
    <w:rsid w:val="00C44475"/>
    <w:rsid w:val="00C45757"/>
    <w:rsid w:val="00C46807"/>
    <w:rsid w:val="00C50B1E"/>
    <w:rsid w:val="00C51C72"/>
    <w:rsid w:val="00C544CC"/>
    <w:rsid w:val="00C55114"/>
    <w:rsid w:val="00C57198"/>
    <w:rsid w:val="00C578CE"/>
    <w:rsid w:val="00C617BF"/>
    <w:rsid w:val="00C61C83"/>
    <w:rsid w:val="00C62791"/>
    <w:rsid w:val="00C62FA1"/>
    <w:rsid w:val="00C64B36"/>
    <w:rsid w:val="00C653BA"/>
    <w:rsid w:val="00C6774F"/>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5190"/>
    <w:rsid w:val="00C852AC"/>
    <w:rsid w:val="00C86543"/>
    <w:rsid w:val="00C8683F"/>
    <w:rsid w:val="00C87D19"/>
    <w:rsid w:val="00C9091D"/>
    <w:rsid w:val="00C90FA2"/>
    <w:rsid w:val="00C92267"/>
    <w:rsid w:val="00C959C2"/>
    <w:rsid w:val="00C95BC5"/>
    <w:rsid w:val="00C974ED"/>
    <w:rsid w:val="00C97A8D"/>
    <w:rsid w:val="00CA0083"/>
    <w:rsid w:val="00CA04C0"/>
    <w:rsid w:val="00CA4064"/>
    <w:rsid w:val="00CA41D2"/>
    <w:rsid w:val="00CA4D91"/>
    <w:rsid w:val="00CA4F20"/>
    <w:rsid w:val="00CA523F"/>
    <w:rsid w:val="00CA5908"/>
    <w:rsid w:val="00CA5D21"/>
    <w:rsid w:val="00CA6512"/>
    <w:rsid w:val="00CA7A61"/>
    <w:rsid w:val="00CB0C16"/>
    <w:rsid w:val="00CB1327"/>
    <w:rsid w:val="00CB149F"/>
    <w:rsid w:val="00CB1EAE"/>
    <w:rsid w:val="00CB1F5B"/>
    <w:rsid w:val="00CB2147"/>
    <w:rsid w:val="00CB315D"/>
    <w:rsid w:val="00CB3EC6"/>
    <w:rsid w:val="00CB4F56"/>
    <w:rsid w:val="00CB598E"/>
    <w:rsid w:val="00CB68CC"/>
    <w:rsid w:val="00CB6BB5"/>
    <w:rsid w:val="00CB6D6A"/>
    <w:rsid w:val="00CB7873"/>
    <w:rsid w:val="00CC07DB"/>
    <w:rsid w:val="00CC0A26"/>
    <w:rsid w:val="00CC160D"/>
    <w:rsid w:val="00CC3F55"/>
    <w:rsid w:val="00CC54B1"/>
    <w:rsid w:val="00CC79A2"/>
    <w:rsid w:val="00CD0A75"/>
    <w:rsid w:val="00CD11DE"/>
    <w:rsid w:val="00CD143E"/>
    <w:rsid w:val="00CD1963"/>
    <w:rsid w:val="00CD19CA"/>
    <w:rsid w:val="00CD34FD"/>
    <w:rsid w:val="00CD5CFC"/>
    <w:rsid w:val="00CD6C4D"/>
    <w:rsid w:val="00CE0440"/>
    <w:rsid w:val="00CE05E1"/>
    <w:rsid w:val="00CE0620"/>
    <w:rsid w:val="00CE1422"/>
    <w:rsid w:val="00CE16F2"/>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7C31"/>
    <w:rsid w:val="00D025CC"/>
    <w:rsid w:val="00D028B3"/>
    <w:rsid w:val="00D0304E"/>
    <w:rsid w:val="00D053C2"/>
    <w:rsid w:val="00D06218"/>
    <w:rsid w:val="00D104AC"/>
    <w:rsid w:val="00D10566"/>
    <w:rsid w:val="00D138B4"/>
    <w:rsid w:val="00D13D12"/>
    <w:rsid w:val="00D15500"/>
    <w:rsid w:val="00D15C15"/>
    <w:rsid w:val="00D16725"/>
    <w:rsid w:val="00D16D23"/>
    <w:rsid w:val="00D17643"/>
    <w:rsid w:val="00D20188"/>
    <w:rsid w:val="00D201E3"/>
    <w:rsid w:val="00D2027A"/>
    <w:rsid w:val="00D218EF"/>
    <w:rsid w:val="00D22433"/>
    <w:rsid w:val="00D22748"/>
    <w:rsid w:val="00D22E55"/>
    <w:rsid w:val="00D232AE"/>
    <w:rsid w:val="00D233E0"/>
    <w:rsid w:val="00D23626"/>
    <w:rsid w:val="00D26918"/>
    <w:rsid w:val="00D27734"/>
    <w:rsid w:val="00D27BED"/>
    <w:rsid w:val="00D3182A"/>
    <w:rsid w:val="00D3227D"/>
    <w:rsid w:val="00D33567"/>
    <w:rsid w:val="00D341A7"/>
    <w:rsid w:val="00D35236"/>
    <w:rsid w:val="00D3579C"/>
    <w:rsid w:val="00D37121"/>
    <w:rsid w:val="00D376AA"/>
    <w:rsid w:val="00D40043"/>
    <w:rsid w:val="00D40A47"/>
    <w:rsid w:val="00D41051"/>
    <w:rsid w:val="00D417AE"/>
    <w:rsid w:val="00D41B6F"/>
    <w:rsid w:val="00D457ED"/>
    <w:rsid w:val="00D46D32"/>
    <w:rsid w:val="00D478AA"/>
    <w:rsid w:val="00D51372"/>
    <w:rsid w:val="00D51C50"/>
    <w:rsid w:val="00D5266D"/>
    <w:rsid w:val="00D52BBA"/>
    <w:rsid w:val="00D54AEA"/>
    <w:rsid w:val="00D55A96"/>
    <w:rsid w:val="00D56796"/>
    <w:rsid w:val="00D56D40"/>
    <w:rsid w:val="00D56D85"/>
    <w:rsid w:val="00D60B6B"/>
    <w:rsid w:val="00D60D72"/>
    <w:rsid w:val="00D61918"/>
    <w:rsid w:val="00D63019"/>
    <w:rsid w:val="00D631BD"/>
    <w:rsid w:val="00D64812"/>
    <w:rsid w:val="00D64E31"/>
    <w:rsid w:val="00D65604"/>
    <w:rsid w:val="00D656B6"/>
    <w:rsid w:val="00D65F9D"/>
    <w:rsid w:val="00D666E7"/>
    <w:rsid w:val="00D67C66"/>
    <w:rsid w:val="00D67E37"/>
    <w:rsid w:val="00D705C5"/>
    <w:rsid w:val="00D706C6"/>
    <w:rsid w:val="00D726CE"/>
    <w:rsid w:val="00D73943"/>
    <w:rsid w:val="00D74912"/>
    <w:rsid w:val="00D74A6E"/>
    <w:rsid w:val="00D75805"/>
    <w:rsid w:val="00D779F7"/>
    <w:rsid w:val="00D82F54"/>
    <w:rsid w:val="00D83026"/>
    <w:rsid w:val="00D83045"/>
    <w:rsid w:val="00D844D3"/>
    <w:rsid w:val="00D857E6"/>
    <w:rsid w:val="00D85885"/>
    <w:rsid w:val="00D8653A"/>
    <w:rsid w:val="00D8669D"/>
    <w:rsid w:val="00D871CE"/>
    <w:rsid w:val="00D87542"/>
    <w:rsid w:val="00D87D77"/>
    <w:rsid w:val="00D92BFA"/>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A06"/>
    <w:rsid w:val="00DB383F"/>
    <w:rsid w:val="00DB3A50"/>
    <w:rsid w:val="00DB53D6"/>
    <w:rsid w:val="00DB5FF0"/>
    <w:rsid w:val="00DB63F1"/>
    <w:rsid w:val="00DB65D7"/>
    <w:rsid w:val="00DB6791"/>
    <w:rsid w:val="00DB6C38"/>
    <w:rsid w:val="00DB7445"/>
    <w:rsid w:val="00DB7D53"/>
    <w:rsid w:val="00DC0464"/>
    <w:rsid w:val="00DC0787"/>
    <w:rsid w:val="00DC0F18"/>
    <w:rsid w:val="00DC1303"/>
    <w:rsid w:val="00DC1403"/>
    <w:rsid w:val="00DC389B"/>
    <w:rsid w:val="00DC394C"/>
    <w:rsid w:val="00DC42A4"/>
    <w:rsid w:val="00DC42EA"/>
    <w:rsid w:val="00DC693E"/>
    <w:rsid w:val="00DD0C3F"/>
    <w:rsid w:val="00DD1DA7"/>
    <w:rsid w:val="00DD1F41"/>
    <w:rsid w:val="00DD26CC"/>
    <w:rsid w:val="00DD3766"/>
    <w:rsid w:val="00DD514C"/>
    <w:rsid w:val="00DD6DE7"/>
    <w:rsid w:val="00DD71D6"/>
    <w:rsid w:val="00DD73A8"/>
    <w:rsid w:val="00DD7687"/>
    <w:rsid w:val="00DD7B55"/>
    <w:rsid w:val="00DE08C3"/>
    <w:rsid w:val="00DE094A"/>
    <w:rsid w:val="00DE1DAB"/>
    <w:rsid w:val="00DE20A2"/>
    <w:rsid w:val="00DE261E"/>
    <w:rsid w:val="00DE269D"/>
    <w:rsid w:val="00DE52B7"/>
    <w:rsid w:val="00DE6636"/>
    <w:rsid w:val="00DE6C5F"/>
    <w:rsid w:val="00DF0175"/>
    <w:rsid w:val="00DF0B89"/>
    <w:rsid w:val="00DF1261"/>
    <w:rsid w:val="00DF131B"/>
    <w:rsid w:val="00DF164A"/>
    <w:rsid w:val="00DF353C"/>
    <w:rsid w:val="00DF3DF8"/>
    <w:rsid w:val="00DF4216"/>
    <w:rsid w:val="00DF46B7"/>
    <w:rsid w:val="00DF4978"/>
    <w:rsid w:val="00DF55D6"/>
    <w:rsid w:val="00DF6074"/>
    <w:rsid w:val="00DF73B6"/>
    <w:rsid w:val="00DF781C"/>
    <w:rsid w:val="00E00C6B"/>
    <w:rsid w:val="00E02A3C"/>
    <w:rsid w:val="00E02F70"/>
    <w:rsid w:val="00E032F6"/>
    <w:rsid w:val="00E03F4C"/>
    <w:rsid w:val="00E03F4E"/>
    <w:rsid w:val="00E056B0"/>
    <w:rsid w:val="00E05C27"/>
    <w:rsid w:val="00E063DE"/>
    <w:rsid w:val="00E0671B"/>
    <w:rsid w:val="00E07453"/>
    <w:rsid w:val="00E118AB"/>
    <w:rsid w:val="00E11E0F"/>
    <w:rsid w:val="00E11E5E"/>
    <w:rsid w:val="00E12077"/>
    <w:rsid w:val="00E12F2F"/>
    <w:rsid w:val="00E1319F"/>
    <w:rsid w:val="00E13A48"/>
    <w:rsid w:val="00E13FB6"/>
    <w:rsid w:val="00E14ACF"/>
    <w:rsid w:val="00E14BAD"/>
    <w:rsid w:val="00E14D14"/>
    <w:rsid w:val="00E16E4C"/>
    <w:rsid w:val="00E173EF"/>
    <w:rsid w:val="00E20B5E"/>
    <w:rsid w:val="00E20F69"/>
    <w:rsid w:val="00E22732"/>
    <w:rsid w:val="00E22B39"/>
    <w:rsid w:val="00E2459F"/>
    <w:rsid w:val="00E2693C"/>
    <w:rsid w:val="00E3047D"/>
    <w:rsid w:val="00E30AF9"/>
    <w:rsid w:val="00E31FB7"/>
    <w:rsid w:val="00E32488"/>
    <w:rsid w:val="00E327E4"/>
    <w:rsid w:val="00E34C86"/>
    <w:rsid w:val="00E34DB8"/>
    <w:rsid w:val="00E35369"/>
    <w:rsid w:val="00E35682"/>
    <w:rsid w:val="00E3649B"/>
    <w:rsid w:val="00E37A35"/>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4C11"/>
    <w:rsid w:val="00E55DB0"/>
    <w:rsid w:val="00E577EC"/>
    <w:rsid w:val="00E57C4D"/>
    <w:rsid w:val="00E602BD"/>
    <w:rsid w:val="00E62337"/>
    <w:rsid w:val="00E62809"/>
    <w:rsid w:val="00E63321"/>
    <w:rsid w:val="00E634AD"/>
    <w:rsid w:val="00E635BD"/>
    <w:rsid w:val="00E63675"/>
    <w:rsid w:val="00E63FAC"/>
    <w:rsid w:val="00E64C9D"/>
    <w:rsid w:val="00E6537A"/>
    <w:rsid w:val="00E65B31"/>
    <w:rsid w:val="00E65B3E"/>
    <w:rsid w:val="00E65FF3"/>
    <w:rsid w:val="00E6618A"/>
    <w:rsid w:val="00E67470"/>
    <w:rsid w:val="00E67A24"/>
    <w:rsid w:val="00E70552"/>
    <w:rsid w:val="00E712F8"/>
    <w:rsid w:val="00E72B05"/>
    <w:rsid w:val="00E72E0E"/>
    <w:rsid w:val="00E74A39"/>
    <w:rsid w:val="00E75609"/>
    <w:rsid w:val="00E75790"/>
    <w:rsid w:val="00E75BCD"/>
    <w:rsid w:val="00E76031"/>
    <w:rsid w:val="00E80437"/>
    <w:rsid w:val="00E82CEF"/>
    <w:rsid w:val="00E83A79"/>
    <w:rsid w:val="00E83DC4"/>
    <w:rsid w:val="00E83DCE"/>
    <w:rsid w:val="00E842A8"/>
    <w:rsid w:val="00E84360"/>
    <w:rsid w:val="00E84E89"/>
    <w:rsid w:val="00E870BF"/>
    <w:rsid w:val="00E871BC"/>
    <w:rsid w:val="00E90229"/>
    <w:rsid w:val="00E91899"/>
    <w:rsid w:val="00E92268"/>
    <w:rsid w:val="00E92604"/>
    <w:rsid w:val="00E942AE"/>
    <w:rsid w:val="00E96274"/>
    <w:rsid w:val="00E96D36"/>
    <w:rsid w:val="00E974B7"/>
    <w:rsid w:val="00E97DD3"/>
    <w:rsid w:val="00EA00A6"/>
    <w:rsid w:val="00EA1489"/>
    <w:rsid w:val="00EA1A6D"/>
    <w:rsid w:val="00EA335A"/>
    <w:rsid w:val="00EA3D63"/>
    <w:rsid w:val="00EA55C1"/>
    <w:rsid w:val="00EA6854"/>
    <w:rsid w:val="00EB0AA6"/>
    <w:rsid w:val="00EB1273"/>
    <w:rsid w:val="00EB22C0"/>
    <w:rsid w:val="00EB396F"/>
    <w:rsid w:val="00EB400B"/>
    <w:rsid w:val="00EB4B77"/>
    <w:rsid w:val="00EB50F0"/>
    <w:rsid w:val="00EB5C40"/>
    <w:rsid w:val="00EB6A2C"/>
    <w:rsid w:val="00EB6B83"/>
    <w:rsid w:val="00EC08AD"/>
    <w:rsid w:val="00EC1B2E"/>
    <w:rsid w:val="00EC2AB4"/>
    <w:rsid w:val="00EC2B87"/>
    <w:rsid w:val="00EC3089"/>
    <w:rsid w:val="00EC4214"/>
    <w:rsid w:val="00EC6B44"/>
    <w:rsid w:val="00EC760C"/>
    <w:rsid w:val="00EC7CED"/>
    <w:rsid w:val="00ED0D39"/>
    <w:rsid w:val="00ED0EA7"/>
    <w:rsid w:val="00ED172E"/>
    <w:rsid w:val="00ED1F4F"/>
    <w:rsid w:val="00ED353C"/>
    <w:rsid w:val="00ED41B5"/>
    <w:rsid w:val="00ED5433"/>
    <w:rsid w:val="00ED7DE0"/>
    <w:rsid w:val="00EE123E"/>
    <w:rsid w:val="00EE298D"/>
    <w:rsid w:val="00EE2BB3"/>
    <w:rsid w:val="00EE37A3"/>
    <w:rsid w:val="00EE4F91"/>
    <w:rsid w:val="00EE6737"/>
    <w:rsid w:val="00EE7093"/>
    <w:rsid w:val="00EE70C3"/>
    <w:rsid w:val="00EE7375"/>
    <w:rsid w:val="00EE7465"/>
    <w:rsid w:val="00EE75B5"/>
    <w:rsid w:val="00EE7E8F"/>
    <w:rsid w:val="00EF2215"/>
    <w:rsid w:val="00EF3B49"/>
    <w:rsid w:val="00EF45CF"/>
    <w:rsid w:val="00EF4B52"/>
    <w:rsid w:val="00EF5CDA"/>
    <w:rsid w:val="00EF70BA"/>
    <w:rsid w:val="00F0031B"/>
    <w:rsid w:val="00F013CB"/>
    <w:rsid w:val="00F01B1E"/>
    <w:rsid w:val="00F0267C"/>
    <w:rsid w:val="00F03379"/>
    <w:rsid w:val="00F0345E"/>
    <w:rsid w:val="00F03FC4"/>
    <w:rsid w:val="00F05790"/>
    <w:rsid w:val="00F06960"/>
    <w:rsid w:val="00F106E4"/>
    <w:rsid w:val="00F10ECA"/>
    <w:rsid w:val="00F1171C"/>
    <w:rsid w:val="00F119FB"/>
    <w:rsid w:val="00F12F5F"/>
    <w:rsid w:val="00F145D4"/>
    <w:rsid w:val="00F14AEC"/>
    <w:rsid w:val="00F15F5B"/>
    <w:rsid w:val="00F16210"/>
    <w:rsid w:val="00F164D5"/>
    <w:rsid w:val="00F1792F"/>
    <w:rsid w:val="00F17A56"/>
    <w:rsid w:val="00F20474"/>
    <w:rsid w:val="00F21A12"/>
    <w:rsid w:val="00F21AB6"/>
    <w:rsid w:val="00F223D5"/>
    <w:rsid w:val="00F2283A"/>
    <w:rsid w:val="00F22A84"/>
    <w:rsid w:val="00F22A8F"/>
    <w:rsid w:val="00F22ED6"/>
    <w:rsid w:val="00F23EB4"/>
    <w:rsid w:val="00F2529A"/>
    <w:rsid w:val="00F25A72"/>
    <w:rsid w:val="00F25F5E"/>
    <w:rsid w:val="00F260CB"/>
    <w:rsid w:val="00F26C19"/>
    <w:rsid w:val="00F32553"/>
    <w:rsid w:val="00F327CE"/>
    <w:rsid w:val="00F332ED"/>
    <w:rsid w:val="00F33552"/>
    <w:rsid w:val="00F33C8D"/>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BDD"/>
    <w:rsid w:val="00F53FEE"/>
    <w:rsid w:val="00F54AEA"/>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4F"/>
    <w:rsid w:val="00F675B0"/>
    <w:rsid w:val="00F707C9"/>
    <w:rsid w:val="00F710FE"/>
    <w:rsid w:val="00F71BEA"/>
    <w:rsid w:val="00F744F4"/>
    <w:rsid w:val="00F74A01"/>
    <w:rsid w:val="00F75A10"/>
    <w:rsid w:val="00F75D9F"/>
    <w:rsid w:val="00F76063"/>
    <w:rsid w:val="00F76D11"/>
    <w:rsid w:val="00F77276"/>
    <w:rsid w:val="00F77A8D"/>
    <w:rsid w:val="00F77D27"/>
    <w:rsid w:val="00F80013"/>
    <w:rsid w:val="00F8095A"/>
    <w:rsid w:val="00F81476"/>
    <w:rsid w:val="00F81681"/>
    <w:rsid w:val="00F81E11"/>
    <w:rsid w:val="00F834A7"/>
    <w:rsid w:val="00F847A0"/>
    <w:rsid w:val="00F85D19"/>
    <w:rsid w:val="00F864FC"/>
    <w:rsid w:val="00F86808"/>
    <w:rsid w:val="00F9142D"/>
    <w:rsid w:val="00F92104"/>
    <w:rsid w:val="00F93A3D"/>
    <w:rsid w:val="00F93DCD"/>
    <w:rsid w:val="00F94009"/>
    <w:rsid w:val="00F94C16"/>
    <w:rsid w:val="00F94D3F"/>
    <w:rsid w:val="00F9689E"/>
    <w:rsid w:val="00FA066D"/>
    <w:rsid w:val="00FA0FB3"/>
    <w:rsid w:val="00FA1126"/>
    <w:rsid w:val="00FA24F3"/>
    <w:rsid w:val="00FA42BC"/>
    <w:rsid w:val="00FA4635"/>
    <w:rsid w:val="00FA509C"/>
    <w:rsid w:val="00FA5FCE"/>
    <w:rsid w:val="00FA6B30"/>
    <w:rsid w:val="00FA761A"/>
    <w:rsid w:val="00FA786A"/>
    <w:rsid w:val="00FB0515"/>
    <w:rsid w:val="00FB0EE9"/>
    <w:rsid w:val="00FB0EFB"/>
    <w:rsid w:val="00FB0F8A"/>
    <w:rsid w:val="00FB252E"/>
    <w:rsid w:val="00FB2EB5"/>
    <w:rsid w:val="00FB30F6"/>
    <w:rsid w:val="00FB34E4"/>
    <w:rsid w:val="00FB3DE3"/>
    <w:rsid w:val="00FB3F26"/>
    <w:rsid w:val="00FB4C8E"/>
    <w:rsid w:val="00FB4D15"/>
    <w:rsid w:val="00FB4E84"/>
    <w:rsid w:val="00FB6436"/>
    <w:rsid w:val="00FB68DD"/>
    <w:rsid w:val="00FC02F4"/>
    <w:rsid w:val="00FC2683"/>
    <w:rsid w:val="00FC2810"/>
    <w:rsid w:val="00FC3213"/>
    <w:rsid w:val="00FC3C6C"/>
    <w:rsid w:val="00FC48C6"/>
    <w:rsid w:val="00FC4A91"/>
    <w:rsid w:val="00FC4E0B"/>
    <w:rsid w:val="00FC6141"/>
    <w:rsid w:val="00FC646D"/>
    <w:rsid w:val="00FC65E5"/>
    <w:rsid w:val="00FC6E1D"/>
    <w:rsid w:val="00FD1AA4"/>
    <w:rsid w:val="00FD1BD4"/>
    <w:rsid w:val="00FD2FA7"/>
    <w:rsid w:val="00FD4B79"/>
    <w:rsid w:val="00FD58EF"/>
    <w:rsid w:val="00FD5BC9"/>
    <w:rsid w:val="00FD64B8"/>
    <w:rsid w:val="00FD667B"/>
    <w:rsid w:val="00FD7165"/>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9"/>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9"/>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3">
    <w:name w:val="נבנצאל"/>
    <w:basedOn w:val="Normal"/>
    <w:next w:val="Normal"/>
    <w:link w:val="a4"/>
    <w:uiPriority w:val="99"/>
    <w:rsid w:val="000501A4"/>
    <w:pPr>
      <w:ind w:left="-567"/>
    </w:pPr>
    <w:rPr>
      <w:szCs w:val="20"/>
    </w:rPr>
  </w:style>
  <w:style w:type="character" w:customStyle="1" w:styleId="a4">
    <w:name w:val="נבנצאל תו"/>
    <w:basedOn w:val="DefaultParagraphFont"/>
    <w:link w:val="a3"/>
    <w:uiPriority w:val="99"/>
    <w:rsid w:val="000501A4"/>
    <w:rPr>
      <w:szCs w:val="2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5">
    <w:name w:val="תואר"/>
    <w:basedOn w:val="Normal"/>
    <w:link w:val="a6"/>
    <w:qFormat/>
    <w:rsid w:val="00417266"/>
    <w:pPr>
      <w:spacing w:line="240" w:lineRule="auto"/>
      <w:jc w:val="center"/>
    </w:pPr>
    <w:rPr>
      <w:rFonts w:eastAsia="Times New Roman" w:cs="Times New Roman"/>
      <w:b/>
      <w:bCs/>
      <w:sz w:val="32"/>
      <w:szCs w:val="32"/>
      <w:lang w:eastAsia="he-IL"/>
    </w:rPr>
  </w:style>
  <w:style w:type="character" w:customStyle="1" w:styleId="a6">
    <w:name w:val="תואר תו"/>
    <w:link w:val="a5"/>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7">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8">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link w:val="ListParagraph"/>
    <w:uiPriority w:val="34"/>
    <w:rsid w:val="00DD7B55"/>
  </w:style>
  <w:style w:type="paragraph" w:customStyle="1" w:styleId="a0">
    <w:name w:val="הזחה ראשונה מספר"/>
    <w:basedOn w:val="ListParagraph"/>
    <w:qFormat/>
    <w:rsid w:val="00FA6B30"/>
    <w:pPr>
      <w:numPr>
        <w:numId w:val="16"/>
      </w:numPr>
      <w:spacing w:after="120"/>
      <w:contextualSpacing w:val="0"/>
    </w:pPr>
    <w:rPr>
      <w:rFonts w:ascii="Tahoma" w:hAnsi="Tahoma" w:cs="Tahoma"/>
      <w:szCs w:val="20"/>
    </w:rPr>
  </w:style>
  <w:style w:type="paragraph" w:customStyle="1" w:styleId="a9">
    <w:name w:val="הזחה שנייה ריק"/>
    <w:basedOn w:val="BodyTextIndent"/>
    <w:link w:val="Char"/>
    <w:qFormat/>
    <w:rsid w:val="00E07453"/>
    <w:pPr>
      <w:ind w:left="794"/>
    </w:pPr>
    <w:rPr>
      <w:sz w:val="20"/>
    </w:rPr>
  </w:style>
  <w:style w:type="paragraph" w:customStyle="1" w:styleId="a">
    <w:name w:val="הזחה שנייה אותיות"/>
    <w:basedOn w:val="ListParagraph"/>
    <w:qFormat/>
    <w:rsid w:val="005C23D7"/>
    <w:pPr>
      <w:numPr>
        <w:ilvl w:val="1"/>
        <w:numId w:val="4"/>
      </w:numPr>
      <w:spacing w:after="120"/>
      <w:ind w:hanging="397"/>
    </w:pPr>
    <w:rPr>
      <w:rFonts w:ascii="Tahoma" w:hAnsi="Tahoma" w:cs="Tahoma"/>
      <w:szCs w:val="20"/>
    </w:rPr>
  </w:style>
  <w:style w:type="paragraph" w:customStyle="1" w:styleId="aa">
    <w:name w:val="מקרא+הערות לתרשים/לוח/תמונה"/>
    <w:basedOn w:val="a7"/>
    <w:qFormat/>
    <w:rsid w:val="00817040"/>
    <w:pPr>
      <w:spacing w:before="120"/>
      <w:jc w:val="left"/>
    </w:pPr>
  </w:style>
  <w:style w:type="paragraph" w:customStyle="1" w:styleId="ab">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c">
    <w:name w:val="קוביה כחולה בתוך הזחה ראשונה"/>
    <w:basedOn w:val="ab"/>
    <w:qFormat/>
    <w:rsid w:val="00445522"/>
    <w:pPr>
      <w:ind w:left="680"/>
    </w:pPr>
  </w:style>
  <w:style w:type="paragraph" w:customStyle="1" w:styleId="710">
    <w:name w:val="כותרת 7_10"/>
    <w:basedOn w:val="a"/>
    <w:qFormat/>
    <w:rsid w:val="00774E68"/>
    <w:pPr>
      <w:ind w:left="1191"/>
    </w:pPr>
  </w:style>
  <w:style w:type="paragraph" w:customStyle="1" w:styleId="ad">
    <w:name w:val="הזחה שנייה ללא מספר"/>
    <w:basedOn w:val="a9"/>
    <w:link w:val="Char0"/>
    <w:qFormat/>
    <w:rsid w:val="00D053C2"/>
  </w:style>
  <w:style w:type="character" w:customStyle="1" w:styleId="Char">
    <w:name w:val="הזחה שנייה ריק Char"/>
    <w:basedOn w:val="BodyTextIndentChar"/>
    <w:link w:val="a9"/>
    <w:rsid w:val="008A78F7"/>
    <w:rPr>
      <w:rFonts w:ascii="Tahoma" w:hAnsi="Tahoma" w:cs="Tahoma"/>
      <w:sz w:val="16"/>
      <w:szCs w:val="20"/>
    </w:rPr>
  </w:style>
  <w:style w:type="character" w:customStyle="1" w:styleId="Char0">
    <w:name w:val="הזחה שנייה ללא מספר Char"/>
    <w:basedOn w:val="Char"/>
    <w:link w:val="ad"/>
    <w:rsid w:val="00D053C2"/>
    <w:rPr>
      <w:rFonts w:ascii="Tahoma" w:hAnsi="Tahoma" w:cs="Tahoma"/>
      <w:sz w:val="16"/>
      <w:szCs w:val="20"/>
    </w:rPr>
  </w:style>
  <w:style w:type="paragraph" w:customStyle="1" w:styleId="ae">
    <w:name w:val="מספור הערות שוליים"/>
    <w:basedOn w:val="a7"/>
    <w:qFormat/>
    <w:rsid w:val="003B639B"/>
  </w:style>
  <w:style w:type="paragraph" w:customStyle="1" w:styleId="R">
    <w:name w:val="טקסט R טבלה"/>
    <w:basedOn w:val="Normal"/>
    <w:qFormat/>
    <w:rsid w:val="00464DF0"/>
    <w:pPr>
      <w:spacing w:before="40" w:after="40" w:line="280" w:lineRule="exact"/>
      <w:jc w:val="left"/>
    </w:pPr>
    <w:rPr>
      <w:rFonts w:ascii="Tahoma" w:eastAsiaTheme="minorEastAsia" w:hAnsi="Tahoma" w:cs="Tahoma"/>
      <w:szCs w:val="16"/>
    </w:rPr>
  </w:style>
  <w:style w:type="paragraph" w:customStyle="1" w:styleId="B">
    <w:name w:val="טקסט B טבלה"/>
    <w:basedOn w:val="Normal"/>
    <w:qFormat/>
    <w:rsid w:val="00464DF0"/>
    <w:pPr>
      <w:spacing w:before="40" w:after="40" w:line="269" w:lineRule="auto"/>
      <w:jc w:val="left"/>
    </w:pPr>
    <w:rPr>
      <w:rFonts w:ascii="Tahoma" w:eastAsiaTheme="minorEastAsia" w:hAnsi="Tahoma" w:cs="Tahoma"/>
      <w:b/>
      <w:bCs/>
      <w:szCs w:val="16"/>
    </w:rPr>
  </w:style>
  <w:style w:type="paragraph" w:customStyle="1" w:styleId="af">
    <w:name w:val="כותרת טבלה"/>
    <w:basedOn w:val="Normal"/>
    <w:qFormat/>
    <w:rsid w:val="00464DF0"/>
    <w:pPr>
      <w:spacing w:before="40" w:after="40" w:line="280" w:lineRule="exact"/>
      <w:jc w:val="center"/>
    </w:pPr>
    <w:rPr>
      <w:rFonts w:ascii="Tahoma" w:eastAsiaTheme="minorEastAsia" w:hAnsi="Tahoma" w:cs="Tahoma"/>
      <w:b/>
      <w:bCs/>
      <w:szCs w:val="16"/>
    </w:rPr>
  </w:style>
  <w:style w:type="paragraph" w:customStyle="1" w:styleId="Style1">
    <w:name w:val="Style1"/>
    <w:basedOn w:val="a"/>
    <w:qFormat/>
    <w:rsid w:val="00085B99"/>
  </w:style>
  <w:style w:type="paragraph" w:customStyle="1" w:styleId="a1">
    <w:name w:val="כניסה שלישית"/>
    <w:basedOn w:val="ListParagraph"/>
    <w:qFormat/>
    <w:rsid w:val="008E5512"/>
    <w:pPr>
      <w:numPr>
        <w:ilvl w:val="2"/>
        <w:numId w:val="16"/>
      </w:numPr>
      <w:spacing w:after="120"/>
      <w:ind w:left="1191"/>
    </w:pPr>
    <w:rPr>
      <w:rFonts w:ascii="Tahoma" w:hAnsi="Tahoma" w:cs="Tahoma"/>
      <w:szCs w:val="20"/>
    </w:rPr>
  </w:style>
  <w:style w:type="paragraph" w:customStyle="1" w:styleId="af0">
    <w:name w:val="הזחה שלישית"/>
    <w:basedOn w:val="ad"/>
    <w:qFormat/>
    <w:rsid w:val="008D42F6"/>
    <w:pPr>
      <w:ind w:left="1191"/>
    </w:pPr>
  </w:style>
  <w:style w:type="paragraph" w:customStyle="1" w:styleId="af1">
    <w:name w:val="קוביה כחולה הזחה שלישית"/>
    <w:basedOn w:val="ab"/>
    <w:qFormat/>
    <w:rsid w:val="00230B94"/>
    <w:pPr>
      <w:ind w:left="1474"/>
    </w:pPr>
  </w:style>
  <w:style w:type="paragraph" w:customStyle="1" w:styleId="12">
    <w:name w:val="קוביה הזחה 1"/>
    <w:basedOn w:val="ab"/>
    <w:qFormat/>
    <w:rsid w:val="005C2859"/>
    <w:pPr>
      <w:ind w:left="680"/>
    </w:pPr>
  </w:style>
  <w:style w:type="paragraph" w:customStyle="1" w:styleId="af2">
    <w:name w:val="הזחה ראשונה ללא מספר"/>
    <w:basedOn w:val="ad"/>
    <w:qFormat/>
    <w:rsid w:val="008203CF"/>
    <w:pPr>
      <w:ind w:left="397"/>
    </w:pPr>
  </w:style>
  <w:style w:type="paragraph" w:customStyle="1" w:styleId="af3">
    <w:name w:val="קוביה רצה"/>
    <w:basedOn w:val="ac"/>
    <w:qFormat/>
    <w:rsid w:val="000C164B"/>
    <w:pPr>
      <w:ind w:left="284" w:right="227"/>
    </w:pPr>
  </w:style>
  <w:style w:type="paragraph" w:customStyle="1" w:styleId="414">
    <w:name w:val="כותרת 4_14"/>
    <w:basedOn w:val="Heading4"/>
    <w:qFormat/>
    <w:rsid w:val="00DC389B"/>
    <w:pPr>
      <w:spacing w:before="360" w:after="120" w:line="269" w:lineRule="auto"/>
      <w:jc w:val="left"/>
    </w:pPr>
    <w:rPr>
      <w:rFonts w:ascii="Tahoma" w:hAnsi="Tahoma" w:cs="Tahoma"/>
      <w:b/>
      <w:bCs w:val="0"/>
      <w:color w:val="387026"/>
      <w:sz w:val="28"/>
      <w:szCs w:val="28"/>
    </w:rPr>
  </w:style>
  <w:style w:type="paragraph" w:customStyle="1" w:styleId="a2">
    <w:name w:val="הזחה בתוך קוביה"/>
    <w:basedOn w:val="af3"/>
    <w:qFormat/>
    <w:rsid w:val="004C0FFF"/>
    <w:pPr>
      <w:numPr>
        <w:ilvl w:val="1"/>
        <w:numId w:val="35"/>
      </w:numPr>
      <w:ind w:left="397" w:hanging="397"/>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4">
    <w:name w:val="אותיות בתוך קוביה"/>
    <w:basedOn w:val="a2"/>
    <w:rsid w:val="004F431D"/>
  </w:style>
  <w:style w:type="paragraph" w:customStyle="1" w:styleId="1">
    <w:name w:val="אותיות בתוך קוביה 1"/>
    <w:basedOn w:val="af4"/>
    <w:qFormat/>
    <w:rsid w:val="001E641F"/>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chart" Target="charts/chart5.xml"/><Relationship Id="rId39" Type="http://schemas.openxmlformats.org/officeDocument/2006/relationships/chart" Target="charts/chart16.xml"/><Relationship Id="rId21" Type="http://schemas.openxmlformats.org/officeDocument/2006/relationships/image" Target="media/image9.png"/><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2.xml"/><Relationship Id="rId50" Type="http://schemas.openxmlformats.org/officeDocument/2006/relationships/footer" Target="footer2.xm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1.xm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chart" Target="charts/chart4.xml"/><Relationship Id="rId27" Type="http://schemas.openxmlformats.org/officeDocument/2006/relationships/chart" Target="charts/chart6.xml"/><Relationship Id="rId30" Type="http://schemas.openxmlformats.org/officeDocument/2006/relationships/image" Target="media/image14.emf"/><Relationship Id="rId35" Type="http://schemas.openxmlformats.org/officeDocument/2006/relationships/chart" Target="charts/chart12.xml"/><Relationship Id="rId43" Type="http://schemas.openxmlformats.org/officeDocument/2006/relationships/image" Target="media/image15.jpg"/><Relationship Id="rId48" Type="http://schemas.openxmlformats.org/officeDocument/2006/relationships/chart" Target="charts/chart23.xml"/><Relationship Id="rId56"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jpg"/><Relationship Id="rId25" Type="http://schemas.openxmlformats.org/officeDocument/2006/relationships/image" Target="media/image12.png"/><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image" Target="media/image16.jpeg"/><Relationship Id="rId20" Type="http://schemas.openxmlformats.org/officeDocument/2006/relationships/chart" Target="charts/chart3.xml"/><Relationship Id="rId41" Type="http://schemas.openxmlformats.org/officeDocument/2006/relationships/chart" Target="charts/chart1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chart" Target="charts/chart7.xml"/><Relationship Id="rId36" Type="http://schemas.openxmlformats.org/officeDocument/2006/relationships/chart" Target="charts/chart13.xml"/><Relationship Id="rId49" Type="http://schemas.openxmlformats.org/officeDocument/2006/relationships/image" Target="media/image17.jpg"/><Relationship Id="rId57" Type="http://schemas.openxmlformats.org/officeDocument/2006/relationships/customXml" Target="../customXml/item4.xml"/><Relationship Id="rId10" Type="http://schemas.openxmlformats.org/officeDocument/2006/relationships/header" Target="header1.xml"/><Relationship Id="rId31" Type="http://schemas.openxmlformats.org/officeDocument/2006/relationships/chart" Target="charts/chart8.xml"/><Relationship Id="rId44" Type="http://schemas.openxmlformats.org/officeDocument/2006/relationships/chart" Target="charts/chart20.xml"/><Relationship Id="rId52"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www.oecd.org/regreform/regulatory-policy/ria.htm" TargetMode="External"/><Relationship Id="rId1" Type="http://schemas.openxmlformats.org/officeDocument/2006/relationships/hyperlink" Target="https://he.wikipedia.org/wiki/%D7%91%D7%99%D7%AA_%D7%9E%D7%A9%D7%A4%D7%9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mvtanas\MVTANAS\Gov%20Min\Agaf_16\&#1502;&#1497;&#1497;&#1510;&#1490;&#1497;%20&#1492;&#1502;&#1491;&#1497;&#1504;&#1492;%20&#1489;&#1506;&#1512;&#1499;&#1488;&#1493;&#1514;\&#1491;&#1493;&#1495;&#1493;&#1514;%202018\&#1502;&#1504;&#1497;&#1506;&#1514;%20&#1492;&#1496;&#1512;&#1491;&#1492;%20&#1502;&#1497;&#1504;&#1497;&#1514;\&#1502;&#1513;&#1496;&#1512;&#1492;\&#1502;&#1505;&#1502;&#1499;&#1497;&#1501;%20&#1502;&#1491;&#1493;&#1497;&#1491;&#1497;\&#1502;&#1489;&#1511;&#1512;%20.%202.1%20%20.%20&#1506;&#1489;&#1497;&#1512;&#1492;%20&#1495;&#1502;&#1493;&#1512;&#1492;%20&#1489;&#1514;&#1497;&#1511;%20.%20&#1499;&#1500;%20&#1492;&#1514;&#1497;&#1511;&#1497;&#1501;%20.%202290%20&#1514;&#1497;&#151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גיליון1!$B$1</c:f>
              <c:strCache>
                <c:ptCount val="1"/>
                <c:pt idx="0">
                  <c:v>נשים שהוטרדו מינית</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גיליון1!$A$2:$A$6</c:f>
              <c:numCache>
                <c:formatCode>General</c:formatCode>
                <c:ptCount val="5"/>
                <c:pt idx="0">
                  <c:v>2014</c:v>
                </c:pt>
                <c:pt idx="1">
                  <c:v>2015</c:v>
                </c:pt>
                <c:pt idx="2">
                  <c:v>2016</c:v>
                </c:pt>
                <c:pt idx="3">
                  <c:v>2017</c:v>
                </c:pt>
                <c:pt idx="4">
                  <c:v>2018</c:v>
                </c:pt>
              </c:numCache>
            </c:numRef>
          </c:cat>
          <c:val>
            <c:numRef>
              <c:f>גיליון1!$B$2:$B$6</c:f>
              <c:numCache>
                <c:formatCode>_ * #,##0_ ;_ * \-#,##0_ ;_ * "-"??_ ;_ @_ </c:formatCode>
                <c:ptCount val="5"/>
                <c:pt idx="0">
                  <c:v>83500</c:v>
                </c:pt>
                <c:pt idx="1">
                  <c:v>112300</c:v>
                </c:pt>
                <c:pt idx="2">
                  <c:v>104100</c:v>
                </c:pt>
                <c:pt idx="3">
                  <c:v>96000</c:v>
                </c:pt>
                <c:pt idx="4">
                  <c:v>140000</c:v>
                </c:pt>
              </c:numCache>
            </c:numRef>
          </c:val>
          <c:extLst>
            <c:ext xmlns:c16="http://schemas.microsoft.com/office/drawing/2014/chart" uri="{C3380CC4-5D6E-409C-BE32-E72D297353CC}">
              <c16:uniqueId val="{00000000-0742-4EF7-A005-5FF40399DA7F}"/>
            </c:ext>
          </c:extLst>
        </c:ser>
        <c:ser>
          <c:idx val="1"/>
          <c:order val="1"/>
          <c:tx>
            <c:strRef>
              <c:f>גיליון1!$C$1</c:f>
              <c:strCache>
                <c:ptCount val="1"/>
                <c:pt idx="0">
                  <c:v>גברים שהוטרדו מינית</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גיליון1!$A$2:$A$6</c:f>
              <c:numCache>
                <c:formatCode>General</c:formatCode>
                <c:ptCount val="5"/>
                <c:pt idx="0">
                  <c:v>2014</c:v>
                </c:pt>
                <c:pt idx="1">
                  <c:v>2015</c:v>
                </c:pt>
                <c:pt idx="2">
                  <c:v>2016</c:v>
                </c:pt>
                <c:pt idx="3">
                  <c:v>2017</c:v>
                </c:pt>
                <c:pt idx="4">
                  <c:v>2018</c:v>
                </c:pt>
              </c:numCache>
            </c:numRef>
          </c:cat>
          <c:val>
            <c:numRef>
              <c:f>גיליון1!$C$2:$C$6</c:f>
              <c:numCache>
                <c:formatCode>_ * #,##0_ ;_ * \-#,##0_ ;_ * "-"??_ ;_ @_ </c:formatCode>
                <c:ptCount val="5"/>
                <c:pt idx="0">
                  <c:v>11600</c:v>
                </c:pt>
                <c:pt idx="1">
                  <c:v>23600</c:v>
                </c:pt>
                <c:pt idx="2">
                  <c:v>21400</c:v>
                </c:pt>
                <c:pt idx="3">
                  <c:v>25000</c:v>
                </c:pt>
                <c:pt idx="4">
                  <c:v>13000</c:v>
                </c:pt>
              </c:numCache>
            </c:numRef>
          </c:val>
          <c:extLst>
            <c:ext xmlns:c16="http://schemas.microsoft.com/office/drawing/2014/chart" uri="{C3380CC4-5D6E-409C-BE32-E72D297353CC}">
              <c16:uniqueId val="{00000001-0742-4EF7-A005-5FF40399DA7F}"/>
            </c:ext>
          </c:extLst>
        </c:ser>
        <c:dLbls>
          <c:dLblPos val="ctr"/>
          <c:showLegendKey val="0"/>
          <c:showVal val="1"/>
          <c:showCatName val="0"/>
          <c:showSerName val="0"/>
          <c:showPercent val="0"/>
          <c:showBubbleSize val="0"/>
        </c:dLbls>
        <c:gapWidth val="79"/>
        <c:overlap val="100"/>
        <c:axId val="606993152"/>
        <c:axId val="606998400"/>
      </c:barChart>
      <c:catAx>
        <c:axId val="606993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06998400"/>
        <c:crosses val="autoZero"/>
        <c:auto val="1"/>
        <c:lblAlgn val="ctr"/>
        <c:lblOffset val="100"/>
        <c:noMultiLvlLbl val="0"/>
      </c:catAx>
      <c:valAx>
        <c:axId val="606998400"/>
        <c:scaling>
          <c:orientation val="minMax"/>
        </c:scaling>
        <c:delete val="1"/>
        <c:axPos val="l"/>
        <c:numFmt formatCode="_ * #,##0_ ;_ * \-#,##0_ ;_ * &quot;-&quot;??_ ;_ @_ " sourceLinked="1"/>
        <c:majorTickMark val="none"/>
        <c:minorTickMark val="none"/>
        <c:tickLblPos val="nextTo"/>
        <c:crossAx val="606993152"/>
        <c:crosses val="autoZero"/>
        <c:crossBetween val="between"/>
      </c:valAx>
      <c:spPr>
        <a:noFill/>
        <a:ln>
          <a:noFill/>
        </a:ln>
        <a:effectLst/>
      </c:spPr>
    </c:plotArea>
    <c:legend>
      <c:legendPos val="t"/>
      <c:layout>
        <c:manualLayout>
          <c:xMode val="edge"/>
          <c:yMode val="edge"/>
          <c:x val="5.5387890538479381E-2"/>
          <c:y val="2.5020850708924104E-2"/>
          <c:w val="0.87056004081345573"/>
          <c:h val="7.03716351552803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גיליון1!$C$1</c:f>
              <c:strCache>
                <c:ptCount val="1"/>
                <c:pt idx="0">
                  <c:v>נשים לא יהודיות</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גיליון1!$A$2:$A$4</c:f>
              <c:strCache>
                <c:ptCount val="3"/>
                <c:pt idx="0">
                  <c:v>לא הכירו את החוק למניעת הטרדה מינית - סקר 2007</c:v>
                </c:pt>
                <c:pt idx="1">
                  <c:v>דיווחו במקום העבודה על התנהגות המהווה הטרדה מינית - סקר 2012</c:v>
                </c:pt>
                <c:pt idx="2">
                  <c:v>הגישו תלונה למשטרה - 2017</c:v>
                </c:pt>
              </c:strCache>
            </c:strRef>
          </c:cat>
          <c:val>
            <c:numRef>
              <c:f>גיליון1!$C$2:$C$4</c:f>
              <c:numCache>
                <c:formatCode>General</c:formatCode>
                <c:ptCount val="3"/>
                <c:pt idx="0">
                  <c:v>53</c:v>
                </c:pt>
                <c:pt idx="1">
                  <c:v>2</c:v>
                </c:pt>
                <c:pt idx="2">
                  <c:v>9</c:v>
                </c:pt>
              </c:numCache>
            </c:numRef>
          </c:val>
          <c:extLst>
            <c:ext xmlns:c16="http://schemas.microsoft.com/office/drawing/2014/chart" uri="{C3380CC4-5D6E-409C-BE32-E72D297353CC}">
              <c16:uniqueId val="{00000000-0D10-4A47-948D-15C2F2A6F28A}"/>
            </c:ext>
          </c:extLst>
        </c:ser>
        <c:ser>
          <c:idx val="1"/>
          <c:order val="1"/>
          <c:tx>
            <c:strRef>
              <c:f>גיליון1!$B$1</c:f>
              <c:strCache>
                <c:ptCount val="1"/>
                <c:pt idx="0">
                  <c:v>נשים יהודיות</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גיליון1!$A$2:$A$4</c:f>
              <c:strCache>
                <c:ptCount val="3"/>
                <c:pt idx="0">
                  <c:v>לא הכירו את החוק למניעת הטרדה מינית - סקר 2007</c:v>
                </c:pt>
                <c:pt idx="1">
                  <c:v>דיווחו במקום העבודה על התנהגות המהווה הטרדה מינית - סקר 2012</c:v>
                </c:pt>
                <c:pt idx="2">
                  <c:v>הגישו תלונה למשטרה - 2017</c:v>
                </c:pt>
              </c:strCache>
            </c:strRef>
          </c:cat>
          <c:val>
            <c:numRef>
              <c:f>גיליון1!$B$2:$B$4</c:f>
              <c:numCache>
                <c:formatCode>General</c:formatCode>
                <c:ptCount val="3"/>
                <c:pt idx="0">
                  <c:v>23</c:v>
                </c:pt>
                <c:pt idx="1">
                  <c:v>98</c:v>
                </c:pt>
                <c:pt idx="2">
                  <c:v>91</c:v>
                </c:pt>
              </c:numCache>
            </c:numRef>
          </c:val>
          <c:extLst>
            <c:ext xmlns:c16="http://schemas.microsoft.com/office/drawing/2014/chart" uri="{C3380CC4-5D6E-409C-BE32-E72D297353CC}">
              <c16:uniqueId val="{00000001-0D10-4A47-948D-15C2F2A6F28A}"/>
            </c:ext>
          </c:extLst>
        </c:ser>
        <c:dLbls>
          <c:dLblPos val="ctr"/>
          <c:showLegendKey val="0"/>
          <c:showVal val="1"/>
          <c:showCatName val="0"/>
          <c:showSerName val="0"/>
          <c:showPercent val="0"/>
          <c:showBubbleSize val="0"/>
        </c:dLbls>
        <c:gapWidth val="79"/>
        <c:overlap val="100"/>
        <c:axId val="477854440"/>
        <c:axId val="477847224"/>
      </c:barChart>
      <c:catAx>
        <c:axId val="477854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0" normalizeH="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he-IL"/>
          </a:p>
        </c:txPr>
        <c:crossAx val="477847224"/>
        <c:crosses val="autoZero"/>
        <c:auto val="1"/>
        <c:lblAlgn val="ctr"/>
        <c:lblOffset val="100"/>
        <c:noMultiLvlLbl val="0"/>
      </c:catAx>
      <c:valAx>
        <c:axId val="477847224"/>
        <c:scaling>
          <c:orientation val="minMax"/>
        </c:scaling>
        <c:delete val="1"/>
        <c:axPos val="l"/>
        <c:numFmt formatCode="General" sourceLinked="1"/>
        <c:majorTickMark val="none"/>
        <c:minorTickMark val="none"/>
        <c:tickLblPos val="nextTo"/>
        <c:crossAx val="4778544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גיליון1!$B$1</c:f>
              <c:strCache>
                <c:ptCount val="1"/>
                <c:pt idx="0">
                  <c:v>פניות למרכזי הסיוע</c:v>
                </c:pt>
              </c:strCache>
            </c:strRef>
          </c:tx>
          <c:spPr>
            <a:solidFill>
              <a:schemeClr val="accent1"/>
            </a:solidFill>
            <a:ln>
              <a:noFill/>
            </a:ln>
            <a:effectLst/>
          </c:spPr>
          <c:invertIfNegative val="0"/>
          <c:dLbls>
            <c:dLbl>
              <c:idx val="0"/>
              <c:layout>
                <c:manualLayout>
                  <c:x val="0"/>
                  <c:y val="0.10855796310132766"/>
                </c:manualLayout>
              </c:layout>
              <c:tx>
                <c:rich>
                  <a:bodyPr/>
                  <a:lstStyle/>
                  <a:p>
                    <a:fld id="{CD98682D-157F-4189-BE00-B1B6F96CC1AF}" type="VALUE">
                      <a:rPr lang="en-US" baseline="0">
                        <a:solidFill>
                          <a:schemeClr val="bg1"/>
                        </a:solidFill>
                      </a:rPr>
                      <a:pPr/>
                      <a:t>[VALUE]</a:t>
                    </a:fld>
                    <a:endParaRPr lang="he-IL"/>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786-4CBF-B24F-50DE3DAA760C}"/>
                </c:ext>
              </c:extLst>
            </c:dLbl>
            <c:dLbl>
              <c:idx val="1"/>
              <c:layout>
                <c:manualLayout>
                  <c:x val="-2.5201612903225806E-3"/>
                  <c:y val="0.1009209454228268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86-4CBF-B24F-50DE3DAA760C}"/>
                </c:ext>
              </c:extLst>
            </c:dLbl>
            <c:dLbl>
              <c:idx val="2"/>
              <c:layout>
                <c:manualLayout>
                  <c:x val="-7.5604838709677422E-3"/>
                  <c:y val="9.78284756054269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86-4CBF-B24F-50DE3DAA760C}"/>
                </c:ext>
              </c:extLst>
            </c:dLbl>
            <c:dLbl>
              <c:idx val="3"/>
              <c:layout>
                <c:manualLayout>
                  <c:x val="0"/>
                  <c:y val="0.1107886524918605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86-4CBF-B24F-50DE3DAA76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גיליון1!$A$2:$A$5</c:f>
              <c:numCache>
                <c:formatCode>General</c:formatCode>
                <c:ptCount val="4"/>
                <c:pt idx="0">
                  <c:v>2014</c:v>
                </c:pt>
                <c:pt idx="1">
                  <c:v>2015</c:v>
                </c:pt>
                <c:pt idx="2">
                  <c:v>2016</c:v>
                </c:pt>
                <c:pt idx="3">
                  <c:v>2017</c:v>
                </c:pt>
              </c:numCache>
            </c:numRef>
          </c:cat>
          <c:val>
            <c:numRef>
              <c:f>גיליון1!$B$2:$B$5</c:f>
              <c:numCache>
                <c:formatCode>_ * #,##0_ ;_ * \-#,##0_ ;_ * "-"??_ ;_ @_ </c:formatCode>
                <c:ptCount val="4"/>
                <c:pt idx="0">
                  <c:v>2145</c:v>
                </c:pt>
                <c:pt idx="1">
                  <c:v>1931</c:v>
                </c:pt>
                <c:pt idx="2">
                  <c:v>2451</c:v>
                </c:pt>
                <c:pt idx="3">
                  <c:v>2980</c:v>
                </c:pt>
              </c:numCache>
            </c:numRef>
          </c:val>
          <c:extLst>
            <c:ext xmlns:c16="http://schemas.microsoft.com/office/drawing/2014/chart" uri="{C3380CC4-5D6E-409C-BE32-E72D297353CC}">
              <c16:uniqueId val="{00000004-E786-4CBF-B24F-50DE3DAA760C}"/>
            </c:ext>
          </c:extLst>
        </c:ser>
        <c:dLbls>
          <c:dLblPos val="ctr"/>
          <c:showLegendKey val="0"/>
          <c:showVal val="1"/>
          <c:showCatName val="0"/>
          <c:showSerName val="0"/>
          <c:showPercent val="0"/>
          <c:showBubbleSize val="0"/>
        </c:dLbls>
        <c:gapWidth val="79"/>
        <c:axId val="689188160"/>
        <c:axId val="689188816"/>
      </c:barChart>
      <c:lineChart>
        <c:grouping val="standard"/>
        <c:varyColors val="0"/>
        <c:ser>
          <c:idx val="1"/>
          <c:order val="1"/>
          <c:tx>
            <c:strRef>
              <c:f>גיליון1!$C$1</c:f>
              <c:strCache>
                <c:ptCount val="1"/>
                <c:pt idx="0">
                  <c:v>תלונות למשטרה</c:v>
                </c:pt>
              </c:strCache>
            </c:strRef>
          </c:tx>
          <c:spPr>
            <a:ln w="28575" cap="rnd">
              <a:solidFill>
                <a:schemeClr val="accent2"/>
              </a:solidFill>
              <a:round/>
            </a:ln>
            <a:effectLst/>
          </c:spPr>
          <c:marker>
            <c:symbol val="none"/>
          </c:marker>
          <c:dLbls>
            <c:dLbl>
              <c:idx val="0"/>
              <c:layout>
                <c:manualLayout>
                  <c:x val="-4.3548387096774173E-2"/>
                  <c:y val="-4.72305710605410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8E-4DB4-B424-97B983D4776F}"/>
                </c:ext>
              </c:extLst>
            </c:dLbl>
            <c:dLbl>
              <c:idx val="1"/>
              <c:layout>
                <c:manualLayout>
                  <c:x val="-4.3548387096774194E-2"/>
                  <c:y val="-3.43495062258480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8E-4DB4-B424-97B983D4776F}"/>
                </c:ext>
              </c:extLst>
            </c:dLbl>
            <c:dLbl>
              <c:idx val="2"/>
              <c:layout>
                <c:manualLayout>
                  <c:x val="-4.3548387096774194E-2"/>
                  <c:y val="-4.2936882782310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8E-4DB4-B424-97B983D4776F}"/>
                </c:ext>
              </c:extLst>
            </c:dLbl>
            <c:dLbl>
              <c:idx val="3"/>
              <c:layout>
                <c:manualLayout>
                  <c:x val="-4.3548387096774194E-2"/>
                  <c:y val="-3.8643194504079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8E-4DB4-B424-97B983D477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גיליון1!$A$2:$A$5</c:f>
              <c:numCache>
                <c:formatCode>General</c:formatCode>
                <c:ptCount val="4"/>
                <c:pt idx="0">
                  <c:v>2014</c:v>
                </c:pt>
                <c:pt idx="1">
                  <c:v>2015</c:v>
                </c:pt>
                <c:pt idx="2">
                  <c:v>2016</c:v>
                </c:pt>
                <c:pt idx="3">
                  <c:v>2017</c:v>
                </c:pt>
              </c:numCache>
            </c:numRef>
          </c:cat>
          <c:val>
            <c:numRef>
              <c:f>גיליון1!$C$2:$C$5</c:f>
              <c:numCache>
                <c:formatCode>_ * #,##0_ ;_ * \-#,##0_ ;_ * "-"??_ ;_ @_ </c:formatCode>
                <c:ptCount val="4"/>
                <c:pt idx="0">
                  <c:v>443</c:v>
                </c:pt>
                <c:pt idx="1">
                  <c:v>769</c:v>
                </c:pt>
                <c:pt idx="2">
                  <c:v>742</c:v>
                </c:pt>
                <c:pt idx="3">
                  <c:v>785</c:v>
                </c:pt>
              </c:numCache>
            </c:numRef>
          </c:val>
          <c:smooth val="0"/>
          <c:extLst>
            <c:ext xmlns:c16="http://schemas.microsoft.com/office/drawing/2014/chart" uri="{C3380CC4-5D6E-409C-BE32-E72D297353CC}">
              <c16:uniqueId val="{00000005-E786-4CBF-B24F-50DE3DAA760C}"/>
            </c:ext>
          </c:extLst>
        </c:ser>
        <c:dLbls>
          <c:showLegendKey val="0"/>
          <c:showVal val="0"/>
          <c:showCatName val="0"/>
          <c:showSerName val="0"/>
          <c:showPercent val="0"/>
          <c:showBubbleSize val="0"/>
        </c:dLbls>
        <c:marker val="1"/>
        <c:smooth val="0"/>
        <c:axId val="689188160"/>
        <c:axId val="689188816"/>
      </c:lineChart>
      <c:catAx>
        <c:axId val="68918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89188816"/>
        <c:crosses val="autoZero"/>
        <c:auto val="1"/>
        <c:lblAlgn val="ctr"/>
        <c:lblOffset val="100"/>
        <c:noMultiLvlLbl val="0"/>
      </c:catAx>
      <c:valAx>
        <c:axId val="689188816"/>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89188160"/>
        <c:crosses val="autoZero"/>
        <c:crossBetween val="between"/>
      </c:valAx>
      <c:spPr>
        <a:noFill/>
        <a:ln>
          <a:noFill/>
        </a:ln>
        <a:effectLst/>
      </c:spPr>
    </c:plotArea>
    <c:legend>
      <c:legendPos val="b"/>
      <c:layout>
        <c:manualLayout>
          <c:xMode val="edge"/>
          <c:yMode val="edge"/>
          <c:x val="0.2096397161544323"/>
          <c:y val="0.90229154481494878"/>
          <c:w val="0.61852298704597408"/>
          <c:h val="7.19463255156651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גיליון1!$B$1</c:f>
              <c:strCache>
                <c:ptCount val="1"/>
                <c:pt idx="0">
                  <c:v>הטרדה מינית</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גיליון1!$A$2:$A$5</c:f>
              <c:strCache>
                <c:ptCount val="4"/>
                <c:pt idx="0">
                  <c:v>בגירות ובגירים</c:v>
                </c:pt>
                <c:pt idx="1">
                  <c:v>בני נוער</c:v>
                </c:pt>
                <c:pt idx="2">
                  <c:v>ילדות וילדים</c:v>
                </c:pt>
                <c:pt idx="3">
                  <c:v>סך הכול</c:v>
                </c:pt>
              </c:strCache>
            </c:strRef>
          </c:cat>
          <c:val>
            <c:numRef>
              <c:f>גיליון1!$B$2:$B$5</c:f>
              <c:numCache>
                <c:formatCode>General</c:formatCode>
                <c:ptCount val="4"/>
                <c:pt idx="0">
                  <c:v>38.700000000000003</c:v>
                </c:pt>
                <c:pt idx="1">
                  <c:v>26</c:v>
                </c:pt>
                <c:pt idx="2">
                  <c:v>5.3999999999999915</c:v>
                </c:pt>
                <c:pt idx="3">
                  <c:v>25.3</c:v>
                </c:pt>
              </c:numCache>
            </c:numRef>
          </c:val>
          <c:extLst>
            <c:ext xmlns:c16="http://schemas.microsoft.com/office/drawing/2014/chart" uri="{C3380CC4-5D6E-409C-BE32-E72D297353CC}">
              <c16:uniqueId val="{00000000-14AF-4976-8EE5-11038BB74206}"/>
            </c:ext>
          </c:extLst>
        </c:ser>
        <c:ser>
          <c:idx val="1"/>
          <c:order val="1"/>
          <c:tx>
            <c:strRef>
              <c:f>גיליון1!$C$1</c:f>
              <c:strCache>
                <c:ptCount val="1"/>
                <c:pt idx="0">
                  <c:v>מעשה מגונה</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גיליון1!$A$2:$A$5</c:f>
              <c:strCache>
                <c:ptCount val="4"/>
                <c:pt idx="0">
                  <c:v>בגירות ובגירים</c:v>
                </c:pt>
                <c:pt idx="1">
                  <c:v>בני נוער</c:v>
                </c:pt>
                <c:pt idx="2">
                  <c:v>ילדות וילדים</c:v>
                </c:pt>
                <c:pt idx="3">
                  <c:v>סך הכול</c:v>
                </c:pt>
              </c:strCache>
            </c:strRef>
          </c:cat>
          <c:val>
            <c:numRef>
              <c:f>גיליון1!$C$2:$C$5</c:f>
              <c:numCache>
                <c:formatCode>General</c:formatCode>
                <c:ptCount val="4"/>
                <c:pt idx="0">
                  <c:v>14.1</c:v>
                </c:pt>
                <c:pt idx="1">
                  <c:v>14</c:v>
                </c:pt>
                <c:pt idx="2">
                  <c:v>8.9</c:v>
                </c:pt>
                <c:pt idx="3">
                  <c:v>11.6</c:v>
                </c:pt>
              </c:numCache>
            </c:numRef>
          </c:val>
          <c:extLst>
            <c:ext xmlns:c16="http://schemas.microsoft.com/office/drawing/2014/chart" uri="{C3380CC4-5D6E-409C-BE32-E72D297353CC}">
              <c16:uniqueId val="{00000001-14AF-4976-8EE5-11038BB74206}"/>
            </c:ext>
          </c:extLst>
        </c:ser>
        <c:ser>
          <c:idx val="2"/>
          <c:order val="2"/>
          <c:tx>
            <c:strRef>
              <c:f>גיליון1!$D$1</c:f>
              <c:strCache>
                <c:ptCount val="1"/>
                <c:pt idx="0">
                  <c:v>אונס (כולל גילוי עריות)</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גיליון1!$A$2:$A$5</c:f>
              <c:strCache>
                <c:ptCount val="4"/>
                <c:pt idx="0">
                  <c:v>בגירות ובגירים</c:v>
                </c:pt>
                <c:pt idx="1">
                  <c:v>בני נוער</c:v>
                </c:pt>
                <c:pt idx="2">
                  <c:v>ילדות וילדים</c:v>
                </c:pt>
                <c:pt idx="3">
                  <c:v>סך הכול</c:v>
                </c:pt>
              </c:strCache>
            </c:strRef>
          </c:cat>
          <c:val>
            <c:numRef>
              <c:f>גיליון1!$D$2:$D$5</c:f>
              <c:numCache>
                <c:formatCode>General</c:formatCode>
                <c:ptCount val="4"/>
                <c:pt idx="0">
                  <c:v>47.3</c:v>
                </c:pt>
                <c:pt idx="1">
                  <c:v>60</c:v>
                </c:pt>
                <c:pt idx="2">
                  <c:v>85.7</c:v>
                </c:pt>
                <c:pt idx="3">
                  <c:v>63.1</c:v>
                </c:pt>
              </c:numCache>
            </c:numRef>
          </c:val>
          <c:extLst>
            <c:ext xmlns:c16="http://schemas.microsoft.com/office/drawing/2014/chart" uri="{C3380CC4-5D6E-409C-BE32-E72D297353CC}">
              <c16:uniqueId val="{00000002-14AF-4976-8EE5-11038BB74206}"/>
            </c:ext>
          </c:extLst>
        </c:ser>
        <c:dLbls>
          <c:dLblPos val="ctr"/>
          <c:showLegendKey val="0"/>
          <c:showVal val="1"/>
          <c:showCatName val="0"/>
          <c:showSerName val="0"/>
          <c:showPercent val="0"/>
          <c:showBubbleSize val="0"/>
        </c:dLbls>
        <c:gapWidth val="79"/>
        <c:overlap val="100"/>
        <c:axId val="479211472"/>
        <c:axId val="479224920"/>
      </c:barChart>
      <c:catAx>
        <c:axId val="479211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0" normalizeH="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79224920"/>
        <c:crosses val="autoZero"/>
        <c:auto val="1"/>
        <c:lblAlgn val="ctr"/>
        <c:lblOffset val="100"/>
        <c:noMultiLvlLbl val="0"/>
      </c:catAx>
      <c:valAx>
        <c:axId val="479224920"/>
        <c:scaling>
          <c:orientation val="minMax"/>
        </c:scaling>
        <c:delete val="1"/>
        <c:axPos val="l"/>
        <c:numFmt formatCode="General" sourceLinked="1"/>
        <c:majorTickMark val="none"/>
        <c:minorTickMark val="none"/>
        <c:tickLblPos val="nextTo"/>
        <c:crossAx val="4792114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Server_CH468!$B$3</c:f>
              <c:strCache>
                <c:ptCount val="1"/>
                <c:pt idx="0">
                  <c:v>הטרדה מינית בנסיבות המפורטות בסעיפים 3(א)(3) לחוק</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Server_CH468!$C$1:$M$1</c:f>
              <c:numCache>
                <c:formatCode>###0</c:formatCode>
                <c:ptCount val="11"/>
                <c:pt idx="0">
                  <c:v>2017</c:v>
                </c:pt>
                <c:pt idx="1">
                  <c:v>2016</c:v>
                </c:pt>
                <c:pt idx="2">
                  <c:v>2015</c:v>
                </c:pt>
                <c:pt idx="3">
                  <c:v>2014</c:v>
                </c:pt>
                <c:pt idx="4">
                  <c:v>2013</c:v>
                </c:pt>
                <c:pt idx="5">
                  <c:v>2012</c:v>
                </c:pt>
                <c:pt idx="6">
                  <c:v>2011</c:v>
                </c:pt>
                <c:pt idx="7">
                  <c:v>2010</c:v>
                </c:pt>
                <c:pt idx="8">
                  <c:v>2009</c:v>
                </c:pt>
                <c:pt idx="9">
                  <c:v>2008</c:v>
                </c:pt>
                <c:pt idx="10">
                  <c:v>2007</c:v>
                </c:pt>
              </c:numCache>
            </c:numRef>
          </c:cat>
          <c:val>
            <c:numRef>
              <c:f>Server_CH468!$C$3:$M$3</c:f>
              <c:numCache>
                <c:formatCode>###0</c:formatCode>
                <c:ptCount val="11"/>
                <c:pt idx="0">
                  <c:v>363</c:v>
                </c:pt>
                <c:pt idx="1">
                  <c:v>264</c:v>
                </c:pt>
                <c:pt idx="2">
                  <c:v>229</c:v>
                </c:pt>
                <c:pt idx="3">
                  <c:v>158</c:v>
                </c:pt>
                <c:pt idx="4">
                  <c:v>62</c:v>
                </c:pt>
                <c:pt idx="5">
                  <c:v>16</c:v>
                </c:pt>
                <c:pt idx="6">
                  <c:v>9</c:v>
                </c:pt>
                <c:pt idx="7">
                  <c:v>7</c:v>
                </c:pt>
                <c:pt idx="8">
                  <c:v>14</c:v>
                </c:pt>
                <c:pt idx="9">
                  <c:v>5</c:v>
                </c:pt>
                <c:pt idx="10">
                  <c:v>1</c:v>
                </c:pt>
              </c:numCache>
            </c:numRef>
          </c:val>
          <c:smooth val="0"/>
          <c:extLst>
            <c:ext xmlns:c16="http://schemas.microsoft.com/office/drawing/2014/chart" uri="{C3380CC4-5D6E-409C-BE32-E72D297353CC}">
              <c16:uniqueId val="{00000000-CB6F-47D5-AD5C-52A5008362EC}"/>
            </c:ext>
          </c:extLst>
        </c:ser>
        <c:ser>
          <c:idx val="1"/>
          <c:order val="1"/>
          <c:tx>
            <c:strRef>
              <c:f>Server_CH468!$B$4</c:f>
              <c:strCache>
                <c:ptCount val="1"/>
                <c:pt idx="0">
                  <c:v>התנכלות מינית לאדם כאמור בסעיף 3(ב)</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Server_CH468!$C$1:$M$1</c:f>
              <c:numCache>
                <c:formatCode>###0</c:formatCode>
                <c:ptCount val="11"/>
                <c:pt idx="0">
                  <c:v>2017</c:v>
                </c:pt>
                <c:pt idx="1">
                  <c:v>2016</c:v>
                </c:pt>
                <c:pt idx="2">
                  <c:v>2015</c:v>
                </c:pt>
                <c:pt idx="3">
                  <c:v>2014</c:v>
                </c:pt>
                <c:pt idx="4">
                  <c:v>2013</c:v>
                </c:pt>
                <c:pt idx="5">
                  <c:v>2012</c:v>
                </c:pt>
                <c:pt idx="6">
                  <c:v>2011</c:v>
                </c:pt>
                <c:pt idx="7">
                  <c:v>2010</c:v>
                </c:pt>
                <c:pt idx="8">
                  <c:v>2009</c:v>
                </c:pt>
                <c:pt idx="9">
                  <c:v>2008</c:v>
                </c:pt>
                <c:pt idx="10">
                  <c:v>2007</c:v>
                </c:pt>
              </c:numCache>
            </c:numRef>
          </c:cat>
          <c:val>
            <c:numRef>
              <c:f>Server_CH468!$C$4:$M$4</c:f>
              <c:numCache>
                <c:formatCode>###0</c:formatCode>
                <c:ptCount val="11"/>
                <c:pt idx="0">
                  <c:v>20</c:v>
                </c:pt>
                <c:pt idx="1">
                  <c:v>6</c:v>
                </c:pt>
                <c:pt idx="2">
                  <c:v>3</c:v>
                </c:pt>
                <c:pt idx="3">
                  <c:v>4</c:v>
                </c:pt>
                <c:pt idx="7">
                  <c:v>2</c:v>
                </c:pt>
              </c:numCache>
            </c:numRef>
          </c:val>
          <c:smooth val="0"/>
          <c:extLst>
            <c:ext xmlns:c16="http://schemas.microsoft.com/office/drawing/2014/chart" uri="{C3380CC4-5D6E-409C-BE32-E72D297353CC}">
              <c16:uniqueId val="{00000001-CB6F-47D5-AD5C-52A5008362EC}"/>
            </c:ext>
          </c:extLst>
        </c:ser>
        <c:ser>
          <c:idx val="2"/>
          <c:order val="2"/>
          <c:tx>
            <c:strRef>
              <c:f>Server_CH468!$B$5</c:f>
              <c:strCache>
                <c:ptCount val="1"/>
                <c:pt idx="0">
                  <c:v>הטרדה כאמור בסעיף 5(א) והתנכלות כאמור בסעיף 5(ב)</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Server_CH468!$C$1:$M$1</c:f>
              <c:numCache>
                <c:formatCode>###0</c:formatCode>
                <c:ptCount val="11"/>
                <c:pt idx="0">
                  <c:v>2017</c:v>
                </c:pt>
                <c:pt idx="1">
                  <c:v>2016</c:v>
                </c:pt>
                <c:pt idx="2">
                  <c:v>2015</c:v>
                </c:pt>
                <c:pt idx="3">
                  <c:v>2014</c:v>
                </c:pt>
                <c:pt idx="4">
                  <c:v>2013</c:v>
                </c:pt>
                <c:pt idx="5">
                  <c:v>2012</c:v>
                </c:pt>
                <c:pt idx="6">
                  <c:v>2011</c:v>
                </c:pt>
                <c:pt idx="7">
                  <c:v>2010</c:v>
                </c:pt>
                <c:pt idx="8">
                  <c:v>2009</c:v>
                </c:pt>
                <c:pt idx="9">
                  <c:v>2008</c:v>
                </c:pt>
                <c:pt idx="10">
                  <c:v>2007</c:v>
                </c:pt>
              </c:numCache>
            </c:numRef>
          </c:cat>
          <c:val>
            <c:numRef>
              <c:f>Server_CH468!$C$5:$M$5</c:f>
              <c:numCache>
                <c:formatCode>###0</c:formatCode>
                <c:ptCount val="11"/>
                <c:pt idx="0">
                  <c:v>286</c:v>
                </c:pt>
                <c:pt idx="1">
                  <c:v>342</c:v>
                </c:pt>
                <c:pt idx="2">
                  <c:v>399</c:v>
                </c:pt>
                <c:pt idx="3">
                  <c:v>235</c:v>
                </c:pt>
                <c:pt idx="4">
                  <c:v>79</c:v>
                </c:pt>
                <c:pt idx="5">
                  <c:v>23</c:v>
                </c:pt>
                <c:pt idx="6">
                  <c:v>8</c:v>
                </c:pt>
                <c:pt idx="7">
                  <c:v>19</c:v>
                </c:pt>
                <c:pt idx="8">
                  <c:v>1</c:v>
                </c:pt>
                <c:pt idx="9">
                  <c:v>2</c:v>
                </c:pt>
                <c:pt idx="10">
                  <c:v>1</c:v>
                </c:pt>
              </c:numCache>
            </c:numRef>
          </c:val>
          <c:smooth val="0"/>
          <c:extLst>
            <c:ext xmlns:c16="http://schemas.microsoft.com/office/drawing/2014/chart" uri="{C3380CC4-5D6E-409C-BE32-E72D297353CC}">
              <c16:uniqueId val="{00000002-CB6F-47D5-AD5C-52A5008362EC}"/>
            </c:ext>
          </c:extLst>
        </c:ser>
        <c:ser>
          <c:idx val="3"/>
          <c:order val="3"/>
          <c:tx>
            <c:strRef>
              <c:f>Server_CH468!$B$6</c:f>
              <c:strCache>
                <c:ptCount val="1"/>
                <c:pt idx="0">
                  <c:v>פרסום תצלום, סרט או הקלטה של אדם המתמקדים במיניותו ללא הסכמתו</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Server_CH468!$C$1:$M$1</c:f>
              <c:numCache>
                <c:formatCode>###0</c:formatCode>
                <c:ptCount val="11"/>
                <c:pt idx="0">
                  <c:v>2017</c:v>
                </c:pt>
                <c:pt idx="1">
                  <c:v>2016</c:v>
                </c:pt>
                <c:pt idx="2">
                  <c:v>2015</c:v>
                </c:pt>
                <c:pt idx="3">
                  <c:v>2014</c:v>
                </c:pt>
                <c:pt idx="4">
                  <c:v>2013</c:v>
                </c:pt>
                <c:pt idx="5">
                  <c:v>2012</c:v>
                </c:pt>
                <c:pt idx="6">
                  <c:v>2011</c:v>
                </c:pt>
                <c:pt idx="7">
                  <c:v>2010</c:v>
                </c:pt>
                <c:pt idx="8">
                  <c:v>2009</c:v>
                </c:pt>
                <c:pt idx="9">
                  <c:v>2008</c:v>
                </c:pt>
                <c:pt idx="10">
                  <c:v>2007</c:v>
                </c:pt>
              </c:numCache>
            </c:numRef>
          </c:cat>
          <c:val>
            <c:numRef>
              <c:f>Server_CH468!$C$6:$M$6</c:f>
              <c:numCache>
                <c:formatCode>###0</c:formatCode>
                <c:ptCount val="11"/>
                <c:pt idx="0">
                  <c:v>116</c:v>
                </c:pt>
                <c:pt idx="1">
                  <c:v>130</c:v>
                </c:pt>
                <c:pt idx="2">
                  <c:v>138</c:v>
                </c:pt>
                <c:pt idx="3">
                  <c:v>46</c:v>
                </c:pt>
              </c:numCache>
            </c:numRef>
          </c:val>
          <c:smooth val="0"/>
          <c:extLst>
            <c:ext xmlns:c16="http://schemas.microsoft.com/office/drawing/2014/chart" uri="{C3380CC4-5D6E-409C-BE32-E72D297353CC}">
              <c16:uniqueId val="{00000003-CB6F-47D5-AD5C-52A5008362EC}"/>
            </c:ext>
          </c:extLst>
        </c:ser>
        <c:dLbls>
          <c:showLegendKey val="0"/>
          <c:showVal val="0"/>
          <c:showCatName val="0"/>
          <c:showSerName val="0"/>
          <c:showPercent val="0"/>
          <c:showBubbleSize val="0"/>
        </c:dLbls>
        <c:marker val="1"/>
        <c:smooth val="0"/>
        <c:axId val="223639096"/>
        <c:axId val="223639752"/>
      </c:lineChart>
      <c:catAx>
        <c:axId val="223639096"/>
        <c:scaling>
          <c:orientation val="maxMin"/>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223639752"/>
        <c:crosses val="autoZero"/>
        <c:auto val="1"/>
        <c:lblAlgn val="ctr"/>
        <c:lblOffset val="100"/>
        <c:noMultiLvlLbl val="0"/>
      </c:catAx>
      <c:valAx>
        <c:axId val="223639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22363909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normalizeH="0" baseline="0">
                <a:solidFill>
                  <a:schemeClr val="dk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r>
              <a:rPr lang="he-IL" sz="900" baseline="0">
                <a:latin typeface="Tahoma" panose="020B0604030504040204" pitchFamily="34" charset="0"/>
                <a:ea typeface="Tahoma" panose="020B0604030504040204" pitchFamily="34" charset="0"/>
                <a:cs typeface="Tahoma" panose="020B0604030504040204" pitchFamily="34" charset="0"/>
              </a:rPr>
              <a:t>מועסקים - מגזר העבודה</a:t>
            </a:r>
          </a:p>
        </c:rich>
      </c:tx>
      <c:overlay val="0"/>
      <c:spPr>
        <a:noFill/>
        <a:ln>
          <a:noFill/>
        </a:ln>
        <a:effectLst/>
      </c:spPr>
      <c:txPr>
        <a:bodyPr rot="0" spcFirstLastPara="1" vertOverflow="ellipsis" vert="horz" wrap="square" anchor="ctr" anchorCtr="1"/>
        <a:lstStyle/>
        <a:p>
          <a:pPr>
            <a:defRPr sz="900" b="1" i="0" u="none" strike="noStrike" kern="1200" spc="0" normalizeH="0" baseline="0">
              <a:solidFill>
                <a:schemeClr val="dk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title>
    <c:autoTitleDeleted val="0"/>
    <c:plotArea>
      <c:layout>
        <c:manualLayout>
          <c:layoutTarget val="inner"/>
          <c:xMode val="edge"/>
          <c:yMode val="edge"/>
          <c:x val="0.18642735995149409"/>
          <c:y val="0.30561662951714041"/>
          <c:w val="0.58027767991019852"/>
          <c:h val="0.59625431744849056"/>
        </c:manualLayout>
      </c:layout>
      <c:doughnutChart>
        <c:varyColors val="1"/>
        <c:ser>
          <c:idx val="0"/>
          <c:order val="0"/>
          <c:tx>
            <c:strRef>
              <c:f>גיליון1!$B$1</c:f>
              <c:strCache>
                <c:ptCount val="1"/>
                <c:pt idx="0">
                  <c:v>מגזר העבודה</c:v>
                </c:pt>
              </c:strCache>
            </c:strRef>
          </c:tx>
          <c:dPt>
            <c:idx val="0"/>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1-B58B-4756-BF1E-01FE340A2FAD}"/>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B58B-4756-BF1E-01FE340A2FA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58B-4756-BF1E-01FE340A2FAD}"/>
              </c:ext>
            </c:extLst>
          </c:dPt>
          <c:dLbls>
            <c:dLbl>
              <c:idx val="0"/>
              <c:layout>
                <c:manualLayout>
                  <c:x val="3.2521897301859122E-2"/>
                  <c:y val="-0.106189974047951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58B-4756-BF1E-01FE340A2FAD}"/>
                </c:ext>
              </c:extLst>
            </c:dLbl>
            <c:dLbl>
              <c:idx val="1"/>
              <c:layout>
                <c:manualLayout>
                  <c:x val="-0.21814260080133069"/>
                  <c:y val="5.014533568227788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58B-4756-BF1E-01FE340A2FAD}"/>
                </c:ext>
              </c:extLst>
            </c:dLbl>
            <c:dLbl>
              <c:idx val="2"/>
              <c:layout>
                <c:manualLayout>
                  <c:x val="5.623997452466143E-2"/>
                  <c:y val="7.554003624446706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58B-4756-BF1E-01FE340A2F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1"/>
            <c:showBubbleSize val="0"/>
            <c:showLeaderLines val="0"/>
            <c:extLst>
              <c:ext xmlns:c15="http://schemas.microsoft.com/office/drawing/2012/chart" uri="{CE6537A1-D6FC-4f65-9D91-7224C49458BB}"/>
            </c:extLst>
          </c:dLbls>
          <c:cat>
            <c:strRef>
              <c:f>גיליון1!$A$2:$A$3</c:f>
              <c:strCache>
                <c:ptCount val="2"/>
                <c:pt idx="0">
                  <c:v>מגזר ציבורי</c:v>
                </c:pt>
                <c:pt idx="1">
                  <c:v>מגזר פרטי</c:v>
                </c:pt>
              </c:strCache>
            </c:strRef>
          </c:cat>
          <c:val>
            <c:numRef>
              <c:f>גיליון1!$B$2:$B$3</c:f>
              <c:numCache>
                <c:formatCode>#,##0.0\ </c:formatCode>
                <c:ptCount val="2"/>
                <c:pt idx="0">
                  <c:v>230000</c:v>
                </c:pt>
                <c:pt idx="1">
                  <c:v>4000000</c:v>
                </c:pt>
              </c:numCache>
            </c:numRef>
          </c:val>
          <c:extLst>
            <c:ext xmlns:c16="http://schemas.microsoft.com/office/drawing/2014/chart" uri="{C3380CC4-5D6E-409C-BE32-E72D297353CC}">
              <c16:uniqueId val="{00000006-B58B-4756-BF1E-01FE340A2FAD}"/>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r"/>
      <c:layout>
        <c:manualLayout>
          <c:xMode val="edge"/>
          <c:yMode val="edge"/>
          <c:x val="8.1728350553475312E-2"/>
          <c:y val="0.13625730624890814"/>
          <c:w val="0.8470421231165044"/>
          <c:h val="0.1099335518104342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he-I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normalizeH="0" baseline="0">
                <a:solidFill>
                  <a:schemeClr val="dk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r>
              <a:rPr lang="he-IL" sz="900" baseline="0">
                <a:latin typeface="Tahoma" panose="020B0604030504040204" pitchFamily="34" charset="0"/>
                <a:ea typeface="Tahoma" panose="020B0604030504040204" pitchFamily="34" charset="0"/>
                <a:cs typeface="Tahoma" panose="020B0604030504040204" pitchFamily="34" charset="0"/>
              </a:rPr>
              <a:t>מועסקים - מין</a:t>
            </a:r>
          </a:p>
        </c:rich>
      </c:tx>
      <c:overlay val="0"/>
      <c:spPr>
        <a:noFill/>
        <a:ln>
          <a:noFill/>
        </a:ln>
        <a:effectLst/>
      </c:spPr>
      <c:txPr>
        <a:bodyPr rot="0" spcFirstLastPara="1" vertOverflow="ellipsis" vert="horz" wrap="square" anchor="ctr" anchorCtr="1"/>
        <a:lstStyle/>
        <a:p>
          <a:pPr>
            <a:defRPr sz="900" b="1" i="0" u="none" strike="noStrike" kern="1200" spc="0" normalizeH="0" baseline="0">
              <a:solidFill>
                <a:schemeClr val="dk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title>
    <c:autoTitleDeleted val="0"/>
    <c:plotArea>
      <c:layout>
        <c:manualLayout>
          <c:layoutTarget val="inner"/>
          <c:xMode val="edge"/>
          <c:yMode val="edge"/>
          <c:x val="0.18877932892091817"/>
          <c:y val="0.2613045061428268"/>
          <c:w val="0.59488387614514882"/>
          <c:h val="0.63034474339464586"/>
        </c:manualLayout>
      </c:layout>
      <c:doughnutChart>
        <c:varyColors val="1"/>
        <c:ser>
          <c:idx val="0"/>
          <c:order val="0"/>
          <c:tx>
            <c:strRef>
              <c:f>גיליון1!$B$1</c:f>
              <c:strCache>
                <c:ptCount val="1"/>
                <c:pt idx="0">
                  <c:v>מועסקים</c:v>
                </c:pt>
              </c:strCache>
            </c:strRef>
          </c:tx>
          <c:dPt>
            <c:idx val="0"/>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1-008A-4E92-96C4-DC98CE258EAE}"/>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008A-4E92-96C4-DC98CE258EA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008A-4E92-96C4-DC98CE258EAE}"/>
              </c:ext>
            </c:extLst>
          </c:dPt>
          <c:dLbls>
            <c:dLbl>
              <c:idx val="0"/>
              <c:layout>
                <c:manualLayout>
                  <c:x val="0.14042047720826006"/>
                  <c:y val="-2.936938415977874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08A-4E92-96C4-DC98CE258EAE}"/>
                </c:ext>
              </c:extLst>
            </c:dLbl>
            <c:dLbl>
              <c:idx val="1"/>
              <c:layout>
                <c:manualLayout>
                  <c:x val="-0.14127144298688193"/>
                  <c:y val="5.3461641272387062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08A-4E92-96C4-DC98CE258EAE}"/>
                </c:ext>
              </c:extLst>
            </c:dLbl>
            <c:dLbl>
              <c:idx val="2"/>
              <c:layout>
                <c:manualLayout>
                  <c:x val="1.6313202155621251E-2"/>
                  <c:y val="2.227708705617892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08A-4E92-96C4-DC98CE258EA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1"/>
            <c:showBubbleSize val="0"/>
            <c:showLeaderLines val="0"/>
            <c:extLst>
              <c:ext xmlns:c15="http://schemas.microsoft.com/office/drawing/2012/chart" uri="{CE6537A1-D6FC-4f65-9D91-7224C49458BB}"/>
            </c:extLst>
          </c:dLbls>
          <c:cat>
            <c:strRef>
              <c:f>גיליון1!$A$2:$A$3</c:f>
              <c:strCache>
                <c:ptCount val="2"/>
                <c:pt idx="0">
                  <c:v>נשים</c:v>
                </c:pt>
                <c:pt idx="1">
                  <c:v>גברים</c:v>
                </c:pt>
              </c:strCache>
            </c:strRef>
          </c:cat>
          <c:val>
            <c:numRef>
              <c:f>גיליון1!$B$2:$B$3</c:f>
              <c:numCache>
                <c:formatCode>General</c:formatCode>
                <c:ptCount val="2"/>
                <c:pt idx="0">
                  <c:v>1800000</c:v>
                </c:pt>
                <c:pt idx="1">
                  <c:v>2100000</c:v>
                </c:pt>
              </c:numCache>
            </c:numRef>
          </c:val>
          <c:extLst>
            <c:ext xmlns:c16="http://schemas.microsoft.com/office/drawing/2014/chart" uri="{C3380CC4-5D6E-409C-BE32-E72D297353CC}">
              <c16:uniqueId val="{00000006-008A-4E92-96C4-DC98CE258EAE}"/>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r"/>
      <c:layout>
        <c:manualLayout>
          <c:xMode val="edge"/>
          <c:yMode val="edge"/>
          <c:x val="0.22761794911114519"/>
          <c:y val="0.12189042308706625"/>
          <c:w val="0.46444780769888944"/>
          <c:h val="0.1243021045785475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he-I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גיליון1!$B$1</c:f>
              <c:strCache>
                <c:ptCount val="1"/>
                <c:pt idx="0">
                  <c:v>גברים</c:v>
                </c:pt>
              </c:strCache>
            </c:strRef>
          </c:tx>
          <c:spPr>
            <a:solidFill>
              <a:schemeClr val="accent1"/>
            </a:solidFill>
            <a:ln w="25400">
              <a:noFill/>
            </a:ln>
            <a:effectLst/>
          </c:spPr>
          <c:invertIfNegative val="0"/>
          <c:cat>
            <c:strRef>
              <c:f>גיליון1!$A$2:$A$20</c:f>
              <c:strCache>
                <c:ptCount val="19"/>
                <c:pt idx="0">
                  <c:v>חקלאות, ייעור ודיג</c:v>
                </c:pt>
                <c:pt idx="1">
                  <c:v>תעשייה; כרייה וחציבה</c:v>
                </c:pt>
                <c:pt idx="2">
                  <c:v>אספקת חשמל</c:v>
                </c:pt>
                <c:pt idx="3">
                  <c:v>אספקת מים, שירותי ביוב וטיהור וטיפול בפסולת</c:v>
                </c:pt>
                <c:pt idx="4">
                  <c:v>בינוי</c:v>
                </c:pt>
                <c:pt idx="5">
                  <c:v>מסחר סיטוני וקמעוני ותיקון כלי רכב מנועיים</c:v>
                </c:pt>
                <c:pt idx="6">
                  <c:v>שירותי תחבורה, אחסנה, דואר ובלדרות</c:v>
                </c:pt>
                <c:pt idx="7">
                  <c:v>שירותי אירוח ואוכל</c:v>
                </c:pt>
                <c:pt idx="8">
                  <c:v>מידע ותקשורת</c:v>
                </c:pt>
                <c:pt idx="9">
                  <c:v>שירותים פיננסיים ושירותי ביטוח</c:v>
                </c:pt>
                <c:pt idx="10">
                  <c:v>פעילויות בנדל"ן</c:v>
                </c:pt>
                <c:pt idx="11">
                  <c:v>שירותים מקצועיים, מדעיים וטכניים</c:v>
                </c:pt>
                <c:pt idx="12">
                  <c:v>שירותי ניהול ותמיכה</c:v>
                </c:pt>
                <c:pt idx="13">
                  <c:v>מינהל מקומי, ציבורי וביטחון וביטוח לאומי</c:v>
                </c:pt>
                <c:pt idx="14">
                  <c:v>חינוך</c:v>
                </c:pt>
                <c:pt idx="15">
                  <c:v>שירותי בריאות ושירותי רווחה וסעד</c:v>
                </c:pt>
                <c:pt idx="16">
                  <c:v>אומנות, בידור ופנאי</c:v>
                </c:pt>
                <c:pt idx="17">
                  <c:v>שירותים אחרים</c:v>
                </c:pt>
                <c:pt idx="18">
                  <c:v>משקי בית כמעסיקים</c:v>
                </c:pt>
              </c:strCache>
            </c:strRef>
          </c:cat>
          <c:val>
            <c:numRef>
              <c:f>גיליון1!$B$2:$B$20</c:f>
              <c:numCache>
                <c:formatCode>#,##0.0\ </c:formatCode>
                <c:ptCount val="19"/>
                <c:pt idx="0">
                  <c:v>29.109121999999999</c:v>
                </c:pt>
                <c:pt idx="1">
                  <c:v>299.69470000000001</c:v>
                </c:pt>
                <c:pt idx="2">
                  <c:v>14.464441000000001</c:v>
                </c:pt>
                <c:pt idx="3">
                  <c:v>13.300708999999999</c:v>
                </c:pt>
                <c:pt idx="4">
                  <c:v>180.19035199999999</c:v>
                </c:pt>
                <c:pt idx="5">
                  <c:v>249.60079899999999</c:v>
                </c:pt>
                <c:pt idx="6">
                  <c:v>130.80415300000001</c:v>
                </c:pt>
                <c:pt idx="7">
                  <c:v>101.53598</c:v>
                </c:pt>
                <c:pt idx="8">
                  <c:v>119.37030799999999</c:v>
                </c:pt>
                <c:pt idx="9">
                  <c:v>49.855632</c:v>
                </c:pt>
                <c:pt idx="10">
                  <c:v>21.883942000000001</c:v>
                </c:pt>
                <c:pt idx="11">
                  <c:v>147.65671499999999</c:v>
                </c:pt>
                <c:pt idx="12">
                  <c:v>94.757389000000003</c:v>
                </c:pt>
                <c:pt idx="13">
                  <c:v>228.80338</c:v>
                </c:pt>
                <c:pt idx="14">
                  <c:v>112.30542699999999</c:v>
                </c:pt>
                <c:pt idx="15">
                  <c:v>87.750546</c:v>
                </c:pt>
                <c:pt idx="16">
                  <c:v>39.290151000000002</c:v>
                </c:pt>
                <c:pt idx="17">
                  <c:v>37.539700000000003</c:v>
                </c:pt>
                <c:pt idx="18">
                  <c:v>8.9444090000000003</c:v>
                </c:pt>
              </c:numCache>
            </c:numRef>
          </c:val>
          <c:extLst>
            <c:ext xmlns:c16="http://schemas.microsoft.com/office/drawing/2014/chart" uri="{C3380CC4-5D6E-409C-BE32-E72D297353CC}">
              <c16:uniqueId val="{00000000-84AC-45A3-B9CA-A16C615E1FFC}"/>
            </c:ext>
          </c:extLst>
        </c:ser>
        <c:ser>
          <c:idx val="1"/>
          <c:order val="1"/>
          <c:tx>
            <c:strRef>
              <c:f>גיליון1!$C$1</c:f>
              <c:strCache>
                <c:ptCount val="1"/>
                <c:pt idx="0">
                  <c:v>נשים</c:v>
                </c:pt>
              </c:strCache>
            </c:strRef>
          </c:tx>
          <c:spPr>
            <a:solidFill>
              <a:schemeClr val="accent2"/>
            </a:solidFill>
            <a:ln w="25400">
              <a:noFill/>
            </a:ln>
            <a:effectLst/>
          </c:spPr>
          <c:invertIfNegative val="0"/>
          <c:cat>
            <c:strRef>
              <c:f>גיליון1!$A$2:$A$20</c:f>
              <c:strCache>
                <c:ptCount val="19"/>
                <c:pt idx="0">
                  <c:v>חקלאות, ייעור ודיג</c:v>
                </c:pt>
                <c:pt idx="1">
                  <c:v>תעשייה; כרייה וחציבה</c:v>
                </c:pt>
                <c:pt idx="2">
                  <c:v>אספקת חשמל</c:v>
                </c:pt>
                <c:pt idx="3">
                  <c:v>אספקת מים, שירותי ביוב וטיהור וטיפול בפסולת</c:v>
                </c:pt>
                <c:pt idx="4">
                  <c:v>בינוי</c:v>
                </c:pt>
                <c:pt idx="5">
                  <c:v>מסחר סיטוני וקמעוני ותיקון כלי רכב מנועיים</c:v>
                </c:pt>
                <c:pt idx="6">
                  <c:v>שירותי תחבורה, אחסנה, דואר ובלדרות</c:v>
                </c:pt>
                <c:pt idx="7">
                  <c:v>שירותי אירוח ואוכל</c:v>
                </c:pt>
                <c:pt idx="8">
                  <c:v>מידע ותקשורת</c:v>
                </c:pt>
                <c:pt idx="9">
                  <c:v>שירותים פיננסיים ושירותי ביטוח</c:v>
                </c:pt>
                <c:pt idx="10">
                  <c:v>פעילויות בנדל"ן</c:v>
                </c:pt>
                <c:pt idx="11">
                  <c:v>שירותים מקצועיים, מדעיים וטכניים</c:v>
                </c:pt>
                <c:pt idx="12">
                  <c:v>שירותי ניהול ותמיכה</c:v>
                </c:pt>
                <c:pt idx="13">
                  <c:v>מינהל מקומי, ציבורי וביטחון וביטוח לאומי</c:v>
                </c:pt>
                <c:pt idx="14">
                  <c:v>חינוך</c:v>
                </c:pt>
                <c:pt idx="15">
                  <c:v>שירותי בריאות ושירותי רווחה וסעד</c:v>
                </c:pt>
                <c:pt idx="16">
                  <c:v>אומנות, בידור ופנאי</c:v>
                </c:pt>
                <c:pt idx="17">
                  <c:v>שירותים אחרים</c:v>
                </c:pt>
                <c:pt idx="18">
                  <c:v>משקי בית כמעסיקים</c:v>
                </c:pt>
              </c:strCache>
            </c:strRef>
          </c:cat>
          <c:val>
            <c:numRef>
              <c:f>גיליון1!$C$2:$C$20</c:f>
              <c:numCache>
                <c:formatCode>#,##0.0\ </c:formatCode>
                <c:ptCount val="19"/>
                <c:pt idx="0">
                  <c:v>9.2090920000000001</c:v>
                </c:pt>
                <c:pt idx="1">
                  <c:v>124.546024</c:v>
                </c:pt>
                <c:pt idx="2">
                  <c:v>2.6198920000000001</c:v>
                </c:pt>
                <c:pt idx="3">
                  <c:v>3.2795920000000001</c:v>
                </c:pt>
                <c:pt idx="4">
                  <c:v>16.758239</c:v>
                </c:pt>
                <c:pt idx="5">
                  <c:v>181.08868100000001</c:v>
                </c:pt>
                <c:pt idx="6">
                  <c:v>30.821916999999999</c:v>
                </c:pt>
                <c:pt idx="7">
                  <c:v>62.842953000000001</c:v>
                </c:pt>
                <c:pt idx="8">
                  <c:v>66.753021000000004</c:v>
                </c:pt>
                <c:pt idx="9">
                  <c:v>78.434533999999999</c:v>
                </c:pt>
                <c:pt idx="10">
                  <c:v>11.516731</c:v>
                </c:pt>
                <c:pt idx="11">
                  <c:v>130.66352499999999</c:v>
                </c:pt>
                <c:pt idx="12">
                  <c:v>69.867970999999997</c:v>
                </c:pt>
                <c:pt idx="13">
                  <c:v>154.436215</c:v>
                </c:pt>
                <c:pt idx="14">
                  <c:v>359.08340600000002</c:v>
                </c:pt>
                <c:pt idx="15">
                  <c:v>321.42156799999998</c:v>
                </c:pt>
                <c:pt idx="16">
                  <c:v>33.298450000000003</c:v>
                </c:pt>
                <c:pt idx="17">
                  <c:v>55.985151999999999</c:v>
                </c:pt>
                <c:pt idx="18">
                  <c:v>59.712235999999997</c:v>
                </c:pt>
              </c:numCache>
            </c:numRef>
          </c:val>
          <c:extLst>
            <c:ext xmlns:c16="http://schemas.microsoft.com/office/drawing/2014/chart" uri="{C3380CC4-5D6E-409C-BE32-E72D297353CC}">
              <c16:uniqueId val="{00000001-84AC-45A3-B9CA-A16C615E1FFC}"/>
            </c:ext>
          </c:extLst>
        </c:ser>
        <c:dLbls>
          <c:showLegendKey val="0"/>
          <c:showVal val="0"/>
          <c:showCatName val="0"/>
          <c:showSerName val="0"/>
          <c:showPercent val="0"/>
          <c:showBubbleSize val="0"/>
        </c:dLbls>
        <c:gapWidth val="219"/>
        <c:axId val="648936160"/>
        <c:axId val="648936488"/>
      </c:barChart>
      <c:catAx>
        <c:axId val="648936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48936488"/>
        <c:crossesAt val="0"/>
        <c:auto val="1"/>
        <c:lblAlgn val="ctr"/>
        <c:lblOffset val="100"/>
        <c:noMultiLvlLbl val="0"/>
      </c:catAx>
      <c:valAx>
        <c:axId val="6489364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4893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cs typeface="David" panose="020E0502060401010101" pitchFamily="34" charset="-79"/>
        </a:defRPr>
      </a:pPr>
      <a:endParaRPr lang="he-I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normalizeH="0" baseline="0">
                <a:solidFill>
                  <a:schemeClr val="dk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r>
              <a:rPr lang="he-IL" sz="900" baseline="0">
                <a:latin typeface="Tahoma" panose="020B0604030504040204" pitchFamily="34" charset="0"/>
                <a:ea typeface="Tahoma" panose="020B0604030504040204" pitchFamily="34" charset="0"/>
                <a:cs typeface="Tahoma" panose="020B0604030504040204" pitchFamily="34" charset="0"/>
              </a:rPr>
              <a:t>המעמד בעבודה</a:t>
            </a:r>
            <a:br>
              <a:rPr lang="he-IL" sz="900" baseline="0">
                <a:latin typeface="Tahoma" panose="020B0604030504040204" pitchFamily="34" charset="0"/>
                <a:ea typeface="Tahoma" panose="020B0604030504040204" pitchFamily="34" charset="0"/>
                <a:cs typeface="Tahoma" panose="020B0604030504040204" pitchFamily="34" charset="0"/>
              </a:rPr>
            </a:br>
            <a:r>
              <a:rPr lang="he-IL" sz="900" baseline="0">
                <a:latin typeface="Tahoma" panose="020B0604030504040204" pitchFamily="34" charset="0"/>
                <a:ea typeface="Tahoma" panose="020B0604030504040204" pitchFamily="34" charset="0"/>
                <a:cs typeface="Tahoma" panose="020B0604030504040204" pitchFamily="34" charset="0"/>
              </a:rPr>
              <a:t>(הענפים עיקריים) - נשים</a:t>
            </a:r>
          </a:p>
        </c:rich>
      </c:tx>
      <c:overlay val="0"/>
      <c:spPr>
        <a:noFill/>
        <a:ln>
          <a:noFill/>
        </a:ln>
        <a:effectLst/>
      </c:spPr>
      <c:txPr>
        <a:bodyPr rot="0" spcFirstLastPara="1" vertOverflow="ellipsis" vert="horz" wrap="square" anchor="ctr" anchorCtr="1"/>
        <a:lstStyle/>
        <a:p>
          <a:pPr>
            <a:defRPr sz="900" b="1" i="0" u="none" strike="noStrike" kern="1200" spc="0" normalizeH="0" baseline="0">
              <a:solidFill>
                <a:schemeClr val="dk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title>
    <c:autoTitleDeleted val="0"/>
    <c:plotArea>
      <c:layout>
        <c:manualLayout>
          <c:layoutTarget val="inner"/>
          <c:xMode val="edge"/>
          <c:yMode val="edge"/>
          <c:x val="7.1963084493865542E-2"/>
          <c:y val="0.27882940053503735"/>
          <c:w val="0.58548063933605876"/>
          <c:h val="0.6230415464305934"/>
        </c:manualLayout>
      </c:layout>
      <c:doughnutChart>
        <c:varyColors val="1"/>
        <c:ser>
          <c:idx val="0"/>
          <c:order val="0"/>
          <c:tx>
            <c:strRef>
              <c:f>גיליון1!$B$1</c:f>
              <c:strCache>
                <c:ptCount val="1"/>
                <c:pt idx="0">
                  <c:v>מעמד בעבודה - נשים</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DEE8-4F0A-B67F-400B72F10FB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DEE8-4F0A-B67F-400B72F10FB3}"/>
              </c:ext>
            </c:extLst>
          </c:dPt>
          <c:dPt>
            <c:idx val="2"/>
            <c:bubble3D val="0"/>
            <c:explosion val="23"/>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DEE8-4F0A-B67F-400B72F10FB3}"/>
              </c:ext>
            </c:extLst>
          </c:dPt>
          <c:dLbls>
            <c:dLbl>
              <c:idx val="0"/>
              <c:layout>
                <c:manualLayout>
                  <c:x val="6.3739574000122631E-2"/>
                  <c:y val="-4.203600452108682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EE8-4F0A-B67F-400B72F10FB3}"/>
                </c:ext>
              </c:extLst>
            </c:dLbl>
            <c:dLbl>
              <c:idx val="1"/>
              <c:layout>
                <c:manualLayout>
                  <c:x val="1.0785483012814807E-2"/>
                  <c:y val="1.272218679160694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EE8-4F0A-B67F-400B72F10FB3}"/>
                </c:ext>
              </c:extLst>
            </c:dLbl>
            <c:dLbl>
              <c:idx val="2"/>
              <c:layout>
                <c:manualLayout>
                  <c:x val="5.6239974524661389E-2"/>
                  <c:y val="-3.672941042754582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EE8-4F0A-B67F-400B72F10F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1"/>
            <c:showBubbleSize val="0"/>
            <c:showLeaderLines val="0"/>
            <c:extLst>
              <c:ext xmlns:c15="http://schemas.microsoft.com/office/drawing/2012/chart" uri="{CE6537A1-D6FC-4f65-9D91-7224C49458BB}"/>
            </c:extLst>
          </c:dLbls>
          <c:cat>
            <c:strRef>
              <c:f>גיליון1!$A$2:$A$4</c:f>
              <c:strCache>
                <c:ptCount val="3"/>
                <c:pt idx="0">
                  <c:v>שכירות</c:v>
                </c:pt>
                <c:pt idx="1">
                  <c:v>עצמאיות</c:v>
                </c:pt>
                <c:pt idx="2">
                  <c:v>מעבידות וחברות קואופרטיבים</c:v>
                </c:pt>
              </c:strCache>
            </c:strRef>
          </c:cat>
          <c:val>
            <c:numRef>
              <c:f>גיליון1!$B$2:$B$4</c:f>
              <c:numCache>
                <c:formatCode>#,##0.0\ </c:formatCode>
                <c:ptCount val="3"/>
                <c:pt idx="0">
                  <c:v>630.86117200000001</c:v>
                </c:pt>
                <c:pt idx="1">
                  <c:v>39.299025</c:v>
                </c:pt>
                <c:pt idx="2">
                  <c:v>7.3595939999999995</c:v>
                </c:pt>
              </c:numCache>
            </c:numRef>
          </c:val>
          <c:extLst>
            <c:ext xmlns:c16="http://schemas.microsoft.com/office/drawing/2014/chart" uri="{C3380CC4-5D6E-409C-BE32-E72D297353CC}">
              <c16:uniqueId val="{00000006-DEE8-4F0A-B67F-400B72F10FB3}"/>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r"/>
      <c:layout>
        <c:manualLayout>
          <c:xMode val="edge"/>
          <c:yMode val="edge"/>
          <c:x val="0.65404885806003721"/>
          <c:y val="0.44098866150151439"/>
          <c:w val="0.33590341523812917"/>
          <c:h val="0.48416504071714372"/>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he-I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normalizeH="0" baseline="0">
                <a:solidFill>
                  <a:schemeClr val="dk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r>
              <a:rPr lang="he-IL" sz="900" baseline="0">
                <a:latin typeface="Tahoma" panose="020B0604030504040204" pitchFamily="34" charset="0"/>
                <a:ea typeface="Tahoma" panose="020B0604030504040204" pitchFamily="34" charset="0"/>
                <a:cs typeface="Tahoma" panose="020B0604030504040204" pitchFamily="34" charset="0"/>
              </a:rPr>
              <a:t>המעמד בעבודה</a:t>
            </a:r>
            <a:br>
              <a:rPr lang="he-IL" sz="900" baseline="0">
                <a:latin typeface="Tahoma" panose="020B0604030504040204" pitchFamily="34" charset="0"/>
                <a:ea typeface="Tahoma" panose="020B0604030504040204" pitchFamily="34" charset="0"/>
                <a:cs typeface="Tahoma" panose="020B0604030504040204" pitchFamily="34" charset="0"/>
              </a:rPr>
            </a:br>
            <a:r>
              <a:rPr lang="he-IL" sz="900" baseline="0">
                <a:latin typeface="Tahoma" panose="020B0604030504040204" pitchFamily="34" charset="0"/>
                <a:ea typeface="Tahoma" panose="020B0604030504040204" pitchFamily="34" charset="0"/>
                <a:cs typeface="Tahoma" panose="020B0604030504040204" pitchFamily="34" charset="0"/>
              </a:rPr>
              <a:t>(הענפים עיקריים) - גברים</a:t>
            </a:r>
          </a:p>
        </c:rich>
      </c:tx>
      <c:overlay val="0"/>
      <c:spPr>
        <a:noFill/>
        <a:ln>
          <a:noFill/>
        </a:ln>
        <a:effectLst/>
      </c:spPr>
      <c:txPr>
        <a:bodyPr rot="0" spcFirstLastPara="1" vertOverflow="ellipsis" vert="horz" wrap="square" anchor="ctr" anchorCtr="1"/>
        <a:lstStyle/>
        <a:p>
          <a:pPr>
            <a:defRPr sz="900" b="1" i="0" u="none" strike="noStrike" kern="1200" spc="0" normalizeH="0" baseline="0">
              <a:solidFill>
                <a:schemeClr val="dk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title>
    <c:autoTitleDeleted val="0"/>
    <c:plotArea>
      <c:layout>
        <c:manualLayout>
          <c:layoutTarget val="inner"/>
          <c:xMode val="edge"/>
          <c:yMode val="edge"/>
          <c:x val="9.2916738849801339E-2"/>
          <c:y val="0.25856070316791796"/>
          <c:w val="0.53433886768412286"/>
          <c:h val="0.60375578553883646"/>
        </c:manualLayout>
      </c:layout>
      <c:doughnutChart>
        <c:varyColors val="1"/>
        <c:ser>
          <c:idx val="0"/>
          <c:order val="0"/>
          <c:tx>
            <c:strRef>
              <c:f>גיליון1!$B$1</c:f>
              <c:strCache>
                <c:ptCount val="1"/>
                <c:pt idx="0">
                  <c:v>מעמד בעבודה - גברים</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B06-4E21-935A-4782B5B16A5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6B06-4E21-935A-4782B5B16A5F}"/>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6B06-4E21-935A-4782B5B16A5F}"/>
              </c:ext>
            </c:extLst>
          </c:dPt>
          <c:dLbls>
            <c:dLbl>
              <c:idx val="0"/>
              <c:layout>
                <c:manualLayout>
                  <c:x val="1.9330736603275903E-2"/>
                  <c:y val="-2.402322003254013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B06-4E21-935A-4782B5B16A5F}"/>
                </c:ext>
              </c:extLst>
            </c:dLbl>
            <c:dLbl>
              <c:idx val="2"/>
              <c:layout>
                <c:manualLayout>
                  <c:x val="1.6313202155621251E-2"/>
                  <c:y val="2.227708705617892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B06-4E21-935A-4782B5B16A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גיליון1!$A$2:$A$4</c:f>
              <c:strCache>
                <c:ptCount val="3"/>
                <c:pt idx="0">
                  <c:v>שכירים</c:v>
                </c:pt>
                <c:pt idx="1">
                  <c:v>עצמאיים</c:v>
                </c:pt>
                <c:pt idx="2">
                  <c:v>מעבידים וחברי קואופרטיבים</c:v>
                </c:pt>
              </c:strCache>
            </c:strRef>
          </c:cat>
          <c:val>
            <c:numRef>
              <c:f>גיליון1!$B$2:$B$4</c:f>
              <c:numCache>
                <c:formatCode>General</c:formatCode>
                <c:ptCount val="3"/>
                <c:pt idx="0">
                  <c:v>478.2</c:v>
                </c:pt>
                <c:pt idx="1">
                  <c:v>30</c:v>
                </c:pt>
                <c:pt idx="2">
                  <c:v>36.9</c:v>
                </c:pt>
              </c:numCache>
            </c:numRef>
          </c:val>
          <c:extLst>
            <c:ext xmlns:c16="http://schemas.microsoft.com/office/drawing/2014/chart" uri="{C3380CC4-5D6E-409C-BE32-E72D297353CC}">
              <c16:uniqueId val="{00000006-6B06-4E21-935A-4782B5B16A5F}"/>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5393151264182814"/>
          <c:y val="0.38919864367395135"/>
          <c:w val="0.31767955904021583"/>
          <c:h val="0.57872605539383759"/>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he-I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47715328613968E-2"/>
          <c:y val="0.16013344453711426"/>
          <c:w val="0.93952284671386033"/>
          <c:h val="0.60726294221562593"/>
        </c:manualLayout>
      </c:layout>
      <c:barChart>
        <c:barDir val="col"/>
        <c:grouping val="clustered"/>
        <c:varyColors val="0"/>
        <c:ser>
          <c:idx val="0"/>
          <c:order val="0"/>
          <c:tx>
            <c:strRef>
              <c:f>גיליון1!$B$1</c:f>
              <c:strCache>
                <c:ptCount val="1"/>
                <c:pt idx="0">
                  <c:v>עמודה1</c:v>
                </c:pt>
              </c:strCache>
            </c:strRef>
          </c:tx>
          <c:spPr>
            <a:solidFill>
              <a:schemeClr val="accent1"/>
            </a:solidFill>
            <a:ln>
              <a:noFill/>
            </a:ln>
            <a:effectLst/>
          </c:spPr>
          <c:invertIfNegative val="0"/>
          <c:dPt>
            <c:idx val="0"/>
            <c:invertIfNegative val="0"/>
            <c:bubble3D val="0"/>
            <c:spPr>
              <a:solidFill>
                <a:schemeClr val="accent5">
                  <a:lumMod val="50000"/>
                </a:schemeClr>
              </a:solidFill>
              <a:ln>
                <a:noFill/>
              </a:ln>
              <a:effectLst/>
            </c:spPr>
            <c:extLst>
              <c:ext xmlns:c16="http://schemas.microsoft.com/office/drawing/2014/chart" uri="{C3380CC4-5D6E-409C-BE32-E72D297353CC}">
                <c16:uniqueId val="{00000001-D737-49BE-9BDE-7A878C2C92B0}"/>
              </c:ext>
            </c:extLst>
          </c:dPt>
          <c:dPt>
            <c:idx val="1"/>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D737-49BE-9BDE-7A878C2C92B0}"/>
              </c:ext>
            </c:extLst>
          </c:dPt>
          <c:dPt>
            <c:idx val="2"/>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5-D737-49BE-9BDE-7A878C2C92B0}"/>
              </c:ext>
            </c:extLst>
          </c:dPt>
          <c:dLbls>
            <c:dLbl>
              <c:idx val="0"/>
              <c:tx>
                <c:rich>
                  <a:bodyPr/>
                  <a:lstStyle/>
                  <a:p>
                    <a:r>
                      <a:rPr lang="he-IL" sz="800" baseline="0">
                        <a:latin typeface="Tahoma" panose="020B0604030504040204" pitchFamily="34" charset="0"/>
                        <a:ea typeface="Tahoma" panose="020B0604030504040204" pitchFamily="34" charset="0"/>
                        <a:cs typeface="Tahoma" panose="020B0604030504040204" pitchFamily="34" charset="0"/>
                      </a:rPr>
                      <a:t>משפטי</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37-49BE-9BDE-7A878C2C92B0}"/>
                </c:ext>
              </c:extLst>
            </c:dLbl>
            <c:dLbl>
              <c:idx val="1"/>
              <c:tx>
                <c:rich>
                  <a:bodyPr/>
                  <a:lstStyle/>
                  <a:p>
                    <a:r>
                      <a:rPr lang="he-IL" baseline="0">
                        <a:latin typeface="David" panose="020E0502060401010101" pitchFamily="34" charset="-79"/>
                      </a:rPr>
                      <a:t>העבירו </a:t>
                    </a:r>
                  </a:p>
                  <a:p>
                    <a:r>
                      <a:rPr lang="he-IL" baseline="0">
                        <a:latin typeface="David" panose="020E0502060401010101" pitchFamily="34" charset="-79"/>
                      </a:rPr>
                      <a:t>לנציבות</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37-49BE-9BDE-7A878C2C92B0}"/>
                </c:ext>
              </c:extLst>
            </c:dLbl>
            <c:dLbl>
              <c:idx val="2"/>
              <c:tx>
                <c:rich>
                  <a:bodyPr/>
                  <a:lstStyle/>
                  <a:p>
                    <a:r>
                      <a:rPr lang="he-IL" sz="800" baseline="0">
                        <a:latin typeface="Tahoma" panose="020B0604030504040204" pitchFamily="34" charset="0"/>
                        <a:ea typeface="Tahoma" panose="020B0604030504040204" pitchFamily="34" charset="0"/>
                        <a:cs typeface="Tahoma" panose="020B0604030504040204" pitchFamily="34" charset="0"/>
                      </a:rPr>
                      <a:t>השפיעה</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37-49BE-9BDE-7A878C2C92B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גיליון1!$A$2:$A$4</c:f>
              <c:strCache>
                <c:ptCount val="3"/>
                <c:pt idx="0">
                  <c:v>   דירוג הממונות</c:v>
                </c:pt>
                <c:pt idx="1">
                  <c:v>טיפול בתלונה אנונימית</c:v>
                </c:pt>
                <c:pt idx="2">
                  <c:v>השפעת התלונה על קידום הנילון</c:v>
                </c:pt>
              </c:strCache>
            </c:strRef>
          </c:cat>
          <c:val>
            <c:numRef>
              <c:f>גיליון1!$B$2:$B$4</c:f>
              <c:numCache>
                <c:formatCode>General</c:formatCode>
                <c:ptCount val="3"/>
                <c:pt idx="0">
                  <c:v>5</c:v>
                </c:pt>
                <c:pt idx="1">
                  <c:v>17</c:v>
                </c:pt>
                <c:pt idx="2">
                  <c:v>13</c:v>
                </c:pt>
              </c:numCache>
            </c:numRef>
          </c:val>
          <c:extLst>
            <c:ext xmlns:c16="http://schemas.microsoft.com/office/drawing/2014/chart" uri="{C3380CC4-5D6E-409C-BE32-E72D297353CC}">
              <c16:uniqueId val="{00000006-D737-49BE-9BDE-7A878C2C92B0}"/>
            </c:ext>
          </c:extLst>
        </c:ser>
        <c:ser>
          <c:idx val="1"/>
          <c:order val="1"/>
          <c:tx>
            <c:strRef>
              <c:f>גיליון1!$C$1</c:f>
              <c:strCache>
                <c:ptCount val="1"/>
                <c:pt idx="0">
                  <c:v>עמודה2</c:v>
                </c:pt>
              </c:strCache>
            </c:strRef>
          </c:tx>
          <c:spPr>
            <a:solidFill>
              <a:schemeClr val="accent5">
                <a:lumMod val="50000"/>
              </a:schemeClr>
            </a:soli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8-D737-49BE-9BDE-7A878C2C92B0}"/>
              </c:ext>
            </c:extLst>
          </c:dPt>
          <c:dPt>
            <c:idx val="1"/>
            <c:invertIfNegative val="0"/>
            <c:bubble3D val="0"/>
            <c:spPr>
              <a:solidFill>
                <a:schemeClr val="accent5">
                  <a:lumMod val="75000"/>
                </a:schemeClr>
              </a:solidFill>
              <a:ln>
                <a:noFill/>
              </a:ln>
              <a:effectLst/>
            </c:spPr>
            <c:extLst>
              <c:ext xmlns:c16="http://schemas.microsoft.com/office/drawing/2014/chart" uri="{C3380CC4-5D6E-409C-BE32-E72D297353CC}">
                <c16:uniqueId val="{0000000A-D737-49BE-9BDE-7A878C2C92B0}"/>
              </c:ext>
            </c:extLst>
          </c:dPt>
          <c:dPt>
            <c:idx val="2"/>
            <c:invertIfNegative val="0"/>
            <c:bubble3D val="0"/>
            <c:extLst>
              <c:ext xmlns:c16="http://schemas.microsoft.com/office/drawing/2014/chart" uri="{C3380CC4-5D6E-409C-BE32-E72D297353CC}">
                <c16:uniqueId val="{0000000B-D737-49BE-9BDE-7A878C2C92B0}"/>
              </c:ext>
            </c:extLst>
          </c:dPt>
          <c:dLbls>
            <c:dLbl>
              <c:idx val="0"/>
              <c:tx>
                <c:rich>
                  <a:bodyPr/>
                  <a:lstStyle/>
                  <a:p>
                    <a:r>
                      <a:rPr lang="he-IL" sz="800" baseline="0">
                        <a:latin typeface="Tahoma" panose="020B0604030504040204" pitchFamily="34" charset="0"/>
                        <a:ea typeface="Tahoma" panose="020B0604030504040204" pitchFamily="34" charset="0"/>
                        <a:cs typeface="Tahoma" panose="020B0604030504040204" pitchFamily="34" charset="0"/>
                      </a:rPr>
                      <a:t>ניהולי</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37-49BE-9BDE-7A878C2C92B0}"/>
                </c:ext>
              </c:extLst>
            </c:dLbl>
            <c:dLbl>
              <c:idx val="1"/>
              <c:tx>
                <c:rich>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sz="800"/>
                      <a:t>טיפלו </a:t>
                    </a:r>
                  </a:p>
                  <a:p>
                    <a:pPr>
                      <a:defRPr sz="800"/>
                    </a:pPr>
                    <a:r>
                      <a:rPr lang="he-IL" sz="800"/>
                      <a:t>בעצמן</a:t>
                    </a:r>
                  </a:p>
                </c:rich>
              </c:tx>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A-D737-49BE-9BDE-7A878C2C92B0}"/>
                </c:ext>
              </c:extLst>
            </c:dLbl>
            <c:dLbl>
              <c:idx val="2"/>
              <c:tx>
                <c:rich>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sz="800"/>
                      <a:t>לא </a:t>
                    </a:r>
                  </a:p>
                  <a:p>
                    <a:pPr>
                      <a:defRPr sz="800"/>
                    </a:pPr>
                    <a:r>
                      <a:rPr lang="he-IL" sz="800"/>
                      <a:t>השפיעה</a:t>
                    </a:r>
                  </a:p>
                </c:rich>
              </c:tx>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B-D737-49BE-9BDE-7A878C2C92B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גיליון1!$A$2:$A$4</c:f>
              <c:strCache>
                <c:ptCount val="3"/>
                <c:pt idx="0">
                  <c:v>   דירוג הממונות</c:v>
                </c:pt>
                <c:pt idx="1">
                  <c:v>טיפול בתלונה אנונימית</c:v>
                </c:pt>
                <c:pt idx="2">
                  <c:v>השפעת התלונה על קידום הנילון</c:v>
                </c:pt>
              </c:strCache>
            </c:strRef>
          </c:cat>
          <c:val>
            <c:numRef>
              <c:f>גיליון1!$C$2:$C$4</c:f>
              <c:numCache>
                <c:formatCode>General</c:formatCode>
                <c:ptCount val="3"/>
                <c:pt idx="0">
                  <c:v>15</c:v>
                </c:pt>
                <c:pt idx="1">
                  <c:v>5</c:v>
                </c:pt>
                <c:pt idx="2">
                  <c:v>2</c:v>
                </c:pt>
              </c:numCache>
            </c:numRef>
          </c:val>
          <c:extLst>
            <c:ext xmlns:c16="http://schemas.microsoft.com/office/drawing/2014/chart" uri="{C3380CC4-5D6E-409C-BE32-E72D297353CC}">
              <c16:uniqueId val="{0000000C-D737-49BE-9BDE-7A878C2C92B0}"/>
            </c:ext>
          </c:extLst>
        </c:ser>
        <c:ser>
          <c:idx val="2"/>
          <c:order val="2"/>
          <c:tx>
            <c:strRef>
              <c:f>גיליון1!$D$1</c:f>
              <c:strCache>
                <c:ptCount val="1"/>
                <c:pt idx="0">
                  <c:v>עמודה3</c:v>
                </c:pt>
              </c:strCache>
            </c:strRef>
          </c:tx>
          <c:spPr>
            <a:solidFill>
              <a:schemeClr val="accent3"/>
            </a:solidFill>
            <a:ln>
              <a:noFill/>
            </a:ln>
            <a:effectLst/>
          </c:spPr>
          <c:invertIfNegative val="0"/>
          <c:dPt>
            <c:idx val="0"/>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E-D737-49BE-9BDE-7A878C2C92B0}"/>
              </c:ext>
            </c:extLst>
          </c:dPt>
          <c:dPt>
            <c:idx val="1"/>
            <c:invertIfNegative val="0"/>
            <c:bubble3D val="0"/>
            <c:spPr>
              <a:solidFill>
                <a:schemeClr val="accent5">
                  <a:lumMod val="50000"/>
                </a:schemeClr>
              </a:solidFill>
              <a:ln>
                <a:noFill/>
              </a:ln>
              <a:effectLst/>
            </c:spPr>
            <c:extLst>
              <c:ext xmlns:c16="http://schemas.microsoft.com/office/drawing/2014/chart" uri="{C3380CC4-5D6E-409C-BE32-E72D297353CC}">
                <c16:uniqueId val="{00000010-D737-49BE-9BDE-7A878C2C92B0}"/>
              </c:ext>
            </c:extLst>
          </c:dPt>
          <c:dPt>
            <c:idx val="2"/>
            <c:invertIfNegative val="0"/>
            <c:bubble3D val="0"/>
            <c:spPr>
              <a:solidFill>
                <a:schemeClr val="accent4"/>
              </a:solidFill>
              <a:ln>
                <a:noFill/>
              </a:ln>
              <a:effectLst/>
            </c:spPr>
            <c:extLst>
              <c:ext xmlns:c16="http://schemas.microsoft.com/office/drawing/2014/chart" uri="{C3380CC4-5D6E-409C-BE32-E72D297353CC}">
                <c16:uniqueId val="{00000012-D737-49BE-9BDE-7A878C2C92B0}"/>
              </c:ext>
            </c:extLst>
          </c:dPt>
          <c:dLbls>
            <c:dLbl>
              <c:idx val="0"/>
              <c:tx>
                <c:rich>
                  <a:bodyPr/>
                  <a:lstStyle/>
                  <a:p>
                    <a:r>
                      <a:rPr lang="he-IL" baseline="0">
                        <a:latin typeface="David" panose="020E0502060401010101" pitchFamily="34" charset="-79"/>
                      </a:rPr>
                      <a:t>מקצועי </a:t>
                    </a:r>
                  </a:p>
                  <a:p>
                    <a:r>
                      <a:rPr lang="he-IL" baseline="0">
                        <a:latin typeface="David" panose="020E0502060401010101" pitchFamily="34" charset="-79"/>
                      </a:rPr>
                      <a:t>ומינהלי</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737-49BE-9BDE-7A878C2C92B0}"/>
                </c:ext>
              </c:extLst>
            </c:dLbl>
            <c:dLbl>
              <c:idx val="1"/>
              <c:tx>
                <c:rich>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sz="800">
                        <a:latin typeface="Tahoma" panose="020B0604030504040204" pitchFamily="34" charset="0"/>
                        <a:ea typeface="Tahoma" panose="020B0604030504040204" pitchFamily="34" charset="0"/>
                        <a:cs typeface="Tahoma" panose="020B0604030504040204" pitchFamily="34" charset="0"/>
                      </a:rPr>
                      <a:t>לא </a:t>
                    </a:r>
                  </a:p>
                  <a:p>
                    <a:pPr>
                      <a:defRPr sz="800"/>
                    </a:pPr>
                    <a:r>
                      <a:rPr lang="he-IL" sz="800">
                        <a:latin typeface="Tahoma" panose="020B0604030504040204" pitchFamily="34" charset="0"/>
                        <a:ea typeface="Tahoma" panose="020B0604030504040204" pitchFamily="34" charset="0"/>
                        <a:cs typeface="Tahoma" panose="020B0604030504040204" pitchFamily="34" charset="0"/>
                      </a:rPr>
                      <a:t>טיפלו</a:t>
                    </a:r>
                  </a:p>
                </c:rich>
              </c:tx>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10-D737-49BE-9BDE-7A878C2C92B0}"/>
                </c:ext>
              </c:extLst>
            </c:dLbl>
            <c:dLbl>
              <c:idx val="2"/>
              <c:tx>
                <c:rich>
                  <a:bodyPr/>
                  <a:lstStyle/>
                  <a:p>
                    <a:r>
                      <a:rPr lang="he-IL" sz="800" baseline="0">
                        <a:latin typeface="Tahoma" panose="020B0604030504040204" pitchFamily="34" charset="0"/>
                        <a:ea typeface="Tahoma" panose="020B0604030504040204" pitchFamily="34" charset="0"/>
                        <a:cs typeface="Tahoma" panose="020B0604030504040204" pitchFamily="34" charset="0"/>
                      </a:rPr>
                      <a:t>לא רלוונטי</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737-49BE-9BDE-7A878C2C92B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גיליון1!$A$2:$A$4</c:f>
              <c:strCache>
                <c:ptCount val="3"/>
                <c:pt idx="0">
                  <c:v>   דירוג הממונות</c:v>
                </c:pt>
                <c:pt idx="1">
                  <c:v>טיפול בתלונה אנונימית</c:v>
                </c:pt>
                <c:pt idx="2">
                  <c:v>השפעת התלונה על קידום הנילון</c:v>
                </c:pt>
              </c:strCache>
            </c:strRef>
          </c:cat>
          <c:val>
            <c:numRef>
              <c:f>גיליון1!$D$2:$D$4</c:f>
              <c:numCache>
                <c:formatCode>General</c:formatCode>
                <c:ptCount val="3"/>
                <c:pt idx="0">
                  <c:v>18</c:v>
                </c:pt>
                <c:pt idx="1">
                  <c:v>1</c:v>
                </c:pt>
                <c:pt idx="2">
                  <c:v>23</c:v>
                </c:pt>
              </c:numCache>
            </c:numRef>
          </c:val>
          <c:extLst>
            <c:ext xmlns:c16="http://schemas.microsoft.com/office/drawing/2014/chart" uri="{C3380CC4-5D6E-409C-BE32-E72D297353CC}">
              <c16:uniqueId val="{00000013-D737-49BE-9BDE-7A878C2C92B0}"/>
            </c:ext>
          </c:extLst>
        </c:ser>
        <c:ser>
          <c:idx val="3"/>
          <c:order val="3"/>
          <c:tx>
            <c:strRef>
              <c:f>גיליון1!$E$1</c:f>
              <c:strCache>
                <c:ptCount val="1"/>
                <c:pt idx="0">
                  <c:v>עמודה4</c:v>
                </c:pt>
              </c:strCache>
            </c:strRef>
          </c:tx>
          <c:spPr>
            <a:solidFill>
              <a:schemeClr val="accent4"/>
            </a:solidFill>
            <a:ln>
              <a:noFill/>
            </a:ln>
            <a:effectLst/>
          </c:spPr>
          <c:invertIfNegative val="0"/>
          <c:dPt>
            <c:idx val="1"/>
            <c:invertIfNegative val="0"/>
            <c:bubble3D val="0"/>
            <c:spPr>
              <a:solidFill>
                <a:schemeClr val="accent4"/>
              </a:solidFill>
              <a:ln>
                <a:noFill/>
              </a:ln>
              <a:effectLst/>
            </c:spPr>
            <c:extLst>
              <c:ext xmlns:c16="http://schemas.microsoft.com/office/drawing/2014/chart" uri="{C3380CC4-5D6E-409C-BE32-E72D297353CC}">
                <c16:uniqueId val="{00000015-D737-49BE-9BDE-7A878C2C92B0}"/>
              </c:ext>
            </c:extLst>
          </c:dPt>
          <c:dLbls>
            <c:dLbl>
              <c:idx val="0"/>
              <c:delete val="1"/>
              <c:extLst>
                <c:ext xmlns:c15="http://schemas.microsoft.com/office/drawing/2012/chart" uri="{CE6537A1-D6FC-4f65-9D91-7224C49458BB}"/>
                <c:ext xmlns:c16="http://schemas.microsoft.com/office/drawing/2014/chart" uri="{C3380CC4-5D6E-409C-BE32-E72D297353CC}">
                  <c16:uniqueId val="{00000016-D737-49BE-9BDE-7A878C2C92B0}"/>
                </c:ext>
              </c:extLst>
            </c:dLbl>
            <c:dLbl>
              <c:idx val="1"/>
              <c:tx>
                <c:rich>
                  <a:bodyPr/>
                  <a:lstStyle/>
                  <a:p>
                    <a:r>
                      <a:rPr lang="he-IL" sz="800" baseline="0">
                        <a:latin typeface="Tahoma" panose="020B0604030504040204" pitchFamily="34" charset="0"/>
                        <a:ea typeface="Tahoma" panose="020B0604030504040204" pitchFamily="34" charset="0"/>
                        <a:cs typeface="Tahoma" panose="020B0604030504040204" pitchFamily="34" charset="0"/>
                      </a:rPr>
                      <a:t>לא רלוונטי</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737-49BE-9BDE-7A878C2C92B0}"/>
                </c:ext>
              </c:extLst>
            </c:dLbl>
            <c:dLbl>
              <c:idx val="2"/>
              <c:delete val="1"/>
              <c:extLst>
                <c:ext xmlns:c15="http://schemas.microsoft.com/office/drawing/2012/chart" uri="{CE6537A1-D6FC-4f65-9D91-7224C49458BB}"/>
                <c:ext xmlns:c16="http://schemas.microsoft.com/office/drawing/2014/chart" uri="{C3380CC4-5D6E-409C-BE32-E72D297353CC}">
                  <c16:uniqueId val="{00000017-D737-49BE-9BDE-7A878C2C92B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גיליון1!$A$2:$A$4</c:f>
              <c:strCache>
                <c:ptCount val="3"/>
                <c:pt idx="0">
                  <c:v>   דירוג הממונות</c:v>
                </c:pt>
                <c:pt idx="1">
                  <c:v>טיפול בתלונה אנונימית</c:v>
                </c:pt>
                <c:pt idx="2">
                  <c:v>השפעת התלונה על קידום הנילון</c:v>
                </c:pt>
              </c:strCache>
            </c:strRef>
          </c:cat>
          <c:val>
            <c:numRef>
              <c:f>גיליון1!$E$2:$E$4</c:f>
              <c:numCache>
                <c:formatCode>General</c:formatCode>
                <c:ptCount val="3"/>
                <c:pt idx="0">
                  <c:v>0</c:v>
                </c:pt>
                <c:pt idx="1">
                  <c:v>15</c:v>
                </c:pt>
                <c:pt idx="2">
                  <c:v>0</c:v>
                </c:pt>
              </c:numCache>
            </c:numRef>
          </c:val>
          <c:extLst>
            <c:ext xmlns:c16="http://schemas.microsoft.com/office/drawing/2014/chart" uri="{C3380CC4-5D6E-409C-BE32-E72D297353CC}">
              <c16:uniqueId val="{00000018-D737-49BE-9BDE-7A878C2C92B0}"/>
            </c:ext>
          </c:extLst>
        </c:ser>
        <c:dLbls>
          <c:showLegendKey val="0"/>
          <c:showVal val="0"/>
          <c:showCatName val="0"/>
          <c:showSerName val="0"/>
          <c:showPercent val="0"/>
          <c:showBubbleSize val="0"/>
        </c:dLbls>
        <c:gapWidth val="219"/>
        <c:overlap val="-27"/>
        <c:axId val="591803160"/>
        <c:axId val="591803488"/>
      </c:barChart>
      <c:catAx>
        <c:axId val="591803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91803488"/>
        <c:crosses val="autoZero"/>
        <c:auto val="0"/>
        <c:lblAlgn val="ctr"/>
        <c:lblOffset val="100"/>
        <c:noMultiLvlLbl val="0"/>
      </c:catAx>
      <c:valAx>
        <c:axId val="591803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91803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74854744520935"/>
          <c:y val="0.11389634478023201"/>
          <c:w val="0.69657725654044511"/>
          <c:h val="0.78567190413415522"/>
        </c:manualLayout>
      </c:layout>
      <c:doughnutChart>
        <c:varyColors val="1"/>
        <c:ser>
          <c:idx val="0"/>
          <c:order val="0"/>
          <c:tx>
            <c:strRef>
              <c:f>גיליון1!$B$1</c:f>
              <c:strCache>
                <c:ptCount val="1"/>
                <c:pt idx="0">
                  <c:v>עמודה1</c:v>
                </c:pt>
              </c:strCache>
            </c:strRef>
          </c:tx>
          <c:dPt>
            <c:idx val="0"/>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1-279F-4A05-9D35-3960C4BD7561}"/>
              </c:ext>
            </c:extLst>
          </c:dPt>
          <c:dPt>
            <c:idx val="1"/>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3-279F-4A05-9D35-3960C4BD7561}"/>
              </c:ext>
            </c:extLst>
          </c:dPt>
          <c:dPt>
            <c:idx val="2"/>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5-279F-4A05-9D35-3960C4BD7561}"/>
              </c:ext>
            </c:extLst>
          </c:dPt>
          <c:dPt>
            <c:idx val="3"/>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7-279F-4A05-9D35-3960C4BD7561}"/>
              </c:ext>
            </c:extLst>
          </c:dPt>
          <c:dPt>
            <c:idx val="4"/>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9-279F-4A05-9D35-3960C4BD7561}"/>
              </c:ext>
            </c:extLst>
          </c:dPt>
          <c:dLbls>
            <c:dLbl>
              <c:idx val="0"/>
              <c:layout>
                <c:manualLayout>
                  <c:x val="1.06980476063118E-2"/>
                  <c:y val="-0.141562853907134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79F-4A05-9D35-3960C4BD7561}"/>
                </c:ext>
              </c:extLst>
            </c:dLbl>
            <c:dLbl>
              <c:idx val="1"/>
              <c:layout>
                <c:manualLayout>
                  <c:x val="0.11767852366943032"/>
                  <c:y val="5.652284414674409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79F-4A05-9D35-3960C4BD7561}"/>
                </c:ext>
              </c:extLst>
            </c:dLbl>
            <c:dLbl>
              <c:idx val="2"/>
              <c:layout>
                <c:manualLayout>
                  <c:x val="4.814121422840327E-2"/>
                  <c:y val="0.118912797281993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79F-4A05-9D35-3960C4BD7561}"/>
                </c:ext>
              </c:extLst>
            </c:dLbl>
            <c:dLbl>
              <c:idx val="3"/>
              <c:layout>
                <c:manualLayout>
                  <c:x val="-6.4188285637871087E-2"/>
                  <c:y val="0.1075877689694222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79F-4A05-9D35-3960C4BD7561}"/>
                </c:ext>
              </c:extLst>
            </c:dLbl>
            <c:dLbl>
              <c:idx val="4"/>
              <c:layout>
                <c:manualLayout>
                  <c:x val="-1.6047071409467772E-2"/>
                  <c:y val="-0.1812004530011325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79F-4A05-9D35-3960C4BD75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1"/>
            <c:showBubbleSize val="0"/>
            <c:showLeaderLines val="0"/>
            <c:extLst>
              <c:ext xmlns:c15="http://schemas.microsoft.com/office/drawing/2012/chart" uri="{CE6537A1-D6FC-4f65-9D91-7224C49458BB}"/>
            </c:extLst>
          </c:dLbls>
          <c:cat>
            <c:strRef>
              <c:f>גיליון1!$A$2:$A$6</c:f>
              <c:strCache>
                <c:ptCount val="5"/>
                <c:pt idx="0">
                  <c:v>ציבורי - צבא וביטחון</c:v>
                </c:pt>
                <c:pt idx="1">
                  <c:v>ציבורי - בריאות וסיעוד</c:v>
                </c:pt>
                <c:pt idx="2">
                  <c:v>ציבורי - חינוך</c:v>
                </c:pt>
                <c:pt idx="3">
                  <c:v>ציבורי - אחר</c:v>
                </c:pt>
                <c:pt idx="4">
                  <c:v>פרטי</c:v>
                </c:pt>
              </c:strCache>
            </c:strRef>
          </c:cat>
          <c:val>
            <c:numRef>
              <c:f>גיליון1!$B$2:$B$6</c:f>
              <c:numCache>
                <c:formatCode>General</c:formatCode>
                <c:ptCount val="5"/>
                <c:pt idx="0">
                  <c:v>88</c:v>
                </c:pt>
                <c:pt idx="1">
                  <c:v>37</c:v>
                </c:pt>
                <c:pt idx="2">
                  <c:v>43</c:v>
                </c:pt>
                <c:pt idx="3">
                  <c:v>61</c:v>
                </c:pt>
                <c:pt idx="4">
                  <c:v>129</c:v>
                </c:pt>
              </c:numCache>
            </c:numRef>
          </c:val>
          <c:extLst>
            <c:ext xmlns:c16="http://schemas.microsoft.com/office/drawing/2014/chart" uri="{C3380CC4-5D6E-409C-BE32-E72D297353CC}">
              <c16:uniqueId val="{0000000A-279F-4A05-9D35-3960C4BD7561}"/>
            </c:ext>
          </c:extLst>
        </c:ser>
        <c:dLbls>
          <c:showLegendKey val="0"/>
          <c:showVal val="0"/>
          <c:showCatName val="0"/>
          <c:showSerName val="0"/>
          <c:showPercent val="1"/>
          <c:showBubbleSize val="0"/>
          <c:showLeaderLines val="0"/>
        </c:dLbls>
        <c:firstSliceAng val="0"/>
        <c:holeSize val="70"/>
      </c:doughnutChart>
      <c:spPr>
        <a:noFill/>
        <a:ln>
          <a:noFill/>
        </a:ln>
        <a:effectLst/>
      </c:spPr>
    </c:plotArea>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he-I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cap="none" spc="2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r>
              <a:rPr lang="he-IL" sz="800" baseline="0">
                <a:latin typeface="Tahoma" panose="020B0604030504040204" pitchFamily="34" charset="0"/>
                <a:ea typeface="Tahoma" panose="020B0604030504040204" pitchFamily="34" charset="0"/>
                <a:cs typeface="Tahoma" panose="020B0604030504040204" pitchFamily="34" charset="0"/>
              </a:rPr>
              <a:t>הבעלות על בתי החולים בישראל, 2017</a:t>
            </a:r>
          </a:p>
        </c:rich>
      </c:tx>
      <c:layout>
        <c:manualLayout>
          <c:xMode val="edge"/>
          <c:yMode val="edge"/>
          <c:x val="0.11669900420803031"/>
          <c:y val="1.4652014652014652E-2"/>
        </c:manualLayout>
      </c:layout>
      <c:overlay val="0"/>
      <c:spPr>
        <a:noFill/>
        <a:ln>
          <a:noFill/>
        </a:ln>
        <a:effectLst/>
      </c:spPr>
      <c:txPr>
        <a:bodyPr rot="0" spcFirstLastPara="1" vertOverflow="ellipsis" vert="horz" wrap="square" anchor="ctr" anchorCtr="1"/>
        <a:lstStyle/>
        <a:p>
          <a:pPr>
            <a:defRPr sz="800" b="0" i="0" u="none" strike="noStrike" kern="1200" cap="none" spc="2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title>
    <c:autoTitleDeleted val="0"/>
    <c:plotArea>
      <c:layout>
        <c:manualLayout>
          <c:layoutTarget val="inner"/>
          <c:xMode val="edge"/>
          <c:yMode val="edge"/>
          <c:x val="0.23996915370842756"/>
          <c:y val="0.20475396163469559"/>
          <c:w val="0.54726605104989856"/>
          <c:h val="0.50333414328213144"/>
        </c:manualLayout>
      </c:layout>
      <c:pieChart>
        <c:varyColors val="1"/>
        <c:ser>
          <c:idx val="0"/>
          <c:order val="0"/>
          <c:tx>
            <c:strRef>
              <c:f>גיליון1!$B$1</c:f>
              <c:strCache>
                <c:ptCount val="1"/>
                <c:pt idx="0">
                  <c:v>מוסדות אשפוז בישראל 2017</c:v>
                </c:pt>
              </c:strCache>
            </c:strRef>
          </c:tx>
          <c:spPr>
            <a:ln>
              <a:solidFill>
                <a:schemeClr val="bg1"/>
              </a:solidFill>
            </a:ln>
          </c:spPr>
          <c:explosion val="12"/>
          <c:dPt>
            <c:idx val="0"/>
            <c:bubble3D val="0"/>
            <c:spPr>
              <a:solidFill>
                <a:schemeClr val="accent4"/>
              </a:solidFill>
              <a:ln w="9525" cap="flat" cmpd="sng" algn="ctr">
                <a:solidFill>
                  <a:schemeClr val="bg1"/>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5D42-446B-9543-090AC172A5FA}"/>
              </c:ext>
            </c:extLst>
          </c:dPt>
          <c:dPt>
            <c:idx val="1"/>
            <c:bubble3D val="0"/>
            <c:spPr>
              <a:solidFill>
                <a:schemeClr val="accent2"/>
              </a:solidFill>
              <a:ln w="9525" cap="flat" cmpd="sng" algn="ctr">
                <a:solidFill>
                  <a:schemeClr val="bg1"/>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5D42-446B-9543-090AC172A5FA}"/>
              </c:ext>
            </c:extLst>
          </c:dPt>
          <c:dPt>
            <c:idx val="2"/>
            <c:bubble3D val="0"/>
            <c:spPr>
              <a:solidFill>
                <a:schemeClr val="accent5"/>
              </a:solidFill>
              <a:ln w="9525" cap="flat" cmpd="sng" algn="ctr">
                <a:solidFill>
                  <a:schemeClr val="bg1"/>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5D42-446B-9543-090AC172A5FA}"/>
              </c:ext>
            </c:extLst>
          </c:dPt>
          <c:dPt>
            <c:idx val="3"/>
            <c:bubble3D val="0"/>
            <c:spPr>
              <a:solidFill>
                <a:schemeClr val="accent3"/>
              </a:solidFill>
              <a:ln w="9525" cap="flat" cmpd="sng" algn="ctr">
                <a:solidFill>
                  <a:schemeClr val="bg1"/>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5D42-446B-9543-090AC172A5FA}"/>
              </c:ext>
            </c:extLst>
          </c:dPt>
          <c:dPt>
            <c:idx val="4"/>
            <c:bubble3D val="0"/>
            <c:explosion val="25"/>
            <c:spPr>
              <a:solidFill>
                <a:schemeClr val="tx2"/>
              </a:solidFill>
              <a:ln w="9525" cap="flat" cmpd="sng" algn="ctr">
                <a:solidFill>
                  <a:schemeClr val="bg1"/>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5D42-446B-9543-090AC172A5FA}"/>
              </c:ext>
            </c:extLst>
          </c:dPt>
          <c:dPt>
            <c:idx val="5"/>
            <c:bubble3D val="0"/>
            <c:explosion val="37"/>
            <c:spPr>
              <a:solidFill>
                <a:schemeClr val="tx1"/>
              </a:solidFill>
              <a:ln w="9525" cap="flat" cmpd="sng" algn="ctr">
                <a:solidFill>
                  <a:schemeClr val="bg1"/>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B-5D42-446B-9543-090AC172A5FA}"/>
              </c:ext>
            </c:extLst>
          </c:dPt>
          <c:dPt>
            <c:idx val="6"/>
            <c:bubble3D val="0"/>
            <c:explosion val="14"/>
            <c:spPr>
              <a:solidFill>
                <a:schemeClr val="accent6"/>
              </a:solidFill>
              <a:ln w="9525" cap="flat" cmpd="sng" algn="ctr">
                <a:solidFill>
                  <a:schemeClr val="bg1"/>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D-5D42-446B-9543-090AC172A5FA}"/>
              </c:ext>
            </c:extLst>
          </c:dPt>
          <c:dLbls>
            <c:dLbl>
              <c:idx val="0"/>
              <c:layout>
                <c:manualLayout>
                  <c:x val="-2.8031572677107982E-2"/>
                  <c:y val="-4.73068527325173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42-446B-9543-090AC172A5FA}"/>
                </c:ext>
              </c:extLst>
            </c:dLbl>
            <c:dLbl>
              <c:idx val="1"/>
              <c:layout>
                <c:manualLayout>
                  <c:x val="-3.9064388418244139E-2"/>
                  <c:y val="-5.760388243548755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42-446B-9543-090AC172A5FA}"/>
                </c:ext>
              </c:extLst>
            </c:dLbl>
            <c:dLbl>
              <c:idx val="2"/>
              <c:layout>
                <c:manualLayout>
                  <c:x val="-2.0620689258892505E-3"/>
                  <c:y val="3.60123177672097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D42-446B-9543-090AC172A5FA}"/>
                </c:ext>
              </c:extLst>
            </c:dLbl>
            <c:dLbl>
              <c:idx val="3"/>
              <c:layout>
                <c:manualLayout>
                  <c:x val="1.6678893002641272E-3"/>
                  <c:y val="2.11335464255086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D42-446B-9543-090AC172A5FA}"/>
                </c:ext>
              </c:extLst>
            </c:dLbl>
            <c:dLbl>
              <c:idx val="4"/>
              <c:layout>
                <c:manualLayout>
                  <c:x val="-3.5165879137401669E-4"/>
                  <c:y val="1.2473688313713262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D42-446B-9543-090AC172A5FA}"/>
                </c:ext>
              </c:extLst>
            </c:dLbl>
            <c:dLbl>
              <c:idx val="5"/>
              <c:layout>
                <c:manualLayout>
                  <c:x val="3.829250120188394E-2"/>
                  <c:y val="-5.913307866219704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D42-446B-9543-090AC172A5FA}"/>
                </c:ext>
              </c:extLst>
            </c:dLbl>
            <c:dLbl>
              <c:idx val="6"/>
              <c:layout>
                <c:manualLayout>
                  <c:x val="6.7130820518026338E-2"/>
                  <c:y val="2.099594605129804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D42-446B-9543-090AC172A5F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גיליון1!$A$2:$A$8</c:f>
              <c:strCache>
                <c:ptCount val="7"/>
                <c:pt idx="0">
                  <c:v>ציבורי לא ממשלתי</c:v>
                </c:pt>
                <c:pt idx="1">
                  <c:v>פרטי</c:v>
                </c:pt>
                <c:pt idx="2">
                  <c:v>ממשלתי</c:v>
                </c:pt>
                <c:pt idx="3">
                  <c:v>כללית</c:v>
                </c:pt>
                <c:pt idx="4">
                  <c:v>מאוחדת</c:v>
                </c:pt>
                <c:pt idx="5">
                  <c:v>הדסה</c:v>
                </c:pt>
                <c:pt idx="6">
                  <c:v>מיסיון</c:v>
                </c:pt>
              </c:strCache>
            </c:strRef>
          </c:cat>
          <c:val>
            <c:numRef>
              <c:f>גיליון1!$B$2:$B$8</c:f>
              <c:numCache>
                <c:formatCode>General</c:formatCode>
                <c:ptCount val="7"/>
                <c:pt idx="0">
                  <c:v>110</c:v>
                </c:pt>
                <c:pt idx="1">
                  <c:v>169</c:v>
                </c:pt>
                <c:pt idx="2">
                  <c:v>24</c:v>
                </c:pt>
                <c:pt idx="3">
                  <c:v>14</c:v>
                </c:pt>
                <c:pt idx="4">
                  <c:v>3</c:v>
                </c:pt>
                <c:pt idx="5">
                  <c:v>2</c:v>
                </c:pt>
                <c:pt idx="6">
                  <c:v>7</c:v>
                </c:pt>
              </c:numCache>
            </c:numRef>
          </c:val>
          <c:extLst>
            <c:ext xmlns:c16="http://schemas.microsoft.com/office/drawing/2014/chart" uri="{C3380CC4-5D6E-409C-BE32-E72D297353CC}">
              <c16:uniqueId val="{0000000E-5D42-446B-9543-090AC172A5FA}"/>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manualLayout>
          <c:xMode val="edge"/>
          <c:yMode val="edge"/>
          <c:x val="6.1158128301294037E-2"/>
          <c:y val="0.75812980633467519"/>
          <c:w val="0.93209281734818283"/>
          <c:h val="0.2418701936653247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cap="none" spc="2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r>
              <a:rPr lang="he-IL" sz="900" b="0" baseline="0">
                <a:latin typeface="Tahoma" panose="020B0604030504040204" pitchFamily="34" charset="0"/>
                <a:ea typeface="Tahoma" panose="020B0604030504040204" pitchFamily="34" charset="0"/>
                <a:cs typeface="Tahoma" panose="020B0604030504040204" pitchFamily="34" charset="0"/>
              </a:rPr>
              <a:t>בתי החולים הממשלתיים</a:t>
            </a:r>
          </a:p>
        </c:rich>
      </c:tx>
      <c:overlay val="0"/>
      <c:spPr>
        <a:noFill/>
        <a:ln>
          <a:noFill/>
        </a:ln>
        <a:effectLst/>
      </c:spPr>
      <c:txPr>
        <a:bodyPr rot="0" spcFirstLastPara="1" vertOverflow="ellipsis" vert="horz" wrap="square" anchor="ctr" anchorCtr="1"/>
        <a:lstStyle/>
        <a:p>
          <a:pPr>
            <a:defRPr sz="900" b="0" i="0" u="none" strike="noStrike" kern="1200" cap="none" spc="2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title>
    <c:autoTitleDeleted val="0"/>
    <c:plotArea>
      <c:layout/>
      <c:pieChart>
        <c:varyColors val="1"/>
        <c:ser>
          <c:idx val="0"/>
          <c:order val="0"/>
          <c:tx>
            <c:strRef>
              <c:f>גיליון1!$B$1</c:f>
              <c:strCache>
                <c:ptCount val="1"/>
                <c:pt idx="0">
                  <c:v>סוגי מוסדות אשפוז</c:v>
                </c:pt>
              </c:strCache>
            </c:strRef>
          </c:tx>
          <c:spPr>
            <a:ln>
              <a:solidFill>
                <a:schemeClr val="bg1"/>
              </a:solidFill>
            </a:ln>
          </c:spPr>
          <c:dPt>
            <c:idx val="0"/>
            <c:bubble3D val="0"/>
            <c:spPr>
              <a:solidFill>
                <a:schemeClr val="accent4"/>
              </a:solidFill>
              <a:ln w="9525" cap="flat" cmpd="sng" algn="ctr">
                <a:solidFill>
                  <a:schemeClr val="bg1"/>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80E0-4E65-8330-85589750D286}"/>
              </c:ext>
            </c:extLst>
          </c:dPt>
          <c:dPt>
            <c:idx val="1"/>
            <c:bubble3D val="0"/>
            <c:spPr>
              <a:solidFill>
                <a:schemeClr val="accent2"/>
              </a:solidFill>
              <a:ln w="9525" cap="flat" cmpd="sng" algn="ctr">
                <a:solidFill>
                  <a:schemeClr val="bg1"/>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80E0-4E65-8330-85589750D286}"/>
              </c:ext>
            </c:extLst>
          </c:dPt>
          <c:dPt>
            <c:idx val="2"/>
            <c:bubble3D val="0"/>
            <c:spPr>
              <a:solidFill>
                <a:schemeClr val="accent5"/>
              </a:solidFill>
              <a:ln w="9525" cap="flat" cmpd="sng" algn="ctr">
                <a:solidFill>
                  <a:schemeClr val="bg1"/>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80E0-4E65-8330-85589750D286}"/>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bg1"/>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80E0-4E65-8330-85589750D286}"/>
              </c:ext>
            </c:extLst>
          </c:dPt>
          <c:dLbls>
            <c:dLbl>
              <c:idx val="0"/>
              <c:layout>
                <c:manualLayout>
                  <c:x val="-5.5619183965640751E-2"/>
                  <c:y val="-0.1708490284868237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0E0-4E65-8330-85589750D286}"/>
                </c:ext>
              </c:extLst>
            </c:dLbl>
            <c:dLbl>
              <c:idx val="1"/>
              <c:layout>
                <c:manualLayout>
                  <c:x val="-8.3988965117868949E-2"/>
                  <c:y val="-0.1085956563121918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0E0-4E65-8330-85589750D286}"/>
                </c:ext>
              </c:extLst>
            </c:dLbl>
            <c:dLbl>
              <c:idx val="2"/>
              <c:layout>
                <c:manualLayout>
                  <c:x val="-1.7042941133890415E-2"/>
                  <c:y val="3.726226529376135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0E0-4E65-8330-85589750D2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גיליון1!$A$2:$A$4</c:f>
              <c:strCache>
                <c:ptCount val="3"/>
                <c:pt idx="0">
                  <c:v>מרכזים רפואיים כלליים</c:v>
                </c:pt>
                <c:pt idx="1">
                  <c:v>מרכזים לבריאות הנפש</c:v>
                </c:pt>
                <c:pt idx="2">
                  <c:v>מרכזים גריאטריים-שיקומיים</c:v>
                </c:pt>
              </c:strCache>
            </c:strRef>
          </c:cat>
          <c:val>
            <c:numRef>
              <c:f>גיליון1!$B$2:$B$4</c:f>
              <c:numCache>
                <c:formatCode>General</c:formatCode>
                <c:ptCount val="3"/>
                <c:pt idx="0">
                  <c:v>10</c:v>
                </c:pt>
                <c:pt idx="1">
                  <c:v>8</c:v>
                </c:pt>
                <c:pt idx="2">
                  <c:v>5</c:v>
                </c:pt>
              </c:numCache>
            </c:numRef>
          </c:val>
          <c:extLst>
            <c:ext xmlns:c16="http://schemas.microsoft.com/office/drawing/2014/chart" uri="{C3380CC4-5D6E-409C-BE32-E72D297353CC}">
              <c16:uniqueId val="{00000008-80E0-4E65-8330-85589750D286}"/>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53639936798946E-2"/>
          <c:y val="9.373268726024632E-2"/>
          <c:w val="0.78463892262223456"/>
          <c:h val="0.72790349283262679"/>
        </c:manualLayout>
      </c:layout>
      <c:doughnutChart>
        <c:varyColors val="1"/>
        <c:ser>
          <c:idx val="0"/>
          <c:order val="0"/>
          <c:tx>
            <c:strRef>
              <c:f>גיליון1!$B$1</c:f>
              <c:strCache>
                <c:ptCount val="1"/>
                <c:pt idx="0">
                  <c:v>דוברות עברית</c:v>
                </c:pt>
              </c:strCache>
            </c:strRef>
          </c:tx>
          <c:spPr>
            <a:ln>
              <a:solidFill>
                <a:schemeClr val="bg1"/>
              </a:solidFill>
            </a:ln>
          </c:spPr>
          <c:dPt>
            <c:idx val="0"/>
            <c:bubble3D val="0"/>
            <c:spPr>
              <a:solidFill>
                <a:schemeClr val="accent5">
                  <a:lumMod val="50000"/>
                </a:schemeClr>
              </a:solidFill>
              <a:ln>
                <a:solidFill>
                  <a:schemeClr val="bg1"/>
                </a:solidFill>
              </a:ln>
              <a:effectLst>
                <a:outerShdw blurRad="317500" algn="ctr" rotWithShape="0">
                  <a:prstClr val="black">
                    <a:alpha val="25000"/>
                  </a:prstClr>
                </a:outerShdw>
              </a:effectLst>
            </c:spPr>
            <c:extLst>
              <c:ext xmlns:c16="http://schemas.microsoft.com/office/drawing/2014/chart" uri="{C3380CC4-5D6E-409C-BE32-E72D297353CC}">
                <c16:uniqueId val="{00000001-51C4-48E2-AAAB-F34B6A5124A3}"/>
              </c:ext>
            </c:extLst>
          </c:dPt>
          <c:dPt>
            <c:idx val="1"/>
            <c:bubble3D val="0"/>
            <c:spPr>
              <a:solidFill>
                <a:schemeClr val="accent2">
                  <a:lumMod val="50000"/>
                </a:schemeClr>
              </a:solidFill>
              <a:ln>
                <a:solidFill>
                  <a:schemeClr val="bg1"/>
                </a:solidFill>
              </a:ln>
              <a:effectLst>
                <a:outerShdw blurRad="317500" algn="ctr" rotWithShape="0">
                  <a:prstClr val="black">
                    <a:alpha val="25000"/>
                  </a:prstClr>
                </a:outerShdw>
              </a:effectLst>
            </c:spPr>
            <c:extLst>
              <c:ext xmlns:c16="http://schemas.microsoft.com/office/drawing/2014/chart" uri="{C3380CC4-5D6E-409C-BE32-E72D297353CC}">
                <c16:uniqueId val="{00000003-51C4-48E2-AAAB-F34B6A5124A3}"/>
              </c:ext>
            </c:extLst>
          </c:dPt>
          <c:dPt>
            <c:idx val="2"/>
            <c:bubble3D val="0"/>
            <c:spPr>
              <a:solidFill>
                <a:schemeClr val="accent2">
                  <a:lumMod val="75000"/>
                </a:schemeClr>
              </a:solidFill>
              <a:ln>
                <a:solidFill>
                  <a:schemeClr val="bg1"/>
                </a:solidFill>
              </a:ln>
              <a:effectLst>
                <a:outerShdw blurRad="317500" algn="ctr" rotWithShape="0">
                  <a:prstClr val="black">
                    <a:alpha val="25000"/>
                  </a:prstClr>
                </a:outerShdw>
              </a:effectLst>
            </c:spPr>
            <c:extLst>
              <c:ext xmlns:c16="http://schemas.microsoft.com/office/drawing/2014/chart" uri="{C3380CC4-5D6E-409C-BE32-E72D297353CC}">
                <c16:uniqueId val="{00000005-51C4-48E2-AAAB-F34B6A5124A3}"/>
              </c:ext>
            </c:extLst>
          </c:dPt>
          <c:dPt>
            <c:idx val="3"/>
            <c:bubble3D val="0"/>
            <c:spPr>
              <a:solidFill>
                <a:schemeClr val="accent2"/>
              </a:solidFill>
              <a:ln>
                <a:solidFill>
                  <a:schemeClr val="bg1"/>
                </a:solidFill>
              </a:ln>
              <a:effectLst>
                <a:outerShdw blurRad="317500" algn="ctr" rotWithShape="0">
                  <a:prstClr val="black">
                    <a:alpha val="25000"/>
                  </a:prstClr>
                </a:outerShdw>
              </a:effectLst>
            </c:spPr>
            <c:extLst>
              <c:ext xmlns:c16="http://schemas.microsoft.com/office/drawing/2014/chart" uri="{C3380CC4-5D6E-409C-BE32-E72D297353CC}">
                <c16:uniqueId val="{00000007-51C4-48E2-AAAB-F34B6A5124A3}"/>
              </c:ext>
            </c:extLst>
          </c:dPt>
          <c:dLbls>
            <c:dLbl>
              <c:idx val="0"/>
              <c:layout>
                <c:manualLayout>
                  <c:x val="0.12161415146489764"/>
                  <c:y val="-0.1099952175992348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1C4-48E2-AAAB-F34B6A5124A3}"/>
                </c:ext>
              </c:extLst>
            </c:dLbl>
            <c:dLbl>
              <c:idx val="1"/>
              <c:layout>
                <c:manualLayout>
                  <c:x val="-0.13266998341625211"/>
                  <c:y val="5.260640841702534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1C4-48E2-AAAB-F34B6A5124A3}"/>
                </c:ext>
              </c:extLst>
            </c:dLbl>
            <c:dLbl>
              <c:idx val="2"/>
              <c:layout>
                <c:manualLayout>
                  <c:x val="-9.9502487562189074E-2"/>
                  <c:y val="-7.173601147776187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1C4-48E2-AAAB-F34B6A5124A3}"/>
                </c:ext>
              </c:extLst>
            </c:dLbl>
            <c:dLbl>
              <c:idx val="3"/>
              <c:layout>
                <c:manualLayout>
                  <c:x val="-3.8695411829740185E-2"/>
                  <c:y val="-8.406743387845749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1C4-48E2-AAAB-F34B6A5124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1"/>
            <c:showBubbleSize val="0"/>
            <c:showLeaderLines val="0"/>
            <c:extLst>
              <c:ext xmlns:c15="http://schemas.microsoft.com/office/drawing/2012/chart" uri="{CE6537A1-D6FC-4f65-9D91-7224C49458BB}"/>
            </c:extLst>
          </c:dLbls>
          <c:cat>
            <c:strRef>
              <c:f>גיליון1!$A$2:$A$5</c:f>
              <c:strCache>
                <c:ptCount val="4"/>
                <c:pt idx="0">
                  <c:v>לא חוו פגיעה מינית</c:v>
                </c:pt>
                <c:pt idx="1">
                  <c:v>מגע פיזי לא רצוי</c:v>
                </c:pt>
                <c:pt idx="2">
                  <c:v>אמירה בעלת אופי מיני</c:v>
                </c:pt>
                <c:pt idx="3">
                  <c:v>אחר (תיארו חוויה שלילית בעלת גוון מיני שלא הופיעה בשאלון)</c:v>
                </c:pt>
              </c:strCache>
            </c:strRef>
          </c:cat>
          <c:val>
            <c:numRef>
              <c:f>גיליון1!$B$2:$B$5</c:f>
              <c:numCache>
                <c:formatCode>General</c:formatCode>
                <c:ptCount val="4"/>
                <c:pt idx="0">
                  <c:v>97</c:v>
                </c:pt>
                <c:pt idx="1">
                  <c:v>31</c:v>
                </c:pt>
                <c:pt idx="2">
                  <c:v>36</c:v>
                </c:pt>
                <c:pt idx="3">
                  <c:v>11</c:v>
                </c:pt>
              </c:numCache>
            </c:numRef>
          </c:val>
          <c:extLst>
            <c:ext xmlns:c16="http://schemas.microsoft.com/office/drawing/2014/chart" uri="{C3380CC4-5D6E-409C-BE32-E72D297353CC}">
              <c16:uniqueId val="{00000008-51C4-48E2-AAAB-F34B6A5124A3}"/>
            </c:ext>
          </c:extLst>
        </c:ser>
        <c:dLbls>
          <c:showLegendKey val="0"/>
          <c:showVal val="0"/>
          <c:showCatName val="0"/>
          <c:showSerName val="0"/>
          <c:showPercent val="1"/>
          <c:showBubbleSize val="0"/>
          <c:showLeaderLines val="0"/>
        </c:dLbls>
        <c:firstSliceAng val="0"/>
        <c:holeSize val="70"/>
      </c:doughnutChart>
      <c:spPr>
        <a:noFill/>
        <a:ln>
          <a:noFill/>
        </a:ln>
        <a:effectLst/>
      </c:spPr>
    </c:plotArea>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he-I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25887107682593"/>
          <c:y val="0.10458503031948593"/>
          <c:w val="0.80402595432988888"/>
          <c:h val="0.73654451991784287"/>
        </c:manualLayout>
      </c:layout>
      <c:doughnutChart>
        <c:varyColors val="1"/>
        <c:ser>
          <c:idx val="0"/>
          <c:order val="0"/>
          <c:tx>
            <c:strRef>
              <c:f>גיליון1!$B$1</c:f>
              <c:strCache>
                <c:ptCount val="1"/>
                <c:pt idx="0">
                  <c:v>דוברות ערבית</c:v>
                </c:pt>
              </c:strCache>
            </c:strRef>
          </c:tx>
          <c:spPr>
            <a:ln>
              <a:solidFill>
                <a:schemeClr val="bg1"/>
              </a:solidFill>
            </a:ln>
          </c:spPr>
          <c:dPt>
            <c:idx val="0"/>
            <c:bubble3D val="0"/>
            <c:spPr>
              <a:solidFill>
                <a:schemeClr val="accent5">
                  <a:lumMod val="50000"/>
                </a:schemeClr>
              </a:solidFill>
              <a:ln>
                <a:solidFill>
                  <a:schemeClr val="bg1"/>
                </a:solidFill>
              </a:ln>
              <a:effectLst>
                <a:outerShdw blurRad="317500" algn="ctr" rotWithShape="0">
                  <a:prstClr val="black">
                    <a:alpha val="25000"/>
                  </a:prstClr>
                </a:outerShdw>
              </a:effectLst>
            </c:spPr>
            <c:extLst>
              <c:ext xmlns:c16="http://schemas.microsoft.com/office/drawing/2014/chart" uri="{C3380CC4-5D6E-409C-BE32-E72D297353CC}">
                <c16:uniqueId val="{00000001-C5E4-4383-9472-232FBC60267E}"/>
              </c:ext>
            </c:extLst>
          </c:dPt>
          <c:dPt>
            <c:idx val="1"/>
            <c:bubble3D val="0"/>
            <c:spPr>
              <a:solidFill>
                <a:schemeClr val="accent2">
                  <a:lumMod val="50000"/>
                </a:schemeClr>
              </a:solidFill>
              <a:ln>
                <a:solidFill>
                  <a:schemeClr val="bg1"/>
                </a:solidFill>
              </a:ln>
              <a:effectLst>
                <a:outerShdw blurRad="317500" algn="ctr" rotWithShape="0">
                  <a:prstClr val="black">
                    <a:alpha val="25000"/>
                  </a:prstClr>
                </a:outerShdw>
              </a:effectLst>
            </c:spPr>
            <c:extLst>
              <c:ext xmlns:c16="http://schemas.microsoft.com/office/drawing/2014/chart" uri="{C3380CC4-5D6E-409C-BE32-E72D297353CC}">
                <c16:uniqueId val="{00000003-C5E4-4383-9472-232FBC60267E}"/>
              </c:ext>
            </c:extLst>
          </c:dPt>
          <c:dPt>
            <c:idx val="2"/>
            <c:bubble3D val="0"/>
            <c:spPr>
              <a:solidFill>
                <a:schemeClr val="accent2">
                  <a:lumMod val="75000"/>
                </a:schemeClr>
              </a:solidFill>
              <a:ln>
                <a:solidFill>
                  <a:schemeClr val="bg1"/>
                </a:solidFill>
              </a:ln>
              <a:effectLst>
                <a:outerShdw blurRad="317500" algn="ctr" rotWithShape="0">
                  <a:prstClr val="black">
                    <a:alpha val="25000"/>
                  </a:prstClr>
                </a:outerShdw>
              </a:effectLst>
            </c:spPr>
            <c:extLst>
              <c:ext xmlns:c16="http://schemas.microsoft.com/office/drawing/2014/chart" uri="{C3380CC4-5D6E-409C-BE32-E72D297353CC}">
                <c16:uniqueId val="{00000005-C5E4-4383-9472-232FBC60267E}"/>
              </c:ext>
            </c:extLst>
          </c:dPt>
          <c:dPt>
            <c:idx val="3"/>
            <c:bubble3D val="0"/>
            <c:spPr>
              <a:solidFill>
                <a:schemeClr val="accent2"/>
              </a:solidFill>
              <a:ln>
                <a:solidFill>
                  <a:schemeClr val="bg1"/>
                </a:solidFill>
              </a:ln>
              <a:effectLst>
                <a:outerShdw blurRad="317500" algn="ctr" rotWithShape="0">
                  <a:prstClr val="black">
                    <a:alpha val="25000"/>
                  </a:prstClr>
                </a:outerShdw>
              </a:effectLst>
            </c:spPr>
            <c:extLst>
              <c:ext xmlns:c16="http://schemas.microsoft.com/office/drawing/2014/chart" uri="{C3380CC4-5D6E-409C-BE32-E72D297353CC}">
                <c16:uniqueId val="{00000007-C5E4-4383-9472-232FBC60267E}"/>
              </c:ext>
            </c:extLst>
          </c:dPt>
          <c:dLbls>
            <c:dLbl>
              <c:idx val="0"/>
              <c:layout>
                <c:manualLayout>
                  <c:x val="8.3289953149401255E-2"/>
                  <c:y val="-0.1573676680972818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5E4-4383-9472-232FBC60267E}"/>
                </c:ext>
              </c:extLst>
            </c:dLbl>
            <c:dLbl>
              <c:idx val="1"/>
              <c:layout>
                <c:manualLayout>
                  <c:x val="-0.124934929724102"/>
                  <c:y val="4.82741974414675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5E4-4383-9472-232FBC60267E}"/>
                </c:ext>
              </c:extLst>
            </c:dLbl>
            <c:dLbl>
              <c:idx val="2"/>
              <c:layout>
                <c:manualLayout>
                  <c:x val="-0.10931806350858925"/>
                  <c:y val="-4.827419744146753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5E4-4383-9472-232FBC60267E}"/>
                </c:ext>
              </c:extLst>
            </c:dLbl>
            <c:dLbl>
              <c:idx val="3"/>
              <c:layout>
                <c:manualLayout>
                  <c:x val="-0.12493492972410203"/>
                  <c:y val="-4.291845493562232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5E4-4383-9472-232FBC6026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1"/>
            <c:showBubbleSize val="0"/>
            <c:showLeaderLines val="0"/>
            <c:extLst>
              <c:ext xmlns:c15="http://schemas.microsoft.com/office/drawing/2012/chart" uri="{CE6537A1-D6FC-4f65-9D91-7224C49458BB}"/>
            </c:extLst>
          </c:dLbls>
          <c:cat>
            <c:strRef>
              <c:f>גיליון1!$A$2:$A$5</c:f>
              <c:strCache>
                <c:ptCount val="4"/>
                <c:pt idx="0">
                  <c:v>לא חוו הטרדה מינית</c:v>
                </c:pt>
                <c:pt idx="1">
                  <c:v>מגע פיזי לא רצוי</c:v>
                </c:pt>
                <c:pt idx="2">
                  <c:v>אמירה בעלת אופי מיני</c:v>
                </c:pt>
                <c:pt idx="3">
                  <c:v>אחר (תיארו חוויה שלילית שלא הופיעה בשאלון)</c:v>
                </c:pt>
              </c:strCache>
            </c:strRef>
          </c:cat>
          <c:val>
            <c:numRef>
              <c:f>גיליון1!$B$2:$B$5</c:f>
              <c:numCache>
                <c:formatCode>General</c:formatCode>
                <c:ptCount val="4"/>
                <c:pt idx="0">
                  <c:v>53</c:v>
                </c:pt>
                <c:pt idx="1">
                  <c:v>11</c:v>
                </c:pt>
                <c:pt idx="2">
                  <c:v>16</c:v>
                </c:pt>
                <c:pt idx="3">
                  <c:v>19</c:v>
                </c:pt>
              </c:numCache>
            </c:numRef>
          </c:val>
          <c:extLst>
            <c:ext xmlns:c16="http://schemas.microsoft.com/office/drawing/2014/chart" uri="{C3380CC4-5D6E-409C-BE32-E72D297353CC}">
              <c16:uniqueId val="{00000008-C5E4-4383-9472-232FBC60267E}"/>
            </c:ext>
          </c:extLst>
        </c:ser>
        <c:dLbls>
          <c:showLegendKey val="0"/>
          <c:showVal val="0"/>
          <c:showCatName val="0"/>
          <c:showSerName val="0"/>
          <c:showPercent val="1"/>
          <c:showBubbleSize val="0"/>
          <c:showLeaderLines val="0"/>
        </c:dLbls>
        <c:firstSliceAng val="0"/>
        <c:holeSize val="70"/>
      </c:doughnutChart>
      <c:spPr>
        <a:noFill/>
        <a:ln>
          <a:solidFill>
            <a:schemeClr val="bg1"/>
          </a:solidFill>
        </a:ln>
        <a:effectLst/>
      </c:spPr>
    </c:plotArea>
    <c:plotVisOnly val="1"/>
    <c:dispBlanksAs val="gap"/>
    <c:showDLblsOverMax val="0"/>
  </c:chart>
  <c:spPr>
    <a:noFill/>
    <a:ln w="9525" cap="flat" cmpd="sng" algn="ctr">
      <a:solidFill>
        <a:schemeClr val="bg1"/>
      </a:solidFill>
      <a:round/>
    </a:ln>
    <a:effectLst/>
  </c:spPr>
  <c:txPr>
    <a:bodyPr/>
    <a:lstStyle/>
    <a:p>
      <a:pPr>
        <a:defRPr/>
      </a:pPr>
      <a:endParaRPr lang="he-I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26831690027015"/>
          <c:y val="8.072828734246057E-2"/>
          <c:w val="0.77417692289930029"/>
          <c:h val="0.79277576789387816"/>
        </c:manualLayout>
      </c:layout>
      <c:doughnutChart>
        <c:varyColors val="1"/>
        <c:ser>
          <c:idx val="0"/>
          <c:order val="0"/>
          <c:tx>
            <c:strRef>
              <c:f>גיליון1!$B$1</c:f>
              <c:strCache>
                <c:ptCount val="1"/>
                <c:pt idx="0">
                  <c:v>מגזר עבודת המתלוננת</c:v>
                </c:pt>
              </c:strCache>
            </c:strRef>
          </c:tx>
          <c:spPr>
            <a:solidFill>
              <a:schemeClr val="accent2"/>
            </a:solidFill>
          </c:spPr>
          <c:dPt>
            <c:idx val="0"/>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1-ABAC-414A-A992-F0A166220321}"/>
              </c:ext>
            </c:extLst>
          </c:dPt>
          <c:dPt>
            <c:idx val="1"/>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3-ABAC-414A-A992-F0A166220321}"/>
              </c:ext>
            </c:extLst>
          </c:dPt>
          <c:dPt>
            <c:idx val="2"/>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5-ABAC-414A-A992-F0A166220321}"/>
              </c:ext>
            </c:extLst>
          </c:dPt>
          <c:dPt>
            <c:idx val="3"/>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7-ABAC-414A-A992-F0A166220321}"/>
              </c:ext>
            </c:extLst>
          </c:dPt>
          <c:dPt>
            <c:idx val="4"/>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9-ABAC-414A-A992-F0A166220321}"/>
              </c:ext>
            </c:extLst>
          </c:dPt>
          <c:dLbls>
            <c:dLbl>
              <c:idx val="0"/>
              <c:layout>
                <c:manualLayout>
                  <c:x val="2.7739251040221864E-2"/>
                  <c:y val="-0.1306447032093155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BAC-414A-A992-F0A166220321}"/>
                </c:ext>
              </c:extLst>
            </c:dLbl>
            <c:dLbl>
              <c:idx val="1"/>
              <c:layout>
                <c:manualLayout>
                  <c:x val="0.10732075645969474"/>
                  <c:y val="5.000307394008170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BAC-414A-A992-F0A166220321}"/>
                </c:ext>
              </c:extLst>
            </c:dLbl>
            <c:dLbl>
              <c:idx val="2"/>
              <c:layout>
                <c:manualLayout>
                  <c:x val="0.11840857136259728"/>
                  <c:y val="8.715802416589818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BAC-414A-A992-F0A166220321}"/>
                </c:ext>
              </c:extLst>
            </c:dLbl>
            <c:dLbl>
              <c:idx val="3"/>
              <c:layout>
                <c:manualLayout>
                  <c:x val="2.2825871106287667E-2"/>
                  <c:y val="0.1145813530065499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BAC-414A-A992-F0A166220321}"/>
                </c:ext>
              </c:extLst>
            </c:dLbl>
            <c:dLbl>
              <c:idx val="4"/>
              <c:layout>
                <c:manualLayout>
                  <c:x val="-2.4729489458978932E-2"/>
                  <c:y val="-0.3020283275401385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BAC-414A-A992-F0A1662203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1"/>
            <c:showBubbleSize val="0"/>
            <c:showLeaderLines val="0"/>
            <c:extLst>
              <c:ext xmlns:c15="http://schemas.microsoft.com/office/drawing/2012/chart" uri="{CE6537A1-D6FC-4f65-9D91-7224C49458BB}"/>
            </c:extLst>
          </c:dLbls>
          <c:cat>
            <c:strRef>
              <c:f>גיליון1!$A$2:$A$6</c:f>
              <c:strCache>
                <c:ptCount val="5"/>
                <c:pt idx="0">
                  <c:v>ציבורי - צבא ובטחון</c:v>
                </c:pt>
                <c:pt idx="1">
                  <c:v>ציבורי - בריאות וסיעוד</c:v>
                </c:pt>
                <c:pt idx="2">
                  <c:v>ציבורי - חינוך</c:v>
                </c:pt>
                <c:pt idx="3">
                  <c:v>ציבורי - אחר</c:v>
                </c:pt>
                <c:pt idx="4">
                  <c:v>פרטי</c:v>
                </c:pt>
              </c:strCache>
            </c:strRef>
          </c:cat>
          <c:val>
            <c:numRef>
              <c:f>גיליון1!$B$2:$B$6</c:f>
              <c:numCache>
                <c:formatCode>General</c:formatCode>
                <c:ptCount val="5"/>
                <c:pt idx="0">
                  <c:v>71</c:v>
                </c:pt>
                <c:pt idx="1">
                  <c:v>33</c:v>
                </c:pt>
                <c:pt idx="2">
                  <c:v>13</c:v>
                </c:pt>
                <c:pt idx="3">
                  <c:v>34</c:v>
                </c:pt>
                <c:pt idx="4">
                  <c:v>140</c:v>
                </c:pt>
              </c:numCache>
            </c:numRef>
          </c:val>
          <c:extLst>
            <c:ext xmlns:c16="http://schemas.microsoft.com/office/drawing/2014/chart" uri="{C3380CC4-5D6E-409C-BE32-E72D297353CC}">
              <c16:uniqueId val="{0000000A-ABAC-414A-A992-F0A166220321}"/>
            </c:ext>
          </c:extLst>
        </c:ser>
        <c:dLbls>
          <c:showLegendKey val="0"/>
          <c:showVal val="0"/>
          <c:showCatName val="0"/>
          <c:showSerName val="0"/>
          <c:showPercent val="1"/>
          <c:showBubbleSize val="0"/>
          <c:showLeaderLines val="0"/>
        </c:dLbls>
        <c:firstSliceAng val="0"/>
        <c:holeSize val="70"/>
      </c:doughnutChart>
      <c:spPr>
        <a:noFill/>
        <a:ln>
          <a:noFill/>
        </a:ln>
        <a:effectLst/>
      </c:spPr>
    </c:plotArea>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he-I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גיליון1!$B$1</c:f>
              <c:strCache>
                <c:ptCount val="1"/>
                <c:pt idx="0">
                  <c:v>עמודה1</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גיליון1!$A$2:$A$5</c:f>
              <c:numCache>
                <c:formatCode>General</c:formatCode>
                <c:ptCount val="4"/>
                <c:pt idx="0">
                  <c:v>2015</c:v>
                </c:pt>
                <c:pt idx="1">
                  <c:v>2016</c:v>
                </c:pt>
                <c:pt idx="2">
                  <c:v>2017</c:v>
                </c:pt>
                <c:pt idx="3">
                  <c:v>2018</c:v>
                </c:pt>
              </c:numCache>
            </c:numRef>
          </c:cat>
          <c:val>
            <c:numRef>
              <c:f>גיליון1!$B$2:$B$5</c:f>
              <c:numCache>
                <c:formatCode>General</c:formatCode>
                <c:ptCount val="4"/>
                <c:pt idx="0">
                  <c:v>134</c:v>
                </c:pt>
                <c:pt idx="1">
                  <c:v>109</c:v>
                </c:pt>
                <c:pt idx="2">
                  <c:v>168</c:v>
                </c:pt>
                <c:pt idx="3">
                  <c:v>184</c:v>
                </c:pt>
              </c:numCache>
            </c:numRef>
          </c:val>
          <c:smooth val="0"/>
          <c:extLst>
            <c:ext xmlns:c16="http://schemas.microsoft.com/office/drawing/2014/chart" uri="{C3380CC4-5D6E-409C-BE32-E72D297353CC}">
              <c16:uniqueId val="{00000000-12C2-4CAD-BC95-F1F88063F7E8}"/>
            </c:ext>
          </c:extLst>
        </c:ser>
        <c:dLbls>
          <c:dLblPos val="ctr"/>
          <c:showLegendKey val="0"/>
          <c:showVal val="1"/>
          <c:showCatName val="0"/>
          <c:showSerName val="0"/>
          <c:showPercent val="0"/>
          <c:showBubbleSize val="0"/>
        </c:dLbls>
        <c:marker val="1"/>
        <c:smooth val="0"/>
        <c:axId val="644637704"/>
        <c:axId val="644638032"/>
      </c:lineChart>
      <c:catAx>
        <c:axId val="64463770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44638032"/>
        <c:crosses val="autoZero"/>
        <c:auto val="1"/>
        <c:lblAlgn val="ctr"/>
        <c:lblOffset val="100"/>
        <c:noMultiLvlLbl val="0"/>
      </c:catAx>
      <c:valAx>
        <c:axId val="644638032"/>
        <c:scaling>
          <c:orientation val="minMax"/>
        </c:scaling>
        <c:delete val="1"/>
        <c:axPos val="l"/>
        <c:numFmt formatCode="General" sourceLinked="1"/>
        <c:majorTickMark val="none"/>
        <c:minorTickMark val="none"/>
        <c:tickLblPos val="nextTo"/>
        <c:crossAx val="64463770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he-I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גיליון1!$B$1</c:f>
              <c:strCache>
                <c:ptCount val="1"/>
                <c:pt idx="0">
                  <c:v>פגיעה מחוץ למוסדות חינוך</c:v>
                </c:pt>
              </c:strCache>
            </c:strRef>
          </c:tx>
          <c:spPr>
            <a:solidFill>
              <a:srgbClr val="FFFF00"/>
            </a:solidFill>
            <a:ln>
              <a:noFill/>
            </a:ln>
            <a:effectLst/>
          </c:spPr>
          <c:invertIfNegative val="0"/>
          <c:dLbls>
            <c:delete val="1"/>
          </c:dLbls>
          <c:cat>
            <c:strRef>
              <c:f>גיליון1!$A$2:$A$4</c:f>
              <c:strCache>
                <c:ptCount val="3"/>
                <c:pt idx="0">
                  <c:v>תלונות על הטרדה מינית למשטרת ישראל</c:v>
                </c:pt>
                <c:pt idx="1">
                  <c:v>דיווחים על הטרדה מינית (תלמידים) בסקרי ראמ"ה</c:v>
                </c:pt>
                <c:pt idx="2">
                  <c:v>דיווחים על הטרדה מינית (אנשי צוות) בסקרי ראמ"ה</c:v>
                </c:pt>
              </c:strCache>
            </c:strRef>
          </c:cat>
          <c:val>
            <c:numRef>
              <c:f>גיליון1!$B$2:$B$4</c:f>
              <c:numCache>
                <c:formatCode>General</c:formatCode>
                <c:ptCount val="3"/>
                <c:pt idx="0">
                  <c:v>397</c:v>
                </c:pt>
                <c:pt idx="1">
                  <c:v>0</c:v>
                </c:pt>
                <c:pt idx="2">
                  <c:v>0</c:v>
                </c:pt>
              </c:numCache>
            </c:numRef>
          </c:val>
          <c:extLst>
            <c:ext xmlns:c16="http://schemas.microsoft.com/office/drawing/2014/chart" uri="{C3380CC4-5D6E-409C-BE32-E72D297353CC}">
              <c16:uniqueId val="{00000000-BF46-44A2-9893-2F33BE756103}"/>
            </c:ext>
          </c:extLst>
        </c:ser>
        <c:ser>
          <c:idx val="1"/>
          <c:order val="1"/>
          <c:tx>
            <c:strRef>
              <c:f>גיליון1!$C$1</c:f>
              <c:strCache>
                <c:ptCount val="1"/>
                <c:pt idx="0">
                  <c:v>פגיעה בתוך מוסדות חינוך</c:v>
                </c:pt>
              </c:strCache>
            </c:strRef>
          </c:tx>
          <c:spPr>
            <a:solidFill>
              <a:schemeClr val="accent2"/>
            </a:solidFill>
            <a:ln>
              <a:noFill/>
            </a:ln>
            <a:effectLst/>
          </c:spPr>
          <c:invertIfNegative val="0"/>
          <c:dLbls>
            <c:dLbl>
              <c:idx val="0"/>
              <c:layout>
                <c:manualLayout>
                  <c:x val="2.0994576051277153E-7"/>
                  <c:y val="-7.150133110276435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lt1"/>
                        </a:solidFill>
                        <a:latin typeface="Tahoma" panose="020B0604030504040204" pitchFamily="34" charset="0"/>
                        <a:ea typeface="Tahoma" panose="020B0604030504040204" pitchFamily="34" charset="0"/>
                        <a:cs typeface="Tahoma" panose="020B0604030504040204" pitchFamily="34" charset="0"/>
                      </a:defRPr>
                    </a:pPr>
                    <a:r>
                      <a:rPr lang="en-US"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430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lt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extLst>
                <c:ext xmlns:c15="http://schemas.microsoft.com/office/drawing/2012/chart" uri="{CE6537A1-D6FC-4f65-9D91-7224C49458BB}">
                  <c15:layout>
                    <c:manualLayout>
                      <c:w val="0.11113184908678843"/>
                      <c:h val="8.1639629060667712E-2"/>
                    </c:manualLayout>
                  </c15:layout>
                </c:ext>
                <c:ext xmlns:c16="http://schemas.microsoft.com/office/drawing/2014/chart" uri="{C3380CC4-5D6E-409C-BE32-E72D297353CC}">
                  <c16:uniqueId val="{00000001-BF46-44A2-9893-2F33BE756103}"/>
                </c:ext>
              </c:extLst>
            </c:dLbl>
            <c:dLbl>
              <c:idx val="1"/>
              <c:layout>
                <c:manualLayout>
                  <c:x val="0"/>
                  <c:y val="-0.35750766087844749"/>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Tahoma" panose="020B0604030504040204" pitchFamily="34" charset="0"/>
                        <a:ea typeface="Tahoma" panose="020B0604030504040204" pitchFamily="34" charset="0"/>
                        <a:cs typeface="Tahoma" panose="020B0604030504040204" pitchFamily="34" charset="0"/>
                      </a:defRPr>
                    </a:pPr>
                    <a:r>
                      <a:rPr lang="en-US"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6,080</a:t>
                    </a:r>
                    <a:endParaRPr lang="en-US" baseline="0">
                      <a:latin typeface="Tahoma" panose="020B0604030504040204" pitchFamily="34" charset="0"/>
                      <a:ea typeface="Tahoma" panose="020B0604030504040204" pitchFamily="34" charset="0"/>
                      <a:cs typeface="Tahoma" panose="020B0604030504040204" pitchFamily="34" charset="0"/>
                    </a:endParaRPr>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46-44A2-9893-2F33BE756103}"/>
                </c:ext>
              </c:extLst>
            </c:dLbl>
            <c:dLbl>
              <c:idx val="2"/>
              <c:layout>
                <c:manualLayout>
                  <c:x val="0"/>
                  <c:y val="-0.13789581205311544"/>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Tahoma" panose="020B0604030504040204" pitchFamily="34" charset="0"/>
                        <a:ea typeface="Tahoma" panose="020B0604030504040204" pitchFamily="34" charset="0"/>
                        <a:cs typeface="Tahoma" panose="020B0604030504040204" pitchFamily="34" charset="0"/>
                      </a:defRPr>
                    </a:pPr>
                    <a:fld id="{7CFBB8B3-3CAB-435C-9D63-80E1F6DEDF31}" type="VALUE">
                      <a:rPr lang="en-US"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pPr>
                        <a:defRPr>
                          <a:latin typeface="Tahoma" panose="020B0604030504040204" pitchFamily="34" charset="0"/>
                          <a:ea typeface="Tahoma" panose="020B0604030504040204" pitchFamily="34" charset="0"/>
                          <a:cs typeface="Tahoma" panose="020B0604030504040204" pitchFamily="34" charset="0"/>
                        </a:defRPr>
                      </a:pPr>
                      <a:t>[VALUE]</a:t>
                    </a:fld>
                    <a:endParaRPr lang="he-IL"/>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F46-44A2-9893-2F33BE7561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גיליון1!$A$2:$A$4</c:f>
              <c:strCache>
                <c:ptCount val="3"/>
                <c:pt idx="0">
                  <c:v>תלונות על הטרדה מינית למשטרת ישראל</c:v>
                </c:pt>
                <c:pt idx="1">
                  <c:v>דיווחים על הטרדה מינית (תלמידים) בסקרי ראמ"ה</c:v>
                </c:pt>
                <c:pt idx="2">
                  <c:v>דיווחים על הטרדה מינית (אנשי צוות) בסקרי ראמ"ה</c:v>
                </c:pt>
              </c:strCache>
            </c:strRef>
          </c:cat>
          <c:val>
            <c:numRef>
              <c:f>גיליון1!$C$2:$C$4</c:f>
              <c:numCache>
                <c:formatCode>General</c:formatCode>
                <c:ptCount val="3"/>
                <c:pt idx="0">
                  <c:v>33</c:v>
                </c:pt>
                <c:pt idx="1">
                  <c:v>6068</c:v>
                </c:pt>
                <c:pt idx="2">
                  <c:v>1568</c:v>
                </c:pt>
              </c:numCache>
            </c:numRef>
          </c:val>
          <c:extLst>
            <c:ext xmlns:c16="http://schemas.microsoft.com/office/drawing/2014/chart" uri="{C3380CC4-5D6E-409C-BE32-E72D297353CC}">
              <c16:uniqueId val="{00000004-BF46-44A2-9893-2F33BE756103}"/>
            </c:ext>
          </c:extLst>
        </c:ser>
        <c:dLbls>
          <c:dLblPos val="ctr"/>
          <c:showLegendKey val="0"/>
          <c:showVal val="1"/>
          <c:showCatName val="0"/>
          <c:showSerName val="0"/>
          <c:showPercent val="0"/>
          <c:showBubbleSize val="0"/>
        </c:dLbls>
        <c:gapWidth val="79"/>
        <c:overlap val="100"/>
        <c:axId val="639208024"/>
        <c:axId val="639208352"/>
      </c:barChart>
      <c:catAx>
        <c:axId val="639208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0" normalizeH="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39208352"/>
        <c:crosses val="autoZero"/>
        <c:auto val="1"/>
        <c:lblAlgn val="ctr"/>
        <c:lblOffset val="100"/>
        <c:noMultiLvlLbl val="0"/>
      </c:catAx>
      <c:valAx>
        <c:axId val="639208352"/>
        <c:scaling>
          <c:orientation val="minMax"/>
        </c:scaling>
        <c:delete val="1"/>
        <c:axPos val="l"/>
        <c:numFmt formatCode="#,##0" sourceLinked="0"/>
        <c:majorTickMark val="none"/>
        <c:minorTickMark val="none"/>
        <c:tickLblPos val="nextTo"/>
        <c:crossAx val="639208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53639936798946E-2"/>
          <c:y val="3.219421819044499E-2"/>
          <c:w val="0.78463892262223456"/>
          <c:h val="0.72790349283262679"/>
        </c:manualLayout>
      </c:layout>
      <c:doughnutChart>
        <c:varyColors val="1"/>
        <c:ser>
          <c:idx val="0"/>
          <c:order val="0"/>
          <c:tx>
            <c:strRef>
              <c:f>גיליון1!$B$1</c:f>
              <c:strCache>
                <c:ptCount val="1"/>
                <c:pt idx="0">
                  <c:v>דוברות עברית</c:v>
                </c:pt>
              </c:strCache>
            </c:strRef>
          </c:tx>
          <c:spPr>
            <a:ln>
              <a:solidFill>
                <a:schemeClr val="bg1"/>
              </a:solidFill>
            </a:ln>
          </c:spPr>
          <c:dPt>
            <c:idx val="0"/>
            <c:bubble3D val="0"/>
            <c:spPr>
              <a:solidFill>
                <a:schemeClr val="accent5">
                  <a:lumMod val="50000"/>
                </a:schemeClr>
              </a:solidFill>
              <a:ln>
                <a:solidFill>
                  <a:schemeClr val="bg1"/>
                </a:solidFill>
              </a:ln>
              <a:effectLst>
                <a:outerShdw blurRad="317500" algn="ctr" rotWithShape="0">
                  <a:prstClr val="black">
                    <a:alpha val="25000"/>
                  </a:prstClr>
                </a:outerShdw>
              </a:effectLst>
            </c:spPr>
            <c:extLst>
              <c:ext xmlns:c16="http://schemas.microsoft.com/office/drawing/2014/chart" uri="{C3380CC4-5D6E-409C-BE32-E72D297353CC}">
                <c16:uniqueId val="{00000001-440D-400F-887D-07A328406847}"/>
              </c:ext>
            </c:extLst>
          </c:dPt>
          <c:dPt>
            <c:idx val="1"/>
            <c:bubble3D val="0"/>
            <c:spPr>
              <a:solidFill>
                <a:schemeClr val="accent2">
                  <a:lumMod val="50000"/>
                </a:schemeClr>
              </a:solidFill>
              <a:ln>
                <a:solidFill>
                  <a:schemeClr val="bg1"/>
                </a:solidFill>
              </a:ln>
              <a:effectLst>
                <a:outerShdw blurRad="317500" algn="ctr" rotWithShape="0">
                  <a:prstClr val="black">
                    <a:alpha val="25000"/>
                  </a:prstClr>
                </a:outerShdw>
              </a:effectLst>
            </c:spPr>
            <c:extLst>
              <c:ext xmlns:c16="http://schemas.microsoft.com/office/drawing/2014/chart" uri="{C3380CC4-5D6E-409C-BE32-E72D297353CC}">
                <c16:uniqueId val="{00000003-440D-400F-887D-07A328406847}"/>
              </c:ext>
            </c:extLst>
          </c:dPt>
          <c:dPt>
            <c:idx val="2"/>
            <c:bubble3D val="0"/>
            <c:spPr>
              <a:solidFill>
                <a:schemeClr val="accent2">
                  <a:lumMod val="75000"/>
                </a:schemeClr>
              </a:solidFill>
              <a:ln>
                <a:solidFill>
                  <a:schemeClr val="bg1"/>
                </a:solidFill>
              </a:ln>
              <a:effectLst>
                <a:outerShdw blurRad="317500" algn="ctr" rotWithShape="0">
                  <a:prstClr val="black">
                    <a:alpha val="25000"/>
                  </a:prstClr>
                </a:outerShdw>
              </a:effectLst>
            </c:spPr>
            <c:extLst>
              <c:ext xmlns:c16="http://schemas.microsoft.com/office/drawing/2014/chart" uri="{C3380CC4-5D6E-409C-BE32-E72D297353CC}">
                <c16:uniqueId val="{00000005-440D-400F-887D-07A328406847}"/>
              </c:ext>
            </c:extLst>
          </c:dPt>
          <c:dPt>
            <c:idx val="3"/>
            <c:bubble3D val="0"/>
            <c:spPr>
              <a:solidFill>
                <a:schemeClr val="accent2"/>
              </a:solidFill>
              <a:ln>
                <a:solidFill>
                  <a:schemeClr val="bg1"/>
                </a:solidFill>
              </a:ln>
              <a:effectLst>
                <a:outerShdw blurRad="317500" algn="ctr" rotWithShape="0">
                  <a:prstClr val="black">
                    <a:alpha val="25000"/>
                  </a:prstClr>
                </a:outerShdw>
              </a:effectLst>
            </c:spPr>
            <c:extLst>
              <c:ext xmlns:c16="http://schemas.microsoft.com/office/drawing/2014/chart" uri="{C3380CC4-5D6E-409C-BE32-E72D297353CC}">
                <c16:uniqueId val="{00000007-440D-400F-887D-07A328406847}"/>
              </c:ext>
            </c:extLst>
          </c:dPt>
          <c:dLbls>
            <c:dLbl>
              <c:idx val="0"/>
              <c:layout>
                <c:manualLayout>
                  <c:x val="0.12161415146489764"/>
                  <c:y val="-0.1099952175992348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40D-400F-887D-07A328406847}"/>
                </c:ext>
              </c:extLst>
            </c:dLbl>
            <c:dLbl>
              <c:idx val="1"/>
              <c:layout>
                <c:manualLayout>
                  <c:x val="-0.13266998341625211"/>
                  <c:y val="5.260640841702534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40D-400F-887D-07A328406847}"/>
                </c:ext>
              </c:extLst>
            </c:dLbl>
            <c:dLbl>
              <c:idx val="2"/>
              <c:layout>
                <c:manualLayout>
                  <c:x val="-9.9502487562189074E-2"/>
                  <c:y val="-7.173601147776187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40D-400F-887D-07A328406847}"/>
                </c:ext>
              </c:extLst>
            </c:dLbl>
            <c:dLbl>
              <c:idx val="3"/>
              <c:layout>
                <c:manualLayout>
                  <c:x val="-3.316749585406302E-2"/>
                  <c:y val="-5.842640823743185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40D-400F-887D-07A3284068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1"/>
            <c:showBubbleSize val="0"/>
            <c:showLeaderLines val="0"/>
            <c:extLst>
              <c:ext xmlns:c15="http://schemas.microsoft.com/office/drawing/2012/chart" uri="{CE6537A1-D6FC-4f65-9D91-7224C49458BB}"/>
            </c:extLst>
          </c:dLbls>
          <c:cat>
            <c:strRef>
              <c:f>גיליון1!$A$2:$A$5</c:f>
              <c:strCache>
                <c:ptCount val="4"/>
                <c:pt idx="0">
                  <c:v>לא חוו פגיעה מינית</c:v>
                </c:pt>
                <c:pt idx="1">
                  <c:v>מגע פיזי לא רצוי</c:v>
                </c:pt>
                <c:pt idx="2">
                  <c:v>אמירה בעלת אופי מיני</c:v>
                </c:pt>
                <c:pt idx="3">
                  <c:v>אחר (תיארו חוויה שלילית בעלת גוון מיני שלא הופיעה בשאלון)</c:v>
                </c:pt>
              </c:strCache>
            </c:strRef>
          </c:cat>
          <c:val>
            <c:numRef>
              <c:f>גיליון1!$B$2:$B$5</c:f>
              <c:numCache>
                <c:formatCode>General</c:formatCode>
                <c:ptCount val="4"/>
                <c:pt idx="0">
                  <c:v>97</c:v>
                </c:pt>
                <c:pt idx="1">
                  <c:v>31</c:v>
                </c:pt>
                <c:pt idx="2">
                  <c:v>36</c:v>
                </c:pt>
                <c:pt idx="3">
                  <c:v>11</c:v>
                </c:pt>
              </c:numCache>
            </c:numRef>
          </c:val>
          <c:extLst>
            <c:ext xmlns:c16="http://schemas.microsoft.com/office/drawing/2014/chart" uri="{C3380CC4-5D6E-409C-BE32-E72D297353CC}">
              <c16:uniqueId val="{00000008-440D-400F-887D-07A328406847}"/>
            </c:ext>
          </c:extLst>
        </c:ser>
        <c:dLbls>
          <c:showLegendKey val="0"/>
          <c:showVal val="0"/>
          <c:showCatName val="0"/>
          <c:showSerName val="0"/>
          <c:showPercent val="1"/>
          <c:showBubbleSize val="0"/>
          <c:showLeaderLines val="0"/>
        </c:dLbls>
        <c:firstSliceAng val="0"/>
        <c:holeSize val="7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he-I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30987797529994"/>
          <c:y val="2.2848139637867498E-2"/>
          <c:w val="0.80402595432988888"/>
          <c:h val="0.73654451991784287"/>
        </c:manualLayout>
      </c:layout>
      <c:doughnutChart>
        <c:varyColors val="1"/>
        <c:ser>
          <c:idx val="0"/>
          <c:order val="0"/>
          <c:tx>
            <c:strRef>
              <c:f>גיליון1!$B$1</c:f>
              <c:strCache>
                <c:ptCount val="1"/>
                <c:pt idx="0">
                  <c:v>דוברות ערבית</c:v>
                </c:pt>
              </c:strCache>
            </c:strRef>
          </c:tx>
          <c:spPr>
            <a:ln>
              <a:solidFill>
                <a:schemeClr val="bg1"/>
              </a:solidFill>
            </a:ln>
          </c:spPr>
          <c:dPt>
            <c:idx val="0"/>
            <c:bubble3D val="0"/>
            <c:spPr>
              <a:solidFill>
                <a:schemeClr val="accent5">
                  <a:lumMod val="50000"/>
                </a:schemeClr>
              </a:solidFill>
              <a:ln>
                <a:solidFill>
                  <a:schemeClr val="bg1"/>
                </a:solidFill>
              </a:ln>
              <a:effectLst>
                <a:outerShdw blurRad="317500" algn="ctr" rotWithShape="0">
                  <a:prstClr val="black">
                    <a:alpha val="25000"/>
                  </a:prstClr>
                </a:outerShdw>
              </a:effectLst>
            </c:spPr>
            <c:extLst>
              <c:ext xmlns:c16="http://schemas.microsoft.com/office/drawing/2014/chart" uri="{C3380CC4-5D6E-409C-BE32-E72D297353CC}">
                <c16:uniqueId val="{00000001-EA16-4FDE-836C-9371121D46EB}"/>
              </c:ext>
            </c:extLst>
          </c:dPt>
          <c:dPt>
            <c:idx val="1"/>
            <c:bubble3D val="0"/>
            <c:spPr>
              <a:solidFill>
                <a:schemeClr val="accent2">
                  <a:lumMod val="50000"/>
                </a:schemeClr>
              </a:solidFill>
              <a:ln>
                <a:solidFill>
                  <a:schemeClr val="bg1"/>
                </a:solidFill>
              </a:ln>
              <a:effectLst>
                <a:outerShdw blurRad="317500" algn="ctr" rotWithShape="0">
                  <a:prstClr val="black">
                    <a:alpha val="25000"/>
                  </a:prstClr>
                </a:outerShdw>
              </a:effectLst>
            </c:spPr>
            <c:extLst>
              <c:ext xmlns:c16="http://schemas.microsoft.com/office/drawing/2014/chart" uri="{C3380CC4-5D6E-409C-BE32-E72D297353CC}">
                <c16:uniqueId val="{00000003-EA16-4FDE-836C-9371121D46EB}"/>
              </c:ext>
            </c:extLst>
          </c:dPt>
          <c:dPt>
            <c:idx val="2"/>
            <c:bubble3D val="0"/>
            <c:spPr>
              <a:solidFill>
                <a:schemeClr val="accent2">
                  <a:lumMod val="75000"/>
                </a:schemeClr>
              </a:solidFill>
              <a:ln>
                <a:solidFill>
                  <a:schemeClr val="bg1"/>
                </a:solidFill>
              </a:ln>
              <a:effectLst>
                <a:outerShdw blurRad="317500" algn="ctr" rotWithShape="0">
                  <a:prstClr val="black">
                    <a:alpha val="25000"/>
                  </a:prstClr>
                </a:outerShdw>
              </a:effectLst>
            </c:spPr>
            <c:extLst>
              <c:ext xmlns:c16="http://schemas.microsoft.com/office/drawing/2014/chart" uri="{C3380CC4-5D6E-409C-BE32-E72D297353CC}">
                <c16:uniqueId val="{00000005-EA16-4FDE-836C-9371121D46EB}"/>
              </c:ext>
            </c:extLst>
          </c:dPt>
          <c:dPt>
            <c:idx val="3"/>
            <c:bubble3D val="0"/>
            <c:spPr>
              <a:solidFill>
                <a:schemeClr val="accent2"/>
              </a:solidFill>
              <a:ln>
                <a:solidFill>
                  <a:schemeClr val="bg1"/>
                </a:solidFill>
              </a:ln>
              <a:effectLst>
                <a:outerShdw blurRad="317500" algn="ctr" rotWithShape="0">
                  <a:prstClr val="black">
                    <a:alpha val="25000"/>
                  </a:prstClr>
                </a:outerShdw>
              </a:effectLst>
            </c:spPr>
            <c:extLst>
              <c:ext xmlns:c16="http://schemas.microsoft.com/office/drawing/2014/chart" uri="{C3380CC4-5D6E-409C-BE32-E72D297353CC}">
                <c16:uniqueId val="{00000007-EA16-4FDE-836C-9371121D46EB}"/>
              </c:ext>
            </c:extLst>
          </c:dPt>
          <c:dLbls>
            <c:dLbl>
              <c:idx val="0"/>
              <c:layout>
                <c:manualLayout>
                  <c:x val="0.10411244143675169"/>
                  <c:y val="-0.1573676853611689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A16-4FDE-836C-9371121D46EB}"/>
                </c:ext>
              </c:extLst>
            </c:dLbl>
            <c:dLbl>
              <c:idx val="1"/>
              <c:layout>
                <c:manualLayout>
                  <c:x val="-0.124934929724102"/>
                  <c:y val="4.82741974414675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A16-4FDE-836C-9371121D46EB}"/>
                </c:ext>
              </c:extLst>
            </c:dLbl>
            <c:dLbl>
              <c:idx val="2"/>
              <c:layout>
                <c:manualLayout>
                  <c:x val="-0.10931806350858925"/>
                  <c:y val="-4.827419744146753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A16-4FDE-836C-9371121D46EB}"/>
                </c:ext>
              </c:extLst>
            </c:dLbl>
            <c:dLbl>
              <c:idx val="3"/>
              <c:layout>
                <c:manualLayout>
                  <c:x val="-0.12493492972410203"/>
                  <c:y val="-4.291845493562232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A16-4FDE-836C-9371121D46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1"/>
            <c:showBubbleSize val="0"/>
            <c:showLeaderLines val="0"/>
            <c:extLst>
              <c:ext xmlns:c15="http://schemas.microsoft.com/office/drawing/2012/chart" uri="{CE6537A1-D6FC-4f65-9D91-7224C49458BB}"/>
            </c:extLst>
          </c:dLbls>
          <c:cat>
            <c:strRef>
              <c:f>גיליון1!$A$2:$A$5</c:f>
              <c:strCache>
                <c:ptCount val="4"/>
                <c:pt idx="0">
                  <c:v>לא חוו הטרדה מינית</c:v>
                </c:pt>
                <c:pt idx="1">
                  <c:v>מגע פיזי לא רצוי</c:v>
                </c:pt>
                <c:pt idx="2">
                  <c:v>אמירה בעלת אופי מיני</c:v>
                </c:pt>
                <c:pt idx="3">
                  <c:v>אחר (תיארו חוויה שלילית שלא הופיעה בשאלון)</c:v>
                </c:pt>
              </c:strCache>
            </c:strRef>
          </c:cat>
          <c:val>
            <c:numRef>
              <c:f>גיליון1!$B$2:$B$5</c:f>
              <c:numCache>
                <c:formatCode>General</c:formatCode>
                <c:ptCount val="4"/>
                <c:pt idx="0">
                  <c:v>53</c:v>
                </c:pt>
                <c:pt idx="1">
                  <c:v>11</c:v>
                </c:pt>
                <c:pt idx="2">
                  <c:v>16</c:v>
                </c:pt>
                <c:pt idx="3">
                  <c:v>19</c:v>
                </c:pt>
              </c:numCache>
            </c:numRef>
          </c:val>
          <c:extLst>
            <c:ext xmlns:c16="http://schemas.microsoft.com/office/drawing/2014/chart" uri="{C3380CC4-5D6E-409C-BE32-E72D297353CC}">
              <c16:uniqueId val="{00000008-EA16-4FDE-836C-9371121D46EB}"/>
            </c:ext>
          </c:extLst>
        </c:ser>
        <c:dLbls>
          <c:showLegendKey val="0"/>
          <c:showVal val="0"/>
          <c:showCatName val="0"/>
          <c:showSerName val="0"/>
          <c:showPercent val="1"/>
          <c:showBubbleSize val="0"/>
          <c:showLeaderLines val="0"/>
        </c:dLbls>
        <c:firstSliceAng val="0"/>
        <c:holeSize val="70"/>
      </c:doughnutChart>
      <c:spPr>
        <a:noFill/>
        <a:ln>
          <a:solidFill>
            <a:schemeClr val="bg1"/>
          </a:solidFill>
        </a:ln>
        <a:effectLst/>
      </c:spPr>
    </c:plotArea>
    <c:plotVisOnly val="1"/>
    <c:dispBlanksAs val="gap"/>
    <c:showDLblsOverMax val="0"/>
  </c:chart>
  <c:spPr>
    <a:noFill/>
    <a:ln w="9525" cap="flat" cmpd="sng" algn="ctr">
      <a:solidFill>
        <a:schemeClr val="bg1"/>
      </a:solidFill>
      <a:round/>
    </a:ln>
    <a:effectLst/>
  </c:spPr>
  <c:txPr>
    <a:bodyPr/>
    <a:lstStyle/>
    <a:p>
      <a:pPr>
        <a:defRPr/>
      </a:pPr>
      <a:endParaRPr lang="he-I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גיליון1!$B$1</c:f>
              <c:strCache>
                <c:ptCount val="1"/>
                <c:pt idx="0">
                  <c:v>עמודה1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BB2-436E-8DD2-012079B52AF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BB2-436E-8DD2-012079B52AF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BB2-436E-8DD2-012079B52AF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EBB2-436E-8DD2-012079B52AF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EBB2-436E-8DD2-012079B52AF6}"/>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EBB2-436E-8DD2-012079B52AF6}"/>
              </c:ext>
            </c:extLst>
          </c:dPt>
          <c:dLbls>
            <c:dLbl>
              <c:idx val="0"/>
              <c:layout>
                <c:manualLayout>
                  <c:x val="6.4239828693790052E-2"/>
                  <c:y val="-0.1620370370370370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BB2-436E-8DD2-012079B52AF6}"/>
                </c:ext>
              </c:extLst>
            </c:dLbl>
            <c:dLbl>
              <c:idx val="1"/>
              <c:layout>
                <c:manualLayout>
                  <c:x val="6.368299920754017E-2"/>
                  <c:y val="0.1147878390201224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BB2-436E-8DD2-012079B52AF6}"/>
                </c:ext>
              </c:extLst>
            </c:dLbl>
            <c:dLbl>
              <c:idx val="2"/>
              <c:layout>
                <c:manualLayout>
                  <c:x val="-5.6209850107066382E-2"/>
                  <c:y val="0.1296296296296294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BB2-436E-8DD2-012079B52AF6}"/>
                </c:ext>
              </c:extLst>
            </c:dLbl>
            <c:dLbl>
              <c:idx val="3"/>
              <c:layout>
                <c:manualLayout>
                  <c:x val="-8.0128437505269018E-2"/>
                  <c:y val="-8.456255468066491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BB2-436E-8DD2-012079B52AF6}"/>
                </c:ext>
              </c:extLst>
            </c:dLbl>
            <c:dLbl>
              <c:idx val="4"/>
              <c:layout>
                <c:manualLayout>
                  <c:x val="-5.6209850107066403E-2"/>
                  <c:y val="-0.12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BB2-436E-8DD2-012079B52AF6}"/>
                </c:ext>
              </c:extLst>
            </c:dLbl>
            <c:dLbl>
              <c:idx val="5"/>
              <c:layout>
                <c:manualLayout>
                  <c:x val="-4.1918174307440693E-3"/>
                  <c:y val="-0.1369010644502770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BB2-436E-8DD2-012079B52A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1"/>
            <c:showBubbleSize val="0"/>
            <c:showLeaderLines val="0"/>
            <c:extLst>
              <c:ext xmlns:c15="http://schemas.microsoft.com/office/drawing/2012/chart" uri="{CE6537A1-D6FC-4f65-9D91-7224C49458BB}"/>
            </c:extLst>
          </c:dLbls>
          <c:cat>
            <c:strRef>
              <c:f>גיליון1!$A$2:$A$7</c:f>
              <c:strCache>
                <c:ptCount val="6"/>
                <c:pt idx="0">
                  <c:v>טיפלה בנושא לבד</c:v>
                </c:pt>
                <c:pt idx="1">
                  <c:v>ביקשה מצד שלישי לטפל בנושא</c:v>
                </c:pt>
                <c:pt idx="2">
                  <c:v>לא חשבה שמוצדק להגיש תלונה</c:v>
                </c:pt>
                <c:pt idx="3">
                  <c:v>חשבה שלא יטפלו בתלונה ברצינות במקום העבודה</c:v>
                </c:pt>
                <c:pt idx="4">
                  <c:v>חששה מהתגובה</c:v>
                </c:pt>
                <c:pt idx="5">
                  <c:v>אחר</c:v>
                </c:pt>
              </c:strCache>
            </c:strRef>
          </c:cat>
          <c:val>
            <c:numRef>
              <c:f>גיליון1!$B$2:$B$7</c:f>
              <c:numCache>
                <c:formatCode>0.00%</c:formatCode>
                <c:ptCount val="6"/>
                <c:pt idx="0">
                  <c:v>0.372</c:v>
                </c:pt>
                <c:pt idx="1">
                  <c:v>3.2000000000000001E-2</c:v>
                </c:pt>
                <c:pt idx="2">
                  <c:v>0.41799999999999998</c:v>
                </c:pt>
                <c:pt idx="3" formatCode="0%">
                  <c:v>0.05</c:v>
                </c:pt>
                <c:pt idx="4">
                  <c:v>0.10100000000000001</c:v>
                </c:pt>
                <c:pt idx="5">
                  <c:v>2.5999999999999999E-2</c:v>
                </c:pt>
              </c:numCache>
            </c:numRef>
          </c:val>
          <c:extLst>
            <c:ext xmlns:c16="http://schemas.microsoft.com/office/drawing/2014/chart" uri="{C3380CC4-5D6E-409C-BE32-E72D297353CC}">
              <c16:uniqueId val="{0000000C-EBB2-436E-8DD2-012079B52AF6}"/>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r"/>
      <c:layout>
        <c:manualLayout>
          <c:xMode val="edge"/>
          <c:yMode val="edge"/>
          <c:x val="0.59731111635670808"/>
          <c:y val="4.1126068918804513E-2"/>
          <c:w val="0.38662892646984431"/>
          <c:h val="0.95887393108119545"/>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he-I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גיליון1!$B$1</c:f>
              <c:strCache>
                <c:ptCount val="1"/>
                <c:pt idx="0">
                  <c:v>אופן הטיפול בתלונות על הטרדה מינית בעבודה</c:v>
                </c:pt>
              </c:strCache>
            </c:strRef>
          </c:tx>
          <c:dPt>
            <c:idx val="0"/>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1-4E67-4E88-BD71-D2FBD6FAA689}"/>
              </c:ext>
            </c:extLst>
          </c:dPt>
          <c:dPt>
            <c:idx val="1"/>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3-4E67-4E88-BD71-D2FBD6FAA689}"/>
              </c:ext>
            </c:extLst>
          </c:dPt>
          <c:dPt>
            <c:idx val="2"/>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5-4E67-4E88-BD71-D2FBD6FAA689}"/>
              </c:ext>
            </c:extLst>
          </c:dPt>
          <c:dPt>
            <c:idx val="3"/>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7-4E67-4E88-BD71-D2FBD6FAA689}"/>
              </c:ext>
            </c:extLst>
          </c:dPt>
          <c:dPt>
            <c:idx val="4"/>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9-4E67-4E88-BD71-D2FBD6FAA689}"/>
              </c:ext>
            </c:extLst>
          </c:dPt>
          <c:dLbls>
            <c:dLbl>
              <c:idx val="0"/>
              <c:layout>
                <c:manualLayout>
                  <c:x val="5.6795131845841736E-2"/>
                  <c:y val="-0.1379310344827586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E67-4E88-BD71-D2FBD6FAA689}"/>
                </c:ext>
              </c:extLst>
            </c:dLbl>
            <c:dLbl>
              <c:idx val="1"/>
              <c:layout>
                <c:manualLayout>
                  <c:x val="0.10547667342799188"/>
                  <c:y val="1.83908045977011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E67-4E88-BD71-D2FBD6FAA689}"/>
                </c:ext>
              </c:extLst>
            </c:dLbl>
            <c:dLbl>
              <c:idx val="2"/>
              <c:layout>
                <c:manualLayout>
                  <c:x val="4.3097645248705019E-2"/>
                  <c:y val="0.13877744592270794"/>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fld id="{81B2E0A5-43B9-4975-8BAE-6630FAFC845B}" type="PERCENTAGE">
                      <a:rPr lang="he-IL" sz="900">
                        <a:latin typeface="Tahoma" panose="020B0604030504040204" pitchFamily="34" charset="0"/>
                        <a:ea typeface="Tahoma" panose="020B0604030504040204" pitchFamily="34" charset="0"/>
                        <a:cs typeface="Tahoma" panose="020B0604030504040204" pitchFamily="34" charset="0"/>
                      </a:rPr>
                      <a:pPr>
                        <a:defRPr sz="1100">
                          <a:latin typeface="Tahoma" panose="020B0604030504040204" pitchFamily="34" charset="0"/>
                          <a:ea typeface="Tahoma" panose="020B0604030504040204" pitchFamily="34" charset="0"/>
                          <a:cs typeface="Tahoma" panose="020B0604030504040204" pitchFamily="34" charset="0"/>
                        </a:defRPr>
                      </a:pPr>
                      <a:t>[PERCENTAGE]</a:t>
                    </a:fld>
                    <a:endParaRPr lang="he-IL"/>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E67-4E88-BD71-D2FBD6FAA689}"/>
                </c:ext>
              </c:extLst>
            </c:dLbl>
            <c:dLbl>
              <c:idx val="3"/>
              <c:layout>
                <c:manualLayout>
                  <c:x val="-0.10818120351588911"/>
                  <c:y val="0.10574712643678161"/>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fld id="{396CC8E4-DB7F-4D19-B523-1BAA1BC3DE36}" type="PERCENTAGE">
                      <a:rPr lang="he-IL" sz="900">
                        <a:latin typeface="Tahoma" panose="020B0604030504040204" pitchFamily="34" charset="0"/>
                        <a:ea typeface="Tahoma" panose="020B0604030504040204" pitchFamily="34" charset="0"/>
                        <a:cs typeface="Tahoma" panose="020B0604030504040204" pitchFamily="34" charset="0"/>
                      </a:rPr>
                      <a:pPr>
                        <a:defRPr sz="1100">
                          <a:latin typeface="Tahoma" panose="020B0604030504040204" pitchFamily="34" charset="0"/>
                          <a:ea typeface="Tahoma" panose="020B0604030504040204" pitchFamily="34" charset="0"/>
                          <a:cs typeface="Tahoma" panose="020B0604030504040204" pitchFamily="34" charset="0"/>
                        </a:defRPr>
                      </a:pPr>
                      <a:t>[PERCENTAGE]</a:t>
                    </a:fld>
                    <a:endParaRPr lang="he-IL"/>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E67-4E88-BD71-D2FBD6FAA689}"/>
                </c:ext>
              </c:extLst>
            </c:dLbl>
            <c:dLbl>
              <c:idx val="4"/>
              <c:layout>
                <c:manualLayout>
                  <c:x val="-8.6544962812711304E-2"/>
                  <c:y val="-0.1287356321839081"/>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fld id="{8C301A4A-8D1B-43CB-9914-32D764228DA3}" type="PERCENTAGE">
                      <a:rPr lang="he-IL" sz="900">
                        <a:latin typeface="Tahoma" panose="020B0604030504040204" pitchFamily="34" charset="0"/>
                        <a:ea typeface="Tahoma" panose="020B0604030504040204" pitchFamily="34" charset="0"/>
                        <a:cs typeface="Tahoma" panose="020B0604030504040204" pitchFamily="34" charset="0"/>
                      </a:rPr>
                      <a:pPr>
                        <a:defRPr sz="1100">
                          <a:latin typeface="Tahoma" panose="020B0604030504040204" pitchFamily="34" charset="0"/>
                          <a:ea typeface="Tahoma" panose="020B0604030504040204" pitchFamily="34" charset="0"/>
                          <a:cs typeface="Tahoma" panose="020B0604030504040204" pitchFamily="34" charset="0"/>
                        </a:defRPr>
                      </a:pPr>
                      <a:t>[PERCENTAGE]</a:t>
                    </a:fld>
                    <a:endParaRPr lang="he-IL"/>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E67-4E88-BD71-D2FBD6FAA6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1"/>
            <c:showBubbleSize val="0"/>
            <c:showLeaderLines val="0"/>
            <c:extLst>
              <c:ext xmlns:c15="http://schemas.microsoft.com/office/drawing/2012/chart" uri="{CE6537A1-D6FC-4f65-9D91-7224C49458BB}"/>
            </c:extLst>
          </c:dLbls>
          <c:cat>
            <c:strRef>
              <c:f>גיליון1!$A$2:$A$6</c:f>
              <c:strCache>
                <c:ptCount val="5"/>
                <c:pt idx="0">
                  <c:v>המטריד פוטר</c:v>
                </c:pt>
                <c:pt idx="1">
                  <c:v>המטריד ננזף</c:v>
                </c:pt>
                <c:pt idx="2">
                  <c:v>המטריד עבר לתפקיד אחר</c:v>
                </c:pt>
                <c:pt idx="3">
                  <c:v>סנקציה אחרת (ללא פירוט)</c:v>
                </c:pt>
                <c:pt idx="4">
                  <c:v>לא נעשה דבר</c:v>
                </c:pt>
              </c:strCache>
            </c:strRef>
          </c:cat>
          <c:val>
            <c:numRef>
              <c:f>גיליון1!$B$2:$B$6</c:f>
              <c:numCache>
                <c:formatCode>General</c:formatCode>
                <c:ptCount val="5"/>
                <c:pt idx="0">
                  <c:v>12.3</c:v>
                </c:pt>
                <c:pt idx="1">
                  <c:v>33.299999999999997</c:v>
                </c:pt>
                <c:pt idx="2">
                  <c:v>1.8</c:v>
                </c:pt>
                <c:pt idx="3">
                  <c:v>17.5</c:v>
                </c:pt>
                <c:pt idx="4">
                  <c:v>35.1</c:v>
                </c:pt>
              </c:numCache>
            </c:numRef>
          </c:val>
          <c:extLst>
            <c:ext xmlns:c16="http://schemas.microsoft.com/office/drawing/2014/chart" uri="{C3380CC4-5D6E-409C-BE32-E72D297353CC}">
              <c16:uniqueId val="{0000000A-4E67-4E88-BD71-D2FBD6FAA689}"/>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r"/>
      <c:layout>
        <c:manualLayout>
          <c:xMode val="edge"/>
          <c:yMode val="edge"/>
          <c:x val="0.64703582437590834"/>
          <c:y val="8.7879431737699437E-2"/>
          <c:w val="0.33673699509670824"/>
          <c:h val="0.85069574636503764"/>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87E6E2B-858E-4AB3-9648-457AB5B6A8D5}">
  <ds:schemaRefs>
    <ds:schemaRef ds:uri="http://schemas.openxmlformats.org/officeDocument/2006/bibliography"/>
  </ds:schemaRefs>
</ds:datastoreItem>
</file>

<file path=customXml/itemProps2.xml><?xml version="1.0" encoding="utf-8"?>
<ds:datastoreItem xmlns:ds="http://schemas.openxmlformats.org/officeDocument/2006/customXml" ds:itemID="{9C44FF3B-C203-4C53-8A40-F9F75E860214}"/>
</file>

<file path=customXml/itemProps3.xml><?xml version="1.0" encoding="utf-8"?>
<ds:datastoreItem xmlns:ds="http://schemas.openxmlformats.org/officeDocument/2006/customXml" ds:itemID="{EB4B6062-DEC2-43E4-9B42-1027E08388B0}"/>
</file>

<file path=customXml/itemProps4.xml><?xml version="1.0" encoding="utf-8"?>
<ds:datastoreItem xmlns:ds="http://schemas.openxmlformats.org/officeDocument/2006/customXml" ds:itemID="{EB2F9815-6B0C-4A3E-89B6-6D2BCA502C25}"/>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586</TotalTime>
  <Pages>101</Pages>
  <Words>24941</Words>
  <Characters>124706</Characters>
  <Application>Microsoft Office Word</Application>
  <DocSecurity>0</DocSecurity>
  <Lines>1039</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42</cp:revision>
  <cp:lastPrinted>2020-02-23T08:43:00Z</cp:lastPrinted>
  <dcterms:created xsi:type="dcterms:W3CDTF">2020-03-15T09:54:00Z</dcterms:created>
  <dcterms:modified xsi:type="dcterms:W3CDTF">2020-04-30T17:50:00Z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