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drawings/drawing2.xml" ContentType="application/vnd.openxmlformats-officedocument.drawingml.chartshapes+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Override3.xml" ContentType="application/vnd.openxmlformats-officedocument.themeOverrid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2BC26BDF" w:rsidR="00E35DF9" w:rsidRPr="00DE1ACD" w:rsidRDefault="00E57D84" w:rsidP="00BA23AE">
      <w:pPr>
        <w:pStyle w:val="121"/>
        <w:rPr>
          <w:rtl/>
        </w:rPr>
      </w:pPr>
      <w:bookmarkStart w:id="0" w:name="_Hlk33962351"/>
      <w:r w:rsidRPr="00E57D84">
        <w:rPr>
          <w:rtl/>
        </w:rPr>
        <w:t>היבטים ברפורמה להעברת האחריות הביטוחית בבריאות הנפש</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4F2F8C35" w14:textId="77777777" w:rsidR="00A70CA1" w:rsidRDefault="00A70CA1" w:rsidP="00A70CA1">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5F980047"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74A33063">
            <wp:extent cx="5212170" cy="688507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2170" cy="6885071"/>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2B8CA8FF"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74C9AE43">
            <wp:extent cx="5219999" cy="68954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95414"/>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735CA8D7"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5732159">
            <wp:extent cx="5220000" cy="68954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9541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69897455"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7B594F96">
            <wp:extent cx="5219999" cy="689541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19999" cy="6895414"/>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0D9A30DC" w14:textId="77777777" w:rsidR="00B51F5B" w:rsidRPr="00E57D84" w:rsidRDefault="00B51F5B" w:rsidP="00E57D84">
      <w:pPr>
        <w:pStyle w:val="121"/>
        <w:bidi w:val="0"/>
        <w:rPr>
          <w:rtl/>
        </w:rPr>
      </w:pPr>
      <w:bookmarkStart w:id="1" w:name="_Hlk34227894"/>
      <w:bookmarkStart w:id="2" w:name="_Toc24624820"/>
      <w:bookmarkStart w:id="3" w:name="_Toc23159657"/>
      <w:bookmarkStart w:id="4" w:name="_Toc23160155"/>
      <w:r w:rsidRPr="00E57D84">
        <w:rPr>
          <w:rtl/>
        </w:rPr>
        <w:lastRenderedPageBreak/>
        <w:t>היבטים ברפורמה להעברת האחריות הביטוחית בבריאות הנפש</w:t>
      </w:r>
    </w:p>
    <w:bookmarkEnd w:id="1"/>
    <w:p w14:paraId="6F512B94" w14:textId="77777777" w:rsidR="00B51F5B" w:rsidRPr="00E57D84" w:rsidRDefault="00B51F5B" w:rsidP="00E57D84">
      <w:pPr>
        <w:pStyle w:val="316"/>
        <w:rPr>
          <w:rtl/>
        </w:rPr>
      </w:pPr>
      <w:r w:rsidRPr="00E57D84">
        <w:rPr>
          <w:rFonts w:hint="cs"/>
          <w:rtl/>
        </w:rPr>
        <w:t>מבוא</w:t>
      </w:r>
    </w:p>
    <w:p w14:paraId="1840B67F" w14:textId="77777777" w:rsidR="00B51F5B" w:rsidRDefault="00B51F5B" w:rsidP="001D0A16">
      <w:pPr>
        <w:pStyle w:val="100"/>
        <w:rPr>
          <w:rtl/>
          <w:lang w:eastAsia="he-IL"/>
        </w:rPr>
      </w:pPr>
      <w:r>
        <w:rPr>
          <w:rFonts w:hint="cs"/>
          <w:rtl/>
        </w:rPr>
        <w:t>הפרעות נפשיות או הפרעות פסיכיאטריות</w:t>
      </w:r>
      <w:r>
        <w:rPr>
          <w:rStyle w:val="FootnoteReference"/>
          <w:rtl/>
        </w:rPr>
        <w:footnoteReference w:id="1"/>
      </w:r>
      <w:r>
        <w:rPr>
          <w:rFonts w:hint="cs"/>
          <w:rtl/>
        </w:rPr>
        <w:t xml:space="preserve"> הן מערך של תסמינים התנהגותיים, רגשיים או קוגניטיביים. </w:t>
      </w:r>
      <w:r w:rsidRPr="00A3190A">
        <w:rPr>
          <w:rtl/>
        </w:rPr>
        <w:t xml:space="preserve">מחלות נפש </w:t>
      </w:r>
      <w:r>
        <w:rPr>
          <w:rFonts w:hint="cs"/>
          <w:rtl/>
        </w:rPr>
        <w:t>הן מונח שגור ה</w:t>
      </w:r>
      <w:r w:rsidRPr="00A3190A">
        <w:rPr>
          <w:rtl/>
        </w:rPr>
        <w:t>מתייחס למקרים חמורים של הפרעות נפשיות</w:t>
      </w:r>
      <w:r>
        <w:rPr>
          <w:rStyle w:val="FootnoteReference"/>
          <w:rtl/>
        </w:rPr>
        <w:footnoteReference w:id="2"/>
      </w:r>
      <w:r>
        <w:rPr>
          <w:rFonts w:hint="cs"/>
          <w:rtl/>
        </w:rPr>
        <w:t xml:space="preserve">. </w:t>
      </w:r>
      <w:r>
        <w:rPr>
          <w:rFonts w:hint="cs"/>
          <w:rtl/>
          <w:lang w:eastAsia="he-IL"/>
        </w:rPr>
        <w:t>שכיחותן של ההפרעות הנפשיות בעולם הולכת וגדלה, וכך גם גוברת המודעות לנושא.</w:t>
      </w:r>
      <w:r w:rsidRPr="005F44B8">
        <w:rPr>
          <w:rtl/>
        </w:rPr>
        <w:t xml:space="preserve"> </w:t>
      </w:r>
      <w:r>
        <w:rPr>
          <w:rtl/>
          <w:lang w:eastAsia="he-IL"/>
        </w:rPr>
        <w:t>ארגון הבריאות העולמי מעריך</w:t>
      </w:r>
      <w:r>
        <w:rPr>
          <w:rFonts w:hint="cs"/>
          <w:rtl/>
          <w:lang w:eastAsia="he-IL"/>
        </w:rPr>
        <w:t xml:space="preserve"> </w:t>
      </w:r>
      <w:r>
        <w:rPr>
          <w:rtl/>
          <w:lang w:eastAsia="he-IL"/>
        </w:rPr>
        <w:t xml:space="preserve">כי </w:t>
      </w:r>
      <w:r w:rsidRPr="00784BEE">
        <w:rPr>
          <w:rtl/>
          <w:lang w:eastAsia="he-IL"/>
        </w:rPr>
        <w:t xml:space="preserve">כ-18% מהאוכלוסייה </w:t>
      </w:r>
      <w:r>
        <w:rPr>
          <w:rFonts w:hint="cs"/>
          <w:rtl/>
          <w:lang w:eastAsia="he-IL"/>
        </w:rPr>
        <w:t xml:space="preserve">בעולם </w:t>
      </w:r>
      <w:r w:rsidRPr="00784BEE">
        <w:rPr>
          <w:rtl/>
          <w:lang w:eastAsia="he-IL"/>
        </w:rPr>
        <w:t>סובלים מדיכאון או</w:t>
      </w:r>
      <w:r>
        <w:rPr>
          <w:rFonts w:hint="cs"/>
          <w:rtl/>
          <w:lang w:eastAsia="he-IL"/>
        </w:rPr>
        <w:t xml:space="preserve"> מ</w:t>
      </w:r>
      <w:r w:rsidRPr="00784BEE">
        <w:rPr>
          <w:rtl/>
          <w:lang w:eastAsia="he-IL"/>
        </w:rPr>
        <w:t>חרדה</w:t>
      </w:r>
      <w:r>
        <w:rPr>
          <w:rFonts w:hint="cs"/>
          <w:rtl/>
          <w:lang w:eastAsia="he-IL"/>
        </w:rPr>
        <w:t xml:space="preserve"> במהלך החיים. יש מקורות המצביעים על שיעורים גבוהים יותר, בעיקר בקרב אוכלוסיית מתבגרים, מבוגרים צעירים ומבוגרים מעל גיל 65.</w:t>
      </w:r>
      <w:r w:rsidRPr="00784BEE">
        <w:rPr>
          <w:rtl/>
          <w:lang w:eastAsia="he-IL"/>
        </w:rPr>
        <w:t xml:space="preserve"> </w:t>
      </w:r>
      <w:r>
        <w:rPr>
          <w:rtl/>
          <w:lang w:eastAsia="he-IL"/>
        </w:rPr>
        <w:t>בכל זמן נתון כ-10</w:t>
      </w:r>
      <w:r>
        <w:rPr>
          <w:rFonts w:hint="cs"/>
          <w:rtl/>
          <w:lang w:eastAsia="he-IL"/>
        </w:rPr>
        <w:t>%</w:t>
      </w:r>
      <w:r>
        <w:rPr>
          <w:rtl/>
          <w:lang w:eastAsia="he-IL"/>
        </w:rPr>
        <w:t xml:space="preserve"> מהאוכלוסייה סובלים </w:t>
      </w:r>
      <w:r>
        <w:rPr>
          <w:rFonts w:hint="cs"/>
          <w:rtl/>
          <w:lang w:eastAsia="he-IL"/>
        </w:rPr>
        <w:t xml:space="preserve">מהפרעות אלו; </w:t>
      </w:r>
      <w:r>
        <w:rPr>
          <w:rtl/>
          <w:lang w:eastAsia="he-IL"/>
        </w:rPr>
        <w:t xml:space="preserve">בין </w:t>
      </w:r>
      <w:r>
        <w:rPr>
          <w:rFonts w:hint="cs"/>
          <w:rtl/>
          <w:lang w:eastAsia="he-IL"/>
        </w:rPr>
        <w:t>1%-2%</w:t>
      </w:r>
      <w:r>
        <w:rPr>
          <w:rtl/>
          <w:lang w:eastAsia="he-IL"/>
        </w:rPr>
        <w:t xml:space="preserve"> מהאוכלוסייה סובלים ממחלות נפש</w:t>
      </w:r>
      <w:r>
        <w:rPr>
          <w:rFonts w:hint="cs"/>
          <w:rtl/>
          <w:lang w:eastAsia="he-IL"/>
        </w:rPr>
        <w:t xml:space="preserve"> קשות או ממושכות; 3%-5%</w:t>
      </w:r>
      <w:r>
        <w:rPr>
          <w:rtl/>
          <w:lang w:eastAsia="he-IL"/>
        </w:rPr>
        <w:t xml:space="preserve"> </w:t>
      </w:r>
      <w:r>
        <w:rPr>
          <w:rFonts w:hint="cs"/>
          <w:rtl/>
          <w:lang w:eastAsia="he-IL"/>
        </w:rPr>
        <w:t xml:space="preserve">מהאוכלוסייה </w:t>
      </w:r>
      <w:r>
        <w:rPr>
          <w:rtl/>
          <w:lang w:eastAsia="he-IL"/>
        </w:rPr>
        <w:t>נזקקים מדי שנה לטיפולים נפשיים</w:t>
      </w:r>
      <w:r>
        <w:rPr>
          <w:rFonts w:hint="cs"/>
          <w:rtl/>
          <w:lang w:eastAsia="he-IL"/>
        </w:rPr>
        <w:t>;</w:t>
      </w:r>
      <w:r>
        <w:rPr>
          <w:rtl/>
          <w:lang w:eastAsia="he-IL"/>
        </w:rPr>
        <w:t xml:space="preserve"> </w:t>
      </w:r>
      <w:r>
        <w:rPr>
          <w:rFonts w:hint="cs"/>
          <w:rtl/>
          <w:lang w:eastAsia="he-IL"/>
        </w:rPr>
        <w:t xml:space="preserve">וכ-25%-33% מהאוכלוסייה </w:t>
      </w:r>
      <w:r>
        <w:rPr>
          <w:rtl/>
          <w:lang w:eastAsia="he-IL"/>
        </w:rPr>
        <w:t>יזדקקו במהלך חייהם לשירותי בריאות הנפש</w:t>
      </w:r>
      <w:r>
        <w:rPr>
          <w:rFonts w:hint="cs"/>
          <w:rtl/>
          <w:lang w:eastAsia="he-IL"/>
        </w:rPr>
        <w:t>.</w:t>
      </w:r>
      <w:r>
        <w:rPr>
          <w:rtl/>
          <w:lang w:eastAsia="he-IL"/>
        </w:rPr>
        <w:t xml:space="preserve"> אומדנים</w:t>
      </w:r>
      <w:r>
        <w:rPr>
          <w:rFonts w:hint="cs"/>
          <w:rtl/>
          <w:lang w:eastAsia="he-IL"/>
        </w:rPr>
        <w:t>, המבוצעים על סמך שיעורים אלו, מבססים הערכה ש</w:t>
      </w:r>
      <w:r>
        <w:rPr>
          <w:rtl/>
          <w:lang w:eastAsia="he-IL"/>
        </w:rPr>
        <w:t>מספר הסובלים ממחלות נפש קשות וממושכות מגיע</w:t>
      </w:r>
      <w:r>
        <w:rPr>
          <w:rFonts w:hint="cs"/>
          <w:rtl/>
          <w:lang w:eastAsia="he-IL"/>
        </w:rPr>
        <w:t xml:space="preserve"> בארץ</w:t>
      </w:r>
      <w:r>
        <w:rPr>
          <w:rtl/>
          <w:lang w:eastAsia="he-IL"/>
        </w:rPr>
        <w:t xml:space="preserve"> לכ-1</w:t>
      </w:r>
      <w:r>
        <w:rPr>
          <w:rFonts w:hint="cs"/>
          <w:rtl/>
          <w:lang w:eastAsia="he-IL"/>
        </w:rPr>
        <w:t>5</w:t>
      </w:r>
      <w:r>
        <w:rPr>
          <w:rtl/>
          <w:lang w:eastAsia="he-IL"/>
        </w:rPr>
        <w:t>0,000</w:t>
      </w:r>
      <w:r>
        <w:rPr>
          <w:rFonts w:hint="cs"/>
          <w:rtl/>
          <w:lang w:eastAsia="he-IL"/>
        </w:rPr>
        <w:t>-</w:t>
      </w:r>
      <w:r>
        <w:rPr>
          <w:rtl/>
          <w:lang w:eastAsia="he-IL"/>
        </w:rPr>
        <w:t>100,000</w:t>
      </w:r>
      <w:r>
        <w:rPr>
          <w:rFonts w:hint="cs"/>
          <w:rtl/>
          <w:lang w:eastAsia="he-IL"/>
        </w:rPr>
        <w:t xml:space="preserve"> איש</w:t>
      </w:r>
      <w:r>
        <w:rPr>
          <w:rStyle w:val="FootnoteReference"/>
          <w:rtl/>
          <w:lang w:eastAsia="he-IL"/>
        </w:rPr>
        <w:footnoteReference w:id="3"/>
      </w:r>
      <w:r>
        <w:rPr>
          <w:rtl/>
          <w:lang w:eastAsia="he-IL"/>
        </w:rPr>
        <w:t>.</w:t>
      </w:r>
      <w:r>
        <w:rPr>
          <w:rFonts w:hint="cs"/>
          <w:rtl/>
          <w:lang w:eastAsia="he-IL"/>
        </w:rPr>
        <w:t xml:space="preserve"> </w:t>
      </w:r>
    </w:p>
    <w:p w14:paraId="47944275" w14:textId="77777777" w:rsidR="00B51F5B" w:rsidRDefault="00B51F5B" w:rsidP="001D0A16">
      <w:pPr>
        <w:pStyle w:val="100"/>
        <w:rPr>
          <w:rtl/>
          <w:lang w:eastAsia="he-IL"/>
        </w:rPr>
      </w:pPr>
      <w:r>
        <w:rPr>
          <w:rFonts w:hint="cs"/>
          <w:rtl/>
          <w:lang w:eastAsia="he-IL"/>
        </w:rPr>
        <w:t xml:space="preserve">מחלות והפרעות נפשיות </w:t>
      </w:r>
      <w:r>
        <w:rPr>
          <w:rtl/>
          <w:lang w:eastAsia="he-IL"/>
        </w:rPr>
        <w:t xml:space="preserve">פוגעות </w:t>
      </w:r>
      <w:r>
        <w:rPr>
          <w:rFonts w:hint="cs"/>
          <w:rtl/>
          <w:lang w:eastAsia="he-IL"/>
        </w:rPr>
        <w:t>בבריאותם הפיזית של המטופלים</w:t>
      </w:r>
      <w:r>
        <w:rPr>
          <w:rStyle w:val="FootnoteReference"/>
          <w:rtl/>
          <w:lang w:eastAsia="he-IL"/>
        </w:rPr>
        <w:footnoteReference w:id="4"/>
      </w:r>
      <w:r>
        <w:rPr>
          <w:rFonts w:hint="cs"/>
          <w:rtl/>
          <w:lang w:eastAsia="he-IL"/>
        </w:rPr>
        <w:t xml:space="preserve">, </w:t>
      </w:r>
      <w:r>
        <w:rPr>
          <w:rtl/>
          <w:lang w:eastAsia="he-IL"/>
        </w:rPr>
        <w:t>בתפקודם, בפרנסתם</w:t>
      </w:r>
      <w:r>
        <w:rPr>
          <w:rFonts w:hint="cs"/>
          <w:rtl/>
          <w:lang w:eastAsia="he-IL"/>
        </w:rPr>
        <w:t>,</w:t>
      </w:r>
      <w:r>
        <w:rPr>
          <w:rtl/>
          <w:lang w:eastAsia="he-IL"/>
        </w:rPr>
        <w:t xml:space="preserve"> </w:t>
      </w:r>
      <w:r>
        <w:rPr>
          <w:rFonts w:hint="cs"/>
          <w:rtl/>
          <w:lang w:eastAsia="he-IL"/>
        </w:rPr>
        <w:t>ברווחתם ו</w:t>
      </w:r>
      <w:r>
        <w:rPr>
          <w:rtl/>
          <w:lang w:eastAsia="he-IL"/>
        </w:rPr>
        <w:t>באיכות חייהם</w:t>
      </w:r>
      <w:r>
        <w:rPr>
          <w:rFonts w:hint="cs"/>
          <w:rtl/>
          <w:lang w:eastAsia="he-IL"/>
        </w:rPr>
        <w:t xml:space="preserve"> של המטופלים</w:t>
      </w:r>
      <w:r>
        <w:rPr>
          <w:rtl/>
          <w:lang w:eastAsia="he-IL"/>
        </w:rPr>
        <w:t xml:space="preserve"> </w:t>
      </w:r>
      <w:r>
        <w:rPr>
          <w:rFonts w:hint="cs"/>
          <w:rtl/>
          <w:lang w:eastAsia="he-IL"/>
        </w:rPr>
        <w:t xml:space="preserve">ובני </w:t>
      </w:r>
      <w:r>
        <w:rPr>
          <w:rtl/>
          <w:lang w:eastAsia="he-IL"/>
        </w:rPr>
        <w:t>משפחותיהם</w:t>
      </w:r>
      <w:r>
        <w:rPr>
          <w:rFonts w:hint="cs"/>
          <w:rtl/>
          <w:lang w:eastAsia="he-IL"/>
        </w:rPr>
        <w:t>.</w:t>
      </w:r>
      <w:r w:rsidRPr="0062664B">
        <w:rPr>
          <w:rtl/>
        </w:rPr>
        <w:t xml:space="preserve"> </w:t>
      </w:r>
      <w:r w:rsidRPr="003E19D7">
        <w:rPr>
          <w:rtl/>
        </w:rPr>
        <w:t>הדבר גם</w:t>
      </w:r>
      <w:r>
        <w:rPr>
          <w:rFonts w:hint="cs"/>
          <w:rtl/>
        </w:rPr>
        <w:t xml:space="preserve"> מסב</w:t>
      </w:r>
      <w:r w:rsidRPr="003E19D7">
        <w:rPr>
          <w:rtl/>
        </w:rPr>
        <w:t xml:space="preserve"> נזק </w:t>
      </w:r>
      <w:r w:rsidRPr="0062664B">
        <w:rPr>
          <w:rtl/>
        </w:rPr>
        <w:t xml:space="preserve">כלכלי </w:t>
      </w:r>
      <w:r>
        <w:rPr>
          <w:rFonts w:hint="cs"/>
          <w:rtl/>
          <w:lang w:eastAsia="he-IL"/>
        </w:rPr>
        <w:t>למשק.</w:t>
      </w:r>
      <w:r>
        <w:rPr>
          <w:rtl/>
          <w:lang w:eastAsia="he-IL"/>
        </w:rPr>
        <w:t xml:space="preserve"> </w:t>
      </w:r>
      <w:r w:rsidRPr="00E11BD7">
        <w:rPr>
          <w:rFonts w:hint="cs"/>
          <w:sz w:val="24"/>
          <w:rtl/>
        </w:rPr>
        <w:t>ההוצאה</w:t>
      </w:r>
      <w:r w:rsidRPr="00E11BD7">
        <w:rPr>
          <w:sz w:val="24"/>
          <w:rtl/>
        </w:rPr>
        <w:t xml:space="preserve"> השנתית</w:t>
      </w:r>
      <w:r>
        <w:rPr>
          <w:rFonts w:hint="cs"/>
          <w:sz w:val="24"/>
          <w:rtl/>
        </w:rPr>
        <w:t xml:space="preserve"> ע</w:t>
      </w:r>
      <w:r w:rsidRPr="00576170">
        <w:rPr>
          <w:rFonts w:hint="cs"/>
          <w:sz w:val="24"/>
          <w:rtl/>
        </w:rPr>
        <w:t xml:space="preserve">ל מחלות </w:t>
      </w:r>
      <w:r>
        <w:rPr>
          <w:rFonts w:hint="cs"/>
          <w:sz w:val="24"/>
          <w:rtl/>
        </w:rPr>
        <w:t>ה</w:t>
      </w:r>
      <w:r w:rsidRPr="00576170">
        <w:rPr>
          <w:rFonts w:hint="cs"/>
          <w:sz w:val="24"/>
          <w:rtl/>
        </w:rPr>
        <w:t xml:space="preserve">נפש לחברה בישראל </w:t>
      </w:r>
      <w:r>
        <w:rPr>
          <w:rFonts w:hint="cs"/>
          <w:sz w:val="24"/>
          <w:rtl/>
        </w:rPr>
        <w:t>נאמדת ב</w:t>
      </w:r>
      <w:r w:rsidRPr="00576170">
        <w:rPr>
          <w:rFonts w:hint="cs"/>
          <w:sz w:val="24"/>
          <w:rtl/>
        </w:rPr>
        <w:t>-13 מיליארד דולר</w:t>
      </w:r>
      <w:r>
        <w:rPr>
          <w:rFonts w:hint="cs"/>
          <w:sz w:val="24"/>
          <w:rtl/>
        </w:rPr>
        <w:t>,</w:t>
      </w:r>
      <w:r w:rsidRPr="00576170">
        <w:rPr>
          <w:rFonts w:hint="cs"/>
          <w:sz w:val="24"/>
          <w:rtl/>
        </w:rPr>
        <w:t xml:space="preserve"> </w:t>
      </w:r>
      <w:r>
        <w:rPr>
          <w:rFonts w:hint="cs"/>
          <w:sz w:val="24"/>
          <w:rtl/>
        </w:rPr>
        <w:t>ו</w:t>
      </w:r>
      <w:r w:rsidRPr="00576170">
        <w:rPr>
          <w:rFonts w:hint="cs"/>
          <w:sz w:val="24"/>
          <w:rtl/>
        </w:rPr>
        <w:t xml:space="preserve">ההפסד לתוצר המקומי הגולמי </w:t>
      </w:r>
      <w:r>
        <w:rPr>
          <w:rFonts w:hint="cs"/>
          <w:sz w:val="24"/>
          <w:rtl/>
        </w:rPr>
        <w:t xml:space="preserve">של מדינת ישראל </w:t>
      </w:r>
      <w:r w:rsidRPr="00576170">
        <w:rPr>
          <w:rFonts w:hint="cs"/>
          <w:sz w:val="24"/>
          <w:rtl/>
        </w:rPr>
        <w:t>בגין אי</w:t>
      </w:r>
      <w:r>
        <w:rPr>
          <w:rFonts w:hint="cs"/>
          <w:sz w:val="24"/>
          <w:rtl/>
        </w:rPr>
        <w:t>-</w:t>
      </w:r>
      <w:r w:rsidRPr="00576170">
        <w:rPr>
          <w:rFonts w:hint="cs"/>
          <w:sz w:val="24"/>
          <w:rtl/>
        </w:rPr>
        <w:t xml:space="preserve">העסקתם של </w:t>
      </w:r>
      <w:r>
        <w:rPr>
          <w:rFonts w:hint="cs"/>
          <w:sz w:val="24"/>
          <w:rtl/>
        </w:rPr>
        <w:t>הסובלים מבעיות נפשיות</w:t>
      </w:r>
      <w:r w:rsidRPr="00576170">
        <w:rPr>
          <w:rFonts w:hint="cs"/>
          <w:sz w:val="24"/>
          <w:rtl/>
        </w:rPr>
        <w:t xml:space="preserve"> נאמד ב-2.5 מיליארד דולר לשנה.</w:t>
      </w:r>
      <w:r>
        <w:rPr>
          <w:rFonts w:hint="cs"/>
          <w:rtl/>
          <w:lang w:eastAsia="he-IL"/>
        </w:rPr>
        <w:t xml:space="preserve"> </w:t>
      </w:r>
      <w:r>
        <w:rPr>
          <w:rtl/>
          <w:lang w:eastAsia="he-IL"/>
        </w:rPr>
        <w:t>מדובר בבעיה בריאותית וחברתית</w:t>
      </w:r>
      <w:r>
        <w:rPr>
          <w:rFonts w:hint="cs"/>
          <w:rtl/>
          <w:lang w:eastAsia="he-IL"/>
        </w:rPr>
        <w:t>,</w:t>
      </w:r>
      <w:r>
        <w:rPr>
          <w:rtl/>
          <w:lang w:eastAsia="he-IL"/>
        </w:rPr>
        <w:t xml:space="preserve"> </w:t>
      </w:r>
      <w:r>
        <w:rPr>
          <w:rFonts w:hint="cs"/>
          <w:rtl/>
          <w:lang w:eastAsia="he-IL"/>
        </w:rPr>
        <w:t>שהיקפה</w:t>
      </w:r>
      <w:r w:rsidRPr="00A209D3">
        <w:rPr>
          <w:rtl/>
          <w:lang w:eastAsia="he-IL"/>
        </w:rPr>
        <w:t xml:space="preserve"> </w:t>
      </w:r>
      <w:r>
        <w:rPr>
          <w:rFonts w:hint="cs"/>
          <w:rtl/>
          <w:lang w:eastAsia="he-IL"/>
        </w:rPr>
        <w:t xml:space="preserve">הרחב </w:t>
      </w:r>
      <w:r w:rsidRPr="00A209D3">
        <w:rPr>
          <w:rtl/>
          <w:lang w:eastAsia="he-IL"/>
        </w:rPr>
        <w:t>אף צפוי לעלות</w:t>
      </w:r>
      <w:r>
        <w:rPr>
          <w:rFonts w:hint="cs"/>
          <w:rtl/>
          <w:lang w:eastAsia="he-IL"/>
        </w:rPr>
        <w:t>.</w:t>
      </w:r>
      <w:r>
        <w:rPr>
          <w:rtl/>
          <w:lang w:eastAsia="he-IL"/>
        </w:rPr>
        <w:t xml:space="preserve"> </w:t>
      </w:r>
    </w:p>
    <w:p w14:paraId="5BC3654E" w14:textId="77777777" w:rsidR="00B51F5B" w:rsidRDefault="00B51F5B" w:rsidP="001D0A16">
      <w:pPr>
        <w:pStyle w:val="100"/>
        <w:rPr>
          <w:rtl/>
        </w:rPr>
      </w:pPr>
      <w:r>
        <w:rPr>
          <w:rFonts w:hint="cs"/>
          <w:sz w:val="24"/>
          <w:rtl/>
        </w:rPr>
        <w:lastRenderedPageBreak/>
        <w:t>הטיפול בהפרעות ובמחלות הנפשיות יכול להיעשות באמצעות טיפול פסיכיאטרי שבעיקרו מבוסס על תרופות, באמצעות טיפול פסיכותרפי או באמצעות שילוב ביניהם. קיימים סוגים שונים של טיפולים פסיכותרפיים</w:t>
      </w:r>
      <w:r>
        <w:rPr>
          <w:rStyle w:val="FootnoteReference"/>
          <w:sz w:val="24"/>
          <w:rtl/>
        </w:rPr>
        <w:footnoteReference w:id="5"/>
      </w:r>
      <w:r>
        <w:rPr>
          <w:rFonts w:hint="cs"/>
          <w:sz w:val="24"/>
          <w:rtl/>
        </w:rPr>
        <w:t xml:space="preserve">. </w:t>
      </w:r>
      <w:r>
        <w:rPr>
          <w:rFonts w:hint="cs"/>
          <w:rtl/>
        </w:rPr>
        <w:t xml:space="preserve">חלקם </w:t>
      </w:r>
      <w:r w:rsidRPr="00C0455A">
        <w:rPr>
          <w:rFonts w:hint="cs"/>
          <w:rtl/>
        </w:rPr>
        <w:t>יכולים לה</w:t>
      </w:r>
      <w:r w:rsidRPr="00C0455A">
        <w:rPr>
          <w:rFonts w:hint="eastAsia"/>
          <w:rtl/>
        </w:rPr>
        <w:t>י</w:t>
      </w:r>
      <w:r w:rsidRPr="00C0455A">
        <w:rPr>
          <w:rFonts w:hint="cs"/>
          <w:rtl/>
        </w:rPr>
        <w:t>משך</w:t>
      </w:r>
      <w:r>
        <w:rPr>
          <w:rFonts w:hint="cs"/>
          <w:rtl/>
        </w:rPr>
        <w:t xml:space="preserve"> חודשים ואף שנים, וחלקם בנויים כטיפולים קצרי מועד. ה</w:t>
      </w:r>
      <w:r w:rsidRPr="00103FE7">
        <w:rPr>
          <w:rtl/>
        </w:rPr>
        <w:t>טיפולי</w:t>
      </w:r>
      <w:r>
        <w:rPr>
          <w:rFonts w:hint="cs"/>
          <w:rtl/>
        </w:rPr>
        <w:t>ם</w:t>
      </w:r>
      <w:r w:rsidRPr="00103FE7">
        <w:rPr>
          <w:rtl/>
        </w:rPr>
        <w:t xml:space="preserve"> </w:t>
      </w:r>
      <w:r>
        <w:rPr>
          <w:rFonts w:hint="cs"/>
          <w:rtl/>
        </w:rPr>
        <w:t>ה</w:t>
      </w:r>
      <w:r w:rsidRPr="00103FE7">
        <w:rPr>
          <w:rtl/>
        </w:rPr>
        <w:t>פסיכיאטרי</w:t>
      </w:r>
      <w:r>
        <w:rPr>
          <w:rFonts w:hint="cs"/>
          <w:rtl/>
        </w:rPr>
        <w:t>ים</w:t>
      </w:r>
      <w:r w:rsidRPr="00103FE7">
        <w:rPr>
          <w:rtl/>
        </w:rPr>
        <w:t xml:space="preserve"> ניתנים על ידי </w:t>
      </w:r>
      <w:r>
        <w:rPr>
          <w:rFonts w:hint="cs"/>
          <w:rtl/>
        </w:rPr>
        <w:t>רופאים מומחים</w:t>
      </w:r>
      <w:r w:rsidDel="00F54C64">
        <w:rPr>
          <w:rFonts w:hint="cs"/>
          <w:rtl/>
        </w:rPr>
        <w:t xml:space="preserve"> </w:t>
      </w:r>
      <w:r>
        <w:rPr>
          <w:rFonts w:hint="cs"/>
          <w:rtl/>
        </w:rPr>
        <w:t xml:space="preserve">בפסיכיאטריה (להלן - </w:t>
      </w:r>
      <w:r w:rsidRPr="00103FE7">
        <w:rPr>
          <w:rFonts w:hint="cs"/>
          <w:rtl/>
        </w:rPr>
        <w:t>פסיכיאטרי</w:t>
      </w:r>
      <w:r w:rsidRPr="00103FE7">
        <w:rPr>
          <w:rFonts w:hint="eastAsia"/>
          <w:rtl/>
        </w:rPr>
        <w:t>ם</w:t>
      </w:r>
      <w:r>
        <w:rPr>
          <w:rFonts w:hint="cs"/>
          <w:rtl/>
        </w:rPr>
        <w:t>) ורופאים מומחים בפסיכיאטריה של הילד והמתבגר (להלן - פסיכיאטרים לילדים).</w:t>
      </w:r>
      <w:r w:rsidRPr="00103FE7">
        <w:rPr>
          <w:rtl/>
        </w:rPr>
        <w:t xml:space="preserve"> טיפולי הפסיכותרפיה ניתנים בעיקר על ידי פסיכולוגים קליניים ועובדים סוציאליים</w:t>
      </w:r>
      <w:r>
        <w:rPr>
          <w:rFonts w:hint="cs"/>
          <w:rtl/>
        </w:rPr>
        <w:t>, וגם באמצעות גורמי מקצוע אחרים שהוסמכו לכך</w:t>
      </w:r>
      <w:r>
        <w:rPr>
          <w:rStyle w:val="FootnoteReference"/>
          <w:rtl/>
        </w:rPr>
        <w:footnoteReference w:id="6"/>
      </w:r>
      <w:r w:rsidRPr="00103FE7">
        <w:rPr>
          <w:rtl/>
        </w:rPr>
        <w:t xml:space="preserve">. </w:t>
      </w:r>
    </w:p>
    <w:p w14:paraId="20CC9BFA" w14:textId="77777777" w:rsidR="00B51F5B" w:rsidRDefault="00B51F5B" w:rsidP="001D0A16">
      <w:pPr>
        <w:pStyle w:val="100"/>
        <w:rPr>
          <w:rtl/>
        </w:rPr>
      </w:pPr>
      <w:r>
        <w:rPr>
          <w:rFonts w:hint="cs"/>
          <w:rtl/>
        </w:rPr>
        <w:t>מחקרים מראים כי ל</w:t>
      </w:r>
      <w:r>
        <w:rPr>
          <w:rtl/>
        </w:rPr>
        <w:t xml:space="preserve">טיפולים </w:t>
      </w:r>
      <w:r>
        <w:rPr>
          <w:rFonts w:hint="cs"/>
          <w:rtl/>
        </w:rPr>
        <w:t>פסיכותרפיים יש כדאיות כלכלית עבור מערכות בריאות ועבור כלל המשק</w:t>
      </w:r>
      <w:r>
        <w:rPr>
          <w:rStyle w:val="FootnoteReference"/>
          <w:rtl/>
        </w:rPr>
        <w:footnoteReference w:id="7"/>
      </w:r>
      <w:r>
        <w:rPr>
          <w:rFonts w:hint="cs"/>
          <w:rtl/>
        </w:rPr>
        <w:t>: ב</w:t>
      </w:r>
      <w:r>
        <w:rPr>
          <w:rtl/>
        </w:rPr>
        <w:t>הערכת עלות</w:t>
      </w:r>
      <w:r>
        <w:rPr>
          <w:rFonts w:hint="cs"/>
          <w:rtl/>
        </w:rPr>
        <w:t>-</w:t>
      </w:r>
      <w:r>
        <w:rPr>
          <w:rtl/>
        </w:rPr>
        <w:t xml:space="preserve">תועלת </w:t>
      </w:r>
      <w:r w:rsidRPr="008133DF">
        <w:rPr>
          <w:rtl/>
        </w:rPr>
        <w:t>שנעשתה</w:t>
      </w:r>
      <w:r w:rsidRPr="008133DF">
        <w:rPr>
          <w:rFonts w:hint="cs"/>
          <w:rtl/>
        </w:rPr>
        <w:t xml:space="preserve"> בקנדה</w:t>
      </w:r>
      <w:r w:rsidRPr="008133DF">
        <w:rPr>
          <w:rtl/>
        </w:rPr>
        <w:t xml:space="preserve"> נמצא כי כל השקעה בטיפול פסיכולוגי החזירה את עצמה ביחס של שניים לאחד</w:t>
      </w:r>
      <w:r>
        <w:rPr>
          <w:rStyle w:val="FootnoteReference"/>
          <w:rtl/>
        </w:rPr>
        <w:footnoteReference w:id="8"/>
      </w:r>
      <w:r w:rsidRPr="008133DF">
        <w:rPr>
          <w:rFonts w:hint="cs"/>
          <w:rtl/>
        </w:rPr>
        <w:t>;</w:t>
      </w:r>
      <w:r w:rsidRPr="008133DF">
        <w:rPr>
          <w:rtl/>
        </w:rPr>
        <w:t xml:space="preserve"> תוצאות </w:t>
      </w:r>
      <w:r w:rsidRPr="008133DF">
        <w:rPr>
          <w:rFonts w:hint="cs"/>
          <w:rtl/>
        </w:rPr>
        <w:t>דומות העלה מחקר</w:t>
      </w:r>
      <w:r w:rsidRPr="008133DF">
        <w:rPr>
          <w:rtl/>
        </w:rPr>
        <w:t xml:space="preserve"> </w:t>
      </w:r>
      <w:r w:rsidRPr="008133DF">
        <w:rPr>
          <w:rFonts w:hint="cs"/>
          <w:rtl/>
        </w:rPr>
        <w:t>שבוצע ב</w:t>
      </w:r>
      <w:r w:rsidRPr="008133DF">
        <w:rPr>
          <w:rtl/>
        </w:rPr>
        <w:t>צרפת</w:t>
      </w:r>
      <w:r>
        <w:rPr>
          <w:rStyle w:val="FootnoteReference"/>
          <w:rtl/>
        </w:rPr>
        <w:footnoteReference w:id="9"/>
      </w:r>
      <w:r w:rsidRPr="008133DF">
        <w:rPr>
          <w:rtl/>
        </w:rPr>
        <w:t>. מטא</w:t>
      </w:r>
      <w:r w:rsidRPr="008133DF">
        <w:rPr>
          <w:rFonts w:hint="cs"/>
          <w:rtl/>
        </w:rPr>
        <w:t>-</w:t>
      </w:r>
      <w:r w:rsidRPr="008133DF">
        <w:rPr>
          <w:rtl/>
        </w:rPr>
        <w:t>אנליזות</w:t>
      </w:r>
      <w:r>
        <w:rPr>
          <w:rStyle w:val="FootnoteReference"/>
          <w:rtl/>
        </w:rPr>
        <w:footnoteReference w:id="10"/>
      </w:r>
      <w:r w:rsidRPr="008133DF">
        <w:rPr>
          <w:rtl/>
        </w:rPr>
        <w:t xml:space="preserve"> רבות</w:t>
      </w:r>
      <w:r w:rsidRPr="008133DF">
        <w:rPr>
          <w:rFonts w:hint="cs"/>
          <w:rtl/>
        </w:rPr>
        <w:t xml:space="preserve"> </w:t>
      </w:r>
      <w:r w:rsidRPr="008133DF">
        <w:rPr>
          <w:rtl/>
        </w:rPr>
        <w:t xml:space="preserve">מצאו שהתערבויות פסיכולוגיות </w:t>
      </w:r>
      <w:r w:rsidRPr="008133DF">
        <w:rPr>
          <w:rFonts w:hint="cs"/>
          <w:rtl/>
        </w:rPr>
        <w:t>הביאו להפחתה</w:t>
      </w:r>
      <w:r>
        <w:rPr>
          <w:rFonts w:hint="cs"/>
          <w:rtl/>
        </w:rPr>
        <w:t xml:space="preserve"> בצריכ</w:t>
      </w:r>
      <w:r>
        <w:rPr>
          <w:rtl/>
        </w:rPr>
        <w:t>ת שירותי בריאות וימי מחלה</w:t>
      </w:r>
      <w:r>
        <w:rPr>
          <w:rStyle w:val="FootnoteReference"/>
          <w:rFonts w:ascii="David" w:hAnsi="David"/>
          <w:sz w:val="24"/>
          <w:szCs w:val="32"/>
        </w:rPr>
        <w:footnoteReference w:id="11"/>
      </w:r>
      <w:r>
        <w:rPr>
          <w:rtl/>
        </w:rPr>
        <w:t>. מחקר גרמני שנערך על כ</w:t>
      </w:r>
      <w:r>
        <w:rPr>
          <w:rFonts w:hint="cs"/>
          <w:rtl/>
        </w:rPr>
        <w:t>-</w:t>
      </w:r>
      <w:r>
        <w:rPr>
          <w:rtl/>
        </w:rPr>
        <w:t xml:space="preserve">22,000 נבדקים מצא כי </w:t>
      </w:r>
      <w:r>
        <w:rPr>
          <w:rFonts w:hint="cs"/>
          <w:rtl/>
        </w:rPr>
        <w:t xml:space="preserve">מתן </w:t>
      </w:r>
      <w:r>
        <w:rPr>
          <w:rtl/>
        </w:rPr>
        <w:t>טיפול</w:t>
      </w:r>
      <w:r>
        <w:rPr>
          <w:rFonts w:hint="cs"/>
          <w:rtl/>
        </w:rPr>
        <w:t>ים</w:t>
      </w:r>
      <w:r>
        <w:rPr>
          <w:rtl/>
        </w:rPr>
        <w:t xml:space="preserve"> פסיכולוגי</w:t>
      </w:r>
      <w:r>
        <w:rPr>
          <w:rFonts w:hint="cs"/>
          <w:rtl/>
        </w:rPr>
        <w:t>ים במסגרת ציבורית הפחית את</w:t>
      </w:r>
      <w:r>
        <w:rPr>
          <w:rtl/>
        </w:rPr>
        <w:t xml:space="preserve"> ימי </w:t>
      </w:r>
      <w:r>
        <w:rPr>
          <w:rFonts w:hint="cs"/>
          <w:rtl/>
        </w:rPr>
        <w:t>ה</w:t>
      </w:r>
      <w:r>
        <w:rPr>
          <w:rtl/>
        </w:rPr>
        <w:t>אשפוז ו</w:t>
      </w:r>
      <w:r>
        <w:rPr>
          <w:rFonts w:hint="cs"/>
          <w:rtl/>
        </w:rPr>
        <w:t xml:space="preserve">את </w:t>
      </w:r>
      <w:r>
        <w:rPr>
          <w:rtl/>
        </w:rPr>
        <w:t>צריכת</w:t>
      </w:r>
      <w:r>
        <w:rPr>
          <w:rFonts w:hint="cs"/>
          <w:rtl/>
        </w:rPr>
        <w:t xml:space="preserve"> </w:t>
      </w:r>
      <w:r>
        <w:rPr>
          <w:rtl/>
        </w:rPr>
        <w:t xml:space="preserve">שירותי </w:t>
      </w:r>
      <w:r>
        <w:rPr>
          <w:rFonts w:hint="cs"/>
          <w:rtl/>
        </w:rPr>
        <w:t>ה</w:t>
      </w:r>
      <w:r>
        <w:rPr>
          <w:rtl/>
        </w:rPr>
        <w:t>בריאות</w:t>
      </w:r>
      <w:r>
        <w:rPr>
          <w:rStyle w:val="FootnoteReference"/>
          <w:rtl/>
        </w:rPr>
        <w:footnoteReference w:id="12"/>
      </w:r>
      <w:r>
        <w:rPr>
          <w:rFonts w:hint="cs"/>
          <w:rtl/>
        </w:rPr>
        <w:t>.</w:t>
      </w:r>
      <w:r>
        <w:rPr>
          <w:rtl/>
        </w:rPr>
        <w:t xml:space="preserve"> תוצאות</w:t>
      </w:r>
      <w:r>
        <w:rPr>
          <w:rFonts w:hint="cs"/>
          <w:rtl/>
        </w:rPr>
        <w:t xml:space="preserve"> דומות עלו</w:t>
      </w:r>
      <w:r>
        <w:rPr>
          <w:rtl/>
        </w:rPr>
        <w:t xml:space="preserve"> </w:t>
      </w:r>
      <w:r>
        <w:rPr>
          <w:rFonts w:hint="cs"/>
          <w:rtl/>
        </w:rPr>
        <w:t>מ</w:t>
      </w:r>
      <w:r>
        <w:rPr>
          <w:rtl/>
        </w:rPr>
        <w:t>מחקר ישראלי עדכני שנערך על מדגם של 1</w:t>
      </w:r>
      <w:r>
        <w:rPr>
          <w:rFonts w:hint="cs"/>
          <w:rtl/>
        </w:rPr>
        <w:t>,</w:t>
      </w:r>
      <w:r>
        <w:rPr>
          <w:rtl/>
        </w:rPr>
        <w:t>675</w:t>
      </w:r>
      <w:r>
        <w:rPr>
          <w:rFonts w:hint="cs"/>
          <w:rtl/>
        </w:rPr>
        <w:t xml:space="preserve"> מחברי קופות החולים ש</w:t>
      </w:r>
      <w:r>
        <w:rPr>
          <w:rtl/>
        </w:rPr>
        <w:t xml:space="preserve">בחן טיפולים </w:t>
      </w:r>
      <w:r>
        <w:rPr>
          <w:rtl/>
        </w:rPr>
        <w:lastRenderedPageBreak/>
        <w:t>דינמיים</w:t>
      </w:r>
      <w:r>
        <w:rPr>
          <w:rFonts w:hint="cs"/>
          <w:rtl/>
        </w:rPr>
        <w:t xml:space="preserve"> </w:t>
      </w:r>
      <w:r w:rsidRPr="008133DF">
        <w:rPr>
          <w:rFonts w:hint="cs"/>
          <w:rtl/>
        </w:rPr>
        <w:t>(</w:t>
      </w:r>
      <w:r w:rsidRPr="008133DF">
        <w:rPr>
          <w:rtl/>
        </w:rPr>
        <w:t xml:space="preserve">מנעד טיפולים </w:t>
      </w:r>
      <w:r>
        <w:rPr>
          <w:rFonts w:hint="cs"/>
          <w:rtl/>
        </w:rPr>
        <w:t>המתבססים על</w:t>
      </w:r>
      <w:r w:rsidRPr="008133DF">
        <w:rPr>
          <w:rtl/>
        </w:rPr>
        <w:t xml:space="preserve"> </w:t>
      </w:r>
      <w:r>
        <w:rPr>
          <w:rFonts w:hint="cs"/>
          <w:rtl/>
        </w:rPr>
        <w:t>שיטות</w:t>
      </w:r>
      <w:r w:rsidRPr="008133DF">
        <w:rPr>
          <w:rtl/>
        </w:rPr>
        <w:t xml:space="preserve"> ו</w:t>
      </w:r>
      <w:r>
        <w:rPr>
          <w:rFonts w:hint="cs"/>
          <w:rtl/>
        </w:rPr>
        <w:t>מונ</w:t>
      </w:r>
      <w:r w:rsidRPr="008133DF">
        <w:rPr>
          <w:rtl/>
        </w:rPr>
        <w:t>חים פסיכואנליטיים</w:t>
      </w:r>
      <w:r>
        <w:rPr>
          <w:rFonts w:hint="cs"/>
          <w:rtl/>
        </w:rPr>
        <w:t>),</w:t>
      </w:r>
      <w:r>
        <w:rPr>
          <w:rtl/>
        </w:rPr>
        <w:t xml:space="preserve"> </w:t>
      </w:r>
      <w:r>
        <w:rPr>
          <w:rFonts w:hint="cs"/>
          <w:rtl/>
        </w:rPr>
        <w:t xml:space="preserve">שנמשכו בממוצע </w:t>
      </w:r>
      <w:r>
        <w:rPr>
          <w:rtl/>
        </w:rPr>
        <w:t>שנה וחודשיים</w:t>
      </w:r>
      <w:r>
        <w:rPr>
          <w:rStyle w:val="FootnoteReference"/>
          <w:rtl/>
        </w:rPr>
        <w:footnoteReference w:id="13"/>
      </w:r>
      <w:r>
        <w:rPr>
          <w:rFonts w:hint="cs"/>
          <w:rtl/>
        </w:rPr>
        <w:t>.</w:t>
      </w:r>
    </w:p>
    <w:p w14:paraId="65232D71" w14:textId="77777777" w:rsidR="00B51F5B" w:rsidRDefault="00B51F5B" w:rsidP="001D0A16">
      <w:pPr>
        <w:pStyle w:val="100"/>
        <w:rPr>
          <w:rtl/>
          <w:lang w:eastAsia="he-IL"/>
        </w:rPr>
      </w:pPr>
      <w:r>
        <w:rPr>
          <w:rFonts w:hint="cs"/>
          <w:rtl/>
        </w:rPr>
        <w:t xml:space="preserve">חוק ביטוח בריאות ממלכתי, התשנ"ד-1994 </w:t>
      </w:r>
      <w:r>
        <w:rPr>
          <w:rtl/>
          <w:lang w:eastAsia="he-IL"/>
        </w:rPr>
        <w:t>(להלן</w:t>
      </w:r>
      <w:r>
        <w:rPr>
          <w:rFonts w:hint="cs"/>
          <w:rtl/>
          <w:lang w:eastAsia="he-IL"/>
        </w:rPr>
        <w:t xml:space="preserve"> - חוק ביטוח בריאות</w:t>
      </w:r>
      <w:r>
        <w:rPr>
          <w:rtl/>
          <w:lang w:eastAsia="he-IL"/>
        </w:rPr>
        <w:t xml:space="preserve">) קובע כי כל תושב במדינת ישראל זכאי </w:t>
      </w:r>
      <w:r>
        <w:rPr>
          <w:rFonts w:hint="cs"/>
          <w:rtl/>
          <w:lang w:eastAsia="he-IL"/>
        </w:rPr>
        <w:t xml:space="preserve">לקבל, באמצעות קופות החולים, שירותי בריאות בהתאם לסל השירותים הקבוע בחוק (להלן - סל שירותי הבריאות). עם חקיקת החוק נקבעו כמה תחומים, וביניהם בריאות הנפש, שבתום תקופת ביניים בת שלוש שנים, יועברו מאחריות המדינה באמצעות משרד הבריאות לאחריות הקופות. </w:t>
      </w:r>
      <w:r>
        <w:rPr>
          <w:rtl/>
          <w:lang w:eastAsia="he-IL"/>
        </w:rPr>
        <w:t xml:space="preserve">המועד להעברת האחריות </w:t>
      </w:r>
      <w:r>
        <w:rPr>
          <w:rFonts w:hint="cs"/>
          <w:rtl/>
          <w:lang w:eastAsia="he-IL"/>
        </w:rPr>
        <w:t>הביטוחית ב</w:t>
      </w:r>
      <w:r>
        <w:rPr>
          <w:rtl/>
          <w:lang w:eastAsia="he-IL"/>
        </w:rPr>
        <w:t xml:space="preserve">תחום בריאות הנפש מהמדינה אל </w:t>
      </w:r>
      <w:r>
        <w:rPr>
          <w:rFonts w:hint="cs"/>
          <w:rtl/>
          <w:lang w:eastAsia="he-IL"/>
        </w:rPr>
        <w:t>ה</w:t>
      </w:r>
      <w:r>
        <w:rPr>
          <w:rtl/>
          <w:lang w:eastAsia="he-IL"/>
        </w:rPr>
        <w:t xml:space="preserve">קופות </w:t>
      </w:r>
      <w:r>
        <w:rPr>
          <w:rFonts w:hint="cs"/>
          <w:rtl/>
          <w:lang w:eastAsia="he-IL"/>
        </w:rPr>
        <w:t>נ</w:t>
      </w:r>
      <w:r>
        <w:rPr>
          <w:rtl/>
          <w:lang w:eastAsia="he-IL"/>
        </w:rPr>
        <w:t xml:space="preserve">דחה </w:t>
      </w:r>
      <w:r>
        <w:rPr>
          <w:rFonts w:hint="cs"/>
          <w:rtl/>
          <w:lang w:eastAsia="he-IL"/>
        </w:rPr>
        <w:t xml:space="preserve">פעמים מספר. רק </w:t>
      </w:r>
      <w:r>
        <w:rPr>
          <w:rtl/>
          <w:lang w:eastAsia="he-IL"/>
        </w:rPr>
        <w:t>במאי 2012, לאחר כשני עשורים, התקבלה החלטת ממשלה</w:t>
      </w:r>
      <w:r>
        <w:rPr>
          <w:rStyle w:val="FootnoteReference"/>
          <w:rtl/>
          <w:lang w:eastAsia="he-IL"/>
        </w:rPr>
        <w:footnoteReference w:id="14"/>
      </w:r>
      <w:r>
        <w:rPr>
          <w:rtl/>
          <w:lang w:eastAsia="he-IL"/>
        </w:rPr>
        <w:t xml:space="preserve"> להעביר בצו ממשלתי את האחריות </w:t>
      </w:r>
      <w:r>
        <w:rPr>
          <w:rFonts w:hint="cs"/>
          <w:rtl/>
          <w:lang w:eastAsia="he-IL"/>
        </w:rPr>
        <w:t>לא</w:t>
      </w:r>
      <w:r>
        <w:rPr>
          <w:rtl/>
          <w:lang w:eastAsia="he-IL"/>
        </w:rPr>
        <w:t xml:space="preserve">ספקת שירותי בריאות הנפש </w:t>
      </w:r>
      <w:r>
        <w:rPr>
          <w:rFonts w:hint="cs"/>
          <w:rtl/>
          <w:lang w:eastAsia="he-IL"/>
        </w:rPr>
        <w:t xml:space="preserve">מן </w:t>
      </w:r>
      <w:r w:rsidRPr="006A2F78">
        <w:rPr>
          <w:rFonts w:hint="cs"/>
          <w:rtl/>
          <w:lang w:eastAsia="he-IL"/>
        </w:rPr>
        <w:t xml:space="preserve">הממשלה </w:t>
      </w:r>
      <w:r w:rsidRPr="006A2F78">
        <w:rPr>
          <w:rtl/>
        </w:rPr>
        <w:t xml:space="preserve">אל </w:t>
      </w:r>
      <w:r>
        <w:rPr>
          <w:rFonts w:hint="cs"/>
          <w:rtl/>
        </w:rPr>
        <w:t>ה</w:t>
      </w:r>
      <w:r w:rsidRPr="006A2F78">
        <w:rPr>
          <w:rFonts w:hint="cs"/>
          <w:rtl/>
          <w:lang w:eastAsia="he-IL"/>
        </w:rPr>
        <w:t xml:space="preserve">קופות </w:t>
      </w:r>
      <w:r w:rsidRPr="006A2F78">
        <w:rPr>
          <w:rFonts w:hint="cs"/>
          <w:rtl/>
        </w:rPr>
        <w:t>כחלק מסל שירותי הבריאות</w:t>
      </w:r>
      <w:r w:rsidRPr="006A2F78">
        <w:rPr>
          <w:rtl/>
        </w:rPr>
        <w:t xml:space="preserve"> במסגרת </w:t>
      </w:r>
      <w:r w:rsidRPr="006A2F78">
        <w:rPr>
          <w:rtl/>
          <w:lang w:eastAsia="he-IL"/>
        </w:rPr>
        <w:t xml:space="preserve">הרפורמה להעברת האחריות הביטוחית בבריאות הנפש </w:t>
      </w:r>
      <w:r w:rsidRPr="006A2F78">
        <w:rPr>
          <w:rtl/>
        </w:rPr>
        <w:t xml:space="preserve">(להלן - הרפורמה </w:t>
      </w:r>
      <w:r w:rsidRPr="006A2F78">
        <w:rPr>
          <w:rFonts w:hint="eastAsia"/>
          <w:rtl/>
        </w:rPr>
        <w:t>או</w:t>
      </w:r>
      <w:r w:rsidRPr="006A2F78">
        <w:rPr>
          <w:rtl/>
        </w:rPr>
        <w:t xml:space="preserve"> </w:t>
      </w:r>
      <w:r w:rsidRPr="006A2F78">
        <w:rPr>
          <w:rFonts w:hint="eastAsia"/>
          <w:rtl/>
        </w:rPr>
        <w:t>הרפורמה</w:t>
      </w:r>
      <w:r w:rsidRPr="006A2F78">
        <w:rPr>
          <w:rFonts w:hint="cs"/>
          <w:rtl/>
          <w:lang w:eastAsia="he-IL"/>
        </w:rPr>
        <w:t xml:space="preserve"> הביטוחית</w:t>
      </w:r>
      <w:r w:rsidRPr="006A2F78">
        <w:rPr>
          <w:rtl/>
          <w:lang w:eastAsia="he-IL"/>
        </w:rPr>
        <w:t>)</w:t>
      </w:r>
      <w:r w:rsidRPr="006A2F78">
        <w:rPr>
          <w:rFonts w:hint="cs"/>
          <w:rtl/>
          <w:lang w:eastAsia="he-IL"/>
        </w:rPr>
        <w:t>. הצו (להלן - צו הרפורמה) הוצא ב</w:t>
      </w:r>
      <w:r>
        <w:rPr>
          <w:rFonts w:hint="cs"/>
          <w:rtl/>
          <w:lang w:eastAsia="he-IL"/>
        </w:rPr>
        <w:t>מאי 2012</w:t>
      </w:r>
      <w:r>
        <w:rPr>
          <w:rStyle w:val="FootnoteReference"/>
          <w:rtl/>
          <w:lang w:eastAsia="he-IL"/>
        </w:rPr>
        <w:footnoteReference w:id="15"/>
      </w:r>
      <w:r w:rsidRPr="006A2F78">
        <w:rPr>
          <w:rFonts w:hint="cs"/>
          <w:rtl/>
          <w:lang w:eastAsia="he-IL"/>
        </w:rPr>
        <w:t>, ונקבע בו כי ייכנס לתוקף כעבור שלוש שנים.</w:t>
      </w:r>
      <w:r w:rsidRPr="00BC0CDB">
        <w:rPr>
          <w:rFonts w:hint="cs"/>
          <w:rtl/>
          <w:lang w:eastAsia="he-IL"/>
        </w:rPr>
        <w:t xml:space="preserve"> ביוני 2012 נחתם </w:t>
      </w:r>
      <w:r w:rsidRPr="001C7145">
        <w:rPr>
          <w:rtl/>
          <w:lang w:eastAsia="he-IL"/>
        </w:rPr>
        <w:t>הסכם בין משרדי</w:t>
      </w:r>
      <w:r>
        <w:rPr>
          <w:rtl/>
          <w:lang w:eastAsia="he-IL"/>
        </w:rPr>
        <w:t xml:space="preserve"> הבריאות</w:t>
      </w:r>
      <w:r>
        <w:rPr>
          <w:rFonts w:hint="cs"/>
          <w:rtl/>
          <w:lang w:eastAsia="he-IL"/>
        </w:rPr>
        <w:t xml:space="preserve"> </w:t>
      </w:r>
      <w:r>
        <w:rPr>
          <w:rtl/>
          <w:lang w:eastAsia="he-IL"/>
        </w:rPr>
        <w:t>והאוצר לבין שירותי בריאות כללית</w:t>
      </w:r>
      <w:r>
        <w:rPr>
          <w:rFonts w:hint="cs"/>
          <w:rtl/>
          <w:lang w:eastAsia="he-IL"/>
        </w:rPr>
        <w:t xml:space="preserve"> בנוגע להעברת שירותי הבריאות ולהתנהלות הצדדים בתקופת הביניים עד כניסת הצו לתוקף (להלן - הסכם הרפורמה). תקופת הביניים </w:t>
      </w:r>
      <w:r>
        <w:rPr>
          <w:rtl/>
          <w:lang w:eastAsia="he-IL"/>
        </w:rPr>
        <w:t>נועד</w:t>
      </w:r>
      <w:r>
        <w:rPr>
          <w:rFonts w:hint="cs"/>
          <w:rtl/>
          <w:lang w:eastAsia="he-IL"/>
        </w:rPr>
        <w:t>ה</w:t>
      </w:r>
      <w:r>
        <w:rPr>
          <w:rtl/>
          <w:lang w:eastAsia="he-IL"/>
        </w:rPr>
        <w:t xml:space="preserve"> לאפשר לקופות לפתח תשתיות ושירותים ולמשרד הבריאות להיערך לתפקידו כמתווה מדיניות ומפקח</w:t>
      </w:r>
      <w:r>
        <w:rPr>
          <w:rFonts w:hint="cs"/>
          <w:rtl/>
          <w:lang w:eastAsia="he-IL"/>
        </w:rPr>
        <w:t>. ביולי 2015 נכנסה הרפורמה לתוקף</w:t>
      </w:r>
      <w:r>
        <w:rPr>
          <w:rtl/>
          <w:lang w:eastAsia="he-IL"/>
        </w:rPr>
        <w:t>.</w:t>
      </w:r>
    </w:p>
    <w:p w14:paraId="54B8D74D" w14:textId="77777777" w:rsidR="00B51F5B" w:rsidRDefault="00B51F5B" w:rsidP="001D0A16">
      <w:pPr>
        <w:pStyle w:val="100"/>
        <w:rPr>
          <w:rtl/>
        </w:rPr>
      </w:pPr>
      <w:r>
        <w:rPr>
          <w:rtl/>
          <w:lang w:eastAsia="he-IL"/>
        </w:rPr>
        <w:t xml:space="preserve">העברת האחריות </w:t>
      </w:r>
      <w:r>
        <w:rPr>
          <w:rFonts w:hint="cs"/>
          <w:rtl/>
          <w:lang w:eastAsia="he-IL"/>
        </w:rPr>
        <w:t>לא</w:t>
      </w:r>
      <w:r>
        <w:rPr>
          <w:rtl/>
          <w:lang w:eastAsia="he-IL"/>
        </w:rPr>
        <w:t xml:space="preserve">ספקת שירותי בריאות הנפש מן המדינה אל קופות החולים היא חלק מרפורמה כוללת בבריאות הנפש המורכבת משלושה </w:t>
      </w:r>
      <w:r>
        <w:rPr>
          <w:rFonts w:hint="cs"/>
          <w:rtl/>
          <w:lang w:eastAsia="he-IL"/>
        </w:rPr>
        <w:t>שלבים</w:t>
      </w:r>
      <w:r>
        <w:rPr>
          <w:rtl/>
          <w:lang w:eastAsia="he-IL"/>
        </w:rPr>
        <w:t>:</w:t>
      </w:r>
      <w:r>
        <w:rPr>
          <w:rtl/>
        </w:rPr>
        <w:t xml:space="preserve"> </w:t>
      </w:r>
    </w:p>
    <w:p w14:paraId="52288508" w14:textId="77777777" w:rsidR="00B51F5B" w:rsidRDefault="00B51F5B" w:rsidP="001D0A16">
      <w:pPr>
        <w:pStyle w:val="BULLETS07"/>
        <w:rPr>
          <w:rtl/>
        </w:rPr>
      </w:pPr>
      <w:r>
        <w:rPr>
          <w:rtl/>
        </w:rPr>
        <w:t xml:space="preserve">"הרפורמה המבנית", </w:t>
      </w:r>
      <w:r>
        <w:rPr>
          <w:rFonts w:hint="cs"/>
          <w:rtl/>
        </w:rPr>
        <w:t>ש</w:t>
      </w:r>
      <w:r>
        <w:rPr>
          <w:rtl/>
        </w:rPr>
        <w:t>במסגרתה צמצם משרד</w:t>
      </w:r>
      <w:r>
        <w:rPr>
          <w:rFonts w:hint="cs"/>
          <w:rtl/>
        </w:rPr>
        <w:t xml:space="preserve"> הבריאות </w:t>
      </w:r>
      <w:r>
        <w:rPr>
          <w:rtl/>
        </w:rPr>
        <w:t>את מספר המיטות הפסיכיאטרי</w:t>
      </w:r>
      <w:r>
        <w:rPr>
          <w:rFonts w:hint="cs"/>
          <w:rtl/>
        </w:rPr>
        <w:t>ות</w:t>
      </w:r>
      <w:r>
        <w:rPr>
          <w:rtl/>
        </w:rPr>
        <w:t xml:space="preserve"> מ</w:t>
      </w:r>
      <w:r>
        <w:rPr>
          <w:rFonts w:hint="cs"/>
          <w:rtl/>
        </w:rPr>
        <w:t>כ</w:t>
      </w:r>
      <w:r>
        <w:rPr>
          <w:rtl/>
        </w:rPr>
        <w:t>-6,800</w:t>
      </w:r>
      <w:r>
        <w:rPr>
          <w:rFonts w:hint="cs"/>
          <w:rtl/>
        </w:rPr>
        <w:t xml:space="preserve"> מיטות</w:t>
      </w:r>
      <w:r>
        <w:rPr>
          <w:rtl/>
        </w:rPr>
        <w:t xml:space="preserve"> ב</w:t>
      </w:r>
      <w:r>
        <w:rPr>
          <w:rFonts w:hint="cs"/>
          <w:rtl/>
        </w:rPr>
        <w:t xml:space="preserve">שנת </w:t>
      </w:r>
      <w:r>
        <w:rPr>
          <w:rtl/>
        </w:rPr>
        <w:t>1988 לכ-3,500 בתחילת</w:t>
      </w:r>
      <w:r>
        <w:rPr>
          <w:rFonts w:hint="cs"/>
          <w:rtl/>
        </w:rPr>
        <w:t xml:space="preserve"> שנת</w:t>
      </w:r>
      <w:r>
        <w:rPr>
          <w:rtl/>
        </w:rPr>
        <w:t xml:space="preserve"> 2015 (ירידה של כ-50%)</w:t>
      </w:r>
      <w:r>
        <w:rPr>
          <w:rFonts w:hint="cs"/>
          <w:rtl/>
        </w:rPr>
        <w:t>.</w:t>
      </w:r>
    </w:p>
    <w:p w14:paraId="7784587F" w14:textId="77777777" w:rsidR="00B51F5B" w:rsidRDefault="00B51F5B" w:rsidP="001D0A16">
      <w:pPr>
        <w:pStyle w:val="BULLETS07"/>
        <w:rPr>
          <w:rtl/>
        </w:rPr>
      </w:pPr>
      <w:r>
        <w:rPr>
          <w:rtl/>
        </w:rPr>
        <w:t>"הרפורמה השיקומית" במסגרת חוק שיקום נכי נפש בקהילה, התש"ס-</w:t>
      </w:r>
      <w:r w:rsidRPr="0062664B">
        <w:rPr>
          <w:rFonts w:ascii="David" w:hAnsi="David"/>
          <w:sz w:val="24"/>
        </w:rPr>
        <w:t>2000</w:t>
      </w:r>
      <w:r>
        <w:rPr>
          <w:rFonts w:ascii="David" w:hAnsi="David" w:hint="cs"/>
          <w:sz w:val="24"/>
          <w:rtl/>
        </w:rPr>
        <w:t>,</w:t>
      </w:r>
      <w:r>
        <w:rPr>
          <w:rFonts w:hint="cs"/>
          <w:rtl/>
        </w:rPr>
        <w:t xml:space="preserve"> </w:t>
      </w:r>
      <w:r>
        <w:rPr>
          <w:rtl/>
        </w:rPr>
        <w:t>ולפיה המשרד מספק שירותי שיקום לכ-2</w:t>
      </w:r>
      <w:r>
        <w:rPr>
          <w:rFonts w:hint="cs"/>
          <w:rtl/>
        </w:rPr>
        <w:t>7</w:t>
      </w:r>
      <w:r>
        <w:rPr>
          <w:rtl/>
        </w:rPr>
        <w:t>,000 נכי נפש בקהילה</w:t>
      </w:r>
      <w:r>
        <w:rPr>
          <w:vertAlign w:val="superscript"/>
          <w:rtl/>
        </w:rPr>
        <w:footnoteReference w:id="16"/>
      </w:r>
      <w:r>
        <w:rPr>
          <w:rFonts w:hint="cs"/>
          <w:rtl/>
        </w:rPr>
        <w:t xml:space="preserve">. </w:t>
      </w:r>
    </w:p>
    <w:p w14:paraId="6B38367D" w14:textId="2F41EDD9" w:rsidR="00B51F5B" w:rsidRDefault="00B51F5B" w:rsidP="001D0A16">
      <w:pPr>
        <w:pStyle w:val="BULLETS07"/>
        <w:rPr>
          <w:rtl/>
        </w:rPr>
      </w:pPr>
      <w:r>
        <w:rPr>
          <w:rFonts w:hint="cs"/>
          <w:rtl/>
        </w:rPr>
        <w:t>"הרפורמה הביטוחית", שבה עוסק דוח זה, ושכאמור במסגרתה הועברה</w:t>
      </w:r>
      <w:r w:rsidRPr="00F54C64">
        <w:rPr>
          <w:rFonts w:hint="cs"/>
          <w:rtl/>
        </w:rPr>
        <w:t xml:space="preserve"> </w:t>
      </w:r>
      <w:r>
        <w:rPr>
          <w:rFonts w:hint="cs"/>
          <w:rtl/>
        </w:rPr>
        <w:t xml:space="preserve">ביולי 2015 האחריות הביטוחית למתן שירותים בתחום בריאות הנפש מן המדינה אל הקופות. </w:t>
      </w:r>
    </w:p>
    <w:p w14:paraId="668F5A23" w14:textId="41802C14" w:rsidR="00B51F5B" w:rsidRDefault="00B51F5B" w:rsidP="001D0A16">
      <w:pPr>
        <w:pStyle w:val="100"/>
        <w:rPr>
          <w:rtl/>
        </w:rPr>
      </w:pPr>
      <w:r>
        <w:rPr>
          <w:rFonts w:hint="cs"/>
          <w:rtl/>
        </w:rPr>
        <w:t>בעוד ששתי הרפורמות הראשונות נתנו מענה</w:t>
      </w:r>
      <w:r>
        <w:rPr>
          <w:rtl/>
        </w:rPr>
        <w:t xml:space="preserve"> בעיקר לאוכלוסיית נכי הנפש </w:t>
      </w:r>
      <w:r>
        <w:rPr>
          <w:rFonts w:hint="cs"/>
          <w:rtl/>
        </w:rPr>
        <w:t xml:space="preserve">הקשים </w:t>
      </w:r>
      <w:r>
        <w:rPr>
          <w:rtl/>
        </w:rPr>
        <w:t>ולחולים הכרוניים בבריאות</w:t>
      </w:r>
      <w:r>
        <w:rPr>
          <w:rFonts w:hint="cs"/>
          <w:rtl/>
        </w:rPr>
        <w:t xml:space="preserve"> </w:t>
      </w:r>
      <w:r>
        <w:rPr>
          <w:rtl/>
        </w:rPr>
        <w:t xml:space="preserve">הנפש </w:t>
      </w:r>
      <w:r>
        <w:rPr>
          <w:rFonts w:hint="cs"/>
          <w:rtl/>
        </w:rPr>
        <w:t>(</w:t>
      </w:r>
      <w:r>
        <w:rPr>
          <w:rtl/>
        </w:rPr>
        <w:t>הצורכים שירותי אשפוז ושיקום</w:t>
      </w:r>
      <w:r>
        <w:rPr>
          <w:rFonts w:hint="cs"/>
          <w:rtl/>
        </w:rPr>
        <w:t>),</w:t>
      </w:r>
      <w:r>
        <w:rPr>
          <w:rtl/>
        </w:rPr>
        <w:t xml:space="preserve"> הרפורמה הביטוחית נוגעת גם לאוכלוסיי</w:t>
      </w:r>
      <w:r>
        <w:rPr>
          <w:rFonts w:hint="cs"/>
          <w:rtl/>
        </w:rPr>
        <w:t>ה הסובלת מהפרעות נפש קלות יותר, הזקוקה אף היא לטיפולים פסיכותרפיי</w:t>
      </w:r>
      <w:r>
        <w:rPr>
          <w:rFonts w:hint="eastAsia"/>
          <w:rtl/>
        </w:rPr>
        <w:t>ם</w:t>
      </w:r>
      <w:r>
        <w:rPr>
          <w:rFonts w:hint="cs"/>
          <w:rtl/>
        </w:rPr>
        <w:t xml:space="preserve"> ופסיכיאטריים, </w:t>
      </w:r>
      <w:r>
        <w:rPr>
          <w:rtl/>
        </w:rPr>
        <w:t>שעיקר המענים</w:t>
      </w:r>
      <w:r>
        <w:rPr>
          <w:rFonts w:hint="cs"/>
          <w:rtl/>
        </w:rPr>
        <w:t xml:space="preserve"> </w:t>
      </w:r>
      <w:r>
        <w:rPr>
          <w:rtl/>
        </w:rPr>
        <w:t>המיועדים לה ניתנים במרפאות בקהי</w:t>
      </w:r>
      <w:r>
        <w:rPr>
          <w:rFonts w:hint="cs"/>
          <w:rtl/>
        </w:rPr>
        <w:t>ל</w:t>
      </w:r>
      <w:r>
        <w:rPr>
          <w:rtl/>
        </w:rPr>
        <w:t>ה</w:t>
      </w:r>
      <w:r>
        <w:rPr>
          <w:rFonts w:hint="cs"/>
          <w:rtl/>
        </w:rPr>
        <w:t>.</w:t>
      </w:r>
      <w:r w:rsidRPr="00014834">
        <w:rPr>
          <w:rFonts w:hint="cs"/>
          <w:rtl/>
        </w:rPr>
        <w:t xml:space="preserve"> </w:t>
      </w:r>
      <w:r>
        <w:rPr>
          <w:rFonts w:hint="cs"/>
          <w:rtl/>
        </w:rPr>
        <w:t xml:space="preserve">רוב שירותי בריאות הנפש סופקו לפני הרפורמה באמצעות מרפאות בבעלות ממשלתית שפעלו בשטחי בתי </w:t>
      </w:r>
      <w:r>
        <w:rPr>
          <w:rFonts w:hint="cs"/>
          <w:rtl/>
        </w:rPr>
        <w:lastRenderedPageBreak/>
        <w:t xml:space="preserve">החולים הפסיכיאטריים או במקומות אחרים, בהיותן מסונפות אליהם, וכן במרפאות בריאות הנפש של שירותי בריאות כללית. בסך הכול פעלו בארץ כ-100 מרפאות בכ-50 יישובים. </w:t>
      </w:r>
    </w:p>
    <w:p w14:paraId="22A0771F" w14:textId="77777777" w:rsidR="00B51F5B" w:rsidRPr="004F6836" w:rsidRDefault="00B51F5B" w:rsidP="001D0A16">
      <w:pPr>
        <w:pStyle w:val="100"/>
        <w:rPr>
          <w:rtl/>
        </w:rPr>
      </w:pPr>
      <w:r>
        <w:rPr>
          <w:rtl/>
        </w:rPr>
        <w:t>מטר</w:t>
      </w:r>
      <w:r>
        <w:rPr>
          <w:rFonts w:hint="cs"/>
          <w:rtl/>
        </w:rPr>
        <w:t>ו</w:t>
      </w:r>
      <w:r w:rsidRPr="006121E1">
        <w:rPr>
          <w:rtl/>
        </w:rPr>
        <w:t>ת הרפורמה</w:t>
      </w:r>
      <w:r>
        <w:rPr>
          <w:rFonts w:hint="cs"/>
          <w:rtl/>
        </w:rPr>
        <w:t xml:space="preserve"> </w:t>
      </w:r>
      <w:r w:rsidRPr="00723157">
        <w:rPr>
          <w:rFonts w:hint="eastAsia"/>
          <w:rtl/>
        </w:rPr>
        <w:t>הביט</w:t>
      </w:r>
      <w:r w:rsidRPr="00723157">
        <w:rPr>
          <w:rFonts w:hint="cs"/>
          <w:rtl/>
        </w:rPr>
        <w:t>ו</w:t>
      </w:r>
      <w:r w:rsidRPr="00723157">
        <w:rPr>
          <w:rFonts w:hint="eastAsia"/>
          <w:rtl/>
        </w:rPr>
        <w:t>חית</w:t>
      </w:r>
      <w:r w:rsidRPr="00723157">
        <w:rPr>
          <w:rtl/>
        </w:rPr>
        <w:t xml:space="preserve"> </w:t>
      </w:r>
      <w:r>
        <w:rPr>
          <w:rFonts w:hint="cs"/>
          <w:rtl/>
        </w:rPr>
        <w:t>כוללות, בין היתר</w:t>
      </w:r>
      <w:r w:rsidRPr="00E73A4D">
        <w:rPr>
          <w:rtl/>
        </w:rPr>
        <w:t>:</w:t>
      </w:r>
      <w:r w:rsidRPr="006121E1">
        <w:rPr>
          <w:rtl/>
        </w:rPr>
        <w:t xml:space="preserve"> איחוד רפואת הגוף והנפש בקופות החולים; הרחבת הנגישות לשירותי בריאות הנפש; הגדלת זמינות השירותים; שיפור איכות הטיפול הניתן בבריאות הנפש</w:t>
      </w:r>
      <w:r>
        <w:rPr>
          <w:rFonts w:hint="cs"/>
          <w:rtl/>
        </w:rPr>
        <w:t>, לרבות מניעת אשפוזים</w:t>
      </w:r>
      <w:r w:rsidRPr="006121E1">
        <w:rPr>
          <w:rtl/>
        </w:rPr>
        <w:t>; הפחתת ה</w:t>
      </w:r>
      <w:r>
        <w:rPr>
          <w:rFonts w:hint="cs"/>
          <w:rtl/>
        </w:rPr>
        <w:t>תווית השלילית המוצמדת</w:t>
      </w:r>
      <w:r w:rsidRPr="006121E1">
        <w:rPr>
          <w:rtl/>
        </w:rPr>
        <w:t xml:space="preserve"> למטופלים; שיפור רצף הטיפול בין האשפוז לקהילה; התייעלות </w:t>
      </w:r>
      <w:r>
        <w:rPr>
          <w:rFonts w:hint="cs"/>
          <w:rtl/>
        </w:rPr>
        <w:t>מערך</w:t>
      </w:r>
      <w:r w:rsidRPr="006121E1">
        <w:rPr>
          <w:rtl/>
        </w:rPr>
        <w:t xml:space="preserve"> בריאות הנפש</w:t>
      </w:r>
      <w:r>
        <w:rPr>
          <w:rStyle w:val="FootnoteReference"/>
          <w:rtl/>
        </w:rPr>
        <w:footnoteReference w:id="17"/>
      </w:r>
      <w:r w:rsidRPr="006121E1">
        <w:rPr>
          <w:rtl/>
        </w:rPr>
        <w:t>; ו</w:t>
      </w:r>
      <w:r>
        <w:rPr>
          <w:rFonts w:hint="cs"/>
          <w:rtl/>
        </w:rPr>
        <w:t>הגברת</w:t>
      </w:r>
      <w:r w:rsidRPr="006121E1">
        <w:rPr>
          <w:rtl/>
        </w:rPr>
        <w:t xml:space="preserve"> מודעות הציבור לזכויותיו לקבלת שירותים. </w:t>
      </w:r>
      <w:r w:rsidRPr="004F6836">
        <w:rPr>
          <w:rFonts w:hint="cs"/>
          <w:rtl/>
        </w:rPr>
        <w:t>נכון לשנת 2018</w:t>
      </w:r>
      <w:r>
        <w:rPr>
          <w:rFonts w:hint="cs"/>
          <w:rtl/>
        </w:rPr>
        <w:t>,</w:t>
      </w:r>
      <w:r w:rsidRPr="004F6836">
        <w:rPr>
          <w:rFonts w:hint="cs"/>
          <w:rtl/>
        </w:rPr>
        <w:t xml:space="preserve"> הסכום המיועד לבריאות הנפש בסל שירותי הבריאות</w:t>
      </w:r>
      <w:r>
        <w:rPr>
          <w:rFonts w:hint="cs"/>
          <w:rtl/>
        </w:rPr>
        <w:t>,</w:t>
      </w:r>
      <w:r w:rsidRPr="004F6836">
        <w:rPr>
          <w:rFonts w:hint="cs"/>
          <w:rtl/>
        </w:rPr>
        <w:t xml:space="preserve"> לאחר הצמדה ליוקר המחיה ולגידול הדמוגרפי</w:t>
      </w:r>
      <w:r>
        <w:rPr>
          <w:rFonts w:hint="cs"/>
          <w:rtl/>
        </w:rPr>
        <w:t>,</w:t>
      </w:r>
      <w:r w:rsidRPr="004F6836">
        <w:rPr>
          <w:rFonts w:hint="cs"/>
          <w:rtl/>
        </w:rPr>
        <w:t xml:space="preserve"> עמד על 2.3 מיליארד</w:t>
      </w:r>
      <w:r>
        <w:rPr>
          <w:rFonts w:hint="cs"/>
          <w:rtl/>
        </w:rPr>
        <w:t>י</w:t>
      </w:r>
      <w:r w:rsidRPr="004F6836">
        <w:rPr>
          <w:rFonts w:hint="cs"/>
          <w:rtl/>
        </w:rPr>
        <w:t xml:space="preserve"> ש"ח.</w:t>
      </w:r>
      <w:r>
        <w:rPr>
          <w:rFonts w:hint="cs"/>
          <w:rtl/>
        </w:rPr>
        <w:t xml:space="preserve"> </w:t>
      </w:r>
    </w:p>
    <w:p w14:paraId="778926DC" w14:textId="53019199" w:rsidR="00B51F5B" w:rsidRDefault="00B51F5B" w:rsidP="001D0A16">
      <w:pPr>
        <w:pStyle w:val="100"/>
        <w:rPr>
          <w:rtl/>
        </w:rPr>
      </w:pPr>
      <w:r>
        <w:rPr>
          <w:rFonts w:hint="cs"/>
          <w:rtl/>
        </w:rPr>
        <w:t>הסכם הרפורמה קבע אילו שירותים יעברו לאחריות קופות החולים. במסגרת התקציב האמבולטורי</w:t>
      </w:r>
      <w:r>
        <w:rPr>
          <w:rStyle w:val="FootnoteReference"/>
          <w:rtl/>
        </w:rPr>
        <w:footnoteReference w:id="18"/>
      </w:r>
      <w:r>
        <w:rPr>
          <w:rFonts w:hint="cs"/>
          <w:rtl/>
        </w:rPr>
        <w:t xml:space="preserve"> נקבע כי יטופלו 4% מאוכלוסיית המבוגרים ו-2%</w:t>
      </w:r>
      <w:r w:rsidR="001D0A16">
        <w:rPr>
          <w:rFonts w:hint="cs"/>
          <w:rtl/>
        </w:rPr>
        <w:t xml:space="preserve"> מאוכלוסיית הילדים </w:t>
      </w:r>
      <w:r w:rsidR="001D0A16">
        <w:rPr>
          <w:rtl/>
        </w:rPr>
        <w:br/>
      </w:r>
      <w:r w:rsidR="001D0A16">
        <w:rPr>
          <w:rFonts w:hint="cs"/>
          <w:rtl/>
        </w:rPr>
        <w:t>(עד גיל 18).</w:t>
      </w:r>
    </w:p>
    <w:p w14:paraId="792EC102" w14:textId="7E3B807B" w:rsidR="00B51F5B" w:rsidRDefault="00B51F5B" w:rsidP="001D0A16">
      <w:pPr>
        <w:pStyle w:val="100"/>
        <w:rPr>
          <w:rtl/>
        </w:rPr>
      </w:pPr>
      <w:r>
        <w:rPr>
          <w:rFonts w:hint="cs"/>
          <w:rtl/>
        </w:rPr>
        <w:t>ההסכם הגדיר כי תוקם מינהלת לבריאות הנפש (להלן - מינהלת הרפורמה), שתפעל כגוף מייעץ למנכ"ל משרד הבריאות, ובמסגרת זו תאסוף מידע על תהליך הרפורמה ותגבש המלצות למדיניות</w:t>
      </w:r>
      <w:r>
        <w:rPr>
          <w:rStyle w:val="FootnoteReference"/>
          <w:rtl/>
        </w:rPr>
        <w:footnoteReference w:id="19"/>
      </w:r>
      <w:r>
        <w:rPr>
          <w:rFonts w:hint="cs"/>
          <w:rtl/>
        </w:rPr>
        <w:t xml:space="preserve">. באפריל 2018 מינה מנכ"ל המשרד ועדה לבחינת הסדרי התחשבנות ואחריות הקופות לעניין הרפורמה בבריאות הנפש, שבראשה עומד עובד האגף לתכנון תמחור ותקצוב (להלן - הוועדה לבחינת הרפורמה). </w:t>
      </w:r>
      <w:r w:rsidRPr="00BC75C4">
        <w:rPr>
          <w:rtl/>
        </w:rPr>
        <w:t>בינואר 2019 מינה יו"ר המועצה הלאומית לבריאות הנפש</w:t>
      </w:r>
      <w:r>
        <w:rPr>
          <w:rStyle w:val="FootnoteReference"/>
          <w:rtl/>
        </w:rPr>
        <w:footnoteReference w:id="20"/>
      </w:r>
      <w:r w:rsidRPr="00BC75C4">
        <w:rPr>
          <w:rtl/>
        </w:rPr>
        <w:t xml:space="preserve"> תת-וועדה לבחינת הפערים בשירותים הקהילתיים בעקבות הרפורמה בבריאות הנפש</w:t>
      </w:r>
      <w:r>
        <w:rPr>
          <w:rFonts w:hint="cs"/>
          <w:rtl/>
        </w:rPr>
        <w:t>,</w:t>
      </w:r>
      <w:r w:rsidRPr="00BC75C4">
        <w:rPr>
          <w:rtl/>
        </w:rPr>
        <w:t xml:space="preserve"> וזו הגישה את המלצותיה ביולי 2019.</w:t>
      </w:r>
    </w:p>
    <w:p w14:paraId="11AF57A6" w14:textId="77777777" w:rsidR="00B51F5B" w:rsidRPr="00D05762" w:rsidRDefault="00B51F5B" w:rsidP="001D0A16">
      <w:pPr>
        <w:pStyle w:val="316"/>
        <w:rPr>
          <w:rtl/>
          <w:lang w:eastAsia="he-IL"/>
        </w:rPr>
      </w:pPr>
      <w:r w:rsidRPr="00D05762">
        <w:rPr>
          <w:rtl/>
          <w:lang w:eastAsia="he-IL"/>
        </w:rPr>
        <w:t>פעולות הביקורת</w:t>
      </w:r>
    </w:p>
    <w:p w14:paraId="7A1035A9" w14:textId="58503239" w:rsidR="00B51F5B" w:rsidRPr="00D05762" w:rsidRDefault="00B51F5B" w:rsidP="001D0A16">
      <w:pPr>
        <w:pStyle w:val="100"/>
        <w:rPr>
          <w:rtl/>
          <w:lang w:eastAsia="he-IL"/>
        </w:rPr>
      </w:pPr>
      <w:r w:rsidRPr="00D05762">
        <w:rPr>
          <w:rtl/>
          <w:lang w:eastAsia="he-IL"/>
        </w:rPr>
        <w:t xml:space="preserve">בחודשים פברואר עד </w:t>
      </w:r>
      <w:r>
        <w:rPr>
          <w:rFonts w:hint="cs"/>
          <w:rtl/>
          <w:lang w:eastAsia="he-IL"/>
        </w:rPr>
        <w:t>אוקטובר</w:t>
      </w:r>
      <w:r w:rsidRPr="00D05762">
        <w:rPr>
          <w:rtl/>
          <w:lang w:eastAsia="he-IL"/>
        </w:rPr>
        <w:t xml:space="preserve"> </w:t>
      </w:r>
      <w:r>
        <w:rPr>
          <w:rFonts w:hint="cs"/>
          <w:rtl/>
          <w:lang w:eastAsia="he-IL"/>
        </w:rPr>
        <w:t>2019</w:t>
      </w:r>
      <w:r w:rsidRPr="00D05762">
        <w:rPr>
          <w:rtl/>
          <w:lang w:eastAsia="he-IL"/>
        </w:rPr>
        <w:t xml:space="preserve"> בדק משרד מבקר המדינה </w:t>
      </w:r>
      <w:r>
        <w:rPr>
          <w:rFonts w:hint="cs"/>
          <w:rtl/>
          <w:lang w:eastAsia="he-IL"/>
        </w:rPr>
        <w:t>היבטים ברפורמה להעברת האחריות הביטוחית בבריאות הנפש</w:t>
      </w:r>
      <w:r w:rsidRPr="00D05762">
        <w:rPr>
          <w:rtl/>
          <w:lang w:eastAsia="he-IL"/>
        </w:rPr>
        <w:t xml:space="preserve">. במסגרת זו </w:t>
      </w:r>
      <w:r>
        <w:rPr>
          <w:rFonts w:hint="cs"/>
          <w:rtl/>
          <w:lang w:eastAsia="he-IL"/>
        </w:rPr>
        <w:t xml:space="preserve">נבדקו אופן מתן השירות האמבולטורי הניתן למטופלים, כולל </w:t>
      </w:r>
      <w:r w:rsidRPr="0073510D">
        <w:rPr>
          <w:rtl/>
          <w:lang w:eastAsia="he-IL"/>
        </w:rPr>
        <w:t>לחולים במחלות נפש בשילוב התמכרויות</w:t>
      </w:r>
      <w:r w:rsidRPr="0073510D">
        <w:rPr>
          <w:rFonts w:hint="cs"/>
          <w:rtl/>
          <w:lang w:eastAsia="he-IL"/>
        </w:rPr>
        <w:t>;</w:t>
      </w:r>
      <w:r>
        <w:rPr>
          <w:rFonts w:hint="cs"/>
          <w:rtl/>
          <w:lang w:eastAsia="he-IL"/>
        </w:rPr>
        <w:t xml:space="preserve"> היבטי תקצוב של הרפורמה; בחינת יישומה על ידי משרד הבריאות; </w:t>
      </w:r>
      <w:r w:rsidRPr="00417F2F">
        <w:rPr>
          <w:rtl/>
          <w:lang w:eastAsia="he-IL"/>
        </w:rPr>
        <w:t>התחשבנות בין קופות החולים לבתי החולים</w:t>
      </w:r>
      <w:r>
        <w:rPr>
          <w:rFonts w:hint="cs"/>
          <w:rtl/>
          <w:lang w:eastAsia="he-IL"/>
        </w:rPr>
        <w:t xml:space="preserve">; היבטי כוח אדם בתחום. הבדיקות נעשו במשרד הבריאות (להלן גם - המשרד) באגף לבריאות הנפש שבחטיבת הרפואה ובחטיבת </w:t>
      </w:r>
      <w:r w:rsidRPr="00326EA2">
        <w:rPr>
          <w:rtl/>
          <w:lang w:eastAsia="he-IL"/>
        </w:rPr>
        <w:t>המרכזים הרפואיים הממשלתיים</w:t>
      </w:r>
      <w:r>
        <w:rPr>
          <w:rStyle w:val="FootnoteReference"/>
          <w:rtl/>
          <w:lang w:eastAsia="he-IL"/>
        </w:rPr>
        <w:footnoteReference w:id="21"/>
      </w:r>
      <w:r>
        <w:rPr>
          <w:rFonts w:hint="cs"/>
          <w:rtl/>
          <w:lang w:eastAsia="he-IL"/>
        </w:rPr>
        <w:t>;</w:t>
      </w:r>
      <w:r w:rsidRPr="00326EA2">
        <w:rPr>
          <w:rtl/>
          <w:lang w:eastAsia="he-IL"/>
        </w:rPr>
        <w:t xml:space="preserve"> </w:t>
      </w:r>
      <w:r>
        <w:rPr>
          <w:rFonts w:hint="cs"/>
          <w:rtl/>
          <w:lang w:eastAsia="he-IL"/>
        </w:rPr>
        <w:t xml:space="preserve">בארבע קופות החולים (להלן גם - הקופות): שירותי בריאות כללית (להלן - הכללית), מכבי שירותי בריאות (להלן - מכבי), </w:t>
      </w:r>
      <w:r>
        <w:rPr>
          <w:rFonts w:hint="cs"/>
          <w:rtl/>
          <w:lang w:eastAsia="he-IL"/>
        </w:rPr>
        <w:lastRenderedPageBreak/>
        <w:t xml:space="preserve">קופת חולים מאוחדת (להלן - מאוחדת) ולאומית שירותי בריאות (להלן - לאומית); בבתי החולים הפסיכיאטריים - המרכז לבריאות הנפש שער מנשה (להלן - שער מנשה), המרכז הירושלמי לבריאות הנפש, המרכז לבריאות הנפש באר שבע, המרכז הרפואי ע"ש חיים שיבא תל השומר (להלן - שיבא) והמרכז לבריאות הנפש גהה שבבעלות הכללית. </w:t>
      </w:r>
      <w:r w:rsidRPr="00417F2F">
        <w:rPr>
          <w:rtl/>
          <w:lang w:eastAsia="he-IL"/>
        </w:rPr>
        <w:t>בדיקות השלמה נערכו</w:t>
      </w:r>
      <w:r>
        <w:rPr>
          <w:rFonts w:hint="cs"/>
          <w:rtl/>
          <w:lang w:eastAsia="he-IL"/>
        </w:rPr>
        <w:t>,</w:t>
      </w:r>
      <w:r w:rsidRPr="00417F2F">
        <w:rPr>
          <w:rtl/>
          <w:lang w:eastAsia="he-IL"/>
        </w:rPr>
        <w:t xml:space="preserve"> בין היתר</w:t>
      </w:r>
      <w:r>
        <w:rPr>
          <w:rFonts w:hint="cs"/>
          <w:rtl/>
          <w:lang w:eastAsia="he-IL"/>
        </w:rPr>
        <w:t>,</w:t>
      </w:r>
      <w:r w:rsidRPr="00417F2F">
        <w:rPr>
          <w:rtl/>
          <w:lang w:eastAsia="he-IL"/>
        </w:rPr>
        <w:t xml:space="preserve"> </w:t>
      </w:r>
      <w:r>
        <w:rPr>
          <w:rFonts w:hint="cs"/>
          <w:rtl/>
          <w:lang w:eastAsia="he-IL"/>
        </w:rPr>
        <w:t xml:space="preserve">במשרד האוצר, באוניברסיטאות, </w:t>
      </w:r>
      <w:r w:rsidRPr="00417F2F">
        <w:rPr>
          <w:rtl/>
          <w:lang w:eastAsia="he-IL"/>
        </w:rPr>
        <w:t>במועצה להשכלה גבוהה (להלן - המל"ג)</w:t>
      </w:r>
      <w:r>
        <w:rPr>
          <w:rFonts w:hint="cs"/>
          <w:rtl/>
          <w:lang w:eastAsia="he-IL"/>
        </w:rPr>
        <w:t xml:space="preserve"> ובמרכז החוסן בשדרות</w:t>
      </w:r>
      <w:r w:rsidRPr="00366A6D">
        <w:rPr>
          <w:rStyle w:val="FootnoteReference"/>
          <w:rtl/>
          <w:lang w:eastAsia="he-IL"/>
        </w:rPr>
        <w:footnoteReference w:id="22"/>
      </w:r>
      <w:r w:rsidRPr="00417F2F">
        <w:rPr>
          <w:rtl/>
          <w:lang w:eastAsia="he-IL"/>
        </w:rPr>
        <w:t>.</w:t>
      </w:r>
    </w:p>
    <w:p w14:paraId="5AE7962B" w14:textId="77777777" w:rsidR="00B51F5B" w:rsidRDefault="00B51F5B" w:rsidP="001D0A16">
      <w:pPr>
        <w:pStyle w:val="316"/>
        <w:rPr>
          <w:rtl/>
        </w:rPr>
      </w:pPr>
      <w:r>
        <w:rPr>
          <w:rFonts w:hint="cs"/>
          <w:rtl/>
        </w:rPr>
        <w:t xml:space="preserve">השירות למטופלים במסגרת הרפורמה </w:t>
      </w:r>
    </w:p>
    <w:p w14:paraId="74283ED8" w14:textId="17A3AB2C" w:rsidR="00B51F5B" w:rsidRPr="009530BD" w:rsidRDefault="00B51F5B" w:rsidP="001D0A16">
      <w:pPr>
        <w:pStyle w:val="100"/>
        <w:rPr>
          <w:rtl/>
          <w:lang w:eastAsia="he-IL"/>
        </w:rPr>
      </w:pPr>
      <w:r>
        <w:rPr>
          <w:rFonts w:hint="cs"/>
          <w:rtl/>
          <w:lang w:eastAsia="he-IL"/>
        </w:rPr>
        <w:t xml:space="preserve">משרד מבקר המדינה בחן את השירותים הניתנים ארבע שנים לאחר כניסת הרפורמה לתוקף: </w:t>
      </w:r>
      <w:r>
        <w:rPr>
          <w:rtl/>
          <w:lang w:eastAsia="he-IL"/>
        </w:rPr>
        <w:t>זמני ה</w:t>
      </w:r>
      <w:r w:rsidRPr="00723157">
        <w:rPr>
          <w:rtl/>
          <w:lang w:eastAsia="he-IL"/>
        </w:rPr>
        <w:t>המתנה עד קבלת הטיפול, נגישותם ו</w:t>
      </w:r>
      <w:r>
        <w:rPr>
          <w:rFonts w:hint="cs"/>
          <w:rtl/>
          <w:lang w:eastAsia="he-IL"/>
        </w:rPr>
        <w:t xml:space="preserve">היקפם. </w:t>
      </w:r>
    </w:p>
    <w:p w14:paraId="46FFE4DC" w14:textId="77777777" w:rsidR="00B51F5B" w:rsidRDefault="00B51F5B" w:rsidP="001D0A16">
      <w:pPr>
        <w:pStyle w:val="414"/>
        <w:rPr>
          <w:rtl/>
        </w:rPr>
      </w:pPr>
      <w:r>
        <w:rPr>
          <w:rFonts w:hint="cs"/>
          <w:rtl/>
        </w:rPr>
        <w:t>זמינות התורים לקבלת טיפול במערך בריאות הנפש ושקיפותם לציבור</w:t>
      </w:r>
    </w:p>
    <w:p w14:paraId="0C978C96" w14:textId="77777777" w:rsidR="00B51F5B" w:rsidRDefault="00B51F5B" w:rsidP="001D0A16">
      <w:pPr>
        <w:pStyle w:val="100"/>
        <w:rPr>
          <w:rtl/>
        </w:rPr>
      </w:pPr>
      <w:r>
        <w:rPr>
          <w:rFonts w:hint="cs"/>
          <w:rtl/>
        </w:rPr>
        <w:t>מחקרים מראים כי מטופלים הסובלים מתחלואה נפשית זקוקים לטיפול בתוך זמן סביר כדי שמצבם לא יורע</w:t>
      </w:r>
      <w:r>
        <w:rPr>
          <w:rStyle w:val="FootnoteReference"/>
          <w:rtl/>
        </w:rPr>
        <w:footnoteReference w:id="23"/>
      </w:r>
      <w:r>
        <w:rPr>
          <w:rFonts w:hint="cs"/>
          <w:rtl/>
        </w:rPr>
        <w:t xml:space="preserve">. חוק ביטוח בריאות קובע </w:t>
      </w:r>
      <w:r w:rsidRPr="00AD5761">
        <w:rPr>
          <w:rFonts w:hint="cs"/>
          <w:rtl/>
        </w:rPr>
        <w:t xml:space="preserve">כי </w:t>
      </w:r>
      <w:r w:rsidRPr="00AD5761">
        <w:rPr>
          <w:rtl/>
        </w:rPr>
        <w:t>שירותי הבריאות הכלולים בסל שירותי הבריאות יינתנו בישראל, לפי שיקול דעת רפואי, באיכות סבירה, בתוך זמן סביר ובמרחק סביר ממקום מגורי המבוטח</w:t>
      </w:r>
      <w:r>
        <w:rPr>
          <w:rFonts w:hint="cs"/>
          <w:rtl/>
        </w:rPr>
        <w:t xml:space="preserve">. הדבר היווה בסיס לזכויות חברי קופות החולים בהסכם הרפורמה. </w:t>
      </w:r>
    </w:p>
    <w:p w14:paraId="69F775A4" w14:textId="77777777" w:rsidR="00B51F5B" w:rsidRDefault="00B51F5B" w:rsidP="001D0A16">
      <w:pPr>
        <w:pStyle w:val="100"/>
        <w:rPr>
          <w:color w:val="FF0000"/>
          <w:rtl/>
        </w:rPr>
      </w:pPr>
      <w:r w:rsidRPr="006E2BD8">
        <w:rPr>
          <w:rFonts w:eastAsiaTheme="majorEastAsia" w:hint="cs"/>
          <w:b/>
          <w:rtl/>
        </w:rPr>
        <w:t xml:space="preserve">פנייה לשירותי בריאות הנפש מתחילה </w:t>
      </w:r>
      <w:r w:rsidRPr="00A14DCB">
        <w:rPr>
          <w:rFonts w:hint="eastAsia"/>
          <w:b/>
          <w:rtl/>
        </w:rPr>
        <w:t>בבדיקה</w:t>
      </w:r>
      <w:r w:rsidRPr="00A14DCB">
        <w:rPr>
          <w:b/>
          <w:rtl/>
        </w:rPr>
        <w:t xml:space="preserve"> </w:t>
      </w:r>
      <w:r w:rsidRPr="00A14DCB">
        <w:rPr>
          <w:rFonts w:hint="eastAsia"/>
          <w:b/>
          <w:rtl/>
        </w:rPr>
        <w:t>ממיינת</w:t>
      </w:r>
      <w:r w:rsidRPr="00A14DCB">
        <w:rPr>
          <w:rFonts w:eastAsiaTheme="majorEastAsia" w:hint="cs"/>
          <w:b/>
          <w:rtl/>
        </w:rPr>
        <w:t xml:space="preserve"> </w:t>
      </w:r>
      <w:r>
        <w:rPr>
          <w:rFonts w:eastAsiaTheme="majorEastAsia" w:hint="cs"/>
          <w:b/>
          <w:rtl/>
        </w:rPr>
        <w:t>- אבחון ("אינטייק")</w:t>
      </w:r>
      <w:r w:rsidRPr="006E2BD8">
        <w:rPr>
          <w:rFonts w:eastAsiaTheme="majorEastAsia" w:hint="cs"/>
          <w:b/>
          <w:rtl/>
        </w:rPr>
        <w:t xml:space="preserve"> שיכולה לה</w:t>
      </w:r>
      <w:r>
        <w:rPr>
          <w:rFonts w:eastAsiaTheme="majorEastAsia" w:hint="cs"/>
          <w:b/>
          <w:rtl/>
        </w:rPr>
        <w:t>י</w:t>
      </w:r>
      <w:r w:rsidRPr="006E2BD8">
        <w:rPr>
          <w:rFonts w:eastAsiaTheme="majorEastAsia" w:hint="cs"/>
          <w:b/>
          <w:rtl/>
        </w:rPr>
        <w:t>עשות על ידי</w:t>
      </w:r>
      <w:r>
        <w:rPr>
          <w:rFonts w:hint="cs"/>
          <w:rtl/>
        </w:rPr>
        <w:t xml:space="preserve"> כמה</w:t>
      </w:r>
      <w:r w:rsidRPr="006E2BD8">
        <w:rPr>
          <w:rFonts w:hint="cs"/>
          <w:rtl/>
        </w:rPr>
        <w:t xml:space="preserve"> בעלי מקצוע </w:t>
      </w:r>
      <w:r>
        <w:rPr>
          <w:rFonts w:hint="cs"/>
          <w:rtl/>
        </w:rPr>
        <w:t>כגון:</w:t>
      </w:r>
      <w:r w:rsidRPr="006E2BD8">
        <w:rPr>
          <w:rFonts w:hint="cs"/>
          <w:rtl/>
        </w:rPr>
        <w:t xml:space="preserve"> </w:t>
      </w:r>
      <w:r>
        <w:rPr>
          <w:rFonts w:hint="cs"/>
          <w:rtl/>
        </w:rPr>
        <w:t>רופא מומחה לפסיכיאטריה (להלן - פסיכיאטר)</w:t>
      </w:r>
      <w:r w:rsidRPr="006E2BD8">
        <w:rPr>
          <w:rFonts w:hint="cs"/>
          <w:rtl/>
        </w:rPr>
        <w:t xml:space="preserve">, פסיכולוג </w:t>
      </w:r>
      <w:r>
        <w:rPr>
          <w:rFonts w:hint="cs"/>
          <w:rtl/>
        </w:rPr>
        <w:t>או עובד סוציאלי</w:t>
      </w:r>
      <w:r>
        <w:rPr>
          <w:rStyle w:val="FootnoteReference"/>
          <w:sz w:val="24"/>
          <w:rtl/>
        </w:rPr>
        <w:footnoteReference w:id="24"/>
      </w:r>
      <w:r>
        <w:rPr>
          <w:rFonts w:hint="cs"/>
          <w:rtl/>
        </w:rPr>
        <w:t xml:space="preserve">. </w:t>
      </w:r>
      <w:r w:rsidRPr="006E2BD8">
        <w:rPr>
          <w:rFonts w:hint="cs"/>
          <w:rtl/>
        </w:rPr>
        <w:t xml:space="preserve">לאחר </w:t>
      </w:r>
      <w:r>
        <w:rPr>
          <w:rFonts w:hint="cs"/>
          <w:rtl/>
        </w:rPr>
        <w:t>מתן האבחנה,</w:t>
      </w:r>
      <w:r w:rsidRPr="006E2BD8">
        <w:rPr>
          <w:rFonts w:hint="cs"/>
          <w:rtl/>
        </w:rPr>
        <w:t xml:space="preserve"> </w:t>
      </w:r>
      <w:r>
        <w:rPr>
          <w:rFonts w:hint="cs"/>
          <w:rtl/>
        </w:rPr>
        <w:t>יַפנה המאבחן את</w:t>
      </w:r>
      <w:r w:rsidRPr="006E2BD8">
        <w:rPr>
          <w:rFonts w:hint="cs"/>
          <w:rtl/>
        </w:rPr>
        <w:t xml:space="preserve"> המטופל לטיפול </w:t>
      </w:r>
      <w:r>
        <w:rPr>
          <w:rFonts w:hint="cs"/>
          <w:rtl/>
        </w:rPr>
        <w:t>פסיכ</w:t>
      </w:r>
      <w:r w:rsidRPr="006E2BD8">
        <w:rPr>
          <w:rFonts w:hint="cs"/>
          <w:rtl/>
        </w:rPr>
        <w:t>י</w:t>
      </w:r>
      <w:r>
        <w:rPr>
          <w:rFonts w:hint="cs"/>
          <w:rtl/>
        </w:rPr>
        <w:t>אטרי</w:t>
      </w:r>
      <w:r w:rsidRPr="006E2BD8">
        <w:rPr>
          <w:rFonts w:hint="cs"/>
          <w:rtl/>
        </w:rPr>
        <w:t xml:space="preserve"> </w:t>
      </w:r>
      <w:r>
        <w:rPr>
          <w:rFonts w:hint="cs"/>
          <w:rtl/>
        </w:rPr>
        <w:t xml:space="preserve">או לטיפול פסיכותרפי, שאותו יבצעו לרוב פסיכולוג או עובד סוציאלי. מדובר, אם כן, בשתי נקודות זמן שבהן נדרש המטופל להמתין: עד האבחון ולאחר מכן עד תחילת הטיפול. לפיכך, כדי לאמוד את זמני ההמתנה למטופלים מרגע פנייתם למערך בריאות הנפש ועד קבלת הטיפול בפועל, יש להביא בחשבון את שני זמני ההמתנה הללו. </w:t>
      </w:r>
    </w:p>
    <w:p w14:paraId="3FB093E7" w14:textId="5FC882C8" w:rsidR="00B51F5B" w:rsidRDefault="00B51F5B" w:rsidP="00803177">
      <w:pPr>
        <w:pStyle w:val="100"/>
        <w:rPr>
          <w:rtl/>
        </w:rPr>
      </w:pPr>
      <w:r>
        <w:rPr>
          <w:rFonts w:hint="cs"/>
          <w:rtl/>
        </w:rPr>
        <w:t xml:space="preserve">מדידת </w:t>
      </w:r>
      <w:r>
        <w:rPr>
          <w:rtl/>
        </w:rPr>
        <w:t>זמן ה</w:t>
      </w:r>
      <w:r>
        <w:rPr>
          <w:rFonts w:hint="cs"/>
          <w:rtl/>
        </w:rPr>
        <w:t>ה</w:t>
      </w:r>
      <w:r>
        <w:rPr>
          <w:rtl/>
        </w:rPr>
        <w:t>מתנה לטיפול</w:t>
      </w:r>
      <w:r>
        <w:rPr>
          <w:rFonts w:hint="cs"/>
          <w:rtl/>
        </w:rPr>
        <w:t xml:space="preserve"> תלויה במשתנים רבים, שחלקם נוגעים לזמינות השירות: האם יש מטפל המתאים לצרכיו ולמאפייניו של המטופל והאם יש מקום טיפול מתאים. האחרים נוגעים להעדפות המטופל בכל הנוגע למועד הטיפול, למיקומו הגיאוגרפי ולזהות המטפל, למשל מבחינת שיוכו המגדרי. זמינות הטיפול מושפעת ממשתנה נוסף: קשה להעריך את מועד סיום </w:t>
      </w:r>
      <w:r>
        <w:rPr>
          <w:rFonts w:hint="cs"/>
          <w:rtl/>
        </w:rPr>
        <w:lastRenderedPageBreak/>
        <w:t xml:space="preserve">הטיפול במטופל, שכן מספר הטיפולים אינו קבוע מראש, ולכן קשה לתכנן מראש מתי יוכל מטפל להתפנות למטופל חדש הממתין בתור. </w:t>
      </w:r>
    </w:p>
    <w:p w14:paraId="7426C98D" w14:textId="77777777" w:rsidR="00B51F5B" w:rsidRPr="00E53D1F" w:rsidRDefault="00B51F5B" w:rsidP="00803177">
      <w:pPr>
        <w:pStyle w:val="5115"/>
        <w:rPr>
          <w:rtl/>
        </w:rPr>
      </w:pPr>
      <w:r>
        <w:rPr>
          <w:rFonts w:hint="cs"/>
          <w:rtl/>
        </w:rPr>
        <w:t>זמני המתנה לקבלת טיפול במערך בריאות הנפש</w:t>
      </w:r>
    </w:p>
    <w:p w14:paraId="4FB59E36" w14:textId="77777777" w:rsidR="00B51F5B" w:rsidRDefault="00B51F5B" w:rsidP="00803177">
      <w:pPr>
        <w:pStyle w:val="100"/>
        <w:rPr>
          <w:rtl/>
        </w:rPr>
      </w:pPr>
      <w:r>
        <w:rPr>
          <w:rFonts w:hint="cs"/>
          <w:rtl/>
        </w:rPr>
        <w:t>השיטה הנהוגה בקופות החולים למדידת זמן המתנה עד תחילת הטיפול הפסיכותרפי היא מדידה רטרואקטיבית. כך למשל, זמן ההמתנה לטיפול יימדד ממועד קבלת הפנייה לטיפול פסיכותרפי לאחר האבחון ועד לתחילתו. בשיטה זו אינם מובאים בחשבון אותם מטופלים אשר בשל זמן ההמתנה הארוך עד לתחילת הטיפול, ויתרו עליו כליל או שפנו לטיפול בשוק הפרטי. לו ממתינים אלו היו נכללים במדידה, סביר שזמן ההמתנה הממוצע היה מתארך. כפי שעלה בביקורת, למשרד אין נתונים על</w:t>
      </w:r>
      <w:r w:rsidRPr="00C63066">
        <w:rPr>
          <w:rtl/>
        </w:rPr>
        <w:t xml:space="preserve"> הטיפולים האמבולטוריים בתחום בריאות הנפש ש</w:t>
      </w:r>
      <w:r>
        <w:rPr>
          <w:rFonts w:hint="cs"/>
          <w:rtl/>
        </w:rPr>
        <w:t>מעניקות</w:t>
      </w:r>
      <w:r w:rsidRPr="00C63066" w:rsidDel="00EF55F3">
        <w:rPr>
          <w:rtl/>
        </w:rPr>
        <w:t xml:space="preserve"> </w:t>
      </w:r>
      <w:r>
        <w:rPr>
          <w:rFonts w:hint="cs"/>
          <w:rtl/>
        </w:rPr>
        <w:t>ה</w:t>
      </w:r>
      <w:r w:rsidRPr="00C63066">
        <w:rPr>
          <w:rtl/>
        </w:rPr>
        <w:t>קופות</w:t>
      </w:r>
      <w:r>
        <w:rPr>
          <w:rFonts w:hint="cs"/>
          <w:rtl/>
        </w:rPr>
        <w:t>, ולפיכך אינו יכול להפיק נתונים מלאים על אודות זמני ההמתנה</w:t>
      </w:r>
      <w:r w:rsidRPr="00C63066">
        <w:rPr>
          <w:rtl/>
        </w:rPr>
        <w:t xml:space="preserve"> </w:t>
      </w:r>
      <w:r w:rsidRPr="00412B41">
        <w:rPr>
          <w:rtl/>
        </w:rPr>
        <w:t>לאח</w:t>
      </w:r>
      <w:r>
        <w:rPr>
          <w:rtl/>
        </w:rPr>
        <w:t xml:space="preserve">ר </w:t>
      </w:r>
      <w:r w:rsidRPr="009646E4">
        <w:rPr>
          <w:rtl/>
        </w:rPr>
        <w:t>ה</w:t>
      </w:r>
      <w:r>
        <w:rPr>
          <w:rFonts w:hint="cs"/>
          <w:rtl/>
        </w:rPr>
        <w:t>אבחון</w:t>
      </w:r>
      <w:r>
        <w:rPr>
          <w:rtl/>
        </w:rPr>
        <w:t xml:space="preserve"> ועד קבלת טיפול</w:t>
      </w:r>
      <w:r w:rsidRPr="00412B41">
        <w:rPr>
          <w:rtl/>
        </w:rPr>
        <w:t xml:space="preserve"> </w:t>
      </w:r>
      <w:r w:rsidRPr="00412B41">
        <w:rPr>
          <w:rFonts w:hint="eastAsia"/>
          <w:rtl/>
        </w:rPr>
        <w:t>פסיכותרפיה</w:t>
      </w:r>
      <w:r>
        <w:rPr>
          <w:rFonts w:hint="cs"/>
          <w:rtl/>
        </w:rPr>
        <w:t xml:space="preserve"> (ראו להלן בפרק "</w:t>
      </w:r>
      <w:r w:rsidRPr="00D95ABB">
        <w:rPr>
          <w:rtl/>
        </w:rPr>
        <w:t>הקושי של משרד הבריאות לרכז נתונים מקופות</w:t>
      </w:r>
      <w:r>
        <w:rPr>
          <w:rFonts w:hint="cs"/>
          <w:rtl/>
        </w:rPr>
        <w:t xml:space="preserve"> החולים</w:t>
      </w:r>
      <w:r w:rsidRPr="00D95ABB">
        <w:rPr>
          <w:rtl/>
        </w:rPr>
        <w:t xml:space="preserve"> בנושא אספקת השירותים ועלותם</w:t>
      </w:r>
      <w:r>
        <w:rPr>
          <w:rFonts w:hint="cs"/>
          <w:rtl/>
        </w:rPr>
        <w:t>"). ואולם,</w:t>
      </w:r>
      <w:r w:rsidRPr="00C63066">
        <w:rPr>
          <w:rFonts w:hint="cs"/>
          <w:rtl/>
        </w:rPr>
        <w:t xml:space="preserve"> </w:t>
      </w:r>
      <w:r w:rsidRPr="00412B41">
        <w:rPr>
          <w:rFonts w:hint="eastAsia"/>
          <w:rtl/>
        </w:rPr>
        <w:t>על</w:t>
      </w:r>
      <w:r w:rsidRPr="00412B41">
        <w:rPr>
          <w:rtl/>
        </w:rPr>
        <w:t xml:space="preserve"> </w:t>
      </w:r>
      <w:r w:rsidRPr="00412B41">
        <w:rPr>
          <w:rFonts w:hint="eastAsia"/>
          <w:rtl/>
        </w:rPr>
        <w:t>פי</w:t>
      </w:r>
      <w:r w:rsidRPr="00412B41">
        <w:rPr>
          <w:rtl/>
        </w:rPr>
        <w:t xml:space="preserve"> </w:t>
      </w:r>
      <w:r>
        <w:rPr>
          <w:rFonts w:hint="cs"/>
          <w:rtl/>
        </w:rPr>
        <w:t>בדיקה מדגמית שביצע ה</w:t>
      </w:r>
      <w:r w:rsidRPr="00412B41">
        <w:rPr>
          <w:rFonts w:hint="eastAsia"/>
          <w:rtl/>
        </w:rPr>
        <w:t>משרד</w:t>
      </w:r>
      <w:r w:rsidRPr="00412B41">
        <w:rPr>
          <w:rtl/>
        </w:rPr>
        <w:t xml:space="preserve"> </w:t>
      </w:r>
      <w:r>
        <w:rPr>
          <w:rFonts w:hint="cs"/>
          <w:rtl/>
        </w:rPr>
        <w:t>בשנת 2018</w:t>
      </w:r>
      <w:r w:rsidRPr="00412B41">
        <w:rPr>
          <w:rtl/>
        </w:rPr>
        <w:t xml:space="preserve">, </w:t>
      </w:r>
      <w:r>
        <w:rPr>
          <w:rFonts w:hint="cs"/>
          <w:rtl/>
        </w:rPr>
        <w:t xml:space="preserve">עמדו זמני </w:t>
      </w:r>
      <w:r w:rsidRPr="00412B41">
        <w:rPr>
          <w:rtl/>
        </w:rPr>
        <w:t>ההמתנה לאח</w:t>
      </w:r>
      <w:r>
        <w:rPr>
          <w:rtl/>
        </w:rPr>
        <w:t xml:space="preserve">ר </w:t>
      </w:r>
      <w:r w:rsidRPr="009646E4">
        <w:rPr>
          <w:rtl/>
        </w:rPr>
        <w:t>ה</w:t>
      </w:r>
      <w:r>
        <w:rPr>
          <w:rFonts w:hint="cs"/>
          <w:rtl/>
        </w:rPr>
        <w:t>אבחון</w:t>
      </w:r>
      <w:r>
        <w:rPr>
          <w:rtl/>
        </w:rPr>
        <w:t xml:space="preserve"> ועד לקבלת טיפול</w:t>
      </w:r>
      <w:r w:rsidRPr="00412B41">
        <w:rPr>
          <w:rtl/>
        </w:rPr>
        <w:t xml:space="preserve"> </w:t>
      </w:r>
      <w:r w:rsidRPr="00412B41">
        <w:rPr>
          <w:rFonts w:hint="eastAsia"/>
          <w:rtl/>
        </w:rPr>
        <w:t>פסיכותרפיה</w:t>
      </w:r>
      <w:r w:rsidRPr="00412B41">
        <w:rPr>
          <w:rtl/>
        </w:rPr>
        <w:t xml:space="preserve"> בשנ</w:t>
      </w:r>
      <w:r>
        <w:rPr>
          <w:rFonts w:hint="cs"/>
          <w:rtl/>
        </w:rPr>
        <w:t xml:space="preserve">ה זו </w:t>
      </w:r>
      <w:r w:rsidRPr="00412B41">
        <w:rPr>
          <w:rFonts w:hint="eastAsia"/>
          <w:rtl/>
        </w:rPr>
        <w:t>על</w:t>
      </w:r>
      <w:r w:rsidRPr="00412B41">
        <w:rPr>
          <w:rtl/>
        </w:rPr>
        <w:t xml:space="preserve"> </w:t>
      </w:r>
      <w:r w:rsidRPr="00412B41">
        <w:rPr>
          <w:rFonts w:hint="eastAsia"/>
          <w:rtl/>
        </w:rPr>
        <w:t>כ</w:t>
      </w:r>
      <w:r w:rsidRPr="00412B41">
        <w:rPr>
          <w:rtl/>
        </w:rPr>
        <w:t xml:space="preserve">-150 </w:t>
      </w:r>
      <w:r w:rsidRPr="00412B41">
        <w:rPr>
          <w:rFonts w:hint="eastAsia"/>
          <w:rtl/>
        </w:rPr>
        <w:t>ימים</w:t>
      </w:r>
      <w:r w:rsidRPr="00412B41">
        <w:rPr>
          <w:rtl/>
        </w:rPr>
        <w:t xml:space="preserve"> </w:t>
      </w:r>
      <w:r>
        <w:rPr>
          <w:rFonts w:hint="cs"/>
          <w:rtl/>
        </w:rPr>
        <w:t xml:space="preserve">בממוצע </w:t>
      </w:r>
      <w:r w:rsidRPr="00412B41">
        <w:rPr>
          <w:rFonts w:hint="eastAsia"/>
          <w:rtl/>
        </w:rPr>
        <w:t>ולפסיכיאטריה</w:t>
      </w:r>
      <w:r w:rsidRPr="00412B41">
        <w:rPr>
          <w:rtl/>
        </w:rPr>
        <w:t xml:space="preserve"> </w:t>
      </w:r>
      <w:r w:rsidRPr="00412B41">
        <w:rPr>
          <w:rFonts w:hint="cs"/>
          <w:rtl/>
        </w:rPr>
        <w:t xml:space="preserve">על </w:t>
      </w:r>
      <w:r w:rsidRPr="00412B41">
        <w:rPr>
          <w:rFonts w:hint="eastAsia"/>
          <w:rtl/>
        </w:rPr>
        <w:t>כ</w:t>
      </w:r>
      <w:r w:rsidRPr="00412B41">
        <w:rPr>
          <w:rtl/>
        </w:rPr>
        <w:t xml:space="preserve">-40 </w:t>
      </w:r>
      <w:r w:rsidRPr="00412B41">
        <w:rPr>
          <w:rFonts w:hint="eastAsia"/>
          <w:rtl/>
        </w:rPr>
        <w:t>ימים</w:t>
      </w:r>
      <w:r>
        <w:rPr>
          <w:rFonts w:hint="cs"/>
          <w:rtl/>
        </w:rPr>
        <w:t xml:space="preserve"> בממוצע</w:t>
      </w:r>
      <w:r w:rsidRPr="00412B41">
        <w:rPr>
          <w:rtl/>
        </w:rPr>
        <w:t>.</w:t>
      </w:r>
      <w:r>
        <w:rPr>
          <w:rFonts w:hint="cs"/>
          <w:rtl/>
        </w:rPr>
        <w:t xml:space="preserve"> </w:t>
      </w:r>
    </w:p>
    <w:p w14:paraId="1B688D8C" w14:textId="77777777" w:rsidR="00B51F5B" w:rsidRDefault="00B51F5B" w:rsidP="00803177">
      <w:pPr>
        <w:pStyle w:val="100"/>
        <w:rPr>
          <w:rtl/>
        </w:rPr>
      </w:pPr>
      <w:r w:rsidRPr="00412B41">
        <w:rPr>
          <w:rFonts w:hint="eastAsia"/>
          <w:rtl/>
        </w:rPr>
        <w:t>בביקורת</w:t>
      </w:r>
      <w:r w:rsidRPr="00412B41">
        <w:rPr>
          <w:rtl/>
        </w:rPr>
        <w:t xml:space="preserve"> נמצא כי בחלק מהמקומות זמני ההמתנה </w:t>
      </w:r>
      <w:r>
        <w:rPr>
          <w:rFonts w:hint="cs"/>
          <w:rtl/>
        </w:rPr>
        <w:t>לאבחון</w:t>
      </w:r>
      <w:r w:rsidRPr="00412B41">
        <w:rPr>
          <w:rtl/>
        </w:rPr>
        <w:t xml:space="preserve"> ולהמשך הטיפול </w:t>
      </w:r>
      <w:r>
        <w:rPr>
          <w:rFonts w:hint="cs"/>
          <w:rtl/>
        </w:rPr>
        <w:t>ארוכים ביותר</w:t>
      </w:r>
      <w:r w:rsidRPr="00412B41">
        <w:rPr>
          <w:rtl/>
        </w:rPr>
        <w:t xml:space="preserve">. </w:t>
      </w:r>
      <w:r w:rsidRPr="00412B41">
        <w:rPr>
          <w:rFonts w:hint="cs"/>
          <w:rtl/>
        </w:rPr>
        <w:t xml:space="preserve">להלן </w:t>
      </w:r>
      <w:r>
        <w:rPr>
          <w:rFonts w:hint="cs"/>
          <w:rtl/>
        </w:rPr>
        <w:t>דוגמאות לזמני ההמתנה הארוכים שנמצאו בשנת 2019</w:t>
      </w:r>
      <w:r w:rsidRPr="00412B41">
        <w:rPr>
          <w:rFonts w:hint="cs"/>
          <w:rtl/>
        </w:rPr>
        <w:t>:</w:t>
      </w:r>
    </w:p>
    <w:p w14:paraId="6216D4D9" w14:textId="77777777" w:rsidR="00B51F5B" w:rsidRDefault="00B51F5B" w:rsidP="00617503">
      <w:pPr>
        <w:pStyle w:val="100"/>
        <w:rPr>
          <w:rtl/>
        </w:rPr>
      </w:pPr>
      <w:r w:rsidRPr="00617503">
        <w:rPr>
          <w:rStyle w:val="Heading7Char"/>
          <w:rFonts w:hint="eastAsia"/>
          <w:color w:val="004E6C"/>
          <w:spacing w:val="0"/>
          <w:rtl/>
        </w:rPr>
        <w:t>זמן</w:t>
      </w:r>
      <w:r w:rsidRPr="00617503">
        <w:rPr>
          <w:rStyle w:val="Heading7Char"/>
          <w:color w:val="004E6C"/>
          <w:spacing w:val="0"/>
          <w:rtl/>
        </w:rPr>
        <w:t xml:space="preserve"> המתנה ל</w:t>
      </w:r>
      <w:r w:rsidRPr="00617503">
        <w:rPr>
          <w:rStyle w:val="Heading7Char"/>
          <w:rFonts w:hint="cs"/>
          <w:color w:val="004E6C"/>
          <w:spacing w:val="0"/>
          <w:rtl/>
        </w:rPr>
        <w:t>אבחון:</w:t>
      </w:r>
      <w:r w:rsidRPr="00617503">
        <w:rPr>
          <w:rFonts w:hint="cs"/>
          <w:color w:val="004E6C"/>
          <w:rtl/>
        </w:rPr>
        <w:t xml:space="preserve"> </w:t>
      </w:r>
      <w:r>
        <w:rPr>
          <w:rFonts w:hint="cs"/>
          <w:rtl/>
        </w:rPr>
        <w:t>המתנה לאבחון לילדים במרכז הרפואי ברזילי באשקלון (להלן - ברזילי) ובמרכז שניידר לרפואת ילדים בישראל של הכללית (להלן - שניידר) עומדת על כ-6 חודשים ובמרפאת הילדים של הכללית בטייבה על כ-12 חודשים.</w:t>
      </w:r>
    </w:p>
    <w:p w14:paraId="424543CD" w14:textId="77777777" w:rsidR="00B51F5B" w:rsidRPr="00721A1E" w:rsidRDefault="00B51F5B" w:rsidP="00617503">
      <w:pPr>
        <w:pStyle w:val="100"/>
        <w:rPr>
          <w:color w:val="FF0000"/>
          <w:rtl/>
        </w:rPr>
      </w:pPr>
      <w:r w:rsidRPr="00617503">
        <w:rPr>
          <w:rStyle w:val="Heading7Char"/>
          <w:rFonts w:hint="eastAsia"/>
          <w:color w:val="004E6C"/>
          <w:spacing w:val="0"/>
          <w:rtl/>
        </w:rPr>
        <w:t>זמן</w:t>
      </w:r>
      <w:r w:rsidRPr="00617503">
        <w:rPr>
          <w:rStyle w:val="Heading7Char"/>
          <w:color w:val="004E6C"/>
          <w:spacing w:val="0"/>
          <w:rtl/>
        </w:rPr>
        <w:t xml:space="preserve"> המתנה לטיפולי </w:t>
      </w:r>
      <w:r w:rsidRPr="00617503">
        <w:rPr>
          <w:rStyle w:val="Heading7Char"/>
          <w:rFonts w:hint="eastAsia"/>
          <w:color w:val="004E6C"/>
          <w:spacing w:val="0"/>
          <w:rtl/>
        </w:rPr>
        <w:t>פסיכותרפיה</w:t>
      </w:r>
      <w:r w:rsidRPr="00617503">
        <w:rPr>
          <w:rStyle w:val="Heading7Char"/>
          <w:rFonts w:hint="cs"/>
          <w:color w:val="004E6C"/>
          <w:spacing w:val="0"/>
          <w:rtl/>
        </w:rPr>
        <w:t>:</w:t>
      </w:r>
      <w:r>
        <w:rPr>
          <w:rFonts w:hint="cs"/>
          <w:rtl/>
        </w:rPr>
        <w:t xml:space="preserve"> בכללית המתנה לפסיכותרפיה במרפאת מבוגרים בקלנסווה עומדת על כ-16 חודשים, במרפאת הילדים בטייבה על כ-15 חודשים, במרפאת ילדים בסורוקה בבאר שבע על כ-12 חודשים ובמרפאת מבוגרים בראשון לציון על כ-11 חודשים; במכבי במרפאות מבוגרים בראשון לציון, בחיפה ובקריית שמונה המתנה של כ-11 עד 12 חודשים ובמרפאת ילדים ברחובות כ-10 חודשים; במאוחדת במרפאות ילדים באשדוד, ברחובות ובמודיעין המתנה של יותר מ-12 חודשים; בלאומית במרפאת מבוגרים בנתניה המתנה של כ-6 חודשים.</w:t>
      </w:r>
    </w:p>
    <w:p w14:paraId="19D04F78" w14:textId="77777777" w:rsidR="00B51F5B" w:rsidRDefault="00B51F5B" w:rsidP="00617503">
      <w:pPr>
        <w:pStyle w:val="100"/>
        <w:rPr>
          <w:rtl/>
        </w:rPr>
      </w:pPr>
      <w:r w:rsidRPr="00617503">
        <w:rPr>
          <w:rStyle w:val="Heading7Char"/>
          <w:rFonts w:hint="eastAsia"/>
          <w:color w:val="004E6C"/>
          <w:spacing w:val="0"/>
          <w:rtl/>
        </w:rPr>
        <w:t>זמן</w:t>
      </w:r>
      <w:r w:rsidRPr="00617503">
        <w:rPr>
          <w:rStyle w:val="Heading7Char"/>
          <w:color w:val="004E6C"/>
          <w:spacing w:val="0"/>
          <w:rtl/>
        </w:rPr>
        <w:t xml:space="preserve"> המתנה לטיפול</w:t>
      </w:r>
      <w:r w:rsidRPr="00617503">
        <w:rPr>
          <w:rStyle w:val="Heading7Char"/>
          <w:rFonts w:hint="eastAsia"/>
          <w:color w:val="004E6C"/>
          <w:spacing w:val="0"/>
          <w:rtl/>
        </w:rPr>
        <w:t>י</w:t>
      </w:r>
      <w:r w:rsidRPr="00617503">
        <w:rPr>
          <w:rStyle w:val="Heading7Char"/>
          <w:color w:val="004E6C"/>
          <w:spacing w:val="0"/>
          <w:rtl/>
        </w:rPr>
        <w:t xml:space="preserve"> </w:t>
      </w:r>
      <w:r w:rsidRPr="00617503">
        <w:rPr>
          <w:rStyle w:val="Heading7Char"/>
          <w:rFonts w:hint="eastAsia"/>
          <w:color w:val="004E6C"/>
          <w:spacing w:val="0"/>
          <w:rtl/>
        </w:rPr>
        <w:t>פסיכיאטריה</w:t>
      </w:r>
      <w:r w:rsidRPr="00617503">
        <w:rPr>
          <w:rStyle w:val="Heading7Char"/>
          <w:rFonts w:hint="cs"/>
          <w:color w:val="004E6C"/>
          <w:spacing w:val="0"/>
          <w:rtl/>
        </w:rPr>
        <w:t>:</w:t>
      </w:r>
      <w:r>
        <w:rPr>
          <w:rFonts w:hint="cs"/>
          <w:rtl/>
        </w:rPr>
        <w:t xml:space="preserve"> נמצאו זמני המתנה ארוכים גם לטיפולי פסיכיאטריה, כך למשל: במרפאת ילדים של הכללית בסורוקה בבאר שבע כ-8 חודשים ובאילת כ-7 חודשים; במרפאת ילדים של מכבי במודיעין כ-4 חודשים; במרפאת ילדים של מאוחדת במודיעין כ-6 חודשים; בשניידר כ-6 חודשים. </w:t>
      </w:r>
    </w:p>
    <w:p w14:paraId="059F80BA" w14:textId="77777777" w:rsidR="00B51F5B" w:rsidRDefault="00B51F5B" w:rsidP="00617503">
      <w:pPr>
        <w:pStyle w:val="af5"/>
        <w:rPr>
          <w:rtl/>
        </w:rPr>
      </w:pPr>
      <w:r>
        <w:rPr>
          <w:rFonts w:hint="cs"/>
          <w:rtl/>
        </w:rPr>
        <w:lastRenderedPageBreak/>
        <w:t xml:space="preserve">עולה שזמני </w:t>
      </w:r>
      <w:r w:rsidRPr="00F0789E">
        <w:rPr>
          <w:rFonts w:hint="cs"/>
          <w:rtl/>
        </w:rPr>
        <w:t>ההמתנה ל</w:t>
      </w:r>
      <w:r>
        <w:rPr>
          <w:rFonts w:hint="cs"/>
          <w:rtl/>
        </w:rPr>
        <w:t>אבחון</w:t>
      </w:r>
      <w:r w:rsidRPr="00F0789E">
        <w:rPr>
          <w:rFonts w:hint="cs"/>
          <w:rtl/>
        </w:rPr>
        <w:t xml:space="preserve"> ולהמשך הטיפול הפסיכיאטרי והפסיכותרפי </w:t>
      </w:r>
      <w:r>
        <w:rPr>
          <w:rFonts w:hint="cs"/>
          <w:rtl/>
        </w:rPr>
        <w:t xml:space="preserve">עלולים להיות לעיתים </w:t>
      </w:r>
      <w:r w:rsidRPr="00F0789E">
        <w:rPr>
          <w:rFonts w:hint="cs"/>
          <w:rtl/>
        </w:rPr>
        <w:t>ארוכים ביותר</w:t>
      </w:r>
      <w:r>
        <w:rPr>
          <w:rFonts w:hint="cs"/>
          <w:rtl/>
        </w:rPr>
        <w:t>,</w:t>
      </w:r>
      <w:r w:rsidRPr="00F0789E">
        <w:rPr>
          <w:rFonts w:hint="cs"/>
          <w:rtl/>
        </w:rPr>
        <w:t xml:space="preserve"> ו</w:t>
      </w:r>
      <w:r>
        <w:rPr>
          <w:rFonts w:hint="cs"/>
          <w:rtl/>
        </w:rPr>
        <w:t xml:space="preserve">בחלק מהמקרים שנבדקו הם </w:t>
      </w:r>
      <w:r w:rsidRPr="00F0789E">
        <w:rPr>
          <w:rFonts w:hint="cs"/>
          <w:rtl/>
        </w:rPr>
        <w:t>מגיעים עד 1</w:t>
      </w:r>
      <w:r>
        <w:rPr>
          <w:rFonts w:hint="cs"/>
          <w:rtl/>
        </w:rPr>
        <w:t>6</w:t>
      </w:r>
      <w:r w:rsidRPr="00F0789E">
        <w:rPr>
          <w:rFonts w:hint="cs"/>
          <w:rtl/>
        </w:rPr>
        <w:t>-1</w:t>
      </w:r>
      <w:r>
        <w:rPr>
          <w:rFonts w:hint="cs"/>
          <w:rtl/>
        </w:rPr>
        <w:t>2</w:t>
      </w:r>
      <w:r w:rsidRPr="00F0789E">
        <w:rPr>
          <w:rFonts w:hint="cs"/>
          <w:rtl/>
        </w:rPr>
        <w:t xml:space="preserve"> חודשים</w:t>
      </w:r>
      <w:r w:rsidRPr="00BC76B4">
        <w:rPr>
          <w:rFonts w:hint="cs"/>
          <w:rtl/>
        </w:rPr>
        <w:t xml:space="preserve">. </w:t>
      </w:r>
      <w:r w:rsidRPr="00BC76B4">
        <w:rPr>
          <w:rFonts w:hint="eastAsia"/>
          <w:rtl/>
        </w:rPr>
        <w:t>עיכוב</w:t>
      </w:r>
      <w:r w:rsidRPr="00BC76B4">
        <w:rPr>
          <w:rtl/>
        </w:rPr>
        <w:t xml:space="preserve"> בטיפול </w:t>
      </w:r>
      <w:r w:rsidRPr="00BC76B4">
        <w:rPr>
          <w:rFonts w:hint="eastAsia"/>
          <w:rtl/>
        </w:rPr>
        <w:t>הוא</w:t>
      </w:r>
      <w:r w:rsidRPr="00BC76B4">
        <w:rPr>
          <w:rtl/>
        </w:rPr>
        <w:t xml:space="preserve"> </w:t>
      </w:r>
      <w:r w:rsidRPr="00BC76B4">
        <w:rPr>
          <w:rFonts w:hint="eastAsia"/>
          <w:rtl/>
        </w:rPr>
        <w:t>דבר</w:t>
      </w:r>
      <w:r w:rsidRPr="00BC76B4">
        <w:rPr>
          <w:rtl/>
        </w:rPr>
        <w:t xml:space="preserve"> </w:t>
      </w:r>
      <w:r w:rsidRPr="00BC76B4">
        <w:rPr>
          <w:rFonts w:hint="eastAsia"/>
          <w:rtl/>
        </w:rPr>
        <w:t>לא</w:t>
      </w:r>
      <w:r w:rsidRPr="00BC76B4">
        <w:rPr>
          <w:rtl/>
        </w:rPr>
        <w:t xml:space="preserve"> </w:t>
      </w:r>
      <w:r w:rsidRPr="00BC76B4">
        <w:rPr>
          <w:rFonts w:hint="eastAsia"/>
          <w:rtl/>
        </w:rPr>
        <w:t>רצוי</w:t>
      </w:r>
      <w:r w:rsidRPr="00BC76B4">
        <w:rPr>
          <w:rtl/>
        </w:rPr>
        <w:t xml:space="preserve">, שכן הוא </w:t>
      </w:r>
      <w:r w:rsidRPr="00BC76B4">
        <w:rPr>
          <w:rFonts w:hint="eastAsia"/>
          <w:rtl/>
        </w:rPr>
        <w:t>עלול</w:t>
      </w:r>
      <w:r w:rsidRPr="00BC76B4">
        <w:rPr>
          <w:rtl/>
        </w:rPr>
        <w:t xml:space="preserve"> </w:t>
      </w:r>
      <w:r w:rsidRPr="00BC76B4">
        <w:rPr>
          <w:rFonts w:hint="eastAsia"/>
          <w:rtl/>
        </w:rPr>
        <w:t>לפגוע</w:t>
      </w:r>
      <w:r w:rsidRPr="00BC76B4">
        <w:rPr>
          <w:rtl/>
        </w:rPr>
        <w:t xml:space="preserve"> </w:t>
      </w:r>
      <w:r w:rsidRPr="00BC76B4">
        <w:rPr>
          <w:rFonts w:hint="eastAsia"/>
          <w:rtl/>
        </w:rPr>
        <w:t>במטופלים</w:t>
      </w:r>
      <w:r w:rsidRPr="00BC76B4">
        <w:rPr>
          <w:rtl/>
        </w:rPr>
        <w:t xml:space="preserve">, </w:t>
      </w:r>
      <w:r w:rsidRPr="00BC76B4">
        <w:rPr>
          <w:rFonts w:hint="eastAsia"/>
          <w:rtl/>
        </w:rPr>
        <w:t>להחמיר</w:t>
      </w:r>
      <w:r w:rsidRPr="00BC76B4">
        <w:rPr>
          <w:rtl/>
        </w:rPr>
        <w:t xml:space="preserve"> </w:t>
      </w:r>
      <w:r w:rsidRPr="00BC76B4">
        <w:rPr>
          <w:rFonts w:hint="eastAsia"/>
          <w:rtl/>
        </w:rPr>
        <w:t>את</w:t>
      </w:r>
      <w:r w:rsidRPr="00BC76B4">
        <w:rPr>
          <w:rtl/>
        </w:rPr>
        <w:t xml:space="preserve"> </w:t>
      </w:r>
      <w:r w:rsidRPr="00BC76B4">
        <w:rPr>
          <w:rFonts w:hint="eastAsia"/>
          <w:rtl/>
        </w:rPr>
        <w:t>מצבם</w:t>
      </w:r>
      <w:r w:rsidRPr="00BC76B4">
        <w:rPr>
          <w:rtl/>
        </w:rPr>
        <w:t xml:space="preserve"> </w:t>
      </w:r>
      <w:r w:rsidRPr="00BC76B4">
        <w:rPr>
          <w:rFonts w:hint="eastAsia"/>
          <w:rtl/>
        </w:rPr>
        <w:t>הנפשי</w:t>
      </w:r>
      <w:r w:rsidRPr="00BC76B4">
        <w:rPr>
          <w:rtl/>
        </w:rPr>
        <w:t xml:space="preserve"> </w:t>
      </w:r>
      <w:r w:rsidRPr="00BC76B4">
        <w:rPr>
          <w:rFonts w:hint="eastAsia"/>
          <w:rtl/>
        </w:rPr>
        <w:t>וכן</w:t>
      </w:r>
      <w:r w:rsidRPr="00BC76B4">
        <w:rPr>
          <w:rtl/>
        </w:rPr>
        <w:t xml:space="preserve"> </w:t>
      </w:r>
      <w:r w:rsidRPr="00BC76B4">
        <w:rPr>
          <w:rFonts w:hint="eastAsia"/>
          <w:rtl/>
        </w:rPr>
        <w:t>לגרום</w:t>
      </w:r>
      <w:r w:rsidRPr="00BC76B4">
        <w:rPr>
          <w:rtl/>
        </w:rPr>
        <w:t xml:space="preserve"> </w:t>
      </w:r>
      <w:r w:rsidRPr="00BC76B4">
        <w:rPr>
          <w:rFonts w:hint="eastAsia"/>
          <w:rtl/>
        </w:rPr>
        <w:t>לנזקים</w:t>
      </w:r>
      <w:r w:rsidRPr="00BC76B4">
        <w:rPr>
          <w:rtl/>
        </w:rPr>
        <w:t xml:space="preserve"> </w:t>
      </w:r>
      <w:r w:rsidRPr="00BC76B4">
        <w:rPr>
          <w:rFonts w:hint="eastAsia"/>
          <w:rtl/>
        </w:rPr>
        <w:t>למשפחתם</w:t>
      </w:r>
      <w:r w:rsidRPr="00BC76B4">
        <w:rPr>
          <w:rtl/>
        </w:rPr>
        <w:t xml:space="preserve"> </w:t>
      </w:r>
      <w:r w:rsidRPr="00BC76B4">
        <w:rPr>
          <w:rFonts w:hint="eastAsia"/>
          <w:rtl/>
        </w:rPr>
        <w:t>ולסביבתם</w:t>
      </w:r>
      <w:r w:rsidRPr="00BC76B4">
        <w:rPr>
          <w:rtl/>
        </w:rPr>
        <w:t xml:space="preserve"> </w:t>
      </w:r>
      <w:r w:rsidRPr="00BC76B4">
        <w:rPr>
          <w:rFonts w:hint="eastAsia"/>
          <w:rtl/>
        </w:rPr>
        <w:t>הקרובה</w:t>
      </w:r>
      <w:r w:rsidRPr="00BC76B4">
        <w:rPr>
          <w:rtl/>
        </w:rPr>
        <w:t xml:space="preserve">. </w:t>
      </w:r>
      <w:r w:rsidRPr="00BC76B4">
        <w:rPr>
          <w:rFonts w:hint="eastAsia"/>
          <w:rtl/>
        </w:rPr>
        <w:t>זמני</w:t>
      </w:r>
      <w:r w:rsidRPr="00BC76B4">
        <w:rPr>
          <w:rtl/>
        </w:rPr>
        <w:t xml:space="preserve"> </w:t>
      </w:r>
      <w:r w:rsidRPr="00BC76B4">
        <w:rPr>
          <w:rFonts w:hint="eastAsia"/>
          <w:rtl/>
        </w:rPr>
        <w:t>המתנה</w:t>
      </w:r>
      <w:r w:rsidRPr="00BC76B4">
        <w:rPr>
          <w:rtl/>
        </w:rPr>
        <w:t xml:space="preserve"> </w:t>
      </w:r>
      <w:r w:rsidRPr="00BC76B4">
        <w:rPr>
          <w:rFonts w:hint="eastAsia"/>
          <w:rtl/>
        </w:rPr>
        <w:t>סבירים</w:t>
      </w:r>
      <w:r w:rsidRPr="00BC76B4">
        <w:rPr>
          <w:rtl/>
        </w:rPr>
        <w:t xml:space="preserve"> </w:t>
      </w:r>
      <w:r w:rsidRPr="00BC76B4">
        <w:rPr>
          <w:rFonts w:hint="eastAsia"/>
          <w:rtl/>
        </w:rPr>
        <w:t>נדרשים</w:t>
      </w:r>
      <w:r w:rsidRPr="00BC76B4">
        <w:rPr>
          <w:rtl/>
        </w:rPr>
        <w:t xml:space="preserve"> </w:t>
      </w:r>
      <w:r w:rsidRPr="00BC76B4">
        <w:rPr>
          <w:rFonts w:hint="eastAsia"/>
          <w:rtl/>
        </w:rPr>
        <w:t>בהתאם</w:t>
      </w:r>
      <w:r w:rsidRPr="00BC76B4">
        <w:rPr>
          <w:rtl/>
        </w:rPr>
        <w:t xml:space="preserve"> </w:t>
      </w:r>
      <w:r w:rsidRPr="00BC76B4">
        <w:rPr>
          <w:rFonts w:hint="eastAsia"/>
          <w:rtl/>
        </w:rPr>
        <w:t>לנקבע</w:t>
      </w:r>
      <w:r w:rsidRPr="00BC76B4">
        <w:rPr>
          <w:rtl/>
        </w:rPr>
        <w:t xml:space="preserve"> </w:t>
      </w:r>
      <w:r w:rsidRPr="00BC76B4">
        <w:rPr>
          <w:rFonts w:hint="eastAsia"/>
          <w:rtl/>
        </w:rPr>
        <w:t>בהוראות</w:t>
      </w:r>
      <w:r w:rsidRPr="00BC76B4">
        <w:rPr>
          <w:rtl/>
        </w:rPr>
        <w:t xml:space="preserve"> </w:t>
      </w:r>
      <w:r w:rsidRPr="00BC76B4">
        <w:rPr>
          <w:rFonts w:hint="eastAsia"/>
          <w:rtl/>
        </w:rPr>
        <w:t>חוק</w:t>
      </w:r>
      <w:r w:rsidRPr="00BC76B4">
        <w:rPr>
          <w:rtl/>
        </w:rPr>
        <w:t xml:space="preserve"> </w:t>
      </w:r>
      <w:r w:rsidRPr="00BC76B4">
        <w:rPr>
          <w:rFonts w:hint="eastAsia"/>
          <w:rtl/>
        </w:rPr>
        <w:t>ביטוח</w:t>
      </w:r>
      <w:r w:rsidRPr="00BC76B4">
        <w:rPr>
          <w:rtl/>
        </w:rPr>
        <w:t xml:space="preserve"> </w:t>
      </w:r>
      <w:r w:rsidRPr="00BC76B4">
        <w:rPr>
          <w:rFonts w:hint="eastAsia"/>
          <w:rtl/>
        </w:rPr>
        <w:t>בריאות</w:t>
      </w:r>
      <w:r>
        <w:rPr>
          <w:rFonts w:hint="cs"/>
          <w:rtl/>
        </w:rPr>
        <w:t>.</w:t>
      </w:r>
      <w:r w:rsidRPr="00BC76B4">
        <w:rPr>
          <w:rtl/>
        </w:rPr>
        <w:t xml:space="preserve"> </w:t>
      </w:r>
      <w:r w:rsidRPr="00BC76B4">
        <w:rPr>
          <w:rFonts w:hint="eastAsia"/>
          <w:rtl/>
        </w:rPr>
        <w:t>יישום</w:t>
      </w:r>
      <w:r w:rsidRPr="00BC76B4">
        <w:rPr>
          <w:rtl/>
        </w:rPr>
        <w:t xml:space="preserve"> </w:t>
      </w:r>
      <w:r w:rsidRPr="00BC76B4">
        <w:rPr>
          <w:rFonts w:hint="eastAsia"/>
          <w:rtl/>
        </w:rPr>
        <w:t>דרישה</w:t>
      </w:r>
      <w:r w:rsidRPr="00BC76B4">
        <w:rPr>
          <w:rtl/>
        </w:rPr>
        <w:t xml:space="preserve"> </w:t>
      </w:r>
      <w:r w:rsidRPr="00BC76B4">
        <w:rPr>
          <w:rFonts w:hint="eastAsia"/>
          <w:rtl/>
        </w:rPr>
        <w:t>זו</w:t>
      </w:r>
      <w:r w:rsidRPr="00BC76B4">
        <w:rPr>
          <w:rtl/>
        </w:rPr>
        <w:t xml:space="preserve">, בהתחשב במכלול השיקולים </w:t>
      </w:r>
      <w:r w:rsidRPr="00BC76B4">
        <w:rPr>
          <w:rFonts w:hint="eastAsia"/>
          <w:rtl/>
        </w:rPr>
        <w:t>והאיזונים</w:t>
      </w:r>
      <w:r w:rsidRPr="00BC76B4">
        <w:rPr>
          <w:rtl/>
        </w:rPr>
        <w:t>, יבטיח את כוונת הרפורמה.</w:t>
      </w:r>
      <w:r>
        <w:rPr>
          <w:rFonts w:hint="cs"/>
          <w:rtl/>
        </w:rPr>
        <w:t xml:space="preserve"> </w:t>
      </w:r>
    </w:p>
    <w:p w14:paraId="2D33A42F" w14:textId="77777777" w:rsidR="00B51F5B" w:rsidRPr="00B17686" w:rsidRDefault="00B51F5B" w:rsidP="00617503">
      <w:pPr>
        <w:pStyle w:val="5115"/>
        <w:rPr>
          <w:rtl/>
        </w:rPr>
      </w:pPr>
      <w:r w:rsidRPr="00B17686">
        <w:rPr>
          <w:rtl/>
        </w:rPr>
        <w:t xml:space="preserve">זמני המתנה לקבלת טיפול </w:t>
      </w:r>
      <w:r w:rsidRPr="00B17686">
        <w:rPr>
          <w:rFonts w:hint="eastAsia"/>
          <w:rtl/>
        </w:rPr>
        <w:t>לתושבי</w:t>
      </w:r>
      <w:r w:rsidRPr="00B17686">
        <w:rPr>
          <w:rtl/>
        </w:rPr>
        <w:t xml:space="preserve"> </w:t>
      </w:r>
      <w:r w:rsidRPr="00B17686">
        <w:rPr>
          <w:rFonts w:hint="eastAsia"/>
          <w:rtl/>
        </w:rPr>
        <w:t>עוטף</w:t>
      </w:r>
      <w:r w:rsidRPr="00B17686">
        <w:rPr>
          <w:rtl/>
        </w:rPr>
        <w:t xml:space="preserve"> </w:t>
      </w:r>
      <w:r w:rsidRPr="00B17686">
        <w:rPr>
          <w:rFonts w:hint="eastAsia"/>
          <w:rtl/>
        </w:rPr>
        <w:t>עזה</w:t>
      </w:r>
    </w:p>
    <w:p w14:paraId="5D2C8E56" w14:textId="77777777" w:rsidR="00B51F5B" w:rsidRPr="00617503" w:rsidRDefault="00B51F5B" w:rsidP="00617503">
      <w:pPr>
        <w:pStyle w:val="100"/>
        <w:rPr>
          <w:rtl/>
        </w:rPr>
      </w:pPr>
      <w:r>
        <w:rPr>
          <w:rFonts w:hint="cs"/>
          <w:rtl/>
        </w:rPr>
        <w:t xml:space="preserve">אזור </w:t>
      </w:r>
      <w:r w:rsidRPr="00EB4C09">
        <w:rPr>
          <w:rtl/>
        </w:rPr>
        <w:t xml:space="preserve">עוטף עזה </w:t>
      </w:r>
      <w:r>
        <w:rPr>
          <w:rFonts w:hint="cs"/>
          <w:rtl/>
        </w:rPr>
        <w:t xml:space="preserve">שוכן </w:t>
      </w:r>
      <w:r w:rsidRPr="00930163">
        <w:rPr>
          <w:rtl/>
        </w:rPr>
        <w:t xml:space="preserve">בחלקו הדרומי של מישור החוף ובחלקו המערבי של הנגב, בתחומי </w:t>
      </w:r>
      <w:r w:rsidRPr="00617503">
        <w:rPr>
          <w:rtl/>
        </w:rPr>
        <w:t>המועצות האזוריות חוף אשקלון, שער הנגב</w:t>
      </w:r>
      <w:r w:rsidRPr="00617503">
        <w:rPr>
          <w:rFonts w:hint="cs"/>
          <w:rtl/>
        </w:rPr>
        <w:t>,</w:t>
      </w:r>
      <w:r w:rsidRPr="00617503">
        <w:rPr>
          <w:rtl/>
        </w:rPr>
        <w:t xml:space="preserve"> שדות נגב ואשכול. יישובי עוטף עזה ממוקמים קילומטרים ספורים מסביב לרצועת עזה</w:t>
      </w:r>
      <w:r w:rsidRPr="00617503">
        <w:rPr>
          <w:rFonts w:hint="cs"/>
          <w:rtl/>
        </w:rPr>
        <w:t xml:space="preserve"> (עד 7 ק"מ)</w:t>
      </w:r>
      <w:r w:rsidRPr="00617503">
        <w:rPr>
          <w:rtl/>
        </w:rPr>
        <w:t>, וכוללים את העיר שדרות, וכן מושבים וקיבוצים באזור. ביישובי עוטף עזה</w:t>
      </w:r>
      <w:r w:rsidRPr="00617503">
        <w:rPr>
          <w:rFonts w:hint="cs"/>
          <w:rtl/>
        </w:rPr>
        <w:t xml:space="preserve"> </w:t>
      </w:r>
      <w:r w:rsidRPr="00617503">
        <w:rPr>
          <w:rtl/>
        </w:rPr>
        <w:t xml:space="preserve">מתגוררים כ-65,000 </w:t>
      </w:r>
      <w:r w:rsidRPr="00617503">
        <w:rPr>
          <w:rFonts w:hint="cs"/>
          <w:rtl/>
        </w:rPr>
        <w:t>תושבים. מאז שנת 2000 (19 שנים) וגם בעת הביקורת, האזור חשוף לירי רקטות ופצצות מרגמה ותושביו</w:t>
      </w:r>
      <w:r w:rsidRPr="00617503">
        <w:t xml:space="preserve"> </w:t>
      </w:r>
      <w:r w:rsidRPr="00617503">
        <w:rPr>
          <w:rFonts w:hint="cs"/>
          <w:rtl/>
        </w:rPr>
        <w:t xml:space="preserve">נתונים באיום מתמיד. </w:t>
      </w:r>
      <w:r w:rsidRPr="00617503">
        <w:rPr>
          <w:rtl/>
        </w:rPr>
        <w:t>מצב הח</w:t>
      </w:r>
      <w:r w:rsidRPr="00617503">
        <w:rPr>
          <w:rFonts w:hint="cs"/>
          <w:rtl/>
        </w:rPr>
        <w:t>י</w:t>
      </w:r>
      <w:r w:rsidRPr="00617503">
        <w:rPr>
          <w:rtl/>
        </w:rPr>
        <w:t xml:space="preserve">רום המתמשך הביא לכך </w:t>
      </w:r>
      <w:r w:rsidRPr="00617503">
        <w:rPr>
          <w:rFonts w:hint="cs"/>
          <w:rtl/>
        </w:rPr>
        <w:t>שתושבים רבים</w:t>
      </w:r>
      <w:r w:rsidRPr="00617503">
        <w:rPr>
          <w:rtl/>
        </w:rPr>
        <w:t>, מבוגרים וילדים כאחד, סובל</w:t>
      </w:r>
      <w:r w:rsidRPr="00617503">
        <w:rPr>
          <w:rFonts w:hint="cs"/>
          <w:rtl/>
        </w:rPr>
        <w:t>ים</w:t>
      </w:r>
      <w:r w:rsidRPr="00617503">
        <w:rPr>
          <w:rtl/>
        </w:rPr>
        <w:t xml:space="preserve"> </w:t>
      </w:r>
      <w:r w:rsidRPr="00617503">
        <w:rPr>
          <w:rFonts w:hint="cs"/>
          <w:rtl/>
        </w:rPr>
        <w:t>תדיר מ</w:t>
      </w:r>
      <w:r w:rsidRPr="00617503">
        <w:rPr>
          <w:rtl/>
        </w:rPr>
        <w:t>תופעות של טראומה</w:t>
      </w:r>
      <w:r w:rsidRPr="00617503">
        <w:rPr>
          <w:rFonts w:hint="cs"/>
          <w:rtl/>
        </w:rPr>
        <w:t xml:space="preserve">, ירידה בתפקוד ותסמינים פיזיים ונפשיים נוספים. </w:t>
      </w:r>
      <w:r w:rsidRPr="00617503">
        <w:rPr>
          <w:rFonts w:hint="eastAsia"/>
          <w:rtl/>
        </w:rPr>
        <w:t>בשל</w:t>
      </w:r>
      <w:r w:rsidRPr="00617503">
        <w:rPr>
          <w:rtl/>
        </w:rPr>
        <w:t xml:space="preserve"> </w:t>
      </w:r>
      <w:r w:rsidRPr="00617503">
        <w:rPr>
          <w:rFonts w:hint="eastAsia"/>
          <w:rtl/>
        </w:rPr>
        <w:t>כך</w:t>
      </w:r>
      <w:r w:rsidRPr="00617503">
        <w:rPr>
          <w:rtl/>
        </w:rPr>
        <w:t xml:space="preserve"> </w:t>
      </w:r>
      <w:r w:rsidRPr="00617503">
        <w:rPr>
          <w:rFonts w:hint="eastAsia"/>
          <w:rtl/>
        </w:rPr>
        <w:t>בחן</w:t>
      </w:r>
      <w:r w:rsidRPr="00617503">
        <w:rPr>
          <w:rtl/>
        </w:rPr>
        <w:t xml:space="preserve"> </w:t>
      </w:r>
      <w:r w:rsidRPr="00617503">
        <w:rPr>
          <w:rFonts w:hint="eastAsia"/>
          <w:rtl/>
        </w:rPr>
        <w:t>משרד</w:t>
      </w:r>
      <w:r w:rsidRPr="00617503">
        <w:rPr>
          <w:rtl/>
        </w:rPr>
        <w:t xml:space="preserve"> </w:t>
      </w:r>
      <w:r w:rsidRPr="00617503">
        <w:rPr>
          <w:rFonts w:hint="eastAsia"/>
          <w:rtl/>
        </w:rPr>
        <w:t>מבקר</w:t>
      </w:r>
      <w:r w:rsidRPr="00617503">
        <w:rPr>
          <w:rtl/>
        </w:rPr>
        <w:t xml:space="preserve"> </w:t>
      </w:r>
      <w:r w:rsidRPr="00617503">
        <w:rPr>
          <w:rFonts w:hint="eastAsia"/>
          <w:rtl/>
        </w:rPr>
        <w:t>המדינה</w:t>
      </w:r>
      <w:r w:rsidRPr="00617503">
        <w:rPr>
          <w:rtl/>
        </w:rPr>
        <w:t xml:space="preserve"> </w:t>
      </w:r>
      <w:r w:rsidRPr="00617503">
        <w:rPr>
          <w:rFonts w:hint="eastAsia"/>
          <w:rtl/>
        </w:rPr>
        <w:t>את</w:t>
      </w:r>
      <w:r w:rsidRPr="00617503">
        <w:rPr>
          <w:rtl/>
        </w:rPr>
        <w:t xml:space="preserve"> </w:t>
      </w:r>
      <w:r w:rsidRPr="00617503">
        <w:rPr>
          <w:rFonts w:hint="eastAsia"/>
          <w:rtl/>
        </w:rPr>
        <w:t>הנעשה</w:t>
      </w:r>
      <w:r w:rsidRPr="00617503">
        <w:rPr>
          <w:rtl/>
        </w:rPr>
        <w:t xml:space="preserve"> </w:t>
      </w:r>
      <w:r w:rsidRPr="00617503">
        <w:rPr>
          <w:rFonts w:hint="eastAsia"/>
          <w:rtl/>
        </w:rPr>
        <w:t>שם</w:t>
      </w:r>
      <w:r w:rsidRPr="00617503">
        <w:rPr>
          <w:rtl/>
        </w:rPr>
        <w:t>.</w:t>
      </w:r>
    </w:p>
    <w:p w14:paraId="461AC95A" w14:textId="77777777" w:rsidR="00B51F5B" w:rsidRPr="00617503" w:rsidRDefault="00B51F5B" w:rsidP="00617503">
      <w:pPr>
        <w:pStyle w:val="100"/>
        <w:rPr>
          <w:rtl/>
        </w:rPr>
      </w:pPr>
      <w:r w:rsidRPr="00617503">
        <w:rPr>
          <w:rFonts w:hint="cs"/>
          <w:rtl/>
        </w:rPr>
        <w:t xml:space="preserve">תושבי עוטף עזה יכולים לקבל את שירותי בריאות הנפש בכמה מקומות: למשל בברזילי, הממוקם כ-20 ק"מ מהעיר שדרות; במרכז לבריאות הנפש בבאר שבע הממוקם כ-45 ק"מ משדרות; בשלוחה של ברזילי הפועלת בעיר שדרות ומספקת שירותי פסיכיאטריה למבוגרים בלבד; ואצל ספקי שירות בכמה יישובים בעוטף עזה הקשורים בהסכמים עם חלק מקופות החולים. </w:t>
      </w:r>
    </w:p>
    <w:p w14:paraId="228203DC" w14:textId="77777777" w:rsidR="00B51F5B" w:rsidRDefault="00B51F5B" w:rsidP="00617503">
      <w:pPr>
        <w:pStyle w:val="100"/>
        <w:rPr>
          <w:rtl/>
        </w:rPr>
      </w:pPr>
      <w:r w:rsidRPr="00617503">
        <w:rPr>
          <w:rFonts w:hint="eastAsia"/>
          <w:rtl/>
        </w:rPr>
        <w:t>מבדיקת</w:t>
      </w:r>
      <w:r w:rsidRPr="00617503">
        <w:rPr>
          <w:rtl/>
        </w:rPr>
        <w:t xml:space="preserve"> </w:t>
      </w:r>
      <w:r w:rsidRPr="00617503">
        <w:rPr>
          <w:rFonts w:hint="cs"/>
          <w:rtl/>
        </w:rPr>
        <w:t xml:space="preserve">זמני </w:t>
      </w:r>
      <w:r w:rsidRPr="00617503">
        <w:rPr>
          <w:rtl/>
        </w:rPr>
        <w:t xml:space="preserve">ההמתנה </w:t>
      </w:r>
      <w:r w:rsidRPr="00617503">
        <w:rPr>
          <w:rFonts w:hint="cs"/>
          <w:rtl/>
        </w:rPr>
        <w:t xml:space="preserve">לשירותים, הניתנים באחריות קופות החולים, </w:t>
      </w:r>
      <w:r w:rsidRPr="00617503">
        <w:rPr>
          <w:rtl/>
        </w:rPr>
        <w:t>נמצא כי בברזילי</w:t>
      </w:r>
      <w:r w:rsidRPr="00617503">
        <w:rPr>
          <w:rFonts w:hint="cs"/>
          <w:rtl/>
        </w:rPr>
        <w:t xml:space="preserve"> ימתינו</w:t>
      </w:r>
      <w:r w:rsidRPr="00617503">
        <w:rPr>
          <w:rtl/>
        </w:rPr>
        <w:t xml:space="preserve"> מבוגרים</w:t>
      </w:r>
      <w:r w:rsidRPr="00E42C61">
        <w:rPr>
          <w:rtl/>
        </w:rPr>
        <w:t xml:space="preserve"> כחודש </w:t>
      </w:r>
      <w:r>
        <w:rPr>
          <w:rFonts w:hint="cs"/>
          <w:rtl/>
        </w:rPr>
        <w:t>לאבחון,</w:t>
      </w:r>
      <w:r w:rsidRPr="00E42C61">
        <w:rPr>
          <w:rtl/>
        </w:rPr>
        <w:t xml:space="preserve"> ולאחר מכן כחודשיים עד שלושה לתחילת הטיפול הפסיכותרפי</w:t>
      </w:r>
      <w:r>
        <w:rPr>
          <w:rFonts w:hint="cs"/>
          <w:rtl/>
        </w:rPr>
        <w:t>;</w:t>
      </w:r>
      <w:r w:rsidRPr="00E42C61">
        <w:rPr>
          <w:rtl/>
        </w:rPr>
        <w:t xml:space="preserve"> ילדים ימתינו כחצי שנה </w:t>
      </w:r>
      <w:r w:rsidRPr="00E42C61">
        <w:rPr>
          <w:rFonts w:hint="eastAsia"/>
          <w:rtl/>
        </w:rPr>
        <w:t>ל</w:t>
      </w:r>
      <w:r>
        <w:rPr>
          <w:rFonts w:hint="cs"/>
          <w:rtl/>
        </w:rPr>
        <w:t>אבחון</w:t>
      </w:r>
      <w:r w:rsidRPr="00E42C61">
        <w:rPr>
          <w:rtl/>
        </w:rPr>
        <w:t xml:space="preserve"> ו</w:t>
      </w:r>
      <w:r>
        <w:rPr>
          <w:rFonts w:hint="cs"/>
          <w:rtl/>
        </w:rPr>
        <w:t>כ</w:t>
      </w:r>
      <w:r w:rsidRPr="00E42C61">
        <w:rPr>
          <w:rtl/>
        </w:rPr>
        <w:t>שלושה עד ארבעה חודשים לטיפול פסיכותרפי. במרכז לבריאות הנפש בבאר שבע</w:t>
      </w:r>
      <w:r>
        <w:rPr>
          <w:rFonts w:hint="cs"/>
          <w:rtl/>
        </w:rPr>
        <w:t>,</w:t>
      </w:r>
      <w:r w:rsidRPr="00E42C61">
        <w:rPr>
          <w:rtl/>
        </w:rPr>
        <w:t xml:space="preserve"> מבוגרים ימתינו שבועיים עד שלושה</w:t>
      </w:r>
      <w:r>
        <w:rPr>
          <w:rFonts w:hint="cs"/>
          <w:rtl/>
        </w:rPr>
        <w:t xml:space="preserve"> שבועות</w:t>
      </w:r>
      <w:r w:rsidRPr="00E42C61">
        <w:rPr>
          <w:rtl/>
        </w:rPr>
        <w:t xml:space="preserve"> </w:t>
      </w:r>
      <w:r w:rsidRPr="00E42C61">
        <w:rPr>
          <w:rFonts w:hint="eastAsia"/>
          <w:rtl/>
        </w:rPr>
        <w:t>ל</w:t>
      </w:r>
      <w:r>
        <w:rPr>
          <w:rFonts w:hint="cs"/>
          <w:rtl/>
        </w:rPr>
        <w:t>אבחון</w:t>
      </w:r>
      <w:r w:rsidRPr="00E42C61">
        <w:rPr>
          <w:rtl/>
        </w:rPr>
        <w:t xml:space="preserve"> וחודשיים לתחילת טיפול פסיכותרפי</w:t>
      </w:r>
      <w:r>
        <w:rPr>
          <w:rFonts w:hint="cs"/>
          <w:rtl/>
        </w:rPr>
        <w:t>,</w:t>
      </w:r>
      <w:r w:rsidRPr="00E42C61">
        <w:rPr>
          <w:rtl/>
        </w:rPr>
        <w:t xml:space="preserve"> וילדים ימתינו חודש עד חודש וחצי </w:t>
      </w:r>
      <w:r w:rsidRPr="00E42C61">
        <w:rPr>
          <w:rFonts w:hint="eastAsia"/>
          <w:rtl/>
        </w:rPr>
        <w:t>ל</w:t>
      </w:r>
      <w:r>
        <w:rPr>
          <w:rFonts w:hint="cs"/>
          <w:rtl/>
        </w:rPr>
        <w:t>אבחון</w:t>
      </w:r>
      <w:r w:rsidRPr="00E42C61">
        <w:rPr>
          <w:rtl/>
        </w:rPr>
        <w:t xml:space="preserve"> ועוד חצי שנה עד שנה לתחילת הטיפול הפסיכותרפי. בשלוחה בשדרות</w:t>
      </w:r>
      <w:r>
        <w:rPr>
          <w:rFonts w:hint="cs"/>
          <w:rtl/>
        </w:rPr>
        <w:t xml:space="preserve"> ימתינו</w:t>
      </w:r>
      <w:r w:rsidRPr="00E42C61">
        <w:rPr>
          <w:rtl/>
        </w:rPr>
        <w:t xml:space="preserve"> מבוגרים </w:t>
      </w:r>
      <w:r w:rsidRPr="00E42C61">
        <w:rPr>
          <w:rFonts w:hint="eastAsia"/>
          <w:rtl/>
        </w:rPr>
        <w:t>ל</w:t>
      </w:r>
      <w:r>
        <w:rPr>
          <w:rFonts w:hint="cs"/>
          <w:rtl/>
        </w:rPr>
        <w:t>אבחון</w:t>
      </w:r>
      <w:r w:rsidRPr="00E42C61">
        <w:rPr>
          <w:rtl/>
        </w:rPr>
        <w:t xml:space="preserve"> כשבועיים.</w:t>
      </w:r>
      <w:r w:rsidRPr="00AB1C93">
        <w:rPr>
          <w:rFonts w:hint="cs"/>
          <w:rtl/>
        </w:rPr>
        <w:t xml:space="preserve"> </w:t>
      </w:r>
      <w:r>
        <w:rPr>
          <w:rFonts w:hint="cs"/>
          <w:rtl/>
        </w:rPr>
        <w:t xml:space="preserve">עוד נמצא כי בחלק מהקופות שיעור הילדים המקבלים טיפול בבריאות הנפש בשדרות ובנתיבות (שאינה חלק מיישובי העוטף אולם </w:t>
      </w:r>
      <w:r w:rsidRPr="00734207">
        <w:rPr>
          <w:rFonts w:hint="cs"/>
          <w:rtl/>
        </w:rPr>
        <w:t xml:space="preserve">מרוחקת כ-16 ק"מ מהגבול) </w:t>
      </w:r>
      <w:r>
        <w:rPr>
          <w:rFonts w:hint="cs"/>
          <w:rtl/>
        </w:rPr>
        <w:t>נמוך בהרבה מן הממוצע הכולל בקופה.</w:t>
      </w:r>
    </w:p>
    <w:p w14:paraId="17C1A24B" w14:textId="77777777" w:rsidR="00B51F5B" w:rsidRPr="00AE3614" w:rsidRDefault="00B51F5B" w:rsidP="00617503">
      <w:pPr>
        <w:pStyle w:val="af5"/>
        <w:rPr>
          <w:rtl/>
        </w:rPr>
      </w:pPr>
      <w:r>
        <w:rPr>
          <w:rFonts w:hint="cs"/>
          <w:rtl/>
        </w:rPr>
        <w:t>מכאן</w:t>
      </w:r>
      <w:r w:rsidRPr="00AE3614">
        <w:rPr>
          <w:rtl/>
        </w:rPr>
        <w:t xml:space="preserve"> </w:t>
      </w:r>
      <w:r>
        <w:rPr>
          <w:rFonts w:hint="cs"/>
          <w:rtl/>
        </w:rPr>
        <w:t>ש</w:t>
      </w:r>
      <w:r w:rsidRPr="00AE3614">
        <w:rPr>
          <w:rtl/>
        </w:rPr>
        <w:t xml:space="preserve">זמן ההמתנה </w:t>
      </w:r>
      <w:r>
        <w:rPr>
          <w:rFonts w:hint="cs"/>
          <w:rtl/>
        </w:rPr>
        <w:t>ש</w:t>
      </w:r>
      <w:r w:rsidRPr="00AE3614">
        <w:rPr>
          <w:rtl/>
        </w:rPr>
        <w:t>ל</w:t>
      </w:r>
      <w:r>
        <w:rPr>
          <w:rFonts w:hint="cs"/>
          <w:rtl/>
        </w:rPr>
        <w:t xml:space="preserve"> </w:t>
      </w:r>
      <w:r w:rsidRPr="00AE3614">
        <w:rPr>
          <w:rtl/>
        </w:rPr>
        <w:t>ילדים המתגוררים בעוטף עזה</w:t>
      </w:r>
      <w:r>
        <w:rPr>
          <w:rFonts w:hint="cs"/>
          <w:rtl/>
        </w:rPr>
        <w:t>,</w:t>
      </w:r>
      <w:r w:rsidRPr="00AE3614">
        <w:rPr>
          <w:rtl/>
        </w:rPr>
        <w:t xml:space="preserve"> מרגע הפני</w:t>
      </w:r>
      <w:r>
        <w:rPr>
          <w:rFonts w:hint="cs"/>
          <w:rtl/>
        </w:rPr>
        <w:t>י</w:t>
      </w:r>
      <w:r w:rsidRPr="00AE3614">
        <w:rPr>
          <w:rtl/>
        </w:rPr>
        <w:t xml:space="preserve">ה </w:t>
      </w:r>
      <w:r>
        <w:rPr>
          <w:rFonts w:hint="cs"/>
          <w:rtl/>
        </w:rPr>
        <w:t xml:space="preserve">לקופות החולים </w:t>
      </w:r>
      <w:r w:rsidRPr="00AE3614">
        <w:rPr>
          <w:rtl/>
        </w:rPr>
        <w:t>ועד לתחילת הטיפול הפסיכותרפי</w:t>
      </w:r>
      <w:r>
        <w:rPr>
          <w:rFonts w:hint="cs"/>
          <w:rtl/>
        </w:rPr>
        <w:t>,</w:t>
      </w:r>
      <w:r w:rsidRPr="00AE3614">
        <w:rPr>
          <w:rtl/>
        </w:rPr>
        <w:t xml:space="preserve"> </w:t>
      </w:r>
      <w:r>
        <w:rPr>
          <w:rFonts w:hint="cs"/>
          <w:rtl/>
        </w:rPr>
        <w:t>הוא ממושך ומגיע ל-7 עד 13 חודשים בהתאם למקום שבו ניתן השירות. יש לציין כי מדובר בזמן המתנה ה</w:t>
      </w:r>
      <w:r w:rsidRPr="00AE3614">
        <w:rPr>
          <w:rFonts w:hint="eastAsia"/>
          <w:rtl/>
        </w:rPr>
        <w:t>דומה</w:t>
      </w:r>
      <w:r w:rsidRPr="00AE3614">
        <w:rPr>
          <w:rtl/>
        </w:rPr>
        <w:t xml:space="preserve"> לז</w:t>
      </w:r>
      <w:r>
        <w:rPr>
          <w:rFonts w:hint="cs"/>
          <w:rtl/>
        </w:rPr>
        <w:t>ה</w:t>
      </w:r>
      <w:r w:rsidRPr="00AE3614">
        <w:rPr>
          <w:rtl/>
        </w:rPr>
        <w:t xml:space="preserve"> </w:t>
      </w:r>
      <w:r>
        <w:rPr>
          <w:rFonts w:hint="cs"/>
          <w:rtl/>
        </w:rPr>
        <w:t xml:space="preserve">המאפיין </w:t>
      </w:r>
      <w:r w:rsidRPr="00AE3614">
        <w:rPr>
          <w:rtl/>
        </w:rPr>
        <w:t xml:space="preserve">אזורים אחרים בארץ. </w:t>
      </w:r>
    </w:p>
    <w:p w14:paraId="5C7FA3D9" w14:textId="77777777" w:rsidR="002D390C" w:rsidRDefault="002D390C">
      <w:pPr>
        <w:bidi w:val="0"/>
        <w:spacing w:after="200" w:line="276" w:lineRule="auto"/>
        <w:rPr>
          <w:rFonts w:ascii="Tahoma" w:hAnsi="Tahoma" w:cs="Tahoma"/>
          <w:szCs w:val="20"/>
          <w:rtl/>
        </w:rPr>
      </w:pPr>
      <w:r>
        <w:rPr>
          <w:rtl/>
        </w:rPr>
        <w:br w:type="page"/>
      </w:r>
    </w:p>
    <w:p w14:paraId="7AA6E6AB" w14:textId="5D1728A8" w:rsidR="00B51F5B" w:rsidRPr="00E546DF" w:rsidRDefault="00B51F5B" w:rsidP="00617503">
      <w:pPr>
        <w:pStyle w:val="100"/>
        <w:rPr>
          <w:rtl/>
        </w:rPr>
      </w:pPr>
      <w:r>
        <w:rPr>
          <w:rFonts w:hint="cs"/>
          <w:rtl/>
        </w:rPr>
        <w:lastRenderedPageBreak/>
        <w:t xml:space="preserve">המשרד ציין בתשובתו כי בשל הקושי לגייס </w:t>
      </w:r>
      <w:r>
        <w:rPr>
          <w:rtl/>
        </w:rPr>
        <w:t xml:space="preserve">אנשי מקצוע </w:t>
      </w:r>
      <w:r>
        <w:rPr>
          <w:rFonts w:hint="cs"/>
          <w:rtl/>
        </w:rPr>
        <w:t>המוכנים להעניק</w:t>
      </w:r>
      <w:r>
        <w:rPr>
          <w:rtl/>
        </w:rPr>
        <w:t xml:space="preserve"> שירות באזור</w:t>
      </w:r>
      <w:r>
        <w:rPr>
          <w:rFonts w:hint="cs"/>
          <w:rtl/>
        </w:rPr>
        <w:t>,</w:t>
      </w:r>
      <w:r>
        <w:rPr>
          <w:rtl/>
        </w:rPr>
        <w:t xml:space="preserve"> על קופות</w:t>
      </w:r>
      <w:r>
        <w:rPr>
          <w:rFonts w:hint="cs"/>
          <w:rtl/>
        </w:rPr>
        <w:t xml:space="preserve"> החולים</w:t>
      </w:r>
      <w:r>
        <w:rPr>
          <w:rtl/>
        </w:rPr>
        <w:t xml:space="preserve"> לבחון </w:t>
      </w:r>
      <w:r>
        <w:rPr>
          <w:rFonts w:hint="cs"/>
          <w:rtl/>
        </w:rPr>
        <w:t>דרכים ל</w:t>
      </w:r>
      <w:r>
        <w:rPr>
          <w:rtl/>
        </w:rPr>
        <w:t>שית</w:t>
      </w:r>
      <w:r>
        <w:rPr>
          <w:rFonts w:hint="cs"/>
          <w:rtl/>
        </w:rPr>
        <w:t>וף</w:t>
      </w:r>
      <w:r>
        <w:rPr>
          <w:rtl/>
        </w:rPr>
        <w:t xml:space="preserve"> פעולה </w:t>
      </w:r>
      <w:r>
        <w:rPr>
          <w:rFonts w:hint="cs"/>
          <w:rtl/>
        </w:rPr>
        <w:t xml:space="preserve">שיביא </w:t>
      </w:r>
      <w:r>
        <w:rPr>
          <w:rtl/>
        </w:rPr>
        <w:t>לגי</w:t>
      </w:r>
      <w:r>
        <w:rPr>
          <w:rFonts w:hint="cs"/>
          <w:rtl/>
        </w:rPr>
        <w:t>ו</w:t>
      </w:r>
      <w:r>
        <w:rPr>
          <w:rtl/>
        </w:rPr>
        <w:t>ס פסיכיאטר ילדים</w:t>
      </w:r>
      <w:r>
        <w:rPr>
          <w:rFonts w:hint="cs"/>
          <w:rtl/>
        </w:rPr>
        <w:t xml:space="preserve"> וכוח אדם נוסף, כדי</w:t>
      </w:r>
      <w:r>
        <w:rPr>
          <w:rtl/>
        </w:rPr>
        <w:t xml:space="preserve"> לתת מענה באזור אשקלון ושדרות</w:t>
      </w:r>
      <w:r>
        <w:rPr>
          <w:rFonts w:hint="cs"/>
          <w:rtl/>
        </w:rPr>
        <w:t>, וכדי</w:t>
      </w:r>
      <w:r w:rsidRPr="00E80D2C">
        <w:rPr>
          <w:rtl/>
        </w:rPr>
        <w:t xml:space="preserve"> </w:t>
      </w:r>
      <w:r>
        <w:rPr>
          <w:rFonts w:hint="cs"/>
          <w:rtl/>
        </w:rPr>
        <w:t xml:space="preserve">לשתף פעולה באופן דומה גם </w:t>
      </w:r>
      <w:r>
        <w:rPr>
          <w:rtl/>
        </w:rPr>
        <w:t>באזורים שונים בארץ</w:t>
      </w:r>
      <w:r>
        <w:rPr>
          <w:rFonts w:hint="cs"/>
          <w:rtl/>
        </w:rPr>
        <w:t>.</w:t>
      </w:r>
    </w:p>
    <w:p w14:paraId="51C882C3" w14:textId="77777777" w:rsidR="00B51F5B" w:rsidRPr="002E2256" w:rsidRDefault="00B51F5B" w:rsidP="00617503">
      <w:pPr>
        <w:pStyle w:val="af5"/>
        <w:rPr>
          <w:rtl/>
        </w:rPr>
      </w:pPr>
      <w:r w:rsidRPr="0028448C">
        <w:rPr>
          <w:rFonts w:hint="cs"/>
          <w:rtl/>
        </w:rPr>
        <w:t xml:space="preserve">נוכח המצוקות </w:t>
      </w:r>
      <w:r>
        <w:rPr>
          <w:rFonts w:hint="cs"/>
          <w:rtl/>
        </w:rPr>
        <w:t xml:space="preserve">הייחודיות </w:t>
      </w:r>
      <w:r w:rsidRPr="0028448C">
        <w:rPr>
          <w:rFonts w:hint="cs"/>
          <w:rtl/>
        </w:rPr>
        <w:t>הנגרמות עקב המצב הביטחוני האזור</w:t>
      </w:r>
      <w:r>
        <w:rPr>
          <w:rFonts w:hint="cs"/>
          <w:rtl/>
        </w:rPr>
        <w:t>י,</w:t>
      </w:r>
      <w:r w:rsidRPr="0028448C">
        <w:rPr>
          <w:rFonts w:hint="cs"/>
          <w:rtl/>
        </w:rPr>
        <w:t xml:space="preserve"> ראוי </w:t>
      </w:r>
      <w:r>
        <w:rPr>
          <w:rFonts w:hint="cs"/>
          <w:rtl/>
        </w:rPr>
        <w:t>ש</w:t>
      </w:r>
      <w:r w:rsidRPr="0028448C">
        <w:rPr>
          <w:rFonts w:hint="cs"/>
          <w:rtl/>
        </w:rPr>
        <w:t xml:space="preserve">קופות החולים </w:t>
      </w:r>
      <w:r>
        <w:rPr>
          <w:rFonts w:hint="cs"/>
          <w:rtl/>
        </w:rPr>
        <w:t xml:space="preserve">ימפו את המקומות שבהם זמני ההמתנה ארוכים, ובכלל זה ביישובי עוטף עזה, ויבחנו דרכים לקיצורם. </w:t>
      </w:r>
    </w:p>
    <w:p w14:paraId="75A2F3F2" w14:textId="77777777" w:rsidR="00B51F5B" w:rsidRPr="00617503" w:rsidRDefault="00B51F5B" w:rsidP="00617503">
      <w:pPr>
        <w:pStyle w:val="100"/>
        <w:rPr>
          <w:rtl/>
        </w:rPr>
      </w:pPr>
      <w:r>
        <w:rPr>
          <w:rtl/>
        </w:rPr>
        <w:t xml:space="preserve">מרכזי </w:t>
      </w:r>
      <w:r w:rsidRPr="00617503">
        <w:rPr>
          <w:rtl/>
        </w:rPr>
        <w:t>חוסן בעוטף עזה: משנת 2007 (כ-12 שנים) פועלים בעוטף עזה חמישה מרכזי חוסן בניהולה של הקואליציה הישראלית לטראומה</w:t>
      </w:r>
      <w:r w:rsidRPr="003C2FF4">
        <w:rPr>
          <w:rStyle w:val="FootnoteReference"/>
          <w:rtl/>
        </w:rPr>
        <w:footnoteReference w:id="25"/>
      </w:r>
      <w:r w:rsidRPr="00617503">
        <w:rPr>
          <w:rtl/>
        </w:rPr>
        <w:t xml:space="preserve"> בנפרד משירותי בריאות הנפש שבאחריות קופות החולים. מרכזי החוסן הוקמו במטרה להעניק תמיכה וסיוע רב-מקצועי בתקופת רגיעה ובשעת חירום ליחידים, למשפחות ולקהילות המתמודדים עם מצבי משבר, חירום ואסון ולחזק את חוסנם</w:t>
      </w:r>
      <w:r w:rsidRPr="003D5C3E">
        <w:rPr>
          <w:vertAlign w:val="superscript"/>
          <w:rtl/>
        </w:rPr>
        <w:footnoteReference w:id="26"/>
      </w:r>
      <w:r w:rsidRPr="003D5C3E">
        <w:rPr>
          <w:rtl/>
        </w:rPr>
        <w:t>.</w:t>
      </w:r>
      <w:r w:rsidRPr="00617503">
        <w:rPr>
          <w:rtl/>
        </w:rPr>
        <w:t xml:space="preserve"> מרכזי החוסן פועלים נוסף על שירותי בריאות הנפש ומעניקים טיפול המתמקד בתופעות שנגרמו לתושבים על רקע המצב הביטחוני בלבד ולא טיפול נפשי לזקוקים לו מסיבות אחרות. מרכזי החוסן עובדים בשיתוף פעולה עם הרשויות המקומיות באזור. מאפריל 2018 עד פברואר 2019 טופלו במרכזי החוסן בעוטף 4,708 אנשים, ומהם כ-60% ילדים.</w:t>
      </w:r>
    </w:p>
    <w:p w14:paraId="44D0FF5A" w14:textId="77777777" w:rsidR="00B51F5B" w:rsidRDefault="00B51F5B" w:rsidP="00617503">
      <w:pPr>
        <w:pStyle w:val="100"/>
        <w:rPr>
          <w:rtl/>
        </w:rPr>
      </w:pPr>
      <w:r w:rsidRPr="00617503">
        <w:rPr>
          <w:rFonts w:hint="cs"/>
          <w:rtl/>
        </w:rPr>
        <w:t xml:space="preserve">משרד הבריאות מסר בתשובתו כי </w:t>
      </w:r>
      <w:r w:rsidRPr="00617503">
        <w:rPr>
          <w:rtl/>
        </w:rPr>
        <w:t>החל לבנות</w:t>
      </w:r>
      <w:r w:rsidRPr="00617503">
        <w:rPr>
          <w:rFonts w:hint="cs"/>
          <w:rtl/>
        </w:rPr>
        <w:t>,</w:t>
      </w:r>
      <w:r w:rsidRPr="00617503">
        <w:rPr>
          <w:rtl/>
        </w:rPr>
        <w:t xml:space="preserve"> בשיתוף עיר</w:t>
      </w:r>
      <w:r w:rsidRPr="00617503">
        <w:rPr>
          <w:rFonts w:hint="cs"/>
          <w:rtl/>
        </w:rPr>
        <w:t>י</w:t>
      </w:r>
      <w:r w:rsidRPr="00617503">
        <w:rPr>
          <w:rtl/>
        </w:rPr>
        <w:t>ית שדרות</w:t>
      </w:r>
      <w:r w:rsidRPr="00617503">
        <w:rPr>
          <w:rFonts w:hint="cs"/>
          <w:rtl/>
        </w:rPr>
        <w:t>,</w:t>
      </w:r>
      <w:r w:rsidRPr="00617503">
        <w:rPr>
          <w:rtl/>
        </w:rPr>
        <w:t xml:space="preserve"> מרכז חוסן ממוגן חדש </w:t>
      </w:r>
      <w:r w:rsidRPr="00617503">
        <w:rPr>
          <w:rFonts w:hint="cs"/>
          <w:rtl/>
        </w:rPr>
        <w:t>שיעניק</w:t>
      </w:r>
      <w:r w:rsidRPr="00617503">
        <w:rPr>
          <w:rtl/>
        </w:rPr>
        <w:t xml:space="preserve"> טיפול </w:t>
      </w:r>
      <w:r w:rsidRPr="00617503">
        <w:rPr>
          <w:rFonts w:hint="cs"/>
          <w:rtl/>
        </w:rPr>
        <w:t>ויעסוק</w:t>
      </w:r>
      <w:r w:rsidRPr="00617503">
        <w:rPr>
          <w:rtl/>
        </w:rPr>
        <w:t xml:space="preserve"> </w:t>
      </w:r>
      <w:r w:rsidRPr="00617503">
        <w:rPr>
          <w:rFonts w:hint="cs"/>
          <w:rtl/>
        </w:rPr>
        <w:t>ב</w:t>
      </w:r>
      <w:r w:rsidRPr="00617503">
        <w:rPr>
          <w:rtl/>
        </w:rPr>
        <w:t xml:space="preserve">הכשרת </w:t>
      </w:r>
      <w:r w:rsidRPr="00617503">
        <w:rPr>
          <w:rFonts w:hint="cs"/>
          <w:rtl/>
        </w:rPr>
        <w:t>פסיכותרפיסטים</w:t>
      </w:r>
      <w:r w:rsidRPr="00617503">
        <w:rPr>
          <w:rtl/>
        </w:rPr>
        <w:t xml:space="preserve"> ועובדים קהילתיים.</w:t>
      </w:r>
      <w:r w:rsidRPr="00617503">
        <w:rPr>
          <w:rFonts w:hint="cs"/>
          <w:rtl/>
        </w:rPr>
        <w:t xml:space="preserve"> כמו כן, </w:t>
      </w:r>
      <w:r w:rsidRPr="00617503">
        <w:rPr>
          <w:rtl/>
        </w:rPr>
        <w:t xml:space="preserve">בשנת 2020 </w:t>
      </w:r>
      <w:r w:rsidRPr="00617503">
        <w:rPr>
          <w:rFonts w:hint="cs"/>
          <w:rtl/>
        </w:rPr>
        <w:t>צפוי להיפתח</w:t>
      </w:r>
      <w:r w:rsidRPr="00617503">
        <w:rPr>
          <w:rtl/>
        </w:rPr>
        <w:t xml:space="preserve"> מרכז</w:t>
      </w:r>
      <w:r>
        <w:rPr>
          <w:rtl/>
        </w:rPr>
        <w:t xml:space="preserve"> חוסן </w:t>
      </w:r>
      <w:r>
        <w:rPr>
          <w:rFonts w:hint="cs"/>
          <w:rtl/>
        </w:rPr>
        <w:t>ב</w:t>
      </w:r>
      <w:r>
        <w:rPr>
          <w:rtl/>
        </w:rPr>
        <w:t>אשקלון.</w:t>
      </w:r>
    </w:p>
    <w:p w14:paraId="6FB8469F" w14:textId="77777777" w:rsidR="00B51F5B" w:rsidRPr="005A77C4" w:rsidRDefault="00B51F5B" w:rsidP="00162B36">
      <w:pPr>
        <w:pStyle w:val="5115"/>
        <w:rPr>
          <w:rtl/>
        </w:rPr>
      </w:pPr>
      <w:r w:rsidRPr="00162B36">
        <w:rPr>
          <w:rFonts w:hint="cs"/>
          <w:rtl/>
        </w:rPr>
        <w:t>קביעת</w:t>
      </w:r>
      <w:r w:rsidRPr="005A77C4">
        <w:rPr>
          <w:rFonts w:hint="cs"/>
          <w:rtl/>
        </w:rPr>
        <w:t xml:space="preserve"> סטנדרטים לזמני המתנה על ידי משרד הבריאות </w:t>
      </w:r>
    </w:p>
    <w:p w14:paraId="6CB18D82" w14:textId="77777777" w:rsidR="00B51F5B" w:rsidRPr="00617503" w:rsidRDefault="00B51F5B" w:rsidP="00617503">
      <w:pPr>
        <w:pStyle w:val="100"/>
        <w:rPr>
          <w:rtl/>
        </w:rPr>
      </w:pPr>
      <w:r>
        <w:rPr>
          <w:rFonts w:hint="cs"/>
          <w:rtl/>
        </w:rPr>
        <w:t xml:space="preserve">עד </w:t>
      </w:r>
      <w:r w:rsidRPr="00FF15C6">
        <w:rPr>
          <w:rFonts w:hint="cs"/>
          <w:rtl/>
        </w:rPr>
        <w:t>כניסת הרפורמה לתוקף</w:t>
      </w:r>
      <w:r>
        <w:rPr>
          <w:rFonts w:hint="cs"/>
          <w:rtl/>
        </w:rPr>
        <w:t>,</w:t>
      </w:r>
      <w:r w:rsidRPr="00FF15C6">
        <w:rPr>
          <w:rFonts w:hint="cs"/>
          <w:rtl/>
        </w:rPr>
        <w:t xml:space="preserve"> משרד הבריאות וקופות החולים</w:t>
      </w:r>
      <w:r>
        <w:rPr>
          <w:rFonts w:hint="cs"/>
          <w:rtl/>
        </w:rPr>
        <w:t>,</w:t>
      </w:r>
      <w:r w:rsidRPr="00FF15C6">
        <w:rPr>
          <w:rFonts w:hint="cs"/>
          <w:rtl/>
        </w:rPr>
        <w:t xml:space="preserve"> אשר סיפקו שירותים בתחום בריאות הנפש</w:t>
      </w:r>
      <w:r>
        <w:rPr>
          <w:rFonts w:hint="cs"/>
          <w:rtl/>
        </w:rPr>
        <w:t>,</w:t>
      </w:r>
      <w:r w:rsidRPr="00FF15C6">
        <w:rPr>
          <w:rFonts w:hint="cs"/>
          <w:rtl/>
        </w:rPr>
        <w:t xml:space="preserve"> לא אספו נתונים </w:t>
      </w:r>
      <w:r>
        <w:rPr>
          <w:rFonts w:hint="cs"/>
          <w:rtl/>
        </w:rPr>
        <w:t>על</w:t>
      </w:r>
      <w:r w:rsidRPr="00FF15C6">
        <w:rPr>
          <w:rFonts w:hint="cs"/>
          <w:rtl/>
        </w:rPr>
        <w:t xml:space="preserve"> זמני המתנה לקבלת טיפול. בהסכם הרפורמה התחייב </w:t>
      </w:r>
      <w:r>
        <w:rPr>
          <w:rFonts w:hint="cs"/>
          <w:rtl/>
        </w:rPr>
        <w:t>ה</w:t>
      </w:r>
      <w:r w:rsidRPr="00FF15C6">
        <w:rPr>
          <w:rFonts w:hint="cs"/>
          <w:rtl/>
        </w:rPr>
        <w:t>משרד כי עד סוף שנת 2018 לא י</w:t>
      </w:r>
      <w:r>
        <w:rPr>
          <w:rFonts w:hint="cs"/>
          <w:rtl/>
        </w:rPr>
        <w:t>חייב</w:t>
      </w:r>
      <w:r w:rsidRPr="00FF15C6">
        <w:rPr>
          <w:rFonts w:hint="cs"/>
          <w:rtl/>
        </w:rPr>
        <w:t xml:space="preserve"> את </w:t>
      </w:r>
      <w:r>
        <w:rPr>
          <w:rFonts w:hint="cs"/>
          <w:rtl/>
        </w:rPr>
        <w:t>ה</w:t>
      </w:r>
      <w:r w:rsidRPr="00FF15C6">
        <w:rPr>
          <w:rFonts w:hint="cs"/>
          <w:rtl/>
        </w:rPr>
        <w:t>קופות בסטנדרטים</w:t>
      </w:r>
      <w:r>
        <w:rPr>
          <w:rFonts w:hint="cs"/>
          <w:rtl/>
        </w:rPr>
        <w:t xml:space="preserve"> </w:t>
      </w:r>
      <w:r w:rsidRPr="00FF15C6">
        <w:rPr>
          <w:rFonts w:hint="cs"/>
          <w:rtl/>
        </w:rPr>
        <w:t xml:space="preserve">חדשים </w:t>
      </w:r>
      <w:r w:rsidRPr="00797753">
        <w:rPr>
          <w:rFonts w:hint="cs"/>
          <w:rtl/>
        </w:rPr>
        <w:t xml:space="preserve">בתחום בריאות הנפש. </w:t>
      </w:r>
      <w:r w:rsidRPr="00617503">
        <w:rPr>
          <w:rFonts w:hint="cs"/>
          <w:rtl/>
        </w:rPr>
        <w:t xml:space="preserve">בביקורת עלה כי זמני ההמתנה ארוכים, ואולם בנסיבות הקיימות אין דרך להשוות בין זמני ההמתנה לפני הרפורמה ולאחריה. לפיכך בחן משרד מבקר המדינה את זמני ההמתנה בפועל (ראו לעיל). </w:t>
      </w:r>
    </w:p>
    <w:p w14:paraId="62DB8943" w14:textId="77777777" w:rsidR="00B51F5B" w:rsidRPr="00617503" w:rsidRDefault="00B51F5B" w:rsidP="00617503">
      <w:pPr>
        <w:pStyle w:val="100"/>
        <w:rPr>
          <w:rtl/>
        </w:rPr>
      </w:pPr>
      <w:r w:rsidRPr="00617503">
        <w:rPr>
          <w:rFonts w:hint="cs"/>
          <w:rtl/>
        </w:rPr>
        <w:t xml:space="preserve">בדצמבר 2018 העביר האגף לבריאות הנפש במשרד הבריאות למנכ"ל המשרד הצעה לסטנדרטים אשר יגדירו את זמני ההמתנה לשירותי בריאות הנפש. לפי ההצעה, זמן ההמתנה המרבי לאבחון יהיה 30 יום ולתחילת טיפול פסיכיאטרי או פסיכותרפי יהיה 6-4 שבועות נוספים, לאחר מועד האבחון. האגף ביסס את הצעתו על מחקרים מדעיים בנושא ועל השוואה לסטנדרטים לזמני ההמתנה במדינות שונות בעולם המערבי, כמוצג בלוח 1: </w:t>
      </w:r>
    </w:p>
    <w:p w14:paraId="1B2DB9F7" w14:textId="77777777" w:rsidR="00B51F5B" w:rsidRPr="00617503" w:rsidRDefault="00B51F5B" w:rsidP="00617503">
      <w:pPr>
        <w:pStyle w:val="100"/>
        <w:rPr>
          <w:rtl/>
        </w:rPr>
      </w:pPr>
    </w:p>
    <w:p w14:paraId="55AA2AA1" w14:textId="77777777" w:rsidR="00B51F5B" w:rsidRPr="00162B36" w:rsidRDefault="00B51F5B" w:rsidP="00162B36">
      <w:pPr>
        <w:pStyle w:val="aa"/>
        <w:rPr>
          <w:b/>
          <w:bCs/>
          <w:rtl/>
        </w:rPr>
      </w:pPr>
      <w:r w:rsidRPr="00CE0C49">
        <w:rPr>
          <w:rFonts w:hint="cs"/>
          <w:rtl/>
        </w:rPr>
        <w:t xml:space="preserve">לוח 1: </w:t>
      </w:r>
      <w:r w:rsidRPr="00162B36">
        <w:rPr>
          <w:rFonts w:hint="cs"/>
          <w:b/>
          <w:bCs/>
          <w:rtl/>
        </w:rPr>
        <w:t>סטנדרטים לזמני המתנה במדינות שונות</w:t>
      </w:r>
    </w:p>
    <w:tbl>
      <w:tblPr>
        <w:tblStyle w:val="5-11"/>
        <w:tblpPr w:leftFromText="180" w:rightFromText="180" w:vertAnchor="text" w:tblpXSpec="center" w:tblpY="1"/>
        <w:bidiVisual/>
        <w:tblW w:w="0" w:type="auto"/>
        <w:tblLook w:val="04A0" w:firstRow="1" w:lastRow="0" w:firstColumn="1" w:lastColumn="0" w:noHBand="0" w:noVBand="1"/>
      </w:tblPr>
      <w:tblGrid>
        <w:gridCol w:w="1117"/>
        <w:gridCol w:w="6864"/>
      </w:tblGrid>
      <w:tr w:rsidR="00B51F5B" w14:paraId="2A3B861C" w14:textId="77777777" w:rsidTr="001D0A16">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17" w:type="dxa"/>
          </w:tcPr>
          <w:p w14:paraId="7C323A13" w14:textId="77777777" w:rsidR="00B51F5B" w:rsidRPr="00185C01" w:rsidRDefault="00B51F5B" w:rsidP="001D0A16">
            <w:pPr>
              <w:spacing w:line="269" w:lineRule="auto"/>
              <w:jc w:val="center"/>
              <w:rPr>
                <w:rtl/>
              </w:rPr>
            </w:pPr>
            <w:r w:rsidRPr="00185C01">
              <w:rPr>
                <w:rFonts w:hint="cs"/>
                <w:rtl/>
              </w:rPr>
              <w:t>מדינה</w:t>
            </w:r>
          </w:p>
        </w:tc>
        <w:tc>
          <w:tcPr>
            <w:tcW w:w="6864" w:type="dxa"/>
          </w:tcPr>
          <w:p w14:paraId="2DEAF812" w14:textId="77777777" w:rsidR="00B51F5B" w:rsidRPr="00185C01" w:rsidRDefault="00B51F5B" w:rsidP="001D0A16">
            <w:pPr>
              <w:spacing w:line="269" w:lineRule="auto"/>
              <w:jc w:val="center"/>
              <w:cnfStyle w:val="100000000000" w:firstRow="1" w:lastRow="0" w:firstColumn="0" w:lastColumn="0" w:oddVBand="0" w:evenVBand="0" w:oddHBand="0" w:evenHBand="0" w:firstRowFirstColumn="0" w:firstRowLastColumn="0" w:lastRowFirstColumn="0" w:lastRowLastColumn="0"/>
              <w:rPr>
                <w:rtl/>
              </w:rPr>
            </w:pPr>
            <w:r w:rsidRPr="00185C01">
              <w:rPr>
                <w:rFonts w:hint="cs"/>
                <w:rtl/>
              </w:rPr>
              <w:t>סטנדרט לטיפול בבריאות הנפש</w:t>
            </w:r>
          </w:p>
        </w:tc>
      </w:tr>
      <w:tr w:rsidR="00B51F5B" w14:paraId="78F4A7D0" w14:textId="77777777" w:rsidTr="001D0A16">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117" w:type="dxa"/>
          </w:tcPr>
          <w:p w14:paraId="4894A328" w14:textId="77777777" w:rsidR="00B51F5B" w:rsidRPr="00185C01" w:rsidRDefault="00B51F5B" w:rsidP="001D0A16">
            <w:pPr>
              <w:spacing w:line="269" w:lineRule="auto"/>
              <w:jc w:val="center"/>
              <w:rPr>
                <w:u w:val="single"/>
                <w:rtl/>
              </w:rPr>
            </w:pPr>
            <w:r>
              <w:rPr>
                <w:noProof/>
                <w:u w:val="single"/>
              </w:rPr>
              <w:drawing>
                <wp:inline distT="0" distB="0" distL="0" distR="0" wp14:anchorId="0862720A" wp14:editId="43BDAAD2">
                  <wp:extent cx="333375" cy="171450"/>
                  <wp:effectExtent l="0" t="0" r="9525" b="0"/>
                  <wp:docPr id="22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p w14:paraId="09441E36" w14:textId="77777777" w:rsidR="00B51F5B" w:rsidRPr="00185C01" w:rsidRDefault="00B51F5B" w:rsidP="001D0A16">
            <w:pPr>
              <w:spacing w:line="269" w:lineRule="auto"/>
              <w:jc w:val="center"/>
              <w:rPr>
                <w:rtl/>
              </w:rPr>
            </w:pPr>
            <w:r w:rsidRPr="00185C01">
              <w:rPr>
                <w:rFonts w:hint="cs"/>
                <w:rtl/>
              </w:rPr>
              <w:t>בריטניה</w:t>
            </w:r>
          </w:p>
        </w:tc>
        <w:tc>
          <w:tcPr>
            <w:tcW w:w="6864" w:type="dxa"/>
          </w:tcPr>
          <w:p w14:paraId="1547A794" w14:textId="77777777" w:rsidR="00B51F5B" w:rsidRPr="00185C01" w:rsidRDefault="00B51F5B" w:rsidP="001D0A16">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185C01">
              <w:rPr>
                <w:rFonts w:hint="cs"/>
                <w:rtl/>
              </w:rPr>
              <w:t>נקבע כי הסטנדרט לזמן ההמתנה המרבי ל-75% מהמטופלים, שהופנו לטיפול פסיכותרפי, יהיה 6 שבועות מיום הפנייה</w:t>
            </w:r>
            <w:r>
              <w:rPr>
                <w:rFonts w:hint="cs"/>
                <w:rtl/>
              </w:rPr>
              <w:t>,</w:t>
            </w:r>
            <w:r w:rsidRPr="00185C01">
              <w:rPr>
                <w:rFonts w:hint="cs"/>
                <w:rtl/>
              </w:rPr>
              <w:t xml:space="preserve"> עבור 20% נוספים יהיה 18 שבועות מיום הפנייה</w:t>
            </w:r>
            <w:r>
              <w:rPr>
                <w:rStyle w:val="FootnoteReference"/>
                <w:rtl/>
              </w:rPr>
              <w:footnoteReference w:id="27"/>
            </w:r>
            <w:r>
              <w:rPr>
                <w:rFonts w:hint="cs"/>
                <w:rtl/>
              </w:rPr>
              <w:t>, ועבור 5% הנותרים לא נקבע זמן המתנה מרבי</w:t>
            </w:r>
          </w:p>
        </w:tc>
      </w:tr>
      <w:tr w:rsidR="00B51F5B" w14:paraId="1EEA2AE4" w14:textId="77777777" w:rsidTr="001D0A16">
        <w:trPr>
          <w:trHeight w:val="684"/>
        </w:trPr>
        <w:tc>
          <w:tcPr>
            <w:cnfStyle w:val="001000000000" w:firstRow="0" w:lastRow="0" w:firstColumn="1" w:lastColumn="0" w:oddVBand="0" w:evenVBand="0" w:oddHBand="0" w:evenHBand="0" w:firstRowFirstColumn="0" w:firstRowLastColumn="0" w:lastRowFirstColumn="0" w:lastRowLastColumn="0"/>
            <w:tcW w:w="1117" w:type="dxa"/>
          </w:tcPr>
          <w:p w14:paraId="5CD6C89A" w14:textId="77777777" w:rsidR="00B51F5B" w:rsidRPr="00185C01" w:rsidRDefault="00B51F5B" w:rsidP="001D0A16">
            <w:pPr>
              <w:spacing w:line="269" w:lineRule="auto"/>
              <w:jc w:val="center"/>
              <w:rPr>
                <w:u w:val="single"/>
                <w:rtl/>
              </w:rPr>
            </w:pPr>
            <w:r>
              <w:rPr>
                <w:noProof/>
                <w:u w:val="single"/>
              </w:rPr>
              <w:drawing>
                <wp:inline distT="0" distB="0" distL="0" distR="0" wp14:anchorId="5E4F152D" wp14:editId="1AEC45DA">
                  <wp:extent cx="333375" cy="200025"/>
                  <wp:effectExtent l="0" t="0" r="9525" b="9525"/>
                  <wp:docPr id="22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14:paraId="36DAA778" w14:textId="77777777" w:rsidR="00B51F5B" w:rsidRPr="00185C01" w:rsidRDefault="00B51F5B" w:rsidP="001D0A16">
            <w:pPr>
              <w:spacing w:line="269" w:lineRule="auto"/>
              <w:jc w:val="center"/>
              <w:rPr>
                <w:rtl/>
              </w:rPr>
            </w:pPr>
            <w:r w:rsidRPr="00185C01">
              <w:rPr>
                <w:rFonts w:hint="cs"/>
                <w:rtl/>
              </w:rPr>
              <w:t>דנמרק</w:t>
            </w:r>
          </w:p>
        </w:tc>
        <w:tc>
          <w:tcPr>
            <w:tcW w:w="6864" w:type="dxa"/>
          </w:tcPr>
          <w:p w14:paraId="7D57732B" w14:textId="77777777" w:rsidR="00B51F5B" w:rsidRPr="00185C01" w:rsidRDefault="00B51F5B" w:rsidP="001D0A16">
            <w:pPr>
              <w:spacing w:line="269" w:lineRule="auto"/>
              <w:cnfStyle w:val="000000000000" w:firstRow="0" w:lastRow="0" w:firstColumn="0" w:lastColumn="0" w:oddVBand="0" w:evenVBand="0" w:oddHBand="0" w:evenHBand="0" w:firstRowFirstColumn="0" w:firstRowLastColumn="0" w:lastRowFirstColumn="0" w:lastRowLastColumn="0"/>
              <w:rPr>
                <w:b/>
                <w:bCs/>
                <w:rtl/>
              </w:rPr>
            </w:pPr>
            <w:r w:rsidRPr="00185C01">
              <w:rPr>
                <w:rtl/>
              </w:rPr>
              <w:t xml:space="preserve">נקבע שזמן ההמתנה </w:t>
            </w:r>
            <w:r w:rsidRPr="00185C01">
              <w:rPr>
                <w:rFonts w:hint="cs"/>
                <w:rtl/>
              </w:rPr>
              <w:t>המרבי</w:t>
            </w:r>
            <w:r w:rsidRPr="00185C01">
              <w:rPr>
                <w:rtl/>
              </w:rPr>
              <w:t xml:space="preserve"> </w:t>
            </w:r>
            <w:r w:rsidRPr="00185C01">
              <w:rPr>
                <w:rFonts w:hint="cs"/>
                <w:rtl/>
              </w:rPr>
              <w:t>לאבחון יהיה</w:t>
            </w:r>
            <w:r w:rsidRPr="00185C01">
              <w:rPr>
                <w:rtl/>
              </w:rPr>
              <w:t xml:space="preserve"> 30 </w:t>
            </w:r>
            <w:r w:rsidRPr="00185C01">
              <w:rPr>
                <w:rFonts w:hint="cs"/>
                <w:rtl/>
              </w:rPr>
              <w:t>יום ו-30</w:t>
            </w:r>
            <w:r w:rsidRPr="00185C01">
              <w:rPr>
                <w:rtl/>
              </w:rPr>
              <w:t xml:space="preserve"> יום </w:t>
            </w:r>
            <w:r w:rsidRPr="00185C01">
              <w:rPr>
                <w:rFonts w:hint="cs"/>
                <w:rtl/>
              </w:rPr>
              <w:t xml:space="preserve">נוספים </w:t>
            </w:r>
            <w:r w:rsidRPr="00185C01">
              <w:rPr>
                <w:rtl/>
              </w:rPr>
              <w:t>עד תחילת הטיפול</w:t>
            </w:r>
            <w:r>
              <w:rPr>
                <w:rStyle w:val="FootnoteReference"/>
                <w:rtl/>
              </w:rPr>
              <w:footnoteReference w:id="28"/>
            </w:r>
          </w:p>
        </w:tc>
      </w:tr>
      <w:tr w:rsidR="00B51F5B" w14:paraId="18B96D9B" w14:textId="77777777" w:rsidTr="001D0A16">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117" w:type="dxa"/>
          </w:tcPr>
          <w:p w14:paraId="187C2075" w14:textId="77777777" w:rsidR="00B51F5B" w:rsidRPr="00185C01" w:rsidRDefault="00B51F5B" w:rsidP="001D0A16">
            <w:pPr>
              <w:spacing w:line="269" w:lineRule="auto"/>
              <w:jc w:val="center"/>
              <w:rPr>
                <w:u w:val="single"/>
                <w:rtl/>
              </w:rPr>
            </w:pPr>
            <w:r w:rsidRPr="00185C01">
              <w:rPr>
                <w:noProof/>
                <w:u w:val="single"/>
              </w:rPr>
              <w:drawing>
                <wp:inline distT="0" distB="0" distL="0" distR="0" wp14:anchorId="75408240" wp14:editId="46D1CB15">
                  <wp:extent cx="290830" cy="197485"/>
                  <wp:effectExtent l="0" t="0" r="0" b="0"/>
                  <wp:docPr id="222" name="תמונה 4" descr="https://daeftiev02.mevaker.prt/resources?shortenID=ea6d318e-b35e-4d29-899f-8972eba272ff&amp;signature=e563e9e8eccf9692d4de5c213bc8986b2f805c52f3e295377e56882376d5a0c0&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31451" name="Picture 2" descr="https://daeftiev02.mevaker.prt/resources?shortenID=ea6d318e-b35e-4d29-899f-8972eba272ff&amp;signature=e563e9e8eccf9692d4de5c213bc8986b2f805c52f3e295377e56882376d5a0c0&amp;IsSync=&amp;resul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flipH="1" flipV="1">
                            <a:off x="0" y="0"/>
                            <a:ext cx="290830" cy="197485"/>
                          </a:xfrm>
                          <a:prstGeom prst="rect">
                            <a:avLst/>
                          </a:prstGeom>
                          <a:noFill/>
                          <a:ln>
                            <a:noFill/>
                          </a:ln>
                        </pic:spPr>
                      </pic:pic>
                    </a:graphicData>
                  </a:graphic>
                </wp:inline>
              </w:drawing>
            </w:r>
          </w:p>
          <w:p w14:paraId="6CF5E1BF" w14:textId="77777777" w:rsidR="00B51F5B" w:rsidRPr="00185C01" w:rsidRDefault="00B51F5B" w:rsidP="001D0A16">
            <w:pPr>
              <w:spacing w:line="269" w:lineRule="auto"/>
              <w:jc w:val="center"/>
              <w:rPr>
                <w:rtl/>
              </w:rPr>
            </w:pPr>
            <w:r w:rsidRPr="00185C01">
              <w:rPr>
                <w:rFonts w:hint="cs"/>
                <w:rtl/>
              </w:rPr>
              <w:t>הולנד</w:t>
            </w:r>
          </w:p>
        </w:tc>
        <w:tc>
          <w:tcPr>
            <w:tcW w:w="6864" w:type="dxa"/>
          </w:tcPr>
          <w:p w14:paraId="2FE253E6" w14:textId="77777777" w:rsidR="00B51F5B" w:rsidRPr="00185C01" w:rsidRDefault="00B51F5B" w:rsidP="001D0A16">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185C01">
              <w:rPr>
                <w:rFonts w:hint="cs"/>
                <w:rtl/>
              </w:rPr>
              <w:t>נקבע ש</w:t>
            </w:r>
            <w:r w:rsidRPr="00185C01">
              <w:rPr>
                <w:rtl/>
              </w:rPr>
              <w:t xml:space="preserve">זמן </w:t>
            </w:r>
            <w:r>
              <w:rPr>
                <w:rFonts w:hint="cs"/>
                <w:rtl/>
              </w:rPr>
              <w:t>ה</w:t>
            </w:r>
            <w:r w:rsidRPr="00185C01">
              <w:rPr>
                <w:rFonts w:hint="cs"/>
                <w:rtl/>
              </w:rPr>
              <w:t xml:space="preserve">המתנה </w:t>
            </w:r>
            <w:r>
              <w:rPr>
                <w:rFonts w:hint="cs"/>
                <w:rtl/>
              </w:rPr>
              <w:t>ה</w:t>
            </w:r>
            <w:r w:rsidRPr="00185C01">
              <w:rPr>
                <w:rFonts w:hint="cs"/>
                <w:rtl/>
              </w:rPr>
              <w:t>מרבי לאבחון יהיה</w:t>
            </w:r>
            <w:r w:rsidRPr="00185C01">
              <w:rPr>
                <w:rtl/>
              </w:rPr>
              <w:t xml:space="preserve"> 4 שבועות </w:t>
            </w:r>
            <w:r w:rsidRPr="00185C01">
              <w:rPr>
                <w:rFonts w:hint="cs"/>
                <w:rtl/>
              </w:rPr>
              <w:t>ו-</w:t>
            </w:r>
            <w:r w:rsidRPr="00185C01">
              <w:rPr>
                <w:rtl/>
              </w:rPr>
              <w:t>6 שבועות</w:t>
            </w:r>
            <w:r w:rsidRPr="00185C01">
              <w:rPr>
                <w:rFonts w:hint="cs"/>
                <w:rtl/>
              </w:rPr>
              <w:t xml:space="preserve"> נוספים עד תחילת הטיפול</w:t>
            </w:r>
          </w:p>
        </w:tc>
      </w:tr>
      <w:tr w:rsidR="00B51F5B" w14:paraId="6BD71704" w14:textId="77777777" w:rsidTr="001D0A16">
        <w:trPr>
          <w:trHeight w:val="619"/>
        </w:trPr>
        <w:tc>
          <w:tcPr>
            <w:cnfStyle w:val="001000000000" w:firstRow="0" w:lastRow="0" w:firstColumn="1" w:lastColumn="0" w:oddVBand="0" w:evenVBand="0" w:oddHBand="0" w:evenHBand="0" w:firstRowFirstColumn="0" w:firstRowLastColumn="0" w:lastRowFirstColumn="0" w:lastRowLastColumn="0"/>
            <w:tcW w:w="1117" w:type="dxa"/>
          </w:tcPr>
          <w:p w14:paraId="1CAE9EFD" w14:textId="77777777" w:rsidR="00B51F5B" w:rsidRPr="00185C01" w:rsidRDefault="00B51F5B" w:rsidP="001D0A16">
            <w:pPr>
              <w:spacing w:line="269" w:lineRule="auto"/>
              <w:jc w:val="center"/>
              <w:rPr>
                <w:noProof/>
                <w:u w:val="single"/>
                <w:rtl/>
              </w:rPr>
            </w:pPr>
            <w:r>
              <w:rPr>
                <w:noProof/>
              </w:rPr>
              <w:drawing>
                <wp:inline distT="0" distB="0" distL="0" distR="0" wp14:anchorId="7968CBF4" wp14:editId="44653BFD">
                  <wp:extent cx="323850" cy="190500"/>
                  <wp:effectExtent l="0" t="0" r="0" b="0"/>
                  <wp:docPr id="22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p w14:paraId="721614EB" w14:textId="77777777" w:rsidR="00B51F5B" w:rsidRPr="00185C01" w:rsidRDefault="00B51F5B" w:rsidP="001D0A16">
            <w:pPr>
              <w:spacing w:line="269" w:lineRule="auto"/>
              <w:jc w:val="center"/>
              <w:rPr>
                <w:noProof/>
              </w:rPr>
            </w:pPr>
            <w:r w:rsidRPr="00185C01">
              <w:rPr>
                <w:rFonts w:hint="cs"/>
                <w:noProof/>
                <w:rtl/>
              </w:rPr>
              <w:t>קנדה</w:t>
            </w:r>
          </w:p>
        </w:tc>
        <w:tc>
          <w:tcPr>
            <w:tcW w:w="6864" w:type="dxa"/>
          </w:tcPr>
          <w:p w14:paraId="542D6060" w14:textId="77777777" w:rsidR="00B51F5B" w:rsidRPr="00185C01" w:rsidRDefault="00B51F5B" w:rsidP="001D0A16">
            <w:pPr>
              <w:spacing w:line="269" w:lineRule="auto"/>
              <w:cnfStyle w:val="000000000000" w:firstRow="0" w:lastRow="0" w:firstColumn="0" w:lastColumn="0" w:oddVBand="0" w:evenVBand="0" w:oddHBand="0" w:evenHBand="0" w:firstRowFirstColumn="0" w:firstRowLastColumn="0" w:lastRowFirstColumn="0" w:lastRowLastColumn="0"/>
              <w:rPr>
                <w:b/>
                <w:bCs/>
                <w:u w:val="single"/>
                <w:rtl/>
              </w:rPr>
            </w:pPr>
            <w:r>
              <w:rPr>
                <w:rtl/>
              </w:rPr>
              <w:t xml:space="preserve">בחלק מהמדינות </w:t>
            </w:r>
            <w:r>
              <w:rPr>
                <w:rFonts w:hint="cs"/>
                <w:rtl/>
              </w:rPr>
              <w:t>ב</w:t>
            </w:r>
            <w:r>
              <w:rPr>
                <w:rtl/>
              </w:rPr>
              <w:t xml:space="preserve">קנדה </w:t>
            </w:r>
            <w:r>
              <w:rPr>
                <w:rFonts w:hint="cs"/>
                <w:rtl/>
              </w:rPr>
              <w:t>נקבע ש</w:t>
            </w:r>
            <w:r>
              <w:rPr>
                <w:rtl/>
              </w:rPr>
              <w:t>זמן</w:t>
            </w:r>
            <w:r>
              <w:t xml:space="preserve"> </w:t>
            </w:r>
            <w:r>
              <w:rPr>
                <w:rtl/>
              </w:rPr>
              <w:t>ה</w:t>
            </w:r>
            <w:r>
              <w:rPr>
                <w:rFonts w:hint="cs"/>
                <w:rtl/>
              </w:rPr>
              <w:t>ה</w:t>
            </w:r>
            <w:r>
              <w:rPr>
                <w:rtl/>
              </w:rPr>
              <w:t xml:space="preserve">מתנה </w:t>
            </w:r>
            <w:r>
              <w:rPr>
                <w:rFonts w:hint="cs"/>
                <w:rtl/>
              </w:rPr>
              <w:t xml:space="preserve">המרבי </w:t>
            </w:r>
            <w:r>
              <w:rPr>
                <w:rtl/>
              </w:rPr>
              <w:t xml:space="preserve">לתחילת טיפול </w:t>
            </w:r>
            <w:r>
              <w:rPr>
                <w:rFonts w:hint="cs"/>
                <w:rtl/>
              </w:rPr>
              <w:t>יהיה</w:t>
            </w:r>
            <w:r>
              <w:rPr>
                <w:rtl/>
              </w:rPr>
              <w:t xml:space="preserve"> 30 יום</w:t>
            </w:r>
          </w:p>
        </w:tc>
      </w:tr>
    </w:tbl>
    <w:p w14:paraId="359AF3FB" w14:textId="77777777" w:rsidR="00B51F5B" w:rsidRDefault="00B51F5B" w:rsidP="00B51F5B">
      <w:pPr>
        <w:pStyle w:val="aff8"/>
        <w:spacing w:line="269" w:lineRule="auto"/>
        <w:ind w:left="0"/>
        <w:rPr>
          <w:rtl/>
        </w:rPr>
      </w:pPr>
    </w:p>
    <w:p w14:paraId="148EC405" w14:textId="77777777" w:rsidR="00B51F5B" w:rsidRDefault="00B51F5B" w:rsidP="00B51F5B">
      <w:pPr>
        <w:pStyle w:val="aff8"/>
        <w:spacing w:line="269" w:lineRule="auto"/>
        <w:rPr>
          <w:rtl/>
        </w:rPr>
      </w:pPr>
    </w:p>
    <w:p w14:paraId="36AD44D7" w14:textId="77777777" w:rsidR="00B51F5B" w:rsidRDefault="00B51F5B" w:rsidP="00162B36">
      <w:pPr>
        <w:pStyle w:val="100"/>
        <w:rPr>
          <w:rtl/>
        </w:rPr>
      </w:pPr>
      <w:r>
        <w:rPr>
          <w:rFonts w:hint="cs"/>
          <w:rtl/>
        </w:rPr>
        <w:t>בהסתמך על מחקר שפירסם ה-</w:t>
      </w:r>
      <w:r>
        <w:rPr>
          <w:rFonts w:hint="cs"/>
        </w:rPr>
        <w:t>OECD</w:t>
      </w:r>
      <w:r>
        <w:rPr>
          <w:rFonts w:hint="cs"/>
          <w:rtl/>
        </w:rPr>
        <w:t xml:space="preserve"> ב-2013</w:t>
      </w:r>
      <w:r>
        <w:rPr>
          <w:rStyle w:val="FootnoteReference"/>
          <w:rtl/>
        </w:rPr>
        <w:footnoteReference w:id="29"/>
      </w:r>
      <w:r>
        <w:rPr>
          <w:rFonts w:hint="cs"/>
          <w:rtl/>
        </w:rPr>
        <w:t>, הציע האגף לבריאות הנפש לעודד עמידה בסטנדרטים, למשל באמצעות מתן תמריצים או הטלת סנקציות בהתבסס על תנאים מוגדרים,</w:t>
      </w:r>
      <w:r w:rsidRPr="00C00128">
        <w:rPr>
          <w:rtl/>
        </w:rPr>
        <w:t xml:space="preserve"> </w:t>
      </w:r>
      <w:r>
        <w:rPr>
          <w:rFonts w:hint="cs"/>
          <w:rtl/>
        </w:rPr>
        <w:t>כמו</w:t>
      </w:r>
      <w:r>
        <w:rPr>
          <w:rtl/>
        </w:rPr>
        <w:t xml:space="preserve"> </w:t>
      </w:r>
      <w:r w:rsidRPr="00C00128">
        <w:rPr>
          <w:rtl/>
        </w:rPr>
        <w:t>מידת ניצול התקציב שהועבר לקופות החולים בתחום זה</w:t>
      </w:r>
      <w:r>
        <w:rPr>
          <w:rFonts w:hint="cs"/>
          <w:rtl/>
        </w:rPr>
        <w:t>.</w:t>
      </w:r>
    </w:p>
    <w:p w14:paraId="3D55291E" w14:textId="77777777" w:rsidR="00B51F5B" w:rsidRDefault="00B51F5B" w:rsidP="00162B36">
      <w:pPr>
        <w:pStyle w:val="100"/>
        <w:rPr>
          <w:rtl/>
        </w:rPr>
      </w:pPr>
      <w:r>
        <w:rPr>
          <w:rFonts w:hint="cs"/>
          <w:rtl/>
        </w:rPr>
        <w:t>סגן שר הבריאות</w:t>
      </w:r>
      <w:r>
        <w:rPr>
          <w:rStyle w:val="FootnoteReference"/>
          <w:rtl/>
        </w:rPr>
        <w:footnoteReference w:id="30"/>
      </w:r>
      <w:r>
        <w:rPr>
          <w:rFonts w:hint="cs"/>
          <w:rtl/>
        </w:rPr>
        <w:t xml:space="preserve"> מסר בפברואר 2019</w:t>
      </w:r>
      <w:r>
        <w:rPr>
          <w:rStyle w:val="FootnoteReference"/>
          <w:rtl/>
        </w:rPr>
        <w:footnoteReference w:id="31"/>
      </w:r>
      <w:r>
        <w:rPr>
          <w:rFonts w:hint="cs"/>
          <w:rtl/>
        </w:rPr>
        <w:t xml:space="preserve"> כי הגדרת זמני המתנה היא נדבך מרכזי בהשלמת הרפורמה, וצעד זה עשוי להבהיר לקופות החולים ולמקבלי השירותים את השירות שלו הם זכאים, מכוח חוק ביטוח בריאות. הצורך בקביעת זמני המתנה מוגדרים מקבל חיזוק גם מנקודת מבטם של אנשי מקצוע בתחום. לדבריו, משרד הבריאות משקיע מאמצים בהגדרת זמני המתנה תוך כדי למידה מתחומי בריאות אחרים ומן המתרחש בעולם. עוד מסר כי הוועדה לבחינת הרפורמה עתידה להגיש את מסקנותיה בחודשים הקרובים, ובעקבותיה יפורסם חוזר מנכ"ל בנושא. </w:t>
      </w:r>
    </w:p>
    <w:p w14:paraId="1FC28331" w14:textId="3E2F10CF" w:rsidR="00B51F5B" w:rsidRPr="00237924" w:rsidRDefault="00B51F5B" w:rsidP="00162B36">
      <w:pPr>
        <w:pStyle w:val="100"/>
        <w:rPr>
          <w:rtl/>
        </w:rPr>
      </w:pPr>
      <w:r>
        <w:rPr>
          <w:rFonts w:hint="cs"/>
          <w:rtl/>
        </w:rPr>
        <w:t xml:space="preserve">מנכ"ל משרד הבריאות מסר ביולי 2019 למשרד מבקר המדינה שבמסגרת </w:t>
      </w:r>
      <w:r w:rsidRPr="002D79D7">
        <w:rPr>
          <w:rFonts w:hint="cs"/>
          <w:rtl/>
        </w:rPr>
        <w:t>הת</w:t>
      </w:r>
      <w:r>
        <w:rPr>
          <w:rFonts w:hint="cs"/>
          <w:rtl/>
        </w:rPr>
        <w:t>ו</w:t>
      </w:r>
      <w:r w:rsidRPr="002D79D7">
        <w:rPr>
          <w:rFonts w:hint="cs"/>
          <w:rtl/>
        </w:rPr>
        <w:t>כניות האסטרטגיות של המשרד</w:t>
      </w:r>
      <w:r>
        <w:rPr>
          <w:rFonts w:hint="cs"/>
          <w:rtl/>
        </w:rPr>
        <w:t>,</w:t>
      </w:r>
      <w:r w:rsidRPr="002D79D7">
        <w:rPr>
          <w:rFonts w:hint="cs"/>
          <w:rtl/>
        </w:rPr>
        <w:t xml:space="preserve"> </w:t>
      </w:r>
      <w:r>
        <w:rPr>
          <w:rFonts w:hint="cs"/>
          <w:rtl/>
        </w:rPr>
        <w:t>הוא</w:t>
      </w:r>
      <w:r w:rsidRPr="002D79D7">
        <w:rPr>
          <w:rFonts w:hint="cs"/>
          <w:rtl/>
        </w:rPr>
        <w:t xml:space="preserve"> עוסק ב</w:t>
      </w:r>
      <w:r>
        <w:rPr>
          <w:rFonts w:hint="cs"/>
          <w:rtl/>
        </w:rPr>
        <w:t>הגדרת זמני המתנה סבירים במערכת הבריאות באופן כללי</w:t>
      </w:r>
      <w:r w:rsidRPr="002D79D7">
        <w:rPr>
          <w:rFonts w:hint="cs"/>
          <w:rtl/>
        </w:rPr>
        <w:t xml:space="preserve"> </w:t>
      </w:r>
      <w:r>
        <w:rPr>
          <w:rFonts w:hint="cs"/>
          <w:rtl/>
        </w:rPr>
        <w:t xml:space="preserve">וצפוי לפרסם </w:t>
      </w:r>
      <w:r w:rsidRPr="002D79D7">
        <w:rPr>
          <w:rFonts w:hint="cs"/>
          <w:rtl/>
        </w:rPr>
        <w:t>חוזר המנחה את קופות</w:t>
      </w:r>
      <w:r>
        <w:rPr>
          <w:rFonts w:hint="cs"/>
          <w:rtl/>
        </w:rPr>
        <w:t xml:space="preserve"> החולים</w:t>
      </w:r>
      <w:r w:rsidRPr="002D79D7">
        <w:rPr>
          <w:rFonts w:hint="cs"/>
          <w:rtl/>
        </w:rPr>
        <w:t xml:space="preserve"> לקבוע</w:t>
      </w:r>
      <w:r>
        <w:rPr>
          <w:rFonts w:hint="cs"/>
          <w:rtl/>
        </w:rPr>
        <w:t xml:space="preserve"> אמנת שירות</w:t>
      </w:r>
      <w:r w:rsidRPr="002D79D7">
        <w:rPr>
          <w:rFonts w:hint="cs"/>
          <w:rtl/>
        </w:rPr>
        <w:t xml:space="preserve"> </w:t>
      </w:r>
      <w:r>
        <w:rPr>
          <w:rFonts w:hint="cs"/>
          <w:rtl/>
        </w:rPr>
        <w:t>(</w:t>
      </w:r>
      <w:r>
        <w:t>Service Level</w:t>
      </w:r>
      <w:r w:rsidR="0049719F">
        <w:rPr>
          <w:rFonts w:hint="cs"/>
          <w:rtl/>
        </w:rPr>
        <w:t xml:space="preserve"> </w:t>
      </w:r>
      <w:r>
        <w:t>Agreement - SLA</w:t>
      </w:r>
      <w:r>
        <w:rPr>
          <w:rFonts w:hint="cs"/>
          <w:rtl/>
        </w:rPr>
        <w:t>)</w:t>
      </w:r>
      <w:r w:rsidRPr="002D79D7">
        <w:rPr>
          <w:rFonts w:hint="cs"/>
          <w:rtl/>
        </w:rPr>
        <w:t> לזמני המתנה ל</w:t>
      </w:r>
      <w:r>
        <w:rPr>
          <w:rFonts w:hint="cs"/>
          <w:rtl/>
        </w:rPr>
        <w:t>כמה</w:t>
      </w:r>
      <w:r w:rsidRPr="002D79D7">
        <w:rPr>
          <w:rFonts w:hint="cs"/>
          <w:rtl/>
        </w:rPr>
        <w:t xml:space="preserve"> תחומים </w:t>
      </w:r>
      <w:r>
        <w:rPr>
          <w:rFonts w:hint="cs"/>
          <w:rtl/>
        </w:rPr>
        <w:t>לרבות בתחום בריאות הנפש. באוגוסט 2019 הפיץ המשרד את טיוטת החוזר</w:t>
      </w:r>
      <w:r>
        <w:rPr>
          <w:rStyle w:val="FootnoteReference"/>
          <w:rtl/>
        </w:rPr>
        <w:footnoteReference w:id="32"/>
      </w:r>
      <w:r>
        <w:rPr>
          <w:rFonts w:hint="cs"/>
          <w:rtl/>
        </w:rPr>
        <w:t xml:space="preserve"> להערות הקופות, ולפיה יקבעו ויפרסמו הקופות את היעדים </w:t>
      </w:r>
      <w:r>
        <w:rPr>
          <w:rFonts w:hint="cs"/>
          <w:rtl/>
        </w:rPr>
        <w:lastRenderedPageBreak/>
        <w:t>למשכי ההמתנה המרביים עד האבחון ואחר כך עד תחילת הטיפול. המשרד מצפה</w:t>
      </w:r>
      <w:r w:rsidRPr="00237924">
        <w:rPr>
          <w:rtl/>
        </w:rPr>
        <w:t xml:space="preserve"> כי עצם הפרסום, במרחב הציבורי והתחרותי </w:t>
      </w:r>
      <w:r>
        <w:rPr>
          <w:rFonts w:hint="cs"/>
          <w:rtl/>
        </w:rPr>
        <w:t>ש</w:t>
      </w:r>
      <w:r w:rsidRPr="00237924">
        <w:rPr>
          <w:rtl/>
        </w:rPr>
        <w:t>בו</w:t>
      </w:r>
      <w:r>
        <w:rPr>
          <w:rFonts w:hint="cs"/>
          <w:rtl/>
        </w:rPr>
        <w:t xml:space="preserve"> פועלות</w:t>
      </w:r>
      <w:r w:rsidRPr="00237924">
        <w:rPr>
          <w:rtl/>
        </w:rPr>
        <w:t xml:space="preserve"> הקופות, </w:t>
      </w:r>
      <w:r>
        <w:rPr>
          <w:rFonts w:hint="cs"/>
          <w:rtl/>
        </w:rPr>
        <w:t>ישפר את</w:t>
      </w:r>
      <w:r w:rsidRPr="00237924">
        <w:rPr>
          <w:rtl/>
        </w:rPr>
        <w:t xml:space="preserve"> זמני ההמתנה.</w:t>
      </w:r>
      <w:r>
        <w:rPr>
          <w:rFonts w:hint="cs"/>
          <w:rtl/>
        </w:rPr>
        <w:t xml:space="preserve"> עד ינואר 2020 לא הפיץ המשרד חוזר סופי.</w:t>
      </w:r>
    </w:p>
    <w:p w14:paraId="33432606" w14:textId="77777777" w:rsidR="00B51F5B" w:rsidRDefault="00B51F5B" w:rsidP="00162B36">
      <w:pPr>
        <w:pStyle w:val="100"/>
        <w:rPr>
          <w:rtl/>
        </w:rPr>
      </w:pPr>
      <w:r>
        <w:rPr>
          <w:rFonts w:hint="cs"/>
          <w:rtl/>
        </w:rPr>
        <w:t xml:space="preserve">גורמים בקופות החולים ובמשרד האוצר מסרו במהלך הביקורת כי קביעת סטנדרטים בדבר זמני ההמתנה תגרום להשקעת משאבים בתחום בריאות הנפש באופן מוגבר על פני תחומים אחרים (כגון: אונקולוגיה, ניתוחים ובדיקות דימות), תיצור עיוות באופן הקצאת המשאבים ותיתן עדיפות לחובת העמידה בסטנדרט על פני שיקולים רפואיים בראייה מערכתית לטובת כלל המטופלים. </w:t>
      </w:r>
    </w:p>
    <w:p w14:paraId="272ABDCA" w14:textId="77777777" w:rsidR="00B51F5B" w:rsidRDefault="00B51F5B" w:rsidP="00162B36">
      <w:pPr>
        <w:pStyle w:val="100"/>
        <w:rPr>
          <w:rtl/>
        </w:rPr>
      </w:pPr>
      <w:r>
        <w:rPr>
          <w:rFonts w:hint="cs"/>
          <w:rtl/>
        </w:rPr>
        <w:t xml:space="preserve">משרד הבריאות מסר בתשובתו לממצאי הביקורת בינואר 2020 (להלן - תשובת המשרד) כי </w:t>
      </w:r>
      <w:r>
        <w:rPr>
          <w:rtl/>
        </w:rPr>
        <w:t>זמני ההמתנה</w:t>
      </w:r>
      <w:r>
        <w:rPr>
          <w:rFonts w:hint="cs"/>
          <w:rtl/>
        </w:rPr>
        <w:t xml:space="preserve"> </w:t>
      </w:r>
      <w:r>
        <w:rPr>
          <w:rtl/>
        </w:rPr>
        <w:t>נובע</w:t>
      </w:r>
      <w:r>
        <w:rPr>
          <w:rFonts w:hint="cs"/>
          <w:rtl/>
        </w:rPr>
        <w:t>ים</w:t>
      </w:r>
      <w:r>
        <w:rPr>
          <w:rtl/>
        </w:rPr>
        <w:t xml:space="preserve"> מ</w:t>
      </w:r>
      <w:r>
        <w:rPr>
          <w:rFonts w:hint="cs"/>
          <w:rtl/>
        </w:rPr>
        <w:t xml:space="preserve">ן </w:t>
      </w:r>
      <w:r>
        <w:rPr>
          <w:rtl/>
        </w:rPr>
        <w:t>העל</w:t>
      </w:r>
      <w:r>
        <w:rPr>
          <w:rFonts w:hint="cs"/>
          <w:rtl/>
        </w:rPr>
        <w:t>י</w:t>
      </w:r>
      <w:r>
        <w:rPr>
          <w:rtl/>
        </w:rPr>
        <w:t xml:space="preserve">יה התלולה בביקוש לשירות ומהקשיים התקציביים </w:t>
      </w:r>
      <w:r>
        <w:rPr>
          <w:rFonts w:hint="cs"/>
          <w:rtl/>
        </w:rPr>
        <w:t>ש</w:t>
      </w:r>
      <w:r>
        <w:rPr>
          <w:rtl/>
        </w:rPr>
        <w:t>בה</w:t>
      </w:r>
      <w:r>
        <w:rPr>
          <w:rFonts w:hint="cs"/>
          <w:rtl/>
        </w:rPr>
        <w:t>ם</w:t>
      </w:r>
      <w:r>
        <w:rPr>
          <w:rtl/>
        </w:rPr>
        <w:t xml:space="preserve"> נתונות קופות</w:t>
      </w:r>
      <w:r>
        <w:rPr>
          <w:rFonts w:hint="cs"/>
          <w:rtl/>
        </w:rPr>
        <w:t xml:space="preserve"> החולים,</w:t>
      </w:r>
      <w:r>
        <w:rPr>
          <w:rtl/>
        </w:rPr>
        <w:t xml:space="preserve"> </w:t>
      </w:r>
      <w:r>
        <w:rPr>
          <w:rFonts w:hint="cs"/>
          <w:rtl/>
        </w:rPr>
        <w:t>אולם</w:t>
      </w:r>
      <w:r>
        <w:rPr>
          <w:rtl/>
        </w:rPr>
        <w:t xml:space="preserve"> אין להשלים עם המצב הקיים.</w:t>
      </w:r>
      <w:r>
        <w:rPr>
          <w:rFonts w:hint="cs"/>
          <w:rtl/>
        </w:rPr>
        <w:t xml:space="preserve"> לאור העובדה ש</w:t>
      </w:r>
      <w:r w:rsidRPr="00237924">
        <w:rPr>
          <w:rtl/>
        </w:rPr>
        <w:t xml:space="preserve">צמצום </w:t>
      </w:r>
      <w:r>
        <w:rPr>
          <w:rFonts w:hint="cs"/>
          <w:rtl/>
        </w:rPr>
        <w:t>ה</w:t>
      </w:r>
      <w:r w:rsidRPr="00237924">
        <w:rPr>
          <w:rtl/>
        </w:rPr>
        <w:t xml:space="preserve">תחלואה </w:t>
      </w:r>
      <w:r>
        <w:rPr>
          <w:rFonts w:hint="cs"/>
          <w:rtl/>
        </w:rPr>
        <w:t>ה</w:t>
      </w:r>
      <w:r w:rsidRPr="00237924">
        <w:rPr>
          <w:rtl/>
        </w:rPr>
        <w:t>נ</w:t>
      </w:r>
      <w:r>
        <w:rPr>
          <w:rtl/>
        </w:rPr>
        <w:t>פשית משפר גם מדדי בריאות נוספים</w:t>
      </w:r>
      <w:r w:rsidRPr="00237924">
        <w:rPr>
          <w:rtl/>
        </w:rPr>
        <w:t xml:space="preserve"> ו</w:t>
      </w:r>
      <w:r>
        <w:rPr>
          <w:rFonts w:hint="cs"/>
          <w:rtl/>
        </w:rPr>
        <w:t>ש</w:t>
      </w:r>
      <w:r w:rsidRPr="00237924">
        <w:rPr>
          <w:rtl/>
        </w:rPr>
        <w:t>הקופות קיבלו את הזמן הנדרש להתארגנות</w:t>
      </w:r>
      <w:r>
        <w:rPr>
          <w:rFonts w:hint="cs"/>
          <w:rtl/>
        </w:rPr>
        <w:t xml:space="preserve">, עולה </w:t>
      </w:r>
      <w:r w:rsidRPr="00237924">
        <w:rPr>
          <w:rtl/>
        </w:rPr>
        <w:t xml:space="preserve">צורך </w:t>
      </w:r>
      <w:r>
        <w:rPr>
          <w:rFonts w:hint="cs"/>
          <w:rtl/>
        </w:rPr>
        <w:t>שהמשרד</w:t>
      </w:r>
      <w:r w:rsidRPr="00237924">
        <w:rPr>
          <w:rtl/>
        </w:rPr>
        <w:t xml:space="preserve"> </w:t>
      </w:r>
      <w:r>
        <w:rPr>
          <w:rFonts w:hint="cs"/>
          <w:rtl/>
        </w:rPr>
        <w:t xml:space="preserve">ינקוט </w:t>
      </w:r>
      <w:r w:rsidRPr="00237924">
        <w:rPr>
          <w:rtl/>
        </w:rPr>
        <w:t>צעדי רגולציה נוספים בתחום.</w:t>
      </w:r>
      <w:r>
        <w:rPr>
          <w:rFonts w:hint="cs"/>
          <w:rtl/>
        </w:rPr>
        <w:t xml:space="preserve"> אם קביעת היעדים עבור זמני ההמתנה לא תביא לשיפור, </w:t>
      </w:r>
      <w:r w:rsidRPr="00237924">
        <w:rPr>
          <w:rtl/>
        </w:rPr>
        <w:t>המשרד</w:t>
      </w:r>
      <w:r>
        <w:rPr>
          <w:rFonts w:hint="cs"/>
          <w:rtl/>
        </w:rPr>
        <w:t xml:space="preserve"> יבחן</w:t>
      </w:r>
      <w:r w:rsidRPr="00237924">
        <w:rPr>
          <w:rtl/>
        </w:rPr>
        <w:t xml:space="preserve"> את הצורך להתערב </w:t>
      </w:r>
      <w:r>
        <w:rPr>
          <w:rFonts w:hint="cs"/>
          <w:rtl/>
        </w:rPr>
        <w:t xml:space="preserve">בקביעת זמני המתנה מרביים. </w:t>
      </w:r>
    </w:p>
    <w:p w14:paraId="310C68E8" w14:textId="77777777" w:rsidR="00B51F5B" w:rsidRPr="00C254C8" w:rsidRDefault="00B51F5B" w:rsidP="00162B36">
      <w:pPr>
        <w:pStyle w:val="100"/>
        <w:rPr>
          <w:rtl/>
        </w:rPr>
      </w:pPr>
      <w:r>
        <w:rPr>
          <w:rFonts w:hint="cs"/>
          <w:rtl/>
        </w:rPr>
        <w:t xml:space="preserve">אגף תקציבים במשרד האוצר מסר בתשובתו לממצאי הביקורת בינואר 2020 (להלן - תשובת אגף תקציבים) כי ההצעה לקביעת סטנדרטים לזמני המתנה </w:t>
      </w:r>
      <w:r w:rsidRPr="00CE1F43">
        <w:rPr>
          <w:rFonts w:hint="cs"/>
          <w:rtl/>
        </w:rPr>
        <w:t>אינה עולה בקנה אחד</w:t>
      </w:r>
      <w:r>
        <w:rPr>
          <w:rFonts w:hint="cs"/>
          <w:rtl/>
        </w:rPr>
        <w:t xml:space="preserve"> עם עקרונות חוק ביטוח בריאות, הקובע כי שירותי הבריאות יינתנ</w:t>
      </w:r>
      <w:r>
        <w:rPr>
          <w:rFonts w:hint="eastAsia"/>
          <w:rtl/>
        </w:rPr>
        <w:t>ו</w:t>
      </w:r>
      <w:r>
        <w:rPr>
          <w:rFonts w:hint="cs"/>
          <w:rtl/>
        </w:rPr>
        <w:t xml:space="preserve"> בתוך זמן סביר, </w:t>
      </w:r>
      <w:r w:rsidRPr="007438ED">
        <w:rPr>
          <w:rFonts w:hint="cs"/>
          <w:rtl/>
        </w:rPr>
        <w:t>אך במסגרת מקורות המימון העומדים לרשות קופות החולים</w:t>
      </w:r>
      <w:r>
        <w:rPr>
          <w:rFonts w:hint="cs"/>
          <w:rtl/>
        </w:rPr>
        <w:t>. הסיבה לכך היא שקביעת זמני המתנה תעוות את הקצאת המשאבים</w:t>
      </w:r>
      <w:r w:rsidRPr="007438ED">
        <w:rPr>
          <w:rFonts w:hint="cs"/>
          <w:rtl/>
        </w:rPr>
        <w:t xml:space="preserve">, </w:t>
      </w:r>
      <w:r>
        <w:rPr>
          <w:rFonts w:hint="cs"/>
          <w:rtl/>
        </w:rPr>
        <w:t xml:space="preserve">לנוכח העובדה שאין תשובה חד-משמעית לשאלה אם שירותי בריאות הנפש דחופים יותר משירותי בריאות אחרים. </w:t>
      </w:r>
      <w:r w:rsidRPr="007438ED">
        <w:rPr>
          <w:rFonts w:hint="cs"/>
          <w:rtl/>
        </w:rPr>
        <w:t>מנגד,</w:t>
      </w:r>
      <w:r>
        <w:rPr>
          <w:rFonts w:hint="cs"/>
          <w:rtl/>
        </w:rPr>
        <w:t xml:space="preserve"> קיצור זמני ההמתנה לכל המערכת עלול לפגוע במטופלים הזקוקים</w:t>
      </w:r>
      <w:r w:rsidDel="00F03B23">
        <w:rPr>
          <w:rFonts w:hint="cs"/>
          <w:rtl/>
        </w:rPr>
        <w:t xml:space="preserve"> </w:t>
      </w:r>
      <w:r>
        <w:rPr>
          <w:rFonts w:hint="cs"/>
          <w:rtl/>
        </w:rPr>
        <w:t>לטיפול דחוף על פני מטופלים אחרים, ולקצר את משך הטיפול המוקדש לכל מטופל. נוסף על כך, העלות התקציבית למהלך זה עומדת על עשרות ואף על מאות מיליוני ש"ח, ואין לכך הצדקה בהיעדר נתונים מספיקים להתבסס עליהם. עם זאת יש מערך תמריצים לעידוד הקופות להגברת הפעילות בשירותים מסוימים הכולל, בין היתר: מבחני תמיכה, כללי התחשבנות ומחירים.</w:t>
      </w:r>
    </w:p>
    <w:p w14:paraId="4EE4B59E" w14:textId="77777777" w:rsidR="00B51F5B" w:rsidRDefault="00B51F5B" w:rsidP="00162B36">
      <w:pPr>
        <w:pStyle w:val="100"/>
        <w:rPr>
          <w:rtl/>
        </w:rPr>
      </w:pPr>
      <w:r w:rsidRPr="00C40F3A">
        <w:rPr>
          <w:rFonts w:hint="eastAsia"/>
          <w:rtl/>
        </w:rPr>
        <w:t>הכללית</w:t>
      </w:r>
      <w:r w:rsidRPr="00C40F3A">
        <w:rPr>
          <w:rtl/>
        </w:rPr>
        <w:t xml:space="preserve"> </w:t>
      </w:r>
      <w:r w:rsidRPr="00C40F3A">
        <w:rPr>
          <w:rFonts w:hint="eastAsia"/>
          <w:rtl/>
        </w:rPr>
        <w:t>מסרה</w:t>
      </w:r>
      <w:r w:rsidRPr="00C40F3A">
        <w:rPr>
          <w:rtl/>
        </w:rPr>
        <w:t xml:space="preserve"> </w:t>
      </w:r>
      <w:r w:rsidRPr="00C40F3A">
        <w:rPr>
          <w:rFonts w:hint="eastAsia"/>
          <w:rtl/>
        </w:rPr>
        <w:t>בתשובתה</w:t>
      </w:r>
      <w:r w:rsidRPr="00C40F3A">
        <w:rPr>
          <w:rtl/>
        </w:rPr>
        <w:t xml:space="preserve"> </w:t>
      </w:r>
      <w:r w:rsidRPr="00C40F3A">
        <w:rPr>
          <w:rFonts w:hint="eastAsia"/>
          <w:rtl/>
        </w:rPr>
        <w:t>לממצאי</w:t>
      </w:r>
      <w:r w:rsidRPr="00C40F3A">
        <w:rPr>
          <w:rtl/>
        </w:rPr>
        <w:t xml:space="preserve"> </w:t>
      </w:r>
      <w:r w:rsidRPr="00C40F3A">
        <w:rPr>
          <w:rFonts w:hint="eastAsia"/>
          <w:rtl/>
        </w:rPr>
        <w:t>הביקורת</w:t>
      </w:r>
      <w:r w:rsidRPr="00C40F3A">
        <w:rPr>
          <w:rtl/>
        </w:rPr>
        <w:t xml:space="preserve"> </w:t>
      </w:r>
      <w:r w:rsidRPr="00C40F3A">
        <w:rPr>
          <w:rFonts w:hint="eastAsia"/>
          <w:rtl/>
        </w:rPr>
        <w:t>בדצמבר</w:t>
      </w:r>
      <w:r w:rsidRPr="00C40F3A">
        <w:rPr>
          <w:rtl/>
        </w:rPr>
        <w:t xml:space="preserve"> 2019 (להלן - תשובת הכללית) כי עד </w:t>
      </w:r>
      <w:r w:rsidRPr="00C40F3A">
        <w:rPr>
          <w:rFonts w:hint="eastAsia"/>
          <w:rtl/>
        </w:rPr>
        <w:t>שהמדינה</w:t>
      </w:r>
      <w:r w:rsidRPr="00C40F3A">
        <w:rPr>
          <w:rtl/>
        </w:rPr>
        <w:t xml:space="preserve"> </w:t>
      </w:r>
      <w:r w:rsidRPr="00C40F3A">
        <w:rPr>
          <w:rFonts w:hint="eastAsia"/>
          <w:rtl/>
        </w:rPr>
        <w:t>לא</w:t>
      </w:r>
      <w:r w:rsidRPr="00C40F3A">
        <w:rPr>
          <w:rtl/>
        </w:rPr>
        <w:t xml:space="preserve"> </w:t>
      </w:r>
      <w:r w:rsidRPr="00C40F3A">
        <w:rPr>
          <w:rFonts w:hint="eastAsia"/>
          <w:rtl/>
        </w:rPr>
        <w:t>תפעיל</w:t>
      </w:r>
      <w:r w:rsidRPr="00C40F3A">
        <w:rPr>
          <w:rtl/>
        </w:rPr>
        <w:t xml:space="preserve"> ת</w:t>
      </w:r>
      <w:r>
        <w:rPr>
          <w:rFonts w:hint="cs"/>
          <w:rtl/>
        </w:rPr>
        <w:t>ו</w:t>
      </w:r>
      <w:r w:rsidRPr="00C40F3A">
        <w:rPr>
          <w:rtl/>
        </w:rPr>
        <w:t xml:space="preserve">כנית לאומית לטיפול במחסור ברופאים ובמטפלים בתחום </w:t>
      </w:r>
      <w:r w:rsidRPr="00C40F3A">
        <w:rPr>
          <w:rFonts w:hint="eastAsia"/>
          <w:rtl/>
        </w:rPr>
        <w:t>בריאות</w:t>
      </w:r>
      <w:r w:rsidRPr="00C40F3A">
        <w:rPr>
          <w:rtl/>
        </w:rPr>
        <w:t xml:space="preserve"> הנפש </w:t>
      </w:r>
      <w:r>
        <w:rPr>
          <w:rFonts w:hint="cs"/>
          <w:rtl/>
        </w:rPr>
        <w:t xml:space="preserve">ועד </w:t>
      </w:r>
      <w:r w:rsidRPr="00C40F3A">
        <w:rPr>
          <w:rFonts w:hint="cs"/>
          <w:rtl/>
        </w:rPr>
        <w:t>ש</w:t>
      </w:r>
      <w:r w:rsidRPr="00C40F3A">
        <w:rPr>
          <w:rtl/>
        </w:rPr>
        <w:t xml:space="preserve">פריסת השירותים הגיאוגרפית והמגזרית </w:t>
      </w:r>
      <w:r>
        <w:rPr>
          <w:rFonts w:hint="cs"/>
          <w:rtl/>
        </w:rPr>
        <w:t>לא תהיה</w:t>
      </w:r>
      <w:r w:rsidRPr="00C40F3A">
        <w:rPr>
          <w:rtl/>
        </w:rPr>
        <w:t xml:space="preserve"> אחידה, </w:t>
      </w:r>
      <w:r>
        <w:rPr>
          <w:rFonts w:hint="cs"/>
          <w:rtl/>
        </w:rPr>
        <w:t>קשה להגדיר</w:t>
      </w:r>
      <w:r w:rsidRPr="00C40F3A">
        <w:rPr>
          <w:rtl/>
        </w:rPr>
        <w:t xml:space="preserve"> סטנדרטים </w:t>
      </w:r>
      <w:r w:rsidRPr="00C40F3A">
        <w:rPr>
          <w:rFonts w:hint="eastAsia"/>
          <w:rtl/>
        </w:rPr>
        <w:t>ל</w:t>
      </w:r>
      <w:r w:rsidRPr="00C40F3A">
        <w:rPr>
          <w:rtl/>
        </w:rPr>
        <w:t xml:space="preserve">זמני ההמתנה. </w:t>
      </w:r>
    </w:p>
    <w:p w14:paraId="38B5080D" w14:textId="77777777" w:rsidR="00B51F5B" w:rsidRPr="00A25F49" w:rsidRDefault="00B51F5B" w:rsidP="00162B36">
      <w:pPr>
        <w:pStyle w:val="100"/>
        <w:rPr>
          <w:rtl/>
        </w:rPr>
      </w:pPr>
      <w:r>
        <w:rPr>
          <w:rFonts w:hint="cs"/>
          <w:rtl/>
        </w:rPr>
        <w:t xml:space="preserve">מכבי מסרה בתשובתה לממצאי הביקורת בדצמבר 2019 (להלן - תשובת מכבי) כי הוסיפה כוח אדם בתחום אולם לנוכח המחסור החמור בפסיכיאטרים קשה לקבוע זמני המתנה. </w:t>
      </w:r>
    </w:p>
    <w:p w14:paraId="43D08CC6" w14:textId="77777777" w:rsidR="00B51F5B" w:rsidRDefault="00B51F5B" w:rsidP="00162B36">
      <w:pPr>
        <w:pStyle w:val="af5"/>
        <w:rPr>
          <w:rtl/>
        </w:rPr>
      </w:pPr>
      <w:r>
        <w:rPr>
          <w:rFonts w:eastAsiaTheme="majorEastAsia" w:hint="cs"/>
          <w:rtl/>
        </w:rPr>
        <w:lastRenderedPageBreak/>
        <w:t xml:space="preserve">גם בהתחשב בעמדתם המקצועית והעניינית של קופות החולים ושל משרד האוצר, ראוי </w:t>
      </w:r>
      <w:r w:rsidRPr="00F02DDA">
        <w:rPr>
          <w:rFonts w:eastAsiaTheme="majorEastAsia" w:hint="cs"/>
          <w:rtl/>
        </w:rPr>
        <w:t>לה</w:t>
      </w:r>
      <w:r>
        <w:rPr>
          <w:rFonts w:eastAsiaTheme="majorEastAsia" w:hint="cs"/>
          <w:rtl/>
        </w:rPr>
        <w:t xml:space="preserve">ביא בחשבון את </w:t>
      </w:r>
      <w:r w:rsidRPr="00F02DDA">
        <w:rPr>
          <w:rFonts w:eastAsiaTheme="majorEastAsia" w:hint="cs"/>
          <w:rtl/>
        </w:rPr>
        <w:t xml:space="preserve">צורכי הציבור הנזקק לשירותי בריאות הנפש </w:t>
      </w:r>
      <w:r>
        <w:rPr>
          <w:rFonts w:eastAsiaTheme="majorEastAsia" w:hint="cs"/>
          <w:rtl/>
        </w:rPr>
        <w:t xml:space="preserve">ואת החשיבות בזמן המתנה סביר לקבלת השירות, ולאזן ביניהם לבין שאר </w:t>
      </w:r>
      <w:r w:rsidRPr="00F02DDA">
        <w:rPr>
          <w:rFonts w:eastAsiaTheme="majorEastAsia" w:hint="cs"/>
          <w:rtl/>
        </w:rPr>
        <w:t>תחומי הבריאות</w:t>
      </w:r>
      <w:r>
        <w:rPr>
          <w:rFonts w:eastAsiaTheme="majorEastAsia" w:hint="cs"/>
          <w:rtl/>
        </w:rPr>
        <w:t xml:space="preserve">. אף שיש תחומים חשובים ואף חורצי גורלות, שלא נקבעו עבורם זמני המתנה, ועל כן לכאורה, עלולים להיפגע בשל הצורך בעמידה בסטנדרטים שייקבעו עבור בריאות הנפש, אין לפסול את כוונת המשרד לקבוע סטנדרטים כאלו. הגדרת סטנדרטים למערך בריאות הנפש יכולה לשמש מצפן שאליו על מערכת הבריאות לכוון. </w:t>
      </w:r>
      <w:r w:rsidRPr="005D3DAA">
        <w:rPr>
          <w:rFonts w:eastAsiaTheme="majorEastAsia" w:hint="cs"/>
          <w:rtl/>
        </w:rPr>
        <w:t xml:space="preserve">זמני ההמתנה הארוכים מלמדים כי </w:t>
      </w:r>
      <w:r>
        <w:rPr>
          <w:rFonts w:eastAsiaTheme="majorEastAsia" w:hint="cs"/>
          <w:rtl/>
        </w:rPr>
        <w:t>קשה</w:t>
      </w:r>
      <w:r w:rsidRPr="005D3DAA">
        <w:rPr>
          <w:rFonts w:eastAsiaTheme="majorEastAsia" w:hint="cs"/>
          <w:rtl/>
        </w:rPr>
        <w:t xml:space="preserve"> להסתמך</w:t>
      </w:r>
      <w:r>
        <w:rPr>
          <w:rFonts w:eastAsiaTheme="majorEastAsia" w:hint="cs"/>
          <w:rtl/>
        </w:rPr>
        <w:t xml:space="preserve"> על מנגנוני הוויסו</w:t>
      </w:r>
      <w:r>
        <w:rPr>
          <w:rFonts w:eastAsiaTheme="majorEastAsia" w:hint="eastAsia"/>
          <w:rtl/>
        </w:rPr>
        <w:t>ת</w:t>
      </w:r>
      <w:r>
        <w:rPr>
          <w:rFonts w:eastAsiaTheme="majorEastAsia" w:hint="cs"/>
          <w:rtl/>
        </w:rPr>
        <w:t xml:space="preserve"> הפנימיים של ה</w:t>
      </w:r>
      <w:r w:rsidRPr="005D3DAA">
        <w:rPr>
          <w:rFonts w:eastAsiaTheme="majorEastAsia" w:hint="cs"/>
          <w:rtl/>
        </w:rPr>
        <w:t>קופות</w:t>
      </w:r>
      <w:r>
        <w:rPr>
          <w:rFonts w:eastAsiaTheme="majorEastAsia" w:hint="cs"/>
          <w:rtl/>
        </w:rPr>
        <w:t xml:space="preserve"> </w:t>
      </w:r>
      <w:r w:rsidRPr="005D3DAA">
        <w:rPr>
          <w:rFonts w:eastAsiaTheme="majorEastAsia" w:hint="cs"/>
          <w:rtl/>
        </w:rPr>
        <w:t>להקצאת המשאבים לתחום בריאות הנפש</w:t>
      </w:r>
      <w:r>
        <w:rPr>
          <w:rFonts w:eastAsiaTheme="majorEastAsia" w:hint="cs"/>
          <w:rtl/>
        </w:rPr>
        <w:t>.</w:t>
      </w:r>
      <w:r>
        <w:rPr>
          <w:rFonts w:hint="cs"/>
          <w:rtl/>
        </w:rPr>
        <w:t xml:space="preserve"> </w:t>
      </w:r>
    </w:p>
    <w:p w14:paraId="702D59FF" w14:textId="0E3D160C" w:rsidR="00B51F5B" w:rsidRPr="00162B36" w:rsidRDefault="00B51F5B" w:rsidP="00162B36">
      <w:pPr>
        <w:pStyle w:val="af5"/>
        <w:rPr>
          <w:b/>
          <w:rtl/>
        </w:rPr>
      </w:pPr>
      <w:r w:rsidRPr="00EB5060">
        <w:rPr>
          <w:rFonts w:eastAsiaTheme="majorEastAsia"/>
          <w:rtl/>
        </w:rPr>
        <w:t xml:space="preserve">על משרד הבריאות בשיתוף קופות החולים </w:t>
      </w:r>
      <w:r w:rsidRPr="00207421">
        <w:rPr>
          <w:rFonts w:eastAsiaTheme="majorEastAsia"/>
          <w:rtl/>
        </w:rPr>
        <w:t xml:space="preserve">להגדיר </w:t>
      </w:r>
      <w:r w:rsidRPr="00EB5060">
        <w:rPr>
          <w:rFonts w:eastAsiaTheme="majorEastAsia"/>
          <w:rtl/>
        </w:rPr>
        <w:t>את זמני ההמתנה שעל מערך שירותי בריאות הנפש לעמוד בהם ואת הדרכים לעמוד ביעדים הללו. לצורך כך ראוי שייקבעו יעדים הדרגתיים רב-שנתיים. כמו כן, על המשרד לבחון פרסום נתונים השוואתיים על אודות זמני ההמתנה בין הקופות כאמצעי לשיפור השירות. מדובר בפעולה שמערכת הבריאות כבר מורגלת בה ולמדה את יתרונותיה, דוגמת הסטנדרטים שקבע המשרד בשנת 2010 ברפואת שיניים</w:t>
      </w:r>
      <w:r w:rsidRPr="00FB175A">
        <w:rPr>
          <w:rStyle w:val="FootnoteReference"/>
          <w:rtl/>
        </w:rPr>
        <w:footnoteReference w:id="33"/>
      </w:r>
      <w:r w:rsidRPr="00FB175A">
        <w:rPr>
          <w:rFonts w:eastAsiaTheme="majorEastAsia"/>
          <w:rtl/>
        </w:rPr>
        <w:t>.</w:t>
      </w:r>
      <w:r w:rsidRPr="00EB5060">
        <w:rPr>
          <w:rFonts w:eastAsiaTheme="majorEastAsia"/>
          <w:rtl/>
        </w:rPr>
        <w:t xml:space="preserve"> הדבר חיוני בעיקר בתחום בריאות הנפש מאחר שישנם מטופלים המתקשים לעיתים לעמוד על זכויותיהם החוקיות בשל מצבם הנפשי.</w:t>
      </w:r>
    </w:p>
    <w:p w14:paraId="16E290A3" w14:textId="77777777" w:rsidR="00B51F5B" w:rsidRDefault="00B51F5B" w:rsidP="00162B36">
      <w:pPr>
        <w:pStyle w:val="5115"/>
        <w:rPr>
          <w:rtl/>
        </w:rPr>
      </w:pPr>
      <w:r>
        <w:rPr>
          <w:rFonts w:hint="cs"/>
          <w:rtl/>
        </w:rPr>
        <w:t>פרסום מידע לציבור על אודות זמני ההמתנה לקבלת טיפול במערך בריאות הנפש</w:t>
      </w:r>
    </w:p>
    <w:p w14:paraId="28F86C8F" w14:textId="77777777" w:rsidR="00B51F5B" w:rsidRDefault="00B51F5B" w:rsidP="00162B36">
      <w:pPr>
        <w:pStyle w:val="100"/>
        <w:rPr>
          <w:rtl/>
        </w:rPr>
      </w:pPr>
      <w:r w:rsidRPr="00FA756B">
        <w:rPr>
          <w:rFonts w:hint="cs"/>
          <w:rtl/>
        </w:rPr>
        <w:t>מתן מידע ל</w:t>
      </w:r>
      <w:r>
        <w:rPr>
          <w:rFonts w:hint="cs"/>
          <w:rtl/>
        </w:rPr>
        <w:t>ציבור על אודות זמני ההמתנה לקבלת טיפול הוא חיוני לצורך איתור הגורם המטפל הזמין והמתאים ביותר. הדבר נכון בעיקר בתחום בריאות הנפש, המאופיין במטופלים המתקשים לעיתים עקב מצבם הנפשי לאתר את הגורם המטפל ולעמוד על זכויותיהם. לכן על קופות החולים לתת מידע נגיש וברור בתחום זה. הדבר עשוי גם לשפר את השירות לאזרח בזכות התחרות שנוצרת בין הקופות אגב שקיפות המידע.</w:t>
      </w:r>
    </w:p>
    <w:p w14:paraId="2F6E220C" w14:textId="77777777" w:rsidR="00B51F5B" w:rsidRDefault="00B51F5B" w:rsidP="00162B36">
      <w:pPr>
        <w:pStyle w:val="100"/>
        <w:rPr>
          <w:rtl/>
        </w:rPr>
      </w:pPr>
      <w:r>
        <w:rPr>
          <w:rFonts w:hint="cs"/>
          <w:rtl/>
        </w:rPr>
        <w:t xml:space="preserve">לפני כניסת הרפורמה לתוקף נקבעו התורים </w:t>
      </w:r>
      <w:r w:rsidRPr="00E0346F">
        <w:rPr>
          <w:rtl/>
        </w:rPr>
        <w:t xml:space="preserve">לשירותי בריאות הנפש </w:t>
      </w:r>
      <w:r>
        <w:rPr>
          <w:rFonts w:hint="cs"/>
          <w:rtl/>
        </w:rPr>
        <w:t xml:space="preserve">ישירות מול כל אחת מהמרפאות, ולציבור </w:t>
      </w:r>
      <w:r w:rsidRPr="00E0346F">
        <w:rPr>
          <w:rtl/>
        </w:rPr>
        <w:t>לא הי</w:t>
      </w:r>
      <w:r>
        <w:rPr>
          <w:rFonts w:hint="cs"/>
          <w:rtl/>
        </w:rPr>
        <w:t>ית</w:t>
      </w:r>
      <w:r w:rsidRPr="00E0346F">
        <w:rPr>
          <w:rtl/>
        </w:rPr>
        <w:t xml:space="preserve">ה </w:t>
      </w:r>
      <w:r>
        <w:rPr>
          <w:rFonts w:hint="cs"/>
          <w:rtl/>
        </w:rPr>
        <w:t xml:space="preserve">אפשרות לקבל </w:t>
      </w:r>
      <w:r w:rsidRPr="00E0346F">
        <w:rPr>
          <w:rtl/>
        </w:rPr>
        <w:t xml:space="preserve">מידע </w:t>
      </w:r>
      <w:r>
        <w:rPr>
          <w:rFonts w:hint="cs"/>
          <w:rtl/>
        </w:rPr>
        <w:t>על</w:t>
      </w:r>
      <w:r w:rsidRPr="00E0346F">
        <w:rPr>
          <w:rtl/>
        </w:rPr>
        <w:t xml:space="preserve"> זמני ההמתנה </w:t>
      </w:r>
      <w:r>
        <w:rPr>
          <w:rFonts w:hint="cs"/>
          <w:rtl/>
        </w:rPr>
        <w:t xml:space="preserve">לשירותים </w:t>
      </w:r>
      <w:r w:rsidRPr="00E0346F">
        <w:rPr>
          <w:rtl/>
        </w:rPr>
        <w:t>במרפאות הציבוריות</w:t>
      </w:r>
      <w:r w:rsidRPr="00E0346F">
        <w:rPr>
          <w:rFonts w:hint="cs"/>
          <w:rtl/>
        </w:rPr>
        <w:t>.</w:t>
      </w:r>
      <w:r>
        <w:rPr>
          <w:rFonts w:hint="cs"/>
          <w:rtl/>
        </w:rPr>
        <w:t xml:space="preserve"> בעקבות הרפורמה חלו שינויים בתחום זה: </w:t>
      </w:r>
    </w:p>
    <w:p w14:paraId="01DAAD0A" w14:textId="77777777" w:rsidR="00B51F5B" w:rsidRDefault="00B51F5B" w:rsidP="00162B36">
      <w:pPr>
        <w:pStyle w:val="100"/>
        <w:rPr>
          <w:rtl/>
        </w:rPr>
      </w:pPr>
      <w:r>
        <w:rPr>
          <w:rFonts w:hint="cs"/>
          <w:rtl/>
        </w:rPr>
        <w:t>ניתן לקבוע תור לאבחון, לטיפול פסיכיאטרי ולטיפול פסיכותרפי המבוצעים במרפאות קופות החולים באחת הדרכים האלה: במוקדי זימון התורים של הקופות, באתרי האינטרנט או ישירות במרפאת בריאות הנפש של הקופות; אצל ספקי השירות - במרפאות הממשלתיות ובעמותות; אצל מטפלים עצמאיים ישירות מולם. לא עומדת לרשות המטופלים מערכת מידע מרכזית המתממשקת למערכות ניהול התורים של הקופות, שיכולה לספק מידע על כלל התורים, ושתאפשר למצוא את התור הזמין והמתאים ביותר עבורם, ולכן הם נדרשים לבדוק באופן פרטני מול כל גורם את זמינות התורים.</w:t>
      </w:r>
    </w:p>
    <w:p w14:paraId="018A3EA1" w14:textId="77777777" w:rsidR="00B51F5B" w:rsidRDefault="00B51F5B" w:rsidP="00162B36">
      <w:pPr>
        <w:pStyle w:val="100"/>
        <w:rPr>
          <w:rtl/>
        </w:rPr>
      </w:pPr>
      <w:r>
        <w:rPr>
          <w:rFonts w:hint="cs"/>
          <w:rtl/>
        </w:rPr>
        <w:lastRenderedPageBreak/>
        <w:t xml:space="preserve">משרד הבריאות פרסם באתר האינטרנט שלו את רשימת המרפאות בתחום בריאות הנפש וכן מידע על אודות </w:t>
      </w:r>
      <w:r w:rsidRPr="005A574B">
        <w:rPr>
          <w:rtl/>
        </w:rPr>
        <w:t>השירותים שניתנים בה</w:t>
      </w:r>
      <w:r>
        <w:rPr>
          <w:rFonts w:hint="cs"/>
          <w:rtl/>
        </w:rPr>
        <w:t>ן,</w:t>
      </w:r>
      <w:r w:rsidRPr="005A574B">
        <w:rPr>
          <w:rtl/>
        </w:rPr>
        <w:t xml:space="preserve"> </w:t>
      </w:r>
      <w:r>
        <w:rPr>
          <w:rFonts w:hint="cs"/>
          <w:rtl/>
        </w:rPr>
        <w:t>זמני</w:t>
      </w:r>
      <w:r w:rsidRPr="005A574B">
        <w:rPr>
          <w:rtl/>
        </w:rPr>
        <w:t xml:space="preserve"> ההמתנה הממוצע</w:t>
      </w:r>
      <w:r>
        <w:rPr>
          <w:rFonts w:hint="cs"/>
          <w:rtl/>
        </w:rPr>
        <w:t>ים</w:t>
      </w:r>
      <w:r w:rsidRPr="005A574B">
        <w:rPr>
          <w:rtl/>
        </w:rPr>
        <w:t xml:space="preserve"> </w:t>
      </w:r>
      <w:r>
        <w:rPr>
          <w:rFonts w:hint="cs"/>
          <w:rtl/>
        </w:rPr>
        <w:t xml:space="preserve">לאבחון, </w:t>
      </w:r>
      <w:r w:rsidRPr="005A574B">
        <w:rPr>
          <w:rtl/>
        </w:rPr>
        <w:t xml:space="preserve">למעקב </w:t>
      </w:r>
      <w:r>
        <w:rPr>
          <w:rFonts w:hint="cs"/>
          <w:rtl/>
        </w:rPr>
        <w:t>פסיכיאטרי</w:t>
      </w:r>
      <w:r w:rsidRPr="005A574B">
        <w:rPr>
          <w:rtl/>
        </w:rPr>
        <w:t xml:space="preserve"> ולטיפול פסיכותרפי</w:t>
      </w:r>
      <w:r>
        <w:rPr>
          <w:rFonts w:hint="cs"/>
          <w:rtl/>
        </w:rPr>
        <w:t>.</w:t>
      </w:r>
      <w:r w:rsidRPr="005A574B">
        <w:t> </w:t>
      </w:r>
      <w:r w:rsidRPr="005A574B">
        <w:rPr>
          <w:rtl/>
        </w:rPr>
        <w:t>הנתונים נאספו בשיתוף פעולה עם קופות החולים ו</w:t>
      </w:r>
      <w:r>
        <w:rPr>
          <w:rFonts w:hint="cs"/>
          <w:rtl/>
        </w:rPr>
        <w:t xml:space="preserve">עם </w:t>
      </w:r>
      <w:r w:rsidRPr="005A574B">
        <w:rPr>
          <w:rtl/>
        </w:rPr>
        <w:t>בתי החולים</w:t>
      </w:r>
      <w:r w:rsidRPr="005A574B">
        <w:rPr>
          <w:rFonts w:hint="cs"/>
          <w:rtl/>
        </w:rPr>
        <w:t>,</w:t>
      </w:r>
      <w:r w:rsidRPr="005A574B">
        <w:rPr>
          <w:rtl/>
        </w:rPr>
        <w:t xml:space="preserve"> </w:t>
      </w:r>
      <w:r>
        <w:rPr>
          <w:rFonts w:hint="cs"/>
          <w:rtl/>
        </w:rPr>
        <w:t xml:space="preserve">והם </w:t>
      </w:r>
      <w:r w:rsidRPr="005A574B">
        <w:rPr>
          <w:rFonts w:hint="cs"/>
          <w:rtl/>
        </w:rPr>
        <w:t xml:space="preserve">מעודכנים </w:t>
      </w:r>
      <w:r>
        <w:rPr>
          <w:rFonts w:hint="cs"/>
          <w:rtl/>
        </w:rPr>
        <w:t xml:space="preserve">לחודשים </w:t>
      </w:r>
      <w:r w:rsidRPr="005A574B">
        <w:rPr>
          <w:rtl/>
        </w:rPr>
        <w:t xml:space="preserve">ינואר-פברואר 2018 ומשקפים הערכה </w:t>
      </w:r>
      <w:r>
        <w:rPr>
          <w:rFonts w:hint="cs"/>
          <w:rtl/>
        </w:rPr>
        <w:t>ל</w:t>
      </w:r>
      <w:r w:rsidRPr="005A574B">
        <w:rPr>
          <w:rtl/>
        </w:rPr>
        <w:t>זמן</w:t>
      </w:r>
      <w:r>
        <w:rPr>
          <w:rFonts w:hint="cs"/>
          <w:rtl/>
        </w:rPr>
        <w:t xml:space="preserve"> המתנה ממוצע</w:t>
      </w:r>
      <w:r w:rsidRPr="005A574B">
        <w:rPr>
          <w:rtl/>
        </w:rPr>
        <w:t xml:space="preserve"> לטיפול.</w:t>
      </w:r>
      <w:r>
        <w:rPr>
          <w:rtl/>
        </w:rPr>
        <w:t xml:space="preserve"> </w:t>
      </w:r>
    </w:p>
    <w:p w14:paraId="7718402F" w14:textId="77777777" w:rsidR="00B51F5B" w:rsidRDefault="00B51F5B" w:rsidP="00162B36">
      <w:pPr>
        <w:pStyle w:val="100"/>
        <w:rPr>
          <w:rtl/>
        </w:rPr>
      </w:pPr>
      <w:r>
        <w:rPr>
          <w:rFonts w:hint="cs"/>
          <w:rtl/>
        </w:rPr>
        <w:t xml:space="preserve">משרד הבריאות מסר בתשובתו כי הוא </w:t>
      </w:r>
      <w:r>
        <w:rPr>
          <w:rtl/>
        </w:rPr>
        <w:t xml:space="preserve">פועל למציאת מתכונת לשיתוף יומנים של כלל ספקי קופות החולים בכלל המקצועות הרפואיים </w:t>
      </w:r>
      <w:r>
        <w:rPr>
          <w:rFonts w:hint="cs"/>
          <w:rtl/>
        </w:rPr>
        <w:t>כדי</w:t>
      </w:r>
      <w:r>
        <w:rPr>
          <w:rtl/>
        </w:rPr>
        <w:t xml:space="preserve"> לייעל את אופן קביעת התורים ו</w:t>
      </w:r>
      <w:r>
        <w:rPr>
          <w:rFonts w:hint="cs"/>
          <w:rtl/>
        </w:rPr>
        <w:t xml:space="preserve">כדי </w:t>
      </w:r>
      <w:r>
        <w:rPr>
          <w:rtl/>
        </w:rPr>
        <w:t>לטייב את מדידת זמני ההמתנה</w:t>
      </w:r>
      <w:r w:rsidRPr="00BC1B76">
        <w:rPr>
          <w:rtl/>
        </w:rPr>
        <w:t xml:space="preserve"> </w:t>
      </w:r>
      <w:r>
        <w:rPr>
          <w:rFonts w:hint="cs"/>
          <w:rtl/>
        </w:rPr>
        <w:t>בהתאם</w:t>
      </w:r>
      <w:r w:rsidRPr="00BC1B76">
        <w:rPr>
          <w:rtl/>
        </w:rPr>
        <w:t xml:space="preserve"> לסדרי העדיפויות והמשאבים</w:t>
      </w:r>
      <w:r>
        <w:rPr>
          <w:rtl/>
        </w:rPr>
        <w:t xml:space="preserve">. </w:t>
      </w:r>
      <w:r>
        <w:rPr>
          <w:rFonts w:hint="cs"/>
          <w:rtl/>
        </w:rPr>
        <w:t>ניסיונו</w:t>
      </w:r>
      <w:r>
        <w:rPr>
          <w:rtl/>
        </w:rPr>
        <w:t xml:space="preserve"> בעבר ליזום עדכונים שוטפים </w:t>
      </w:r>
      <w:r>
        <w:rPr>
          <w:rFonts w:hint="cs"/>
          <w:rtl/>
        </w:rPr>
        <w:t>בנושא</w:t>
      </w:r>
      <w:r>
        <w:rPr>
          <w:rtl/>
        </w:rPr>
        <w:t xml:space="preserve"> </w:t>
      </w:r>
      <w:r>
        <w:rPr>
          <w:rFonts w:hint="cs"/>
          <w:rtl/>
        </w:rPr>
        <w:t xml:space="preserve">זמני </w:t>
      </w:r>
      <w:r>
        <w:rPr>
          <w:rtl/>
        </w:rPr>
        <w:t xml:space="preserve">ההמתנה לא </w:t>
      </w:r>
      <w:r>
        <w:rPr>
          <w:rFonts w:hint="cs"/>
          <w:rtl/>
        </w:rPr>
        <w:t>זכה ל</w:t>
      </w:r>
      <w:r>
        <w:rPr>
          <w:rtl/>
        </w:rPr>
        <w:t>היענות גבוהה מצד הקופות</w:t>
      </w:r>
      <w:r>
        <w:rPr>
          <w:rFonts w:hint="cs"/>
          <w:rtl/>
        </w:rPr>
        <w:t>, אף שבאחריותן</w:t>
      </w:r>
      <w:r>
        <w:rPr>
          <w:rtl/>
        </w:rPr>
        <w:t xml:space="preserve"> לעקוב</w:t>
      </w:r>
      <w:r>
        <w:rPr>
          <w:rFonts w:hint="cs"/>
          <w:rtl/>
        </w:rPr>
        <w:t xml:space="preserve"> אחר התורים</w:t>
      </w:r>
      <w:r>
        <w:rPr>
          <w:rtl/>
        </w:rPr>
        <w:t xml:space="preserve"> ולווסת</w:t>
      </w:r>
      <w:r>
        <w:rPr>
          <w:rFonts w:hint="cs"/>
          <w:rtl/>
        </w:rPr>
        <w:t>ם</w:t>
      </w:r>
      <w:r>
        <w:rPr>
          <w:rtl/>
        </w:rPr>
        <w:t xml:space="preserve"> בין ספקי</w:t>
      </w:r>
      <w:r>
        <w:rPr>
          <w:rFonts w:hint="cs"/>
          <w:rtl/>
        </w:rPr>
        <w:t xml:space="preserve"> השירות. </w:t>
      </w:r>
    </w:p>
    <w:p w14:paraId="1327F1A2" w14:textId="77777777" w:rsidR="00B51F5B" w:rsidRPr="006E394E" w:rsidRDefault="00B51F5B" w:rsidP="00162B36">
      <w:pPr>
        <w:pStyle w:val="100"/>
        <w:rPr>
          <w:rtl/>
        </w:rPr>
      </w:pPr>
      <w:r>
        <w:rPr>
          <w:rFonts w:hint="cs"/>
          <w:rtl/>
        </w:rPr>
        <w:t>מכבי מסרה בתשובתה כי בשל אופי הטיפול הפסיכותרפי קיים קושי מובנה לעדכן מהם זמני ההמתנה, זאת בניגוד ליתר תחומי הרפואה.</w:t>
      </w:r>
    </w:p>
    <w:p w14:paraId="4AD67439" w14:textId="77777777" w:rsidR="00B51F5B" w:rsidRPr="00CA2C07" w:rsidRDefault="00B51F5B" w:rsidP="00162B36">
      <w:pPr>
        <w:pStyle w:val="af5"/>
        <w:rPr>
          <w:u w:val="single"/>
          <w:rtl/>
        </w:rPr>
      </w:pPr>
      <w:r w:rsidRPr="00AE3145">
        <w:rPr>
          <w:rFonts w:hint="eastAsia"/>
          <w:rtl/>
        </w:rPr>
        <w:t>אף</w:t>
      </w:r>
      <w:r w:rsidRPr="00AE3145">
        <w:rPr>
          <w:rtl/>
        </w:rPr>
        <w:t xml:space="preserve"> </w:t>
      </w:r>
      <w:r w:rsidRPr="00AE3145">
        <w:rPr>
          <w:rFonts w:hint="eastAsia"/>
          <w:rtl/>
        </w:rPr>
        <w:t>שפרסום</w:t>
      </w:r>
      <w:r w:rsidRPr="00AE3145">
        <w:rPr>
          <w:rtl/>
        </w:rPr>
        <w:t xml:space="preserve"> </w:t>
      </w:r>
      <w:r w:rsidRPr="00AE3145">
        <w:rPr>
          <w:rFonts w:hint="eastAsia"/>
          <w:rtl/>
        </w:rPr>
        <w:t>המידע</w:t>
      </w:r>
      <w:r w:rsidRPr="00AE3145">
        <w:rPr>
          <w:rtl/>
        </w:rPr>
        <w:t xml:space="preserve"> </w:t>
      </w:r>
      <w:r w:rsidRPr="00AE3145">
        <w:rPr>
          <w:rFonts w:hint="eastAsia"/>
          <w:rtl/>
        </w:rPr>
        <w:t>באינטרנט</w:t>
      </w:r>
      <w:r w:rsidRPr="00AE3145">
        <w:rPr>
          <w:rtl/>
        </w:rPr>
        <w:t xml:space="preserve"> </w:t>
      </w:r>
      <w:r w:rsidRPr="00AE3145">
        <w:rPr>
          <w:rFonts w:hint="eastAsia"/>
          <w:rtl/>
        </w:rPr>
        <w:t>הוא</w:t>
      </w:r>
      <w:r w:rsidRPr="00AE3145">
        <w:rPr>
          <w:rtl/>
        </w:rPr>
        <w:t xml:space="preserve"> צעד חיובי </w:t>
      </w:r>
      <w:r>
        <w:rPr>
          <w:rFonts w:hint="cs"/>
          <w:rtl/>
        </w:rPr>
        <w:t>שעשוי</w:t>
      </w:r>
      <w:r w:rsidRPr="00AE3145">
        <w:rPr>
          <w:rtl/>
        </w:rPr>
        <w:t xml:space="preserve"> להביא לשקיפות כלפי הציבור ולשפר את השירות לאזרח, יש מרפאות </w:t>
      </w:r>
      <w:r>
        <w:rPr>
          <w:rFonts w:hint="cs"/>
          <w:rtl/>
        </w:rPr>
        <w:t xml:space="preserve">שאינן מפרסמות את המידע על </w:t>
      </w:r>
      <w:r w:rsidRPr="00AE3145">
        <w:rPr>
          <w:rFonts w:hint="eastAsia"/>
          <w:rtl/>
        </w:rPr>
        <w:t>אודות</w:t>
      </w:r>
      <w:r w:rsidRPr="00AE3145">
        <w:rPr>
          <w:rtl/>
        </w:rPr>
        <w:t xml:space="preserve"> </w:t>
      </w:r>
      <w:r w:rsidRPr="00AE3145">
        <w:rPr>
          <w:rFonts w:hint="eastAsia"/>
          <w:rtl/>
        </w:rPr>
        <w:t>זמן</w:t>
      </w:r>
      <w:r w:rsidRPr="00AE3145">
        <w:rPr>
          <w:rtl/>
        </w:rPr>
        <w:t xml:space="preserve"> </w:t>
      </w:r>
      <w:r w:rsidRPr="00AE3145">
        <w:rPr>
          <w:rFonts w:hint="eastAsia"/>
          <w:rtl/>
        </w:rPr>
        <w:t>ההמתנה</w:t>
      </w:r>
      <w:r>
        <w:rPr>
          <w:rFonts w:hint="cs"/>
          <w:rtl/>
        </w:rPr>
        <w:t xml:space="preserve"> המוערך.</w:t>
      </w:r>
      <w:r w:rsidRPr="00AE3145">
        <w:rPr>
          <w:rtl/>
        </w:rPr>
        <w:t xml:space="preserve"> </w:t>
      </w:r>
      <w:r w:rsidRPr="00AE3145">
        <w:rPr>
          <w:rFonts w:hint="eastAsia"/>
          <w:rtl/>
        </w:rPr>
        <w:t>יתרה</w:t>
      </w:r>
      <w:r w:rsidRPr="00AE3145">
        <w:rPr>
          <w:rtl/>
        </w:rPr>
        <w:t xml:space="preserve"> </w:t>
      </w:r>
      <w:r w:rsidRPr="00AE3145">
        <w:rPr>
          <w:rFonts w:hint="eastAsia"/>
          <w:rtl/>
        </w:rPr>
        <w:t>מכך</w:t>
      </w:r>
      <w:r>
        <w:rPr>
          <w:rFonts w:hint="cs"/>
          <w:rtl/>
        </w:rPr>
        <w:t>,</w:t>
      </w:r>
      <w:r w:rsidRPr="00AE3145">
        <w:rPr>
          <w:rtl/>
        </w:rPr>
        <w:t xml:space="preserve"> </w:t>
      </w:r>
      <w:r w:rsidRPr="00AE3145">
        <w:rPr>
          <w:rFonts w:hint="eastAsia"/>
          <w:rtl/>
        </w:rPr>
        <w:t>הרשימה</w:t>
      </w:r>
      <w:r w:rsidRPr="00AE3145">
        <w:rPr>
          <w:rtl/>
        </w:rPr>
        <w:t xml:space="preserve"> </w:t>
      </w:r>
      <w:r w:rsidRPr="00AE3145">
        <w:rPr>
          <w:rFonts w:hint="eastAsia"/>
          <w:rtl/>
        </w:rPr>
        <w:t>באתר</w:t>
      </w:r>
      <w:r w:rsidRPr="00AE3145">
        <w:rPr>
          <w:rtl/>
        </w:rPr>
        <w:t xml:space="preserve"> משרד הבריאות </w:t>
      </w:r>
      <w:r w:rsidRPr="00AE3145">
        <w:rPr>
          <w:rFonts w:hint="eastAsia"/>
          <w:rtl/>
        </w:rPr>
        <w:t>לא</w:t>
      </w:r>
      <w:r w:rsidRPr="00AE3145">
        <w:rPr>
          <w:rtl/>
        </w:rPr>
        <w:t xml:space="preserve"> עודכנה מאז </w:t>
      </w:r>
      <w:r w:rsidRPr="00AE3145">
        <w:rPr>
          <w:rFonts w:hint="cs"/>
          <w:rtl/>
        </w:rPr>
        <w:t>פרסומה</w:t>
      </w:r>
      <w:r>
        <w:rPr>
          <w:rFonts w:hint="cs"/>
          <w:rtl/>
        </w:rPr>
        <w:t>,</w:t>
      </w:r>
      <w:r w:rsidRPr="00AE3145">
        <w:rPr>
          <w:rtl/>
        </w:rPr>
        <w:t xml:space="preserve"> והיא נכונה לתחילת שנת 2018. </w:t>
      </w:r>
    </w:p>
    <w:p w14:paraId="3FE9BE5C" w14:textId="77777777" w:rsidR="00B51F5B" w:rsidRPr="00B27640" w:rsidRDefault="00B51F5B" w:rsidP="00162B36">
      <w:pPr>
        <w:pStyle w:val="af5"/>
        <w:rPr>
          <w:rtl/>
        </w:rPr>
      </w:pPr>
      <w:r>
        <w:rPr>
          <w:rFonts w:hint="cs"/>
          <w:rtl/>
        </w:rPr>
        <w:t xml:space="preserve">משרד מבקר המדינה מעיר לקופות החולים ולמשרד הבריאות כי במתכונת המופעלת כיום, הציבור אינו יכול לקבל מידע מרוכז, ממוקד ומלא </w:t>
      </w:r>
      <w:r w:rsidRPr="00B27640">
        <w:rPr>
          <w:rFonts w:hint="cs"/>
          <w:rtl/>
        </w:rPr>
        <w:t>ב</w:t>
      </w:r>
      <w:r>
        <w:rPr>
          <w:rFonts w:hint="cs"/>
          <w:rtl/>
        </w:rPr>
        <w:t>דבר</w:t>
      </w:r>
      <w:r w:rsidRPr="00B27640">
        <w:rPr>
          <w:rFonts w:hint="cs"/>
          <w:rtl/>
        </w:rPr>
        <w:t xml:space="preserve"> זמינות התורים לטיפול המתאים ביותר</w:t>
      </w:r>
      <w:r>
        <w:rPr>
          <w:rFonts w:hint="cs"/>
          <w:rtl/>
        </w:rPr>
        <w:t>,</w:t>
      </w:r>
      <w:r w:rsidRPr="00B27640">
        <w:rPr>
          <w:rFonts w:hint="cs"/>
          <w:rtl/>
        </w:rPr>
        <w:t xml:space="preserve"> בכלל </w:t>
      </w:r>
      <w:r>
        <w:rPr>
          <w:rFonts w:hint="cs"/>
          <w:rtl/>
        </w:rPr>
        <w:t>ה</w:t>
      </w:r>
      <w:r w:rsidRPr="00B27640">
        <w:rPr>
          <w:rFonts w:hint="cs"/>
          <w:rtl/>
        </w:rPr>
        <w:t xml:space="preserve">מסגרות </w:t>
      </w:r>
      <w:r>
        <w:rPr>
          <w:rFonts w:hint="cs"/>
          <w:rtl/>
        </w:rPr>
        <w:t xml:space="preserve">לרבות אצל ספקי </w:t>
      </w:r>
      <w:r w:rsidRPr="00B27640">
        <w:rPr>
          <w:rFonts w:hint="cs"/>
          <w:rtl/>
        </w:rPr>
        <w:t xml:space="preserve">השירות. </w:t>
      </w:r>
      <w:r>
        <w:rPr>
          <w:rFonts w:hint="cs"/>
          <w:rtl/>
        </w:rPr>
        <w:t xml:space="preserve">לפיכך נדרשים </w:t>
      </w:r>
      <w:r w:rsidRPr="00B27640">
        <w:rPr>
          <w:rFonts w:hint="cs"/>
          <w:rtl/>
        </w:rPr>
        <w:t>המטופלים לפנות</w:t>
      </w:r>
      <w:r>
        <w:rPr>
          <w:rFonts w:hint="cs"/>
          <w:rtl/>
        </w:rPr>
        <w:t xml:space="preserve"> בעת ובעונה אחת</w:t>
      </w:r>
      <w:r w:rsidRPr="00B27640">
        <w:rPr>
          <w:rFonts w:hint="cs"/>
          <w:rtl/>
        </w:rPr>
        <w:t xml:space="preserve"> ל</w:t>
      </w:r>
      <w:r>
        <w:rPr>
          <w:rFonts w:hint="cs"/>
          <w:rtl/>
        </w:rPr>
        <w:t xml:space="preserve">כמה </w:t>
      </w:r>
      <w:r w:rsidRPr="00B27640">
        <w:rPr>
          <w:rFonts w:hint="cs"/>
          <w:rtl/>
        </w:rPr>
        <w:t>נותני שירות</w:t>
      </w:r>
      <w:r>
        <w:rPr>
          <w:rFonts w:hint="cs"/>
          <w:rtl/>
        </w:rPr>
        <w:t>ים</w:t>
      </w:r>
      <w:r w:rsidRPr="00B27640">
        <w:rPr>
          <w:rFonts w:hint="cs"/>
          <w:rtl/>
        </w:rPr>
        <w:t xml:space="preserve"> </w:t>
      </w:r>
      <w:r>
        <w:rPr>
          <w:rFonts w:hint="cs"/>
          <w:rtl/>
        </w:rPr>
        <w:t>כדי לאתר את המענה ההולם ביותר לצרכיהם</w:t>
      </w:r>
      <w:r w:rsidRPr="00B27640">
        <w:rPr>
          <w:rFonts w:hint="cs"/>
          <w:rtl/>
        </w:rPr>
        <w:t xml:space="preserve">. </w:t>
      </w:r>
      <w:r>
        <w:rPr>
          <w:rFonts w:hint="cs"/>
          <w:rtl/>
        </w:rPr>
        <w:t xml:space="preserve">קושי זה מתחדד לנוכח העובדה שמדובר בתחום רגיש ובמטופלים הנתונים לא פעם במצוקה. </w:t>
      </w:r>
    </w:p>
    <w:p w14:paraId="75B92CF3" w14:textId="143B7F69" w:rsidR="00B51F5B" w:rsidRPr="00162B36" w:rsidRDefault="00B51F5B" w:rsidP="00162B36">
      <w:pPr>
        <w:pStyle w:val="af5"/>
        <w:rPr>
          <w:rFonts w:eastAsiaTheme="majorEastAsia"/>
          <w:szCs w:val="26"/>
          <w:rtl/>
        </w:rPr>
      </w:pPr>
      <w:r w:rsidRPr="00C73E8A">
        <w:rPr>
          <w:rFonts w:hint="cs"/>
          <w:rtl/>
        </w:rPr>
        <w:t>על קופות החולים ל</w:t>
      </w:r>
      <w:r>
        <w:rPr>
          <w:rFonts w:hint="cs"/>
          <w:rtl/>
        </w:rPr>
        <w:t xml:space="preserve">שקול להסדיר מנגנון שיאפשר להציג לציבור </w:t>
      </w:r>
      <w:r w:rsidRPr="00C73E8A">
        <w:rPr>
          <w:rFonts w:hint="cs"/>
          <w:rtl/>
        </w:rPr>
        <w:t xml:space="preserve">מידע מעודכן </w:t>
      </w:r>
      <w:r>
        <w:rPr>
          <w:rFonts w:hint="cs"/>
          <w:rtl/>
        </w:rPr>
        <w:t>בדבר</w:t>
      </w:r>
      <w:r w:rsidRPr="00C73E8A">
        <w:rPr>
          <w:rFonts w:hint="cs"/>
          <w:rtl/>
        </w:rPr>
        <w:t xml:space="preserve"> זמני ההמתנה </w:t>
      </w:r>
      <w:r>
        <w:rPr>
          <w:rFonts w:hint="cs"/>
          <w:rtl/>
        </w:rPr>
        <w:t xml:space="preserve">בתחום </w:t>
      </w:r>
      <w:r w:rsidRPr="00C73E8A">
        <w:rPr>
          <w:rFonts w:hint="cs"/>
          <w:rtl/>
        </w:rPr>
        <w:t>בריאות הנפש במ</w:t>
      </w:r>
      <w:r>
        <w:rPr>
          <w:rFonts w:hint="cs"/>
          <w:rtl/>
        </w:rPr>
        <w:t>כלול</w:t>
      </w:r>
      <w:r w:rsidRPr="00C73E8A">
        <w:rPr>
          <w:rFonts w:hint="cs"/>
          <w:rtl/>
        </w:rPr>
        <w:t xml:space="preserve"> מסגרות השירו</w:t>
      </w:r>
      <w:r>
        <w:rPr>
          <w:rFonts w:hint="cs"/>
          <w:rtl/>
        </w:rPr>
        <w:t xml:space="preserve">ת, תוך כדי הסדרת ממשק ביניהן לבין ספקי השירות ולפרסמם באתריהן. ראוי גם שישקלו פעולה משותפת עם </w:t>
      </w:r>
      <w:r w:rsidRPr="00C73E8A">
        <w:rPr>
          <w:rFonts w:hint="cs"/>
          <w:rtl/>
        </w:rPr>
        <w:t xml:space="preserve">משרד הבריאות </w:t>
      </w:r>
      <w:r>
        <w:rPr>
          <w:rFonts w:hint="cs"/>
          <w:rtl/>
        </w:rPr>
        <w:t>כדי שהמידע יפורסם באופן כלל-ארצי, כפי שכבר נעשה לגבי פרסום</w:t>
      </w:r>
      <w:r w:rsidDel="001708B7">
        <w:rPr>
          <w:rFonts w:hint="cs"/>
          <w:rtl/>
        </w:rPr>
        <w:t xml:space="preserve"> </w:t>
      </w:r>
      <w:r>
        <w:rPr>
          <w:rFonts w:hint="cs"/>
          <w:rtl/>
        </w:rPr>
        <w:t xml:space="preserve">זמני ההמתנה </w:t>
      </w:r>
      <w:r w:rsidRPr="00C73E8A">
        <w:rPr>
          <w:rFonts w:hint="cs"/>
          <w:rtl/>
        </w:rPr>
        <w:t>באמצעות המערכת למדידת תורי המתנה לר</w:t>
      </w:r>
      <w:r>
        <w:rPr>
          <w:rFonts w:hint="cs"/>
          <w:rtl/>
        </w:rPr>
        <w:t>ופאים יועצים בכמה</w:t>
      </w:r>
      <w:r w:rsidRPr="00C73E8A">
        <w:rPr>
          <w:rFonts w:hint="cs"/>
          <w:rtl/>
        </w:rPr>
        <w:t xml:space="preserve"> תחומים</w:t>
      </w:r>
      <w:r w:rsidRPr="00F8316F">
        <w:rPr>
          <w:rStyle w:val="FootnoteReference"/>
          <w:rtl/>
        </w:rPr>
        <w:footnoteReference w:id="34"/>
      </w:r>
      <w:r w:rsidRPr="00F8316F">
        <w:rPr>
          <w:rFonts w:hint="cs"/>
          <w:rtl/>
        </w:rPr>
        <w:t>.</w:t>
      </w:r>
    </w:p>
    <w:p w14:paraId="5BFE51B9" w14:textId="77777777" w:rsidR="00B51F5B" w:rsidRDefault="00B51F5B" w:rsidP="00162B36">
      <w:pPr>
        <w:pStyle w:val="414"/>
        <w:rPr>
          <w:rtl/>
        </w:rPr>
      </w:pPr>
      <w:r w:rsidRPr="005A77C4">
        <w:rPr>
          <w:rFonts w:hint="eastAsia"/>
          <w:rtl/>
        </w:rPr>
        <w:t>חסמים</w:t>
      </w:r>
      <w:r w:rsidRPr="005A77C4">
        <w:rPr>
          <w:rtl/>
        </w:rPr>
        <w:t xml:space="preserve"> </w:t>
      </w:r>
      <w:r w:rsidRPr="005A77C4">
        <w:rPr>
          <w:rFonts w:hint="eastAsia"/>
          <w:rtl/>
        </w:rPr>
        <w:t>בנגישות</w:t>
      </w:r>
      <w:r>
        <w:rPr>
          <w:rtl/>
        </w:rPr>
        <w:t xml:space="preserve"> </w:t>
      </w:r>
      <w:r w:rsidRPr="005A77C4">
        <w:rPr>
          <w:rFonts w:hint="eastAsia"/>
          <w:rtl/>
        </w:rPr>
        <w:t>לשירותי</w:t>
      </w:r>
      <w:r w:rsidRPr="005A77C4">
        <w:rPr>
          <w:rtl/>
        </w:rPr>
        <w:t xml:space="preserve"> בריאות הנפש</w:t>
      </w:r>
      <w:r>
        <w:rPr>
          <w:rFonts w:hint="cs"/>
          <w:rtl/>
        </w:rPr>
        <w:t xml:space="preserve"> </w:t>
      </w:r>
    </w:p>
    <w:p w14:paraId="68905F9E" w14:textId="14DAEA3B" w:rsidR="00B51F5B" w:rsidRDefault="00B51F5B" w:rsidP="00162B36">
      <w:pPr>
        <w:pStyle w:val="100"/>
        <w:rPr>
          <w:b/>
          <w:bCs/>
          <w:sz w:val="24"/>
          <w:rtl/>
        </w:rPr>
      </w:pPr>
      <w:r>
        <w:rPr>
          <w:rFonts w:hint="cs"/>
          <w:rtl/>
        </w:rPr>
        <w:t xml:space="preserve">הסכם הרפורמה הקצה 60 מיליון ש"ח עבור הקמת מרפאות לבריאות הנפש על ידי קופות החולים. בתקופת ההיערכות לרפורמה (יולי 2012 עד יוני 2015) הקימו הקופות מתקציב זה 67 מרפאות לבריאות הנפש בהתאם לפריסה שסוכמה ביניהן לבין משרד הבריאות, וכן הוסיפו מטפלים בתחום בתוך מרפאות הקופה בכ-50 נקודות שירות. כמו כן חתמו הקופות על </w:t>
      </w:r>
      <w:r>
        <w:rPr>
          <w:rFonts w:hint="cs"/>
          <w:rtl/>
        </w:rPr>
        <w:lastRenderedPageBreak/>
        <w:t>הסכמים עם ספקי שירות ועם מטפלים עצמאיים. כיום ניתנים שירותים בתחום בריאות הנפש בכ-110 יישובים ברחבי הארץ</w:t>
      </w:r>
      <w:r>
        <w:rPr>
          <w:rStyle w:val="FootnoteReference"/>
          <w:rtl/>
        </w:rPr>
        <w:footnoteReference w:id="35"/>
      </w:r>
      <w:r>
        <w:rPr>
          <w:rFonts w:hint="cs"/>
          <w:rtl/>
        </w:rPr>
        <w:t xml:space="preserve">. </w:t>
      </w:r>
    </w:p>
    <w:p w14:paraId="05B10D63" w14:textId="77777777" w:rsidR="00B51F5B" w:rsidRDefault="00B51F5B" w:rsidP="00162B36">
      <w:pPr>
        <w:pStyle w:val="aa"/>
        <w:rPr>
          <w:rtl/>
        </w:rPr>
      </w:pPr>
      <w:r w:rsidRPr="009327D3">
        <w:rPr>
          <w:rFonts w:hint="cs"/>
          <w:rtl/>
        </w:rPr>
        <w:t xml:space="preserve">לוח </w:t>
      </w:r>
      <w:r>
        <w:rPr>
          <w:rFonts w:hint="cs"/>
          <w:rtl/>
        </w:rPr>
        <w:t>2</w:t>
      </w:r>
      <w:r w:rsidRPr="009327D3">
        <w:rPr>
          <w:rFonts w:hint="cs"/>
          <w:rtl/>
        </w:rPr>
        <w:t xml:space="preserve">: </w:t>
      </w:r>
      <w:r w:rsidRPr="00162B36">
        <w:rPr>
          <w:rFonts w:hint="cs"/>
          <w:b/>
          <w:bCs/>
          <w:rtl/>
        </w:rPr>
        <w:t>יישובים שבהם פתחו קופות החולים מרפאות בריאות נפש מתחילת הרפורמה</w:t>
      </w:r>
    </w:p>
    <w:p w14:paraId="6E74FF2C" w14:textId="7FB5910B" w:rsidR="00B51F5B" w:rsidRDefault="00B51F5B" w:rsidP="00B51F5B">
      <w:pPr>
        <w:spacing w:line="269" w:lineRule="auto"/>
        <w:jc w:val="center"/>
      </w:pPr>
      <w:r>
        <w:rPr>
          <w:noProof/>
          <w:rtl/>
        </w:rPr>
        <w:drawing>
          <wp:inline distT="0" distB="0" distL="0" distR="0" wp14:anchorId="7ABB258F" wp14:editId="26B279BC">
            <wp:extent cx="5073338" cy="3033905"/>
            <wp:effectExtent l="57150" t="19050" r="70485" b="14605"/>
            <wp:docPr id="224"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AFCAFDD" w14:textId="6CB78E9D" w:rsidR="00162B36" w:rsidRDefault="00162B36" w:rsidP="00162B36">
      <w:pPr>
        <w:pStyle w:val="aa"/>
        <w:rPr>
          <w:rtl/>
        </w:rPr>
      </w:pPr>
      <w:r w:rsidRPr="00DB0212">
        <w:rPr>
          <w:noProof/>
        </w:rPr>
        <mc:AlternateContent>
          <mc:Choice Requires="wpg">
            <w:drawing>
              <wp:anchor distT="0" distB="0" distL="114300" distR="114300" simplePos="0" relativeHeight="251660800" behindDoc="0" locked="0" layoutInCell="1" allowOverlap="1" wp14:anchorId="341E5905" wp14:editId="58E7093B">
                <wp:simplePos x="0" y="0"/>
                <wp:positionH relativeFrom="column">
                  <wp:posOffset>592455</wp:posOffset>
                </wp:positionH>
                <wp:positionV relativeFrom="paragraph">
                  <wp:posOffset>751205</wp:posOffset>
                </wp:positionV>
                <wp:extent cx="4077970" cy="2352040"/>
                <wp:effectExtent l="0" t="0" r="0" b="0"/>
                <wp:wrapTopAndBottom/>
                <wp:docPr id="194" name="קבוצה 23"/>
                <wp:cNvGraphicFramePr/>
                <a:graphic xmlns:a="http://schemas.openxmlformats.org/drawingml/2006/main">
                  <a:graphicData uri="http://schemas.microsoft.com/office/word/2010/wordprocessingGroup">
                    <wpg:wgp>
                      <wpg:cNvGrpSpPr/>
                      <wpg:grpSpPr>
                        <a:xfrm>
                          <a:off x="0" y="0"/>
                          <a:ext cx="4077970" cy="2352040"/>
                          <a:chOff x="0" y="0"/>
                          <a:chExt cx="4559300" cy="3122295"/>
                        </a:xfrm>
                      </wpg:grpSpPr>
                      <pic:pic xmlns:pic="http://schemas.openxmlformats.org/drawingml/2006/picture">
                        <pic:nvPicPr>
                          <pic:cNvPr id="195" name="תמונה 26" descr="C:\Users\ofra_it\Desktop\nfch 2.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28825" cy="3097530"/>
                          </a:xfrm>
                          <a:prstGeom prst="rect">
                            <a:avLst/>
                          </a:prstGeom>
                          <a:noFill/>
                          <a:ln>
                            <a:noFill/>
                          </a:ln>
                        </pic:spPr>
                      </pic:pic>
                      <pic:pic xmlns:pic="http://schemas.openxmlformats.org/drawingml/2006/picture">
                        <pic:nvPicPr>
                          <pic:cNvPr id="196" name="תמונה 27" descr="C:\Users\ofra_it\Desktop\מכבי 1.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552700" y="0"/>
                            <a:ext cx="2006600" cy="31222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FBBBB9" id="קבוצה 23" o:spid="_x0000_s1026" style="position:absolute;left:0;text-align:left;margin-left:46.65pt;margin-top:59.15pt;width:321.1pt;height:185.2pt;z-index:251660800;mso-width-relative:margin;mso-height-relative:margin" coordsize="45593,3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6" o:spid="_x0000_s1027" type="#_x0000_t75" style="position:absolute;width:20288;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">
                  <v:imagedata r:id="rId27" o:title="nfch 2"/>
                </v:shape>
                <v:shape id="תמונה 27" o:spid="_x0000_s1028" type="#_x0000_t75" style="position:absolute;left:25527;width:20066;height:3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">
                  <v:imagedata r:id="rId28" o:title="מכבי 1"/>
                </v:shape>
                <w10:wrap type="topAndBottom"/>
              </v:group>
            </w:pict>
          </mc:Fallback>
        </mc:AlternateContent>
      </w:r>
    </w:p>
    <w:p w14:paraId="196E3F63" w14:textId="3A7319F5" w:rsidR="00B51F5B" w:rsidRPr="00DB0212" w:rsidRDefault="00B51F5B" w:rsidP="00162B36">
      <w:pPr>
        <w:pStyle w:val="aa"/>
        <w:rPr>
          <w:rtl/>
        </w:rPr>
      </w:pPr>
      <w:r>
        <w:rPr>
          <w:rFonts w:hint="cs"/>
          <w:rtl/>
        </w:rPr>
        <w:t xml:space="preserve">תמונות 1 ו-2: </w:t>
      </w:r>
      <w:r w:rsidRPr="00F204BE">
        <w:rPr>
          <w:rFonts w:hint="cs"/>
          <w:b/>
          <w:bCs/>
          <w:rtl/>
        </w:rPr>
        <w:t xml:space="preserve">מרפאות בריאות נפש שהוקמו בעקבות הרפורמה </w:t>
      </w:r>
      <w:r w:rsidRPr="00F204BE">
        <w:rPr>
          <w:rFonts w:hint="eastAsia"/>
          <w:b/>
          <w:bCs/>
          <w:rtl/>
        </w:rPr>
        <w:t>באחת</w:t>
      </w:r>
      <w:r w:rsidRPr="00F204BE">
        <w:rPr>
          <w:b/>
          <w:bCs/>
          <w:rtl/>
        </w:rPr>
        <w:t xml:space="preserve"> </w:t>
      </w:r>
      <w:r w:rsidRPr="00F204BE">
        <w:rPr>
          <w:rFonts w:hint="eastAsia"/>
          <w:b/>
          <w:bCs/>
          <w:rtl/>
        </w:rPr>
        <w:t>מקופות</w:t>
      </w:r>
      <w:r w:rsidRPr="00F204BE">
        <w:rPr>
          <w:b/>
          <w:bCs/>
          <w:rtl/>
        </w:rPr>
        <w:t xml:space="preserve"> </w:t>
      </w:r>
      <w:r w:rsidRPr="00F204BE">
        <w:rPr>
          <w:rFonts w:hint="eastAsia"/>
          <w:b/>
          <w:bCs/>
          <w:rtl/>
        </w:rPr>
        <w:t>החולים</w:t>
      </w:r>
    </w:p>
    <w:p w14:paraId="35826AF1" w14:textId="77777777" w:rsidR="00B51F5B" w:rsidRDefault="00B51F5B" w:rsidP="00B51F5B">
      <w:pPr>
        <w:spacing w:line="269" w:lineRule="auto"/>
        <w:rPr>
          <w:szCs w:val="20"/>
          <w:rtl/>
        </w:rPr>
      </w:pPr>
      <w:r>
        <w:rPr>
          <w:szCs w:val="20"/>
          <w:rtl/>
        </w:rPr>
        <w:tab/>
      </w:r>
      <w:r>
        <w:rPr>
          <w:rFonts w:hint="cs"/>
          <w:szCs w:val="20"/>
          <w:rtl/>
        </w:rPr>
        <w:t xml:space="preserve"> </w:t>
      </w:r>
      <w:r>
        <w:rPr>
          <w:sz w:val="22"/>
          <w:szCs w:val="22"/>
          <w:rtl/>
        </w:rPr>
        <w:tab/>
      </w:r>
      <w:r>
        <w:rPr>
          <w:sz w:val="22"/>
          <w:szCs w:val="22"/>
          <w:rtl/>
        </w:rPr>
        <w:tab/>
      </w:r>
      <w:r>
        <w:rPr>
          <w:sz w:val="22"/>
          <w:szCs w:val="22"/>
          <w:rtl/>
        </w:rPr>
        <w:tab/>
      </w:r>
      <w:r>
        <w:rPr>
          <w:sz w:val="22"/>
          <w:szCs w:val="22"/>
          <w:rtl/>
        </w:rPr>
        <w:tab/>
      </w:r>
      <w:r>
        <w:rPr>
          <w:rFonts w:hint="cs"/>
          <w:sz w:val="22"/>
          <w:szCs w:val="22"/>
          <w:rtl/>
        </w:rPr>
        <w:t xml:space="preserve"> </w:t>
      </w:r>
    </w:p>
    <w:p w14:paraId="2319D8C9" w14:textId="77777777" w:rsidR="00B51F5B" w:rsidRPr="00F03CA3" w:rsidRDefault="00B51F5B" w:rsidP="00162B36">
      <w:pPr>
        <w:pStyle w:val="af5"/>
        <w:rPr>
          <w:rtl/>
        </w:rPr>
      </w:pPr>
      <w:r w:rsidRPr="00F03CA3">
        <w:rPr>
          <w:rFonts w:hint="cs"/>
          <w:rtl/>
        </w:rPr>
        <w:lastRenderedPageBreak/>
        <w:t>בביקורת עלה שבפריסת שירותי בריאות הנפש של קופות החולים, עדיין ניכר מחסור בחלק מהשירותים ביישובים מסוימים. כך למשל נמצא כי בירוחם, בנתיבות ובמצפה רמון הנמצאות כולן בפריפריה ומשויכות לאשכול חברתי-כלכלי 3, אין כלל שירותי פסיכותרפיה, והמטופלים נאלצים לנסוע, בדרך כלל פעם בשבוע, לעיתים בליווי בני משפחה, עשרות קילומטרים לקבלת הטיפול. לעומת זאת, יש יישובים שבהם פועלות נקודות שירות רבות לכלל סוגי הטיפולים המאפשרות לקבל טיפול בקרבת מקום המגורים, דוגמת רוב היישובים בגוש דן.</w:t>
      </w:r>
    </w:p>
    <w:p w14:paraId="237F7A93" w14:textId="77777777" w:rsidR="00B51F5B" w:rsidRDefault="00B51F5B" w:rsidP="00162B36">
      <w:pPr>
        <w:pStyle w:val="100"/>
        <w:rPr>
          <w:rtl/>
        </w:rPr>
      </w:pPr>
      <w:r w:rsidRPr="00162B36">
        <w:rPr>
          <w:rStyle w:val="Heading7Char"/>
          <w:rFonts w:hint="eastAsia"/>
          <w:color w:val="004E6C"/>
          <w:spacing w:val="0"/>
          <w:rtl/>
        </w:rPr>
        <w:t>חוסר</w:t>
      </w:r>
      <w:r w:rsidRPr="00162B36">
        <w:rPr>
          <w:rStyle w:val="Heading7Char"/>
          <w:color w:val="004E6C"/>
          <w:spacing w:val="0"/>
          <w:rtl/>
        </w:rPr>
        <w:t xml:space="preserve"> </w:t>
      </w:r>
      <w:r w:rsidRPr="00162B36">
        <w:rPr>
          <w:rStyle w:val="Heading7Char"/>
          <w:rFonts w:hint="eastAsia"/>
          <w:color w:val="004E6C"/>
          <w:spacing w:val="0"/>
          <w:rtl/>
        </w:rPr>
        <w:t>יכולת</w:t>
      </w:r>
      <w:r w:rsidRPr="00162B36">
        <w:rPr>
          <w:rStyle w:val="Heading7Char"/>
          <w:color w:val="004E6C"/>
          <w:spacing w:val="0"/>
          <w:rtl/>
        </w:rPr>
        <w:t xml:space="preserve"> </w:t>
      </w:r>
      <w:r w:rsidRPr="00162B36">
        <w:rPr>
          <w:rStyle w:val="Heading7Char"/>
          <w:rFonts w:hint="eastAsia"/>
          <w:color w:val="004E6C"/>
          <w:spacing w:val="0"/>
          <w:rtl/>
        </w:rPr>
        <w:t>לספק</w:t>
      </w:r>
      <w:r w:rsidRPr="00162B36">
        <w:rPr>
          <w:rStyle w:val="Heading7Char"/>
          <w:color w:val="004E6C"/>
          <w:spacing w:val="0"/>
          <w:rtl/>
        </w:rPr>
        <w:t xml:space="preserve"> </w:t>
      </w:r>
      <w:r w:rsidRPr="00162B36">
        <w:rPr>
          <w:rStyle w:val="Heading7Char"/>
          <w:rFonts w:hint="eastAsia"/>
          <w:color w:val="004E6C"/>
          <w:spacing w:val="0"/>
          <w:rtl/>
        </w:rPr>
        <w:t>שירותים</w:t>
      </w:r>
      <w:r w:rsidRPr="00162B36">
        <w:rPr>
          <w:rStyle w:val="Heading7Char"/>
          <w:color w:val="004E6C"/>
          <w:spacing w:val="0"/>
          <w:rtl/>
        </w:rPr>
        <w:t xml:space="preserve"> </w:t>
      </w:r>
      <w:r w:rsidRPr="00162B36">
        <w:rPr>
          <w:rStyle w:val="Heading7Char"/>
          <w:rFonts w:hint="eastAsia"/>
          <w:color w:val="004E6C"/>
          <w:spacing w:val="0"/>
          <w:rtl/>
        </w:rPr>
        <w:t>בגלל</w:t>
      </w:r>
      <w:r w:rsidRPr="00162B36">
        <w:rPr>
          <w:rStyle w:val="Heading7Char"/>
          <w:color w:val="004E6C"/>
          <w:spacing w:val="0"/>
          <w:rtl/>
        </w:rPr>
        <w:t xml:space="preserve"> </w:t>
      </w:r>
      <w:r w:rsidRPr="00162B36">
        <w:rPr>
          <w:rStyle w:val="Heading7Char"/>
          <w:rFonts w:hint="eastAsia"/>
          <w:color w:val="004E6C"/>
          <w:spacing w:val="0"/>
          <w:rtl/>
        </w:rPr>
        <w:t>מעבר</w:t>
      </w:r>
      <w:r w:rsidRPr="00162B36">
        <w:rPr>
          <w:rStyle w:val="Heading7Char"/>
          <w:color w:val="004E6C"/>
          <w:spacing w:val="0"/>
          <w:rtl/>
        </w:rPr>
        <w:t xml:space="preserve"> </w:t>
      </w:r>
      <w:r w:rsidRPr="00162B36">
        <w:rPr>
          <w:rStyle w:val="Heading7Char"/>
          <w:rFonts w:hint="eastAsia"/>
          <w:color w:val="004E6C"/>
          <w:spacing w:val="0"/>
          <w:rtl/>
        </w:rPr>
        <w:t>כוח</w:t>
      </w:r>
      <w:r w:rsidRPr="00162B36">
        <w:rPr>
          <w:rStyle w:val="Heading7Char"/>
          <w:color w:val="004E6C"/>
          <w:spacing w:val="0"/>
          <w:rtl/>
        </w:rPr>
        <w:t xml:space="preserve"> </w:t>
      </w:r>
      <w:r w:rsidRPr="00162B36">
        <w:rPr>
          <w:rStyle w:val="Heading7Char"/>
          <w:rFonts w:hint="eastAsia"/>
          <w:color w:val="004E6C"/>
          <w:spacing w:val="0"/>
          <w:rtl/>
        </w:rPr>
        <w:t>אדם</w:t>
      </w:r>
      <w:r w:rsidRPr="00162B36">
        <w:rPr>
          <w:rStyle w:val="Heading7Char"/>
          <w:color w:val="004E6C"/>
          <w:spacing w:val="0"/>
          <w:rtl/>
        </w:rPr>
        <w:t xml:space="preserve"> </w:t>
      </w:r>
      <w:r w:rsidRPr="00162B36">
        <w:rPr>
          <w:rStyle w:val="Heading7Char"/>
          <w:rFonts w:hint="eastAsia"/>
          <w:color w:val="004E6C"/>
          <w:spacing w:val="0"/>
          <w:rtl/>
        </w:rPr>
        <w:t>ל</w:t>
      </w:r>
      <w:r w:rsidRPr="00162B36">
        <w:rPr>
          <w:rStyle w:val="Heading7Char"/>
          <w:rFonts w:hint="cs"/>
          <w:color w:val="004E6C"/>
          <w:spacing w:val="0"/>
          <w:rtl/>
        </w:rPr>
        <w:t>העסקה ב</w:t>
      </w:r>
      <w:r w:rsidRPr="00162B36">
        <w:rPr>
          <w:rStyle w:val="Heading7Char"/>
          <w:rFonts w:hint="eastAsia"/>
          <w:color w:val="004E6C"/>
          <w:spacing w:val="0"/>
          <w:rtl/>
        </w:rPr>
        <w:t>קופות</w:t>
      </w:r>
      <w:r w:rsidRPr="00162B36">
        <w:rPr>
          <w:rStyle w:val="Heading7Char"/>
          <w:color w:val="004E6C"/>
          <w:spacing w:val="0"/>
          <w:rtl/>
        </w:rPr>
        <w:t xml:space="preserve"> החולים</w:t>
      </w:r>
      <w:r w:rsidRPr="00162B36">
        <w:rPr>
          <w:rStyle w:val="Heading7Char"/>
          <w:rFonts w:hint="cs"/>
          <w:color w:val="004E6C"/>
          <w:spacing w:val="0"/>
          <w:rtl/>
        </w:rPr>
        <w:t>:</w:t>
      </w:r>
      <w:r w:rsidRPr="00162B36">
        <w:rPr>
          <w:rFonts w:hint="cs"/>
          <w:color w:val="004E6C"/>
          <w:rtl/>
        </w:rPr>
        <w:t xml:space="preserve"> </w:t>
      </w:r>
      <w:r>
        <w:rPr>
          <w:rFonts w:hint="cs"/>
          <w:rtl/>
        </w:rPr>
        <w:t>לפני כניסת הרפורמה לתוקף העניקו המרפאות הממשלתיות שירות למבוטחי כל הקופות. פריסת מרפאות הקופות הנוספות התבססה על כך שהמרפאות הממשלתיות הקיימות, נכון למועד חתימת הסכם הרפורמה, ימשיכו לספק שירותים. ואולם, אחרי שנכנסה הרפורמה לתוקף נסגרו כמה מרפאות ממשלתיות, ובחלקן צומצמו השירותים בשל מצוקת כוח אדם - בעקבות מעבר פסיכיאטרים ופסיכותרפיסטים למרפאות הקופות, לעיתים בשל תנאי עבודה משופרים שהוצעו להם. בעקבות זאת</w:t>
      </w:r>
      <w:r w:rsidRPr="00DF2962">
        <w:rPr>
          <w:rFonts w:hint="cs"/>
          <w:rtl/>
        </w:rPr>
        <w:t>, בחלק מן ה</w:t>
      </w:r>
      <w:r w:rsidRPr="00DF2962">
        <w:rPr>
          <w:rFonts w:hint="eastAsia"/>
          <w:rtl/>
        </w:rPr>
        <w:t>אזורים</w:t>
      </w:r>
      <w:r w:rsidRPr="00DF2962">
        <w:rPr>
          <w:rFonts w:hint="cs"/>
          <w:rtl/>
        </w:rPr>
        <w:t xml:space="preserve"> שבהם הופסק מתן השירות במרפאות הממשלתיות שסיפקו מענה למבוטחי כל הקופות, נוצר מחסור ממשי בשירותי בריאות הנפש באותן הקופות שלא פיתחו שירות חלופי חדש באותם האזורים. </w:t>
      </w:r>
    </w:p>
    <w:p w14:paraId="22C16C32" w14:textId="77777777" w:rsidR="00B51F5B" w:rsidRDefault="00B51F5B" w:rsidP="00162B36">
      <w:pPr>
        <w:pStyle w:val="100"/>
        <w:rPr>
          <w:rtl/>
        </w:rPr>
      </w:pPr>
      <w:r w:rsidRPr="00DF2962">
        <w:rPr>
          <w:rFonts w:hint="cs"/>
          <w:rtl/>
        </w:rPr>
        <w:t xml:space="preserve">כך למשל נסגרו מרפאות ממשלתיות ביישובים אשדוד, טייבה, כרמיאל וראשון לציון. מטופלים שנזקקים לשירותי בריאות הנפש </w:t>
      </w:r>
      <w:r w:rsidRPr="00DF2962">
        <w:rPr>
          <w:rFonts w:hint="eastAsia"/>
          <w:rtl/>
        </w:rPr>
        <w:t>באזורים</w:t>
      </w:r>
      <w:r>
        <w:rPr>
          <w:rFonts w:hint="cs"/>
          <w:rtl/>
        </w:rPr>
        <w:t xml:space="preserve"> הללו צריכים לפנות ליישובים מרוחקים, לדוגמה: מבוטחי מאוחדת המתגוררים בטייבה ייאלצו לפנות לפסיכיאטר בכפר סבא, שאינו שייך למגזר הערבי. כמו כן צומצמו שירותים עד כדי הפסקת קבלת מטופלים חדשים, בין היתר, ביישובים הרצליה, טירה, פרדסיה (המרכז הרפואי ממשלתי לבריאות הנפש לב השרון [להלן - לב השרון]), פתח תקווה, צפת (המרכז הרפואי זיו) ורמת גן (במרפאת שיבא). מטופלים חדשים מופנים לשירותים שהקופות פיתחו ולספקי שירות אחרים מרוחקים יותר.</w:t>
      </w:r>
    </w:p>
    <w:p w14:paraId="1B9A3B68" w14:textId="77777777" w:rsidR="00B51F5B" w:rsidRPr="00FB0FC8" w:rsidRDefault="00B51F5B" w:rsidP="00162B36">
      <w:pPr>
        <w:pStyle w:val="af5"/>
        <w:rPr>
          <w:rtl/>
        </w:rPr>
      </w:pPr>
      <w:r w:rsidRPr="009D5E5C">
        <w:rPr>
          <w:rFonts w:hint="cs"/>
          <w:rtl/>
        </w:rPr>
        <w:t xml:space="preserve">אף שתהליך העברת שירותי בריאות הנפש האמבולטוריים ממרפאות ממשלתיות למרפאות בקופות החולים תואם את מטרות הרפורמה לחיזוק השירותים בקהילה, </w:t>
      </w:r>
      <w:r>
        <w:rPr>
          <w:rFonts w:hint="cs"/>
          <w:rtl/>
        </w:rPr>
        <w:t xml:space="preserve">הלכה למעשה </w:t>
      </w:r>
      <w:r w:rsidRPr="009D5E5C">
        <w:rPr>
          <w:rFonts w:hint="cs"/>
          <w:rtl/>
        </w:rPr>
        <w:t xml:space="preserve">נוצר מחסור </w:t>
      </w:r>
      <w:r w:rsidRPr="00FB0FC8">
        <w:rPr>
          <w:rFonts w:hint="cs"/>
          <w:rtl/>
        </w:rPr>
        <w:t xml:space="preserve">בשירותים </w:t>
      </w:r>
      <w:r w:rsidRPr="00FB0FC8">
        <w:rPr>
          <w:rFonts w:hint="eastAsia"/>
          <w:rtl/>
        </w:rPr>
        <w:t>באזורים</w:t>
      </w:r>
      <w:r w:rsidRPr="00FB0FC8">
        <w:rPr>
          <w:rFonts w:hint="cs"/>
          <w:rtl/>
        </w:rPr>
        <w:t xml:space="preserve"> מסוימים. </w:t>
      </w:r>
    </w:p>
    <w:p w14:paraId="39726444" w14:textId="77777777" w:rsidR="00B51F5B" w:rsidRDefault="00B51F5B" w:rsidP="00F3067A">
      <w:pPr>
        <w:pStyle w:val="100"/>
        <w:rPr>
          <w:b/>
          <w:bCs/>
          <w:rtl/>
        </w:rPr>
      </w:pPr>
      <w:r w:rsidRPr="00FB0FC8">
        <w:rPr>
          <w:rFonts w:hint="cs"/>
          <w:rtl/>
        </w:rPr>
        <w:t xml:space="preserve">משרד הבריאות מסר בתשובתו כי </w:t>
      </w:r>
      <w:r>
        <w:rPr>
          <w:rFonts w:hint="cs"/>
          <w:rtl/>
        </w:rPr>
        <w:t xml:space="preserve">במסגרת </w:t>
      </w:r>
      <w:r w:rsidRPr="00FB0FC8">
        <w:rPr>
          <w:rFonts w:hint="cs"/>
          <w:rtl/>
        </w:rPr>
        <w:t>ה</w:t>
      </w:r>
      <w:r w:rsidRPr="00FB0FC8">
        <w:rPr>
          <w:rtl/>
        </w:rPr>
        <w:t xml:space="preserve">מסקנות המתגבשות של הוועדה לבחינת הרפורמה מינה </w:t>
      </w:r>
      <w:r w:rsidRPr="00FB0FC8">
        <w:rPr>
          <w:rFonts w:hint="cs"/>
          <w:rtl/>
        </w:rPr>
        <w:t>ה</w:t>
      </w:r>
      <w:r w:rsidRPr="00FB0FC8">
        <w:rPr>
          <w:rtl/>
        </w:rPr>
        <w:t>מנכ"ל צוות משותף למשרד ו</w:t>
      </w:r>
      <w:r w:rsidRPr="00FB0FC8">
        <w:rPr>
          <w:rFonts w:hint="cs"/>
          <w:rtl/>
        </w:rPr>
        <w:t>ל</w:t>
      </w:r>
      <w:r w:rsidRPr="00FB0FC8">
        <w:rPr>
          <w:rtl/>
        </w:rPr>
        <w:t>קופות החולים אשר יבחן</w:t>
      </w:r>
      <w:r w:rsidRPr="00FB0FC8">
        <w:rPr>
          <w:rFonts w:hint="cs"/>
          <w:rtl/>
        </w:rPr>
        <w:t>,</w:t>
      </w:r>
      <w:r w:rsidRPr="00FB0FC8">
        <w:rPr>
          <w:rtl/>
        </w:rPr>
        <w:t xml:space="preserve"> בין היתר</w:t>
      </w:r>
      <w:r w:rsidRPr="00FB0FC8">
        <w:rPr>
          <w:rFonts w:hint="cs"/>
          <w:rtl/>
        </w:rPr>
        <w:t>,</w:t>
      </w:r>
      <w:r w:rsidRPr="00FB0FC8">
        <w:rPr>
          <w:rtl/>
        </w:rPr>
        <w:t xml:space="preserve"> את פריסת המרפאות והצרכים הנקודתיים ב</w:t>
      </w:r>
      <w:r w:rsidRPr="00FB0FC8">
        <w:rPr>
          <w:rFonts w:hint="eastAsia"/>
          <w:rtl/>
        </w:rPr>
        <w:t>אזורים</w:t>
      </w:r>
      <w:r w:rsidRPr="00FB0FC8">
        <w:rPr>
          <w:rtl/>
        </w:rPr>
        <w:t xml:space="preserve"> </w:t>
      </w:r>
      <w:r w:rsidRPr="001B4FD0">
        <w:rPr>
          <w:rtl/>
        </w:rPr>
        <w:t>שונים בארץ</w:t>
      </w:r>
      <w:r>
        <w:rPr>
          <w:rFonts w:hint="cs"/>
          <w:rtl/>
        </w:rPr>
        <w:t>.</w:t>
      </w:r>
    </w:p>
    <w:p w14:paraId="0667A5C7" w14:textId="77777777" w:rsidR="00B51F5B" w:rsidRPr="001A4E9C" w:rsidRDefault="00B51F5B" w:rsidP="00F3067A">
      <w:pPr>
        <w:pStyle w:val="af5"/>
        <w:rPr>
          <w:rtl/>
        </w:rPr>
      </w:pPr>
      <w:r>
        <w:rPr>
          <w:rFonts w:hint="cs"/>
          <w:rtl/>
        </w:rPr>
        <w:t xml:space="preserve">על משרד הבריאות בשיתוף קופות </w:t>
      </w:r>
      <w:r w:rsidRPr="00BE5B41">
        <w:rPr>
          <w:rFonts w:hint="cs"/>
          <w:rtl/>
        </w:rPr>
        <w:t>החולים להעריך מחדש</w:t>
      </w:r>
      <w:r w:rsidRPr="009D5E5C">
        <w:rPr>
          <w:rFonts w:hint="cs"/>
          <w:rtl/>
        </w:rPr>
        <w:t xml:space="preserve"> </w:t>
      </w:r>
      <w:r>
        <w:rPr>
          <w:rFonts w:hint="cs"/>
          <w:rtl/>
        </w:rPr>
        <w:t xml:space="preserve">את </w:t>
      </w:r>
      <w:r w:rsidRPr="009D5E5C">
        <w:rPr>
          <w:rFonts w:hint="eastAsia"/>
          <w:rtl/>
        </w:rPr>
        <w:t>פריסת</w:t>
      </w:r>
      <w:r w:rsidRPr="009D5E5C">
        <w:rPr>
          <w:rtl/>
        </w:rPr>
        <w:t xml:space="preserve"> </w:t>
      </w:r>
      <w:r w:rsidRPr="009D5E5C">
        <w:rPr>
          <w:rFonts w:hint="eastAsia"/>
          <w:rtl/>
        </w:rPr>
        <w:t>המרפאות</w:t>
      </w:r>
      <w:r w:rsidRPr="009D5E5C">
        <w:rPr>
          <w:rtl/>
        </w:rPr>
        <w:t xml:space="preserve"> </w:t>
      </w:r>
      <w:r w:rsidRPr="009D5E5C">
        <w:rPr>
          <w:rFonts w:hint="eastAsia"/>
          <w:rtl/>
        </w:rPr>
        <w:t>הקיימת</w:t>
      </w:r>
      <w:r>
        <w:rPr>
          <w:rFonts w:hint="cs"/>
          <w:rtl/>
        </w:rPr>
        <w:t xml:space="preserve"> ולבחון אילו שירותים נדרשות הקופות לספק והיכן, בהתאם לגודל האוכלוסיי</w:t>
      </w:r>
      <w:r>
        <w:rPr>
          <w:rFonts w:hint="eastAsia"/>
          <w:rtl/>
        </w:rPr>
        <w:t>ה</w:t>
      </w:r>
      <w:r>
        <w:rPr>
          <w:rFonts w:hint="cs"/>
          <w:rtl/>
        </w:rPr>
        <w:t xml:space="preserve"> ואופייה בכל אזור, כך שיעמדו בדרישות חוק ביטוח בריאות ממלכתי לאספקת שירותים במרחק </w:t>
      </w:r>
      <w:r w:rsidRPr="00D46EFB">
        <w:rPr>
          <w:rFonts w:hint="cs"/>
          <w:rtl/>
        </w:rPr>
        <w:t>סביר</w:t>
      </w:r>
      <w:r w:rsidRPr="00D46EFB">
        <w:rPr>
          <w:rtl/>
        </w:rPr>
        <w:t xml:space="preserve">, </w:t>
      </w:r>
      <w:r w:rsidRPr="00D46EFB">
        <w:rPr>
          <w:rFonts w:hint="eastAsia"/>
          <w:rtl/>
        </w:rPr>
        <w:t>ובפרט</w:t>
      </w:r>
      <w:r w:rsidRPr="00D46EFB">
        <w:rPr>
          <w:rtl/>
        </w:rPr>
        <w:t xml:space="preserve"> </w:t>
      </w:r>
      <w:r w:rsidRPr="00D46EFB">
        <w:rPr>
          <w:rFonts w:hint="eastAsia"/>
          <w:rtl/>
        </w:rPr>
        <w:t>באזורי</w:t>
      </w:r>
      <w:r w:rsidRPr="00D46EFB">
        <w:rPr>
          <w:rtl/>
        </w:rPr>
        <w:t xml:space="preserve"> </w:t>
      </w:r>
      <w:r w:rsidRPr="00D46EFB">
        <w:rPr>
          <w:rFonts w:hint="eastAsia"/>
          <w:rtl/>
        </w:rPr>
        <w:t>הפריפריה</w:t>
      </w:r>
      <w:r w:rsidRPr="00D46EFB">
        <w:rPr>
          <w:rFonts w:hint="cs"/>
          <w:rtl/>
        </w:rPr>
        <w:t>. ראוי להביא בחשבון את היתרונות הקיימים בהימצאות המר</w:t>
      </w:r>
      <w:r>
        <w:rPr>
          <w:rFonts w:hint="cs"/>
          <w:rtl/>
        </w:rPr>
        <w:t>פאות הממשלתיות סמוך</w:t>
      </w:r>
      <w:r w:rsidDel="001708B7">
        <w:rPr>
          <w:rFonts w:hint="cs"/>
          <w:rtl/>
        </w:rPr>
        <w:t xml:space="preserve"> </w:t>
      </w:r>
      <w:r>
        <w:rPr>
          <w:rFonts w:hint="cs"/>
          <w:rtl/>
        </w:rPr>
        <w:t xml:space="preserve">לבתי החולים, ובכך שיש בהם התמחויות ייחודיות אשר יכולות לתת מענה למטופלים הסובלים מתחלואה נפשית קשה. </w:t>
      </w:r>
    </w:p>
    <w:p w14:paraId="7207A42A" w14:textId="1BCE19DE" w:rsidR="00B51F5B" w:rsidRPr="00701C49" w:rsidRDefault="00B51F5B" w:rsidP="00F3067A">
      <w:pPr>
        <w:pStyle w:val="414"/>
        <w:rPr>
          <w:rStyle w:val="Heading4Char"/>
          <w:b w:val="0"/>
          <w:bCs w:val="0"/>
          <w:rtl/>
        </w:rPr>
      </w:pPr>
      <w:r w:rsidRPr="00701C49">
        <w:rPr>
          <w:rStyle w:val="Heading4Char"/>
          <w:b w:val="0"/>
          <w:bCs w:val="0"/>
          <w:rtl/>
        </w:rPr>
        <w:lastRenderedPageBreak/>
        <w:t xml:space="preserve">חוסר </w:t>
      </w:r>
      <w:r w:rsidRPr="00701C49">
        <w:rPr>
          <w:rStyle w:val="Heading4Char"/>
          <w:rFonts w:hint="eastAsia"/>
          <w:b w:val="0"/>
          <w:bCs w:val="0"/>
          <w:rtl/>
        </w:rPr>
        <w:t>התאמה</w:t>
      </w:r>
      <w:r w:rsidRPr="00701C49">
        <w:rPr>
          <w:rStyle w:val="Heading4Char"/>
          <w:b w:val="0"/>
          <w:bCs w:val="0"/>
          <w:rtl/>
        </w:rPr>
        <w:t xml:space="preserve"> של </w:t>
      </w:r>
      <w:r w:rsidRPr="00701C49">
        <w:rPr>
          <w:rStyle w:val="Heading4Char"/>
          <w:rFonts w:hint="eastAsia"/>
          <w:b w:val="0"/>
          <w:bCs w:val="0"/>
          <w:rtl/>
        </w:rPr>
        <w:t>שירותי</w:t>
      </w:r>
      <w:r w:rsidRPr="00701C49">
        <w:rPr>
          <w:rStyle w:val="Heading4Char"/>
          <w:b w:val="0"/>
          <w:bCs w:val="0"/>
          <w:rtl/>
        </w:rPr>
        <w:t xml:space="preserve"> בריאות הנפש </w:t>
      </w:r>
      <w:r w:rsidRPr="00701C49">
        <w:rPr>
          <w:rStyle w:val="Heading4Char"/>
          <w:rFonts w:hint="eastAsia"/>
          <w:b w:val="0"/>
          <w:bCs w:val="0"/>
          <w:rtl/>
        </w:rPr>
        <w:t>לאוכלוסיות</w:t>
      </w:r>
      <w:r w:rsidRPr="00701C49">
        <w:rPr>
          <w:rStyle w:val="Heading4Char"/>
          <w:b w:val="0"/>
          <w:bCs w:val="0"/>
          <w:rtl/>
        </w:rPr>
        <w:t xml:space="preserve"> </w:t>
      </w:r>
      <w:r w:rsidRPr="00701C49">
        <w:rPr>
          <w:rStyle w:val="Heading4Char"/>
          <w:rFonts w:hint="eastAsia"/>
          <w:b w:val="0"/>
          <w:bCs w:val="0"/>
          <w:rtl/>
        </w:rPr>
        <w:t>ייחודיות</w:t>
      </w:r>
    </w:p>
    <w:p w14:paraId="190F751C" w14:textId="7200B49D" w:rsidR="00B51F5B" w:rsidRDefault="00B51F5B" w:rsidP="00F3067A">
      <w:pPr>
        <w:pStyle w:val="100"/>
        <w:rPr>
          <w:rtl/>
        </w:rPr>
      </w:pPr>
      <w:r>
        <w:rPr>
          <w:rFonts w:hint="cs"/>
          <w:rtl/>
        </w:rPr>
        <w:t>נודעת</w:t>
      </w:r>
      <w:r w:rsidRPr="00532649">
        <w:rPr>
          <w:rFonts w:hint="cs"/>
          <w:rtl/>
        </w:rPr>
        <w:t xml:space="preserve"> חשיבות </w:t>
      </w:r>
      <w:r>
        <w:rPr>
          <w:rFonts w:hint="cs"/>
          <w:rtl/>
        </w:rPr>
        <w:t xml:space="preserve">רבה להתאמת הטיפול הפסיכותרפי והפסיכיאטרי לרקע של המטופל לא רק בהיבט הקליני אלא גם בהיבט האישי. כמו כן שמורה חשיבות </w:t>
      </w:r>
      <w:r w:rsidRPr="00532649">
        <w:rPr>
          <w:rFonts w:hint="cs"/>
          <w:rtl/>
        </w:rPr>
        <w:t xml:space="preserve">לשפה </w:t>
      </w:r>
      <w:r>
        <w:rPr>
          <w:rFonts w:hint="cs"/>
          <w:rtl/>
        </w:rPr>
        <w:t>ש</w:t>
      </w:r>
      <w:r w:rsidRPr="00532649">
        <w:rPr>
          <w:rFonts w:hint="cs"/>
          <w:rtl/>
        </w:rPr>
        <w:t>בה נית</w:t>
      </w:r>
      <w:r>
        <w:rPr>
          <w:rFonts w:hint="cs"/>
          <w:rtl/>
        </w:rPr>
        <w:t xml:space="preserve">ן הטיפול </w:t>
      </w:r>
      <w:r w:rsidRPr="00532649">
        <w:rPr>
          <w:rFonts w:hint="cs"/>
          <w:rtl/>
        </w:rPr>
        <w:t xml:space="preserve">ולהכרת </w:t>
      </w:r>
      <w:r>
        <w:rPr>
          <w:rFonts w:hint="cs"/>
          <w:rtl/>
        </w:rPr>
        <w:t xml:space="preserve">מאפייני </w:t>
      </w:r>
      <w:r w:rsidRPr="00532649">
        <w:rPr>
          <w:rFonts w:hint="cs"/>
          <w:rtl/>
        </w:rPr>
        <w:t>תרבות</w:t>
      </w:r>
      <w:r>
        <w:rPr>
          <w:rFonts w:hint="cs"/>
          <w:rtl/>
        </w:rPr>
        <w:t xml:space="preserve"> המטופל</w:t>
      </w:r>
      <w:r w:rsidRPr="00532649">
        <w:rPr>
          <w:rFonts w:hint="cs"/>
          <w:rtl/>
        </w:rPr>
        <w:t xml:space="preserve">. </w:t>
      </w:r>
      <w:r>
        <w:rPr>
          <w:rFonts w:hint="cs"/>
          <w:rtl/>
        </w:rPr>
        <w:t xml:space="preserve">מורכבות מבנה האוכלוסייה בישראל דורשת התאמה למגזרים ולקבוצות האוכלוסייה השונות: </w:t>
      </w:r>
      <w:r w:rsidRPr="00532649">
        <w:rPr>
          <w:rFonts w:hint="cs"/>
          <w:rtl/>
        </w:rPr>
        <w:t xml:space="preserve">העדה האתיופית, המגזר </w:t>
      </w:r>
      <w:r>
        <w:rPr>
          <w:rFonts w:hint="cs"/>
          <w:rtl/>
        </w:rPr>
        <w:t>ה</w:t>
      </w:r>
      <w:r w:rsidRPr="00532649">
        <w:rPr>
          <w:rFonts w:hint="cs"/>
          <w:rtl/>
        </w:rPr>
        <w:t>חרדי</w:t>
      </w:r>
      <w:r>
        <w:rPr>
          <w:rFonts w:hint="cs"/>
          <w:rtl/>
        </w:rPr>
        <w:t>,</w:t>
      </w:r>
      <w:r w:rsidRPr="00532649">
        <w:rPr>
          <w:rFonts w:hint="cs"/>
          <w:rtl/>
        </w:rPr>
        <w:t xml:space="preserve"> המגזר הערבי, הפזורה הבדואית, עולים מצרפת וממדינות חבר העמים</w:t>
      </w:r>
      <w:r>
        <w:rPr>
          <w:rFonts w:hint="cs"/>
          <w:rtl/>
        </w:rPr>
        <w:t xml:space="preserve">. </w:t>
      </w:r>
      <w:r w:rsidRPr="00C517F5">
        <w:rPr>
          <w:rFonts w:hint="cs"/>
          <w:rtl/>
        </w:rPr>
        <w:t xml:space="preserve">הביקורת העלתה </w:t>
      </w:r>
      <w:r w:rsidRPr="00C517F5">
        <w:rPr>
          <w:rtl/>
        </w:rPr>
        <w:t xml:space="preserve">שמידת ההתאמה </w:t>
      </w:r>
      <w:r w:rsidRPr="00C517F5">
        <w:rPr>
          <w:rFonts w:hint="eastAsia"/>
          <w:rtl/>
        </w:rPr>
        <w:t>הייחודית</w:t>
      </w:r>
      <w:r w:rsidRPr="00C517F5">
        <w:rPr>
          <w:rtl/>
        </w:rPr>
        <w:t xml:space="preserve"> למטופלים </w:t>
      </w:r>
      <w:r w:rsidRPr="00C517F5">
        <w:rPr>
          <w:rFonts w:hint="eastAsia"/>
          <w:rtl/>
        </w:rPr>
        <w:t>לוקה</w:t>
      </w:r>
      <w:r w:rsidRPr="00C517F5">
        <w:rPr>
          <w:rFonts w:hint="cs"/>
          <w:rtl/>
        </w:rPr>
        <w:t xml:space="preserve"> </w:t>
      </w:r>
      <w:r w:rsidRPr="00C517F5">
        <w:rPr>
          <w:rFonts w:hint="eastAsia"/>
          <w:rtl/>
        </w:rPr>
        <w:t>בחסר</w:t>
      </w:r>
      <w:r w:rsidRPr="00C517F5">
        <w:rPr>
          <w:rFonts w:hint="cs"/>
          <w:rtl/>
        </w:rPr>
        <w:t xml:space="preserve"> (</w:t>
      </w:r>
      <w:r>
        <w:rPr>
          <w:rFonts w:hint="cs"/>
          <w:rtl/>
        </w:rPr>
        <w:t>בנושא ה</w:t>
      </w:r>
      <w:r w:rsidRPr="00C517F5">
        <w:rPr>
          <w:rFonts w:hint="cs"/>
          <w:rtl/>
        </w:rPr>
        <w:t>מחסור החמור בכוח אדם פסיכיאטרי ופסיכותרפי המותאם לטיפול באוכלוסיות השונות רא</w:t>
      </w:r>
      <w:r>
        <w:rPr>
          <w:rFonts w:hint="cs"/>
          <w:rtl/>
        </w:rPr>
        <w:t>ו</w:t>
      </w:r>
      <w:r w:rsidRPr="00C517F5">
        <w:rPr>
          <w:rFonts w:hint="cs"/>
          <w:rtl/>
        </w:rPr>
        <w:t xml:space="preserve"> </w:t>
      </w:r>
      <w:r>
        <w:rPr>
          <w:rFonts w:hint="cs"/>
          <w:rtl/>
        </w:rPr>
        <w:t>להלן ב</w:t>
      </w:r>
      <w:r w:rsidRPr="00C517F5">
        <w:rPr>
          <w:rFonts w:hint="cs"/>
          <w:rtl/>
        </w:rPr>
        <w:t xml:space="preserve">פרק </w:t>
      </w:r>
      <w:r>
        <w:rPr>
          <w:rFonts w:hint="cs"/>
          <w:rtl/>
        </w:rPr>
        <w:t>"</w:t>
      </w:r>
      <w:r w:rsidRPr="00C517F5">
        <w:rPr>
          <w:rtl/>
        </w:rPr>
        <w:t>כוח אדם למתן השירותים בתחום בריאות הנפש</w:t>
      </w:r>
      <w:r>
        <w:rPr>
          <w:rFonts w:hint="cs"/>
          <w:rtl/>
        </w:rPr>
        <w:t>"</w:t>
      </w:r>
      <w:r w:rsidRPr="00C517F5">
        <w:rPr>
          <w:rFonts w:hint="cs"/>
          <w:rtl/>
        </w:rPr>
        <w:t>).</w:t>
      </w:r>
      <w:r>
        <w:rPr>
          <w:rFonts w:hint="cs"/>
          <w:b/>
          <w:bCs/>
          <w:rtl/>
        </w:rPr>
        <w:t xml:space="preserve"> </w:t>
      </w:r>
      <w:r>
        <w:rPr>
          <w:rFonts w:hint="cs"/>
          <w:rtl/>
        </w:rPr>
        <w:t>להלן הפרטים:</w:t>
      </w:r>
    </w:p>
    <w:p w14:paraId="010C7EEE" w14:textId="77777777" w:rsidR="00B51F5B" w:rsidRDefault="00B51F5B" w:rsidP="00F3067A">
      <w:pPr>
        <w:pStyle w:val="100"/>
        <w:rPr>
          <w:rtl/>
        </w:rPr>
      </w:pPr>
      <w:r w:rsidRPr="00F3067A">
        <w:rPr>
          <w:rStyle w:val="Heading7Char"/>
          <w:color w:val="004E6C"/>
          <w:spacing w:val="0"/>
          <w:rtl/>
        </w:rPr>
        <w:t xml:space="preserve">נגישות </w:t>
      </w:r>
      <w:r w:rsidRPr="00F3067A">
        <w:rPr>
          <w:rStyle w:val="Heading7Char"/>
          <w:rFonts w:hint="eastAsia"/>
          <w:color w:val="004E6C"/>
          <w:spacing w:val="0"/>
          <w:rtl/>
        </w:rPr>
        <w:t>וזמינות</w:t>
      </w:r>
      <w:r w:rsidRPr="00F3067A">
        <w:rPr>
          <w:rStyle w:val="Heading7Char"/>
          <w:color w:val="004E6C"/>
          <w:spacing w:val="0"/>
          <w:rtl/>
        </w:rPr>
        <w:t xml:space="preserve"> לא מספק</w:t>
      </w:r>
      <w:r w:rsidRPr="00F3067A">
        <w:rPr>
          <w:rStyle w:val="Heading7Char"/>
          <w:rFonts w:hint="eastAsia"/>
          <w:color w:val="004E6C"/>
          <w:spacing w:val="0"/>
          <w:rtl/>
        </w:rPr>
        <w:t>ו</w:t>
      </w:r>
      <w:r w:rsidRPr="00F3067A">
        <w:rPr>
          <w:rStyle w:val="Heading7Char"/>
          <w:color w:val="004E6C"/>
          <w:spacing w:val="0"/>
          <w:rtl/>
        </w:rPr>
        <w:t>ת של שירותי בריאות הנפש ב</w:t>
      </w:r>
      <w:r w:rsidRPr="00F3067A">
        <w:rPr>
          <w:rStyle w:val="Heading7Char"/>
          <w:rFonts w:hint="eastAsia"/>
          <w:color w:val="004E6C"/>
          <w:spacing w:val="0"/>
          <w:rtl/>
        </w:rPr>
        <w:t>קרב</w:t>
      </w:r>
      <w:r w:rsidRPr="00F3067A">
        <w:rPr>
          <w:rStyle w:val="Heading7Char"/>
          <w:color w:val="004E6C"/>
          <w:spacing w:val="0"/>
          <w:rtl/>
        </w:rPr>
        <w:t xml:space="preserve"> </w:t>
      </w:r>
      <w:r w:rsidRPr="00F3067A">
        <w:rPr>
          <w:rStyle w:val="Heading7Char"/>
          <w:rFonts w:hint="eastAsia"/>
          <w:color w:val="004E6C"/>
          <w:spacing w:val="0"/>
          <w:rtl/>
        </w:rPr>
        <w:t>האוכלוסייה</w:t>
      </w:r>
      <w:r w:rsidRPr="00F3067A">
        <w:rPr>
          <w:rStyle w:val="Heading7Char"/>
          <w:rFonts w:hint="cs"/>
          <w:color w:val="004E6C"/>
          <w:spacing w:val="0"/>
          <w:rtl/>
        </w:rPr>
        <w:t xml:space="preserve"> </w:t>
      </w:r>
      <w:r w:rsidRPr="00F3067A">
        <w:rPr>
          <w:rStyle w:val="Heading7Char"/>
          <w:color w:val="004E6C"/>
          <w:spacing w:val="0"/>
          <w:rtl/>
        </w:rPr>
        <w:t>הערבי</w:t>
      </w:r>
      <w:r w:rsidRPr="00F3067A">
        <w:rPr>
          <w:rStyle w:val="Heading7Char"/>
          <w:rFonts w:hint="cs"/>
          <w:color w:val="004E6C"/>
          <w:spacing w:val="0"/>
          <w:rtl/>
        </w:rPr>
        <w:t>ת</w:t>
      </w:r>
      <w:r w:rsidRPr="00F3067A">
        <w:rPr>
          <w:rStyle w:val="Heading7Char"/>
          <w:color w:val="004E6C"/>
          <w:spacing w:val="0"/>
          <w:rtl/>
        </w:rPr>
        <w:t>:</w:t>
      </w:r>
      <w:r w:rsidRPr="00F3067A">
        <w:rPr>
          <w:color w:val="004E6C"/>
          <w:rtl/>
        </w:rPr>
        <w:t xml:space="preserve"> </w:t>
      </w:r>
      <w:r w:rsidRPr="005D4EB3">
        <w:rPr>
          <w:rFonts w:hint="eastAsia"/>
          <w:rtl/>
        </w:rPr>
        <w:t>מחלת</w:t>
      </w:r>
      <w:r>
        <w:rPr>
          <w:rFonts w:hint="cs"/>
          <w:rtl/>
        </w:rPr>
        <w:t xml:space="preserve"> נפש מלוּוה בתווית שלילית</w:t>
      </w:r>
      <w:r>
        <w:rPr>
          <w:rFonts w:hint="cs"/>
        </w:rPr>
        <w:t xml:space="preserve"> </w:t>
      </w:r>
      <w:r>
        <w:rPr>
          <w:rFonts w:hint="cs"/>
          <w:rtl/>
        </w:rPr>
        <w:t xml:space="preserve">בקרב החברה בכלל ובקרב </w:t>
      </w:r>
      <w:r w:rsidRPr="005D4EB3">
        <w:rPr>
          <w:rFonts w:hint="cs"/>
          <w:rtl/>
        </w:rPr>
        <w:t xml:space="preserve">האוכלוסייה </w:t>
      </w:r>
      <w:r w:rsidRPr="005D4EB3">
        <w:rPr>
          <w:rFonts w:hint="eastAsia"/>
          <w:rtl/>
        </w:rPr>
        <w:t>הערבי</w:t>
      </w:r>
      <w:r>
        <w:rPr>
          <w:rFonts w:hint="cs"/>
          <w:rtl/>
        </w:rPr>
        <w:t xml:space="preserve">ת בפרט. יחס החברה לטיפול נפשי פעמים רבות שלילי, והידע על תרופות פסיכיאטריות מועט. על רקע זה קשה לרתום את המשפחה לטיפול, ואף קיימת תופעה של הסתרת חולי הנפש. בקרב החברה הערבית מתעורר קושי נוסף לנוכח העובדה שאת מרבית הטיפולים מעניקים מטפלים יהודים, בשפה העברית, ולכן הטיפול אינו מתאים לתרבות הערבית ולשפת האם של המטופל. </w:t>
      </w:r>
      <w:r w:rsidRPr="005D4EB3">
        <w:rPr>
          <w:rFonts w:hint="cs"/>
          <w:rtl/>
        </w:rPr>
        <w:t>כדי לאפשר לאוכלוסייה הערבית לממש</w:t>
      </w:r>
      <w:r>
        <w:rPr>
          <w:rFonts w:hint="cs"/>
          <w:rtl/>
        </w:rPr>
        <w:t xml:space="preserve"> את זכותה לקבלת טיפול נפשי, יש לאפשר שירותי</w:t>
      </w:r>
      <w:r>
        <w:rPr>
          <w:rFonts w:hint="eastAsia"/>
          <w:rtl/>
        </w:rPr>
        <w:t>ם</w:t>
      </w:r>
      <w:r>
        <w:rPr>
          <w:rFonts w:hint="cs"/>
          <w:rtl/>
        </w:rPr>
        <w:t xml:space="preserve"> בפריסה מספקת ובזמינות סבירה תוך כדי התאמת התרבות והשפה. מצב שבו יש לכאורה פריסה סבירה של שירותים מותאמים תרבותית ושפתית אולם זמני ההמתנה לקבלתם ארוכים, אינו מאפשר לאוכלוסייה לממש את זכותה לטיפול.</w:t>
      </w:r>
    </w:p>
    <w:p w14:paraId="3551B7C9" w14:textId="77777777" w:rsidR="00B51F5B" w:rsidRDefault="00B51F5B" w:rsidP="00F3067A">
      <w:pPr>
        <w:pStyle w:val="100"/>
        <w:rPr>
          <w:rtl/>
        </w:rPr>
      </w:pPr>
      <w:r>
        <w:rPr>
          <w:rFonts w:hint="cs"/>
          <w:rtl/>
        </w:rPr>
        <w:t>נכון לשנ</w:t>
      </w:r>
      <w:r w:rsidRPr="005D4EB3">
        <w:rPr>
          <w:rFonts w:hint="cs"/>
          <w:rtl/>
        </w:rPr>
        <w:t>ת 2013 מנתה האוכלוסייה הערבית בישראל כ-1.63 מיליון נפשות, ומהם כ-</w:t>
      </w:r>
      <w:r>
        <w:rPr>
          <w:rFonts w:hint="cs"/>
          <w:rtl/>
        </w:rPr>
        <w:t>47</w:t>
      </w:r>
      <w:r w:rsidRPr="005D4EB3">
        <w:rPr>
          <w:rFonts w:hint="cs"/>
          <w:rtl/>
        </w:rPr>
        <w:t>% ילדים וכ-</w:t>
      </w:r>
      <w:r>
        <w:rPr>
          <w:rFonts w:hint="cs"/>
          <w:rtl/>
        </w:rPr>
        <w:t>53</w:t>
      </w:r>
      <w:r w:rsidRPr="005D4EB3">
        <w:rPr>
          <w:rFonts w:hint="cs"/>
          <w:rtl/>
        </w:rPr>
        <w:t>% מבוגרים</w:t>
      </w:r>
      <w:r>
        <w:rPr>
          <w:rStyle w:val="FootnoteReference"/>
          <w:rtl/>
        </w:rPr>
        <w:footnoteReference w:id="36"/>
      </w:r>
      <w:r w:rsidRPr="005D4EB3">
        <w:rPr>
          <w:rFonts w:hint="cs"/>
          <w:rtl/>
        </w:rPr>
        <w:t xml:space="preserve">. </w:t>
      </w:r>
      <w:r>
        <w:rPr>
          <w:rFonts w:hint="cs"/>
          <w:rtl/>
        </w:rPr>
        <w:t>מספר</w:t>
      </w:r>
      <w:r w:rsidRPr="005D4EB3">
        <w:rPr>
          <w:rFonts w:hint="cs"/>
          <w:rtl/>
        </w:rPr>
        <w:t xml:space="preserve"> המטופלים מהמגזר עמד על כ-6,500 (מוסלמים, דרוזים ונוצרים), שהיו כ-12% מכלל מטופלי</w:t>
      </w:r>
      <w:r>
        <w:rPr>
          <w:rFonts w:hint="cs"/>
          <w:rtl/>
        </w:rPr>
        <w:t xml:space="preserve"> בריאות הנפש</w:t>
      </w:r>
      <w:r w:rsidRPr="005D4EB3">
        <w:rPr>
          <w:rFonts w:hint="cs"/>
          <w:rtl/>
        </w:rPr>
        <w:t xml:space="preserve">. שיעור זה נמוך משיעור האוכלוסייה הערבית מכלל </w:t>
      </w:r>
      <w:r w:rsidRPr="000D3333">
        <w:rPr>
          <w:rFonts w:hint="cs"/>
          <w:rtl/>
        </w:rPr>
        <w:t xml:space="preserve">האוכלוסייה שעמד </w:t>
      </w:r>
      <w:r>
        <w:rPr>
          <w:rFonts w:hint="cs"/>
          <w:rtl/>
        </w:rPr>
        <w:t xml:space="preserve">באותה שנה </w:t>
      </w:r>
      <w:r w:rsidRPr="000D3333">
        <w:rPr>
          <w:rFonts w:hint="cs"/>
          <w:rtl/>
        </w:rPr>
        <w:t xml:space="preserve">על </w:t>
      </w:r>
      <w:r w:rsidRPr="009263ED">
        <w:rPr>
          <w:rFonts w:hint="cs"/>
          <w:rtl/>
        </w:rPr>
        <w:t>20.6%</w:t>
      </w:r>
      <w:r>
        <w:rPr>
          <w:rStyle w:val="FootnoteReference"/>
          <w:rtl/>
        </w:rPr>
        <w:footnoteReference w:id="37"/>
      </w:r>
      <w:r>
        <w:rPr>
          <w:rFonts w:hint="cs"/>
          <w:rtl/>
        </w:rPr>
        <w:t>. בהתאם ליעדי הרפורמה (טיפול ב-2% מקרב הילדים וב-4% מקרב המבוגרים) ובהתאם לגודל האוכלוסייה הערבית בשנת 2018 - שמנתה 1.86 מיליון נפשות, ומהם כ-44% ילדים וכ-56% מבוגרים</w:t>
      </w:r>
      <w:r>
        <w:rPr>
          <w:rStyle w:val="FootnoteReference"/>
          <w:rtl/>
        </w:rPr>
        <w:footnoteReference w:id="38"/>
      </w:r>
      <w:r>
        <w:rPr>
          <w:rFonts w:hint="cs"/>
          <w:rtl/>
        </w:rPr>
        <w:t xml:space="preserve">, ניתן </w:t>
      </w:r>
      <w:r w:rsidRPr="00356E19">
        <w:rPr>
          <w:rFonts w:hint="cs"/>
          <w:rtl/>
        </w:rPr>
        <w:t xml:space="preserve">היה לצפות כי </w:t>
      </w:r>
      <w:r>
        <w:rPr>
          <w:rFonts w:hint="cs"/>
          <w:rtl/>
        </w:rPr>
        <w:t xml:space="preserve">בעקבות </w:t>
      </w:r>
      <w:r w:rsidRPr="00356E19">
        <w:rPr>
          <w:rFonts w:hint="cs"/>
          <w:rtl/>
        </w:rPr>
        <w:t xml:space="preserve">הרפורמה </w:t>
      </w:r>
      <w:r>
        <w:rPr>
          <w:rFonts w:hint="cs"/>
          <w:rtl/>
        </w:rPr>
        <w:t xml:space="preserve">יקבלו טיפול </w:t>
      </w:r>
      <w:r w:rsidRPr="00EA4EA9">
        <w:rPr>
          <w:rFonts w:hint="cs"/>
          <w:rtl/>
        </w:rPr>
        <w:t>כ-</w:t>
      </w:r>
      <w:r>
        <w:rPr>
          <w:rFonts w:hint="cs"/>
          <w:rtl/>
        </w:rPr>
        <w:t>41</w:t>
      </w:r>
      <w:r w:rsidRPr="00EA4EA9">
        <w:rPr>
          <w:rFonts w:hint="cs"/>
          <w:rtl/>
        </w:rPr>
        <w:t>,000</w:t>
      </w:r>
      <w:r w:rsidRPr="00B86D11">
        <w:rPr>
          <w:rtl/>
        </w:rPr>
        <w:t xml:space="preserve"> </w:t>
      </w:r>
      <w:r w:rsidRPr="00EA4EA9">
        <w:rPr>
          <w:rFonts w:hint="cs"/>
          <w:rtl/>
        </w:rPr>
        <w:t xml:space="preserve">מבוגרים וכ-16,000 ילדים </w:t>
      </w:r>
      <w:r>
        <w:rPr>
          <w:rFonts w:hint="cs"/>
          <w:rtl/>
        </w:rPr>
        <w:t>מאוכלוסייה זו</w:t>
      </w:r>
      <w:r w:rsidRPr="000F2ABD">
        <w:rPr>
          <w:rFonts w:hint="cs"/>
          <w:rtl/>
        </w:rPr>
        <w:t>.</w:t>
      </w:r>
      <w:r>
        <w:rPr>
          <w:rFonts w:hint="cs"/>
          <w:rtl/>
        </w:rPr>
        <w:t xml:space="preserve"> </w:t>
      </w:r>
    </w:p>
    <w:p w14:paraId="15C945FE" w14:textId="09CD65A7" w:rsidR="00F3067A" w:rsidRDefault="00B51F5B" w:rsidP="00F3067A">
      <w:pPr>
        <w:pStyle w:val="100"/>
        <w:rPr>
          <w:rtl/>
        </w:rPr>
      </w:pPr>
      <w:r>
        <w:rPr>
          <w:rFonts w:hint="cs"/>
          <w:rtl/>
        </w:rPr>
        <w:t>מאחר שבידי משרד הבריאות אין נתונים על אודות שיעור המטופלים בחברה הערבית</w:t>
      </w:r>
      <w:r w:rsidDel="00F6134F">
        <w:rPr>
          <w:rFonts w:hint="cs"/>
          <w:rtl/>
        </w:rPr>
        <w:t xml:space="preserve"> </w:t>
      </w:r>
      <w:r>
        <w:rPr>
          <w:rFonts w:hint="cs"/>
          <w:rtl/>
        </w:rPr>
        <w:t xml:space="preserve">מתחילת הרפורמה ועד היום, </w:t>
      </w:r>
      <w:r w:rsidRPr="002C095A">
        <w:rPr>
          <w:rtl/>
        </w:rPr>
        <w:t xml:space="preserve">משרד מבקר המדינה בדק </w:t>
      </w:r>
      <w:r>
        <w:rPr>
          <w:rFonts w:hint="cs"/>
          <w:rtl/>
        </w:rPr>
        <w:t>את</w:t>
      </w:r>
      <w:r w:rsidRPr="002C095A">
        <w:rPr>
          <w:rtl/>
        </w:rPr>
        <w:t xml:space="preserve"> </w:t>
      </w:r>
      <w:r>
        <w:rPr>
          <w:rFonts w:hint="cs"/>
          <w:rtl/>
        </w:rPr>
        <w:t xml:space="preserve">שיעור </w:t>
      </w:r>
      <w:r w:rsidRPr="002C095A">
        <w:rPr>
          <w:rtl/>
        </w:rPr>
        <w:t>המטופלים בבריאות הנפש בכל הי</w:t>
      </w:r>
      <w:r>
        <w:rPr>
          <w:rFonts w:hint="cs"/>
          <w:rtl/>
        </w:rPr>
        <w:t>י</w:t>
      </w:r>
      <w:r w:rsidRPr="002C095A">
        <w:rPr>
          <w:rtl/>
        </w:rPr>
        <w:t>שובים בארץ בשנת 2018</w:t>
      </w:r>
      <w:r>
        <w:rPr>
          <w:rFonts w:hint="cs"/>
          <w:rtl/>
        </w:rPr>
        <w:t>, בהשוואה למדדים מקלים מאלו שנקבעו (טיפול ב-1.5% במקום 2% מקרב הילדים וב-3% במקום 4% מקרב המבוגרים), כדי לראות את שיעור המטופלים בחברה הערבית. להלן ריכוז ממצאי הבדיקה:</w:t>
      </w:r>
    </w:p>
    <w:p w14:paraId="27C15D35" w14:textId="77777777" w:rsidR="00F3067A" w:rsidRDefault="00F3067A">
      <w:pPr>
        <w:bidi w:val="0"/>
        <w:spacing w:after="200" w:line="276" w:lineRule="auto"/>
        <w:rPr>
          <w:rFonts w:ascii="Tahoma" w:hAnsi="Tahoma" w:cs="Tahoma"/>
          <w:szCs w:val="20"/>
          <w:rtl/>
        </w:rPr>
      </w:pPr>
      <w:r>
        <w:rPr>
          <w:rtl/>
        </w:rPr>
        <w:br w:type="page"/>
      </w:r>
    </w:p>
    <w:tbl>
      <w:tblPr>
        <w:tblStyle w:val="TableGrid"/>
        <w:tblpPr w:leftFromText="180" w:rightFromText="180" w:vertAnchor="text" w:horzAnchor="margin" w:tblpXSpec="center" w:tblpY="184"/>
        <w:bidiVisual/>
        <w:tblW w:w="9679" w:type="dxa"/>
        <w:tblLayout w:type="fixed"/>
        <w:tblLook w:val="04A0" w:firstRow="1" w:lastRow="0" w:firstColumn="1" w:lastColumn="0" w:noHBand="0" w:noVBand="1"/>
      </w:tblPr>
      <w:tblGrid>
        <w:gridCol w:w="814"/>
        <w:gridCol w:w="849"/>
        <w:gridCol w:w="992"/>
        <w:gridCol w:w="992"/>
        <w:gridCol w:w="859"/>
        <w:gridCol w:w="105"/>
        <w:gridCol w:w="113"/>
        <w:gridCol w:w="277"/>
        <w:gridCol w:w="964"/>
        <w:gridCol w:w="28"/>
        <w:gridCol w:w="798"/>
        <w:gridCol w:w="53"/>
        <w:gridCol w:w="850"/>
        <w:gridCol w:w="7"/>
        <w:gridCol w:w="844"/>
        <w:gridCol w:w="52"/>
        <w:gridCol w:w="1082"/>
      </w:tblGrid>
      <w:tr w:rsidR="00B51F5B" w14:paraId="71DA3600" w14:textId="77777777" w:rsidTr="00EE1070">
        <w:tc>
          <w:tcPr>
            <w:tcW w:w="4506" w:type="dxa"/>
            <w:gridSpan w:val="5"/>
            <w:tcBorders>
              <w:top w:val="nil"/>
              <w:left w:val="nil"/>
              <w:bottom w:val="single" w:sz="4" w:space="0" w:color="auto"/>
              <w:right w:val="nil"/>
            </w:tcBorders>
          </w:tcPr>
          <w:p w14:paraId="658EDBA4" w14:textId="77777777" w:rsidR="00B51F5B" w:rsidRPr="00622D1F" w:rsidRDefault="00B51F5B" w:rsidP="00F3067A">
            <w:pPr>
              <w:pStyle w:val="aa"/>
              <w:rPr>
                <w:rtl/>
              </w:rPr>
            </w:pPr>
            <w:r w:rsidRPr="00622D1F">
              <w:rPr>
                <w:rFonts w:hint="cs"/>
                <w:rtl/>
              </w:rPr>
              <w:lastRenderedPageBreak/>
              <w:t xml:space="preserve">לוח </w:t>
            </w:r>
            <w:r>
              <w:rPr>
                <w:rFonts w:hint="cs"/>
                <w:rtl/>
              </w:rPr>
              <w:t>3</w:t>
            </w:r>
            <w:r w:rsidRPr="00622D1F">
              <w:rPr>
                <w:rFonts w:hint="cs"/>
                <w:rtl/>
              </w:rPr>
              <w:t xml:space="preserve">: </w:t>
            </w:r>
            <w:r w:rsidRPr="00F3067A">
              <w:rPr>
                <w:b/>
                <w:bCs/>
                <w:rtl/>
              </w:rPr>
              <w:t xml:space="preserve">יישובים </w:t>
            </w:r>
            <w:r w:rsidRPr="00F3067A">
              <w:rPr>
                <w:rFonts w:hint="cs"/>
                <w:b/>
                <w:bCs/>
                <w:rtl/>
              </w:rPr>
              <w:t>ש</w:t>
            </w:r>
            <w:r w:rsidRPr="00F3067A">
              <w:rPr>
                <w:b/>
                <w:bCs/>
                <w:rtl/>
              </w:rPr>
              <w:t>בהם 10,000 תושבים</w:t>
            </w:r>
            <w:r w:rsidRPr="00F3067A">
              <w:rPr>
                <w:rFonts w:hint="cs"/>
                <w:b/>
                <w:bCs/>
                <w:rtl/>
              </w:rPr>
              <w:t xml:space="preserve"> לפחות</w:t>
            </w:r>
            <w:r w:rsidRPr="00F3067A">
              <w:rPr>
                <w:b/>
                <w:bCs/>
                <w:rtl/>
              </w:rPr>
              <w:t xml:space="preserve"> מתחת לגיל 18 ו</w:t>
            </w:r>
            <w:r w:rsidRPr="00F3067A">
              <w:rPr>
                <w:rFonts w:hint="cs"/>
                <w:b/>
                <w:bCs/>
                <w:rtl/>
              </w:rPr>
              <w:t>שיעור</w:t>
            </w:r>
            <w:r w:rsidRPr="00F3067A">
              <w:rPr>
                <w:b/>
                <w:bCs/>
                <w:rtl/>
              </w:rPr>
              <w:t xml:space="preserve"> המטופלים נמוך מ-1.5%</w:t>
            </w:r>
          </w:p>
        </w:tc>
        <w:tc>
          <w:tcPr>
            <w:tcW w:w="495" w:type="dxa"/>
            <w:gridSpan w:val="3"/>
            <w:tcBorders>
              <w:top w:val="nil"/>
              <w:left w:val="nil"/>
              <w:bottom w:val="nil"/>
              <w:right w:val="nil"/>
            </w:tcBorders>
          </w:tcPr>
          <w:p w14:paraId="348D0F86" w14:textId="77777777" w:rsidR="00B51F5B" w:rsidRPr="00873569" w:rsidRDefault="00B51F5B" w:rsidP="001D0A16">
            <w:pPr>
              <w:spacing w:line="269" w:lineRule="auto"/>
              <w:rPr>
                <w:sz w:val="18"/>
                <w:szCs w:val="18"/>
                <w:rtl/>
              </w:rPr>
            </w:pPr>
          </w:p>
        </w:tc>
        <w:tc>
          <w:tcPr>
            <w:tcW w:w="4678" w:type="dxa"/>
            <w:gridSpan w:val="9"/>
            <w:tcBorders>
              <w:top w:val="nil"/>
              <w:left w:val="nil"/>
              <w:bottom w:val="single" w:sz="4" w:space="0" w:color="auto"/>
              <w:right w:val="nil"/>
            </w:tcBorders>
          </w:tcPr>
          <w:p w14:paraId="22996591" w14:textId="77777777" w:rsidR="00B51F5B" w:rsidRPr="00873569" w:rsidRDefault="00B51F5B" w:rsidP="00F3067A">
            <w:pPr>
              <w:pStyle w:val="aa"/>
              <w:rPr>
                <w:sz w:val="18"/>
                <w:szCs w:val="18"/>
                <w:rtl/>
              </w:rPr>
            </w:pPr>
            <w:r w:rsidRPr="00622D1F">
              <w:rPr>
                <w:rFonts w:hint="cs"/>
                <w:rtl/>
              </w:rPr>
              <w:t xml:space="preserve">לוח </w:t>
            </w:r>
            <w:r>
              <w:rPr>
                <w:rFonts w:hint="cs"/>
                <w:rtl/>
              </w:rPr>
              <w:t>4</w:t>
            </w:r>
            <w:r w:rsidRPr="00F3067A">
              <w:rPr>
                <w:rFonts w:hint="cs"/>
                <w:b/>
                <w:bCs/>
                <w:rtl/>
              </w:rPr>
              <w:t xml:space="preserve">: </w:t>
            </w:r>
            <w:r w:rsidRPr="00F3067A">
              <w:rPr>
                <w:b/>
                <w:bCs/>
                <w:rtl/>
              </w:rPr>
              <w:t xml:space="preserve">יישובים </w:t>
            </w:r>
            <w:r w:rsidRPr="00F3067A">
              <w:rPr>
                <w:rFonts w:hint="cs"/>
                <w:b/>
                <w:bCs/>
                <w:rtl/>
              </w:rPr>
              <w:t>ש</w:t>
            </w:r>
            <w:r w:rsidRPr="00F3067A">
              <w:rPr>
                <w:b/>
                <w:bCs/>
                <w:rtl/>
              </w:rPr>
              <w:t>בהם 10,000 תושבים</w:t>
            </w:r>
            <w:r w:rsidRPr="00F3067A">
              <w:rPr>
                <w:rFonts w:hint="cs"/>
                <w:b/>
                <w:bCs/>
                <w:rtl/>
              </w:rPr>
              <w:t xml:space="preserve"> לפחות </w:t>
            </w:r>
            <w:r w:rsidRPr="00F3067A">
              <w:rPr>
                <w:b/>
                <w:bCs/>
                <w:rtl/>
              </w:rPr>
              <w:t>מעל לגיל 18 ו</w:t>
            </w:r>
            <w:r w:rsidRPr="00F3067A">
              <w:rPr>
                <w:rFonts w:hint="cs"/>
                <w:b/>
                <w:bCs/>
                <w:rtl/>
              </w:rPr>
              <w:t>שיעור</w:t>
            </w:r>
            <w:r w:rsidRPr="00F3067A">
              <w:rPr>
                <w:b/>
                <w:bCs/>
                <w:rtl/>
              </w:rPr>
              <w:t xml:space="preserve"> המטופלים נמוך מ-3%</w:t>
            </w:r>
          </w:p>
        </w:tc>
      </w:tr>
      <w:tr w:rsidR="00EE1070" w14:paraId="768DD311" w14:textId="77777777" w:rsidTr="00EE1070">
        <w:trPr>
          <w:trHeight w:val="833"/>
        </w:trPr>
        <w:tc>
          <w:tcPr>
            <w:tcW w:w="814" w:type="dxa"/>
            <w:tcBorders>
              <w:top w:val="single" w:sz="4" w:space="0" w:color="auto"/>
            </w:tcBorders>
            <w:shd w:val="clear" w:color="auto" w:fill="C6D9F1"/>
            <w:vAlign w:val="bottom"/>
            <w:hideMark/>
          </w:tcPr>
          <w:p w14:paraId="5B56A565" w14:textId="77777777" w:rsidR="00B51F5B" w:rsidRPr="00EE1070" w:rsidRDefault="00B51F5B" w:rsidP="00794070">
            <w:pPr>
              <w:pStyle w:val="af1"/>
              <w:rPr>
                <w:sz w:val="16"/>
                <w:szCs w:val="16"/>
              </w:rPr>
            </w:pPr>
            <w:r w:rsidRPr="00EE1070">
              <w:rPr>
                <w:sz w:val="16"/>
                <w:szCs w:val="16"/>
                <w:rtl/>
              </w:rPr>
              <w:t>שם יישוב</w:t>
            </w:r>
          </w:p>
        </w:tc>
        <w:tc>
          <w:tcPr>
            <w:tcW w:w="849" w:type="dxa"/>
            <w:tcBorders>
              <w:top w:val="single" w:sz="4" w:space="0" w:color="auto"/>
            </w:tcBorders>
            <w:shd w:val="clear" w:color="auto" w:fill="C6D9F1"/>
            <w:vAlign w:val="bottom"/>
            <w:hideMark/>
          </w:tcPr>
          <w:p w14:paraId="2613F639" w14:textId="77777777" w:rsidR="00B51F5B" w:rsidRPr="00EE1070" w:rsidRDefault="00B51F5B" w:rsidP="00794070">
            <w:pPr>
              <w:pStyle w:val="af1"/>
              <w:rPr>
                <w:sz w:val="16"/>
                <w:szCs w:val="16"/>
                <w:rtl/>
              </w:rPr>
            </w:pPr>
            <w:r w:rsidRPr="00EE1070">
              <w:rPr>
                <w:rFonts w:hint="cs"/>
                <w:sz w:val="16"/>
                <w:szCs w:val="16"/>
                <w:rtl/>
              </w:rPr>
              <w:t xml:space="preserve">חברי קופות החולים </w:t>
            </w:r>
            <w:r w:rsidRPr="00EE1070">
              <w:rPr>
                <w:sz w:val="16"/>
                <w:szCs w:val="16"/>
                <w:rtl/>
              </w:rPr>
              <w:t>מתחת לגיל 18</w:t>
            </w:r>
          </w:p>
        </w:tc>
        <w:tc>
          <w:tcPr>
            <w:tcW w:w="992" w:type="dxa"/>
            <w:tcBorders>
              <w:top w:val="single" w:sz="4" w:space="0" w:color="auto"/>
            </w:tcBorders>
            <w:shd w:val="clear" w:color="auto" w:fill="C6D9F1"/>
            <w:vAlign w:val="bottom"/>
            <w:hideMark/>
          </w:tcPr>
          <w:p w14:paraId="66D9BD13" w14:textId="77777777" w:rsidR="00B51F5B" w:rsidRPr="00EE1070" w:rsidRDefault="00B51F5B" w:rsidP="00794070">
            <w:pPr>
              <w:pStyle w:val="af1"/>
              <w:rPr>
                <w:sz w:val="16"/>
                <w:szCs w:val="16"/>
                <w:rtl/>
              </w:rPr>
            </w:pPr>
            <w:r w:rsidRPr="00EE1070">
              <w:rPr>
                <w:sz w:val="16"/>
                <w:szCs w:val="16"/>
                <w:rtl/>
              </w:rPr>
              <w:t>מטופלים מתחת לגיל 18</w:t>
            </w:r>
          </w:p>
        </w:tc>
        <w:tc>
          <w:tcPr>
            <w:tcW w:w="992" w:type="dxa"/>
            <w:tcBorders>
              <w:top w:val="single" w:sz="4" w:space="0" w:color="auto"/>
            </w:tcBorders>
            <w:shd w:val="clear" w:color="auto" w:fill="C6D9F1"/>
            <w:vAlign w:val="bottom"/>
            <w:hideMark/>
          </w:tcPr>
          <w:p w14:paraId="4A376FF9" w14:textId="1B7DA47A" w:rsidR="00B51F5B" w:rsidRPr="00EE1070" w:rsidRDefault="00B51F5B" w:rsidP="00794070">
            <w:pPr>
              <w:pStyle w:val="af1"/>
              <w:rPr>
                <w:sz w:val="16"/>
                <w:szCs w:val="16"/>
                <w:rtl/>
              </w:rPr>
            </w:pPr>
            <w:r w:rsidRPr="00EE1070">
              <w:rPr>
                <w:sz w:val="16"/>
                <w:szCs w:val="16"/>
                <w:rtl/>
              </w:rPr>
              <w:t>שיעור מטופלים מתחת לגיל 18</w:t>
            </w:r>
          </w:p>
        </w:tc>
        <w:tc>
          <w:tcPr>
            <w:tcW w:w="1077" w:type="dxa"/>
            <w:gridSpan w:val="3"/>
            <w:tcBorders>
              <w:top w:val="single" w:sz="4" w:space="0" w:color="auto"/>
            </w:tcBorders>
            <w:shd w:val="clear" w:color="auto" w:fill="C6D9F1"/>
            <w:vAlign w:val="bottom"/>
            <w:hideMark/>
          </w:tcPr>
          <w:p w14:paraId="4BCF76C7" w14:textId="00232D18" w:rsidR="00B51F5B" w:rsidRPr="00EE1070" w:rsidRDefault="00B51F5B" w:rsidP="00794070">
            <w:pPr>
              <w:pStyle w:val="af1"/>
              <w:rPr>
                <w:sz w:val="16"/>
                <w:szCs w:val="16"/>
                <w:rtl/>
              </w:rPr>
            </w:pPr>
            <w:r w:rsidRPr="00EE1070">
              <w:rPr>
                <w:sz w:val="16"/>
                <w:szCs w:val="16"/>
                <w:rtl/>
              </w:rPr>
              <w:t xml:space="preserve">מאפייני אוכלוסייה </w:t>
            </w:r>
          </w:p>
        </w:tc>
        <w:tc>
          <w:tcPr>
            <w:tcW w:w="277" w:type="dxa"/>
            <w:tcBorders>
              <w:top w:val="nil"/>
              <w:bottom w:val="nil"/>
            </w:tcBorders>
            <w:shd w:val="clear" w:color="auto" w:fill="FFFFFF" w:themeFill="background1"/>
            <w:noWrap/>
            <w:hideMark/>
          </w:tcPr>
          <w:p w14:paraId="710C8988" w14:textId="77777777" w:rsidR="00B51F5B" w:rsidRPr="00F3067A" w:rsidRDefault="00B51F5B" w:rsidP="00F3067A">
            <w:pPr>
              <w:pStyle w:val="af1"/>
              <w:rPr>
                <w:rtl/>
              </w:rPr>
            </w:pPr>
          </w:p>
        </w:tc>
        <w:tc>
          <w:tcPr>
            <w:tcW w:w="964" w:type="dxa"/>
            <w:tcBorders>
              <w:top w:val="single" w:sz="4" w:space="0" w:color="auto"/>
            </w:tcBorders>
            <w:shd w:val="clear" w:color="auto" w:fill="C6D9F1"/>
            <w:vAlign w:val="bottom"/>
            <w:hideMark/>
          </w:tcPr>
          <w:p w14:paraId="09050D10" w14:textId="77777777" w:rsidR="00B51F5B" w:rsidRPr="00F3067A" w:rsidRDefault="00B51F5B" w:rsidP="00794070">
            <w:pPr>
              <w:pStyle w:val="af1"/>
              <w:rPr>
                <w:sz w:val="16"/>
                <w:szCs w:val="16"/>
              </w:rPr>
            </w:pPr>
            <w:r w:rsidRPr="00F3067A">
              <w:rPr>
                <w:sz w:val="16"/>
                <w:szCs w:val="16"/>
                <w:rtl/>
              </w:rPr>
              <w:t>שם יישוב</w:t>
            </w:r>
          </w:p>
        </w:tc>
        <w:tc>
          <w:tcPr>
            <w:tcW w:w="826" w:type="dxa"/>
            <w:gridSpan w:val="2"/>
            <w:tcBorders>
              <w:top w:val="single" w:sz="4" w:space="0" w:color="auto"/>
            </w:tcBorders>
            <w:shd w:val="clear" w:color="auto" w:fill="C6D9F1"/>
            <w:vAlign w:val="bottom"/>
            <w:hideMark/>
          </w:tcPr>
          <w:p w14:paraId="21D2CC99" w14:textId="77777777" w:rsidR="00B51F5B" w:rsidRPr="00F3067A" w:rsidRDefault="00B51F5B" w:rsidP="00794070">
            <w:pPr>
              <w:pStyle w:val="af1"/>
              <w:rPr>
                <w:sz w:val="16"/>
                <w:szCs w:val="16"/>
                <w:rtl/>
              </w:rPr>
            </w:pPr>
            <w:r w:rsidRPr="00F3067A">
              <w:rPr>
                <w:rFonts w:hint="cs"/>
                <w:sz w:val="16"/>
                <w:szCs w:val="16"/>
                <w:rtl/>
              </w:rPr>
              <w:t xml:space="preserve">חברי קופות החולים </w:t>
            </w:r>
            <w:r w:rsidRPr="00F3067A">
              <w:rPr>
                <w:sz w:val="16"/>
                <w:szCs w:val="16"/>
                <w:rtl/>
              </w:rPr>
              <w:t>מעל לגיל 18</w:t>
            </w:r>
          </w:p>
        </w:tc>
        <w:tc>
          <w:tcPr>
            <w:tcW w:w="910" w:type="dxa"/>
            <w:gridSpan w:val="3"/>
            <w:tcBorders>
              <w:top w:val="single" w:sz="4" w:space="0" w:color="auto"/>
            </w:tcBorders>
            <w:shd w:val="clear" w:color="auto" w:fill="C6D9F1"/>
            <w:vAlign w:val="bottom"/>
            <w:hideMark/>
          </w:tcPr>
          <w:p w14:paraId="2EFFBC63" w14:textId="77777777" w:rsidR="00B51F5B" w:rsidRPr="00F3067A" w:rsidRDefault="00B51F5B" w:rsidP="00794070">
            <w:pPr>
              <w:pStyle w:val="af1"/>
              <w:rPr>
                <w:sz w:val="16"/>
                <w:szCs w:val="16"/>
                <w:rtl/>
              </w:rPr>
            </w:pPr>
            <w:r w:rsidRPr="00F3067A">
              <w:rPr>
                <w:sz w:val="16"/>
                <w:szCs w:val="16"/>
                <w:rtl/>
              </w:rPr>
              <w:t>מטופלים מעל לגיל 18</w:t>
            </w:r>
          </w:p>
        </w:tc>
        <w:tc>
          <w:tcPr>
            <w:tcW w:w="896" w:type="dxa"/>
            <w:gridSpan w:val="2"/>
            <w:tcBorders>
              <w:top w:val="single" w:sz="4" w:space="0" w:color="auto"/>
            </w:tcBorders>
            <w:shd w:val="clear" w:color="auto" w:fill="C6D9F1"/>
            <w:vAlign w:val="bottom"/>
            <w:hideMark/>
          </w:tcPr>
          <w:p w14:paraId="23EADB49" w14:textId="2DF49826" w:rsidR="00B51F5B" w:rsidRPr="00F3067A" w:rsidRDefault="00B51F5B" w:rsidP="00794070">
            <w:pPr>
              <w:pStyle w:val="af1"/>
              <w:rPr>
                <w:sz w:val="16"/>
                <w:szCs w:val="16"/>
                <w:rtl/>
              </w:rPr>
            </w:pPr>
            <w:r w:rsidRPr="00F3067A">
              <w:rPr>
                <w:sz w:val="16"/>
                <w:szCs w:val="16"/>
                <w:rtl/>
              </w:rPr>
              <w:t xml:space="preserve">שיעור </w:t>
            </w:r>
            <w:r w:rsidRPr="00255C35">
              <w:rPr>
                <w:spacing w:val="-8"/>
                <w:sz w:val="16"/>
                <w:szCs w:val="16"/>
                <w:rtl/>
              </w:rPr>
              <w:t>מטופלים</w:t>
            </w:r>
            <w:r w:rsidRPr="00F3067A">
              <w:rPr>
                <w:sz w:val="16"/>
                <w:szCs w:val="16"/>
                <w:rtl/>
              </w:rPr>
              <w:t xml:space="preserve"> מעל לגיל 18</w:t>
            </w:r>
          </w:p>
        </w:tc>
        <w:tc>
          <w:tcPr>
            <w:tcW w:w="1082" w:type="dxa"/>
            <w:tcBorders>
              <w:top w:val="single" w:sz="4" w:space="0" w:color="auto"/>
            </w:tcBorders>
            <w:shd w:val="clear" w:color="auto" w:fill="C6D9F1"/>
            <w:vAlign w:val="bottom"/>
            <w:hideMark/>
          </w:tcPr>
          <w:p w14:paraId="03EB57A4" w14:textId="2AD0E3B7" w:rsidR="00B51F5B" w:rsidRPr="00F3067A" w:rsidRDefault="00B51F5B" w:rsidP="00794070">
            <w:pPr>
              <w:pStyle w:val="af1"/>
              <w:rPr>
                <w:sz w:val="16"/>
                <w:szCs w:val="16"/>
                <w:rtl/>
              </w:rPr>
            </w:pPr>
            <w:r w:rsidRPr="00F3067A">
              <w:rPr>
                <w:sz w:val="16"/>
                <w:szCs w:val="16"/>
                <w:rtl/>
              </w:rPr>
              <w:t xml:space="preserve">מאפייני אוכלוסייה </w:t>
            </w:r>
          </w:p>
        </w:tc>
      </w:tr>
      <w:tr w:rsidR="00B51F5B" w14:paraId="2D00510B" w14:textId="77777777" w:rsidTr="00EE1070">
        <w:trPr>
          <w:trHeight w:val="343"/>
        </w:trPr>
        <w:tc>
          <w:tcPr>
            <w:tcW w:w="814" w:type="dxa"/>
            <w:noWrap/>
            <w:hideMark/>
          </w:tcPr>
          <w:p w14:paraId="39E71EA0" w14:textId="77777777" w:rsidR="00B51F5B" w:rsidRPr="00EE1070" w:rsidRDefault="00B51F5B" w:rsidP="00F3067A">
            <w:pPr>
              <w:pStyle w:val="R"/>
              <w:rPr>
                <w:sz w:val="16"/>
                <w:szCs w:val="16"/>
                <w:rtl/>
              </w:rPr>
            </w:pPr>
            <w:r w:rsidRPr="00EE1070">
              <w:rPr>
                <w:sz w:val="16"/>
                <w:szCs w:val="16"/>
                <w:rtl/>
              </w:rPr>
              <w:t>טמרה</w:t>
            </w:r>
          </w:p>
        </w:tc>
        <w:tc>
          <w:tcPr>
            <w:tcW w:w="849" w:type="dxa"/>
            <w:noWrap/>
            <w:hideMark/>
          </w:tcPr>
          <w:p w14:paraId="728EA5E1" w14:textId="77777777" w:rsidR="00B51F5B" w:rsidRPr="00EE1070" w:rsidRDefault="00B51F5B" w:rsidP="00F3067A">
            <w:pPr>
              <w:pStyle w:val="R"/>
              <w:rPr>
                <w:sz w:val="16"/>
                <w:szCs w:val="16"/>
                <w:rtl/>
              </w:rPr>
            </w:pPr>
            <w:r w:rsidRPr="00EE1070">
              <w:rPr>
                <w:sz w:val="16"/>
                <w:szCs w:val="16"/>
              </w:rPr>
              <w:t xml:space="preserve"> 12,035 </w:t>
            </w:r>
          </w:p>
        </w:tc>
        <w:tc>
          <w:tcPr>
            <w:tcW w:w="992" w:type="dxa"/>
            <w:noWrap/>
            <w:hideMark/>
          </w:tcPr>
          <w:p w14:paraId="657EAD0F" w14:textId="77777777" w:rsidR="00B51F5B" w:rsidRPr="00EE1070" w:rsidRDefault="00B51F5B" w:rsidP="00F3067A">
            <w:pPr>
              <w:pStyle w:val="R"/>
              <w:rPr>
                <w:rFonts w:asciiTheme="minorHAnsi" w:hAnsiTheme="minorHAnsi"/>
                <w:sz w:val="16"/>
                <w:szCs w:val="16"/>
                <w:rtl/>
              </w:rPr>
            </w:pPr>
            <w:r w:rsidRPr="00EE1070">
              <w:rPr>
                <w:sz w:val="16"/>
                <w:szCs w:val="16"/>
              </w:rPr>
              <w:t xml:space="preserve"> 57 </w:t>
            </w:r>
          </w:p>
        </w:tc>
        <w:tc>
          <w:tcPr>
            <w:tcW w:w="992" w:type="dxa"/>
            <w:noWrap/>
            <w:hideMark/>
          </w:tcPr>
          <w:p w14:paraId="47C21042" w14:textId="77777777" w:rsidR="00B51F5B" w:rsidRPr="00EE1070" w:rsidRDefault="00B51F5B" w:rsidP="00F3067A">
            <w:pPr>
              <w:pStyle w:val="R"/>
              <w:rPr>
                <w:sz w:val="16"/>
                <w:szCs w:val="16"/>
              </w:rPr>
            </w:pPr>
            <w:r w:rsidRPr="00EE1070">
              <w:rPr>
                <w:sz w:val="16"/>
                <w:szCs w:val="16"/>
              </w:rPr>
              <w:t>0.47%</w:t>
            </w:r>
          </w:p>
        </w:tc>
        <w:tc>
          <w:tcPr>
            <w:tcW w:w="1077" w:type="dxa"/>
            <w:gridSpan w:val="3"/>
            <w:shd w:val="clear" w:color="auto" w:fill="FFFF00"/>
            <w:noWrap/>
            <w:hideMark/>
          </w:tcPr>
          <w:p w14:paraId="7AF69ED2"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6237DF3D"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147C183B" w14:textId="73E069BF" w:rsidR="00B51F5B" w:rsidRPr="00F3067A" w:rsidRDefault="00B51F5B" w:rsidP="00794070">
            <w:pPr>
              <w:pStyle w:val="R"/>
              <w:rPr>
                <w:rFonts w:ascii="David" w:hAnsi="David"/>
                <w:color w:val="000000"/>
                <w:sz w:val="16"/>
                <w:szCs w:val="16"/>
              </w:rPr>
            </w:pPr>
            <w:r w:rsidRPr="00F3067A">
              <w:rPr>
                <w:rFonts w:ascii="David" w:hAnsi="David"/>
                <w:color w:val="000000"/>
                <w:sz w:val="16"/>
                <w:szCs w:val="16"/>
                <w:rtl/>
              </w:rPr>
              <w:t>באקה</w:t>
            </w:r>
            <w:r w:rsidR="00794070">
              <w:rPr>
                <w:rFonts w:ascii="David" w:hAnsi="David" w:hint="cs"/>
                <w:color w:val="000000"/>
                <w:sz w:val="16"/>
                <w:szCs w:val="16"/>
                <w:rtl/>
              </w:rPr>
              <w:br/>
            </w:r>
            <w:r w:rsidRPr="00F3067A">
              <w:rPr>
                <w:rFonts w:ascii="David" w:hAnsi="David"/>
                <w:color w:val="000000"/>
                <w:sz w:val="16"/>
                <w:szCs w:val="16"/>
                <w:rtl/>
              </w:rPr>
              <w:t>אל-</w:t>
            </w:r>
            <w:r w:rsidRPr="00F3067A">
              <w:rPr>
                <w:rFonts w:ascii="David" w:eastAsia="Times New Roman" w:hAnsi="David"/>
                <w:color w:val="000000"/>
                <w:sz w:val="16"/>
                <w:szCs w:val="16"/>
                <w:rtl/>
              </w:rPr>
              <w:t>גרב</w:t>
            </w:r>
            <w:r w:rsidRPr="00F3067A">
              <w:rPr>
                <w:rFonts w:ascii="David" w:eastAsia="Times New Roman" w:hAnsi="David" w:hint="cs"/>
                <w:color w:val="000000"/>
                <w:sz w:val="16"/>
                <w:szCs w:val="16"/>
                <w:rtl/>
              </w:rPr>
              <w:t>י</w:t>
            </w:r>
            <w:r w:rsidRPr="00F3067A">
              <w:rPr>
                <w:rFonts w:ascii="David" w:eastAsia="Times New Roman" w:hAnsi="David"/>
                <w:color w:val="000000"/>
                <w:sz w:val="16"/>
                <w:szCs w:val="16"/>
                <w:rtl/>
              </w:rPr>
              <w:t>יה</w:t>
            </w:r>
          </w:p>
        </w:tc>
        <w:tc>
          <w:tcPr>
            <w:tcW w:w="826" w:type="dxa"/>
            <w:gridSpan w:val="2"/>
            <w:noWrap/>
            <w:hideMark/>
          </w:tcPr>
          <w:p w14:paraId="77BA4694" w14:textId="77777777" w:rsidR="00B51F5B" w:rsidRPr="00794070" w:rsidRDefault="00B51F5B" w:rsidP="00F3067A">
            <w:pPr>
              <w:pStyle w:val="R"/>
              <w:rPr>
                <w:color w:val="000000"/>
                <w:sz w:val="16"/>
                <w:szCs w:val="16"/>
                <w:rtl/>
              </w:rPr>
            </w:pPr>
            <w:r w:rsidRPr="00794070">
              <w:rPr>
                <w:color w:val="000000"/>
                <w:sz w:val="16"/>
                <w:szCs w:val="16"/>
              </w:rPr>
              <w:t xml:space="preserve"> 17,809 </w:t>
            </w:r>
          </w:p>
        </w:tc>
        <w:tc>
          <w:tcPr>
            <w:tcW w:w="910" w:type="dxa"/>
            <w:gridSpan w:val="3"/>
            <w:noWrap/>
            <w:hideMark/>
          </w:tcPr>
          <w:p w14:paraId="40328FFB" w14:textId="77777777" w:rsidR="00B51F5B" w:rsidRPr="00794070" w:rsidRDefault="00B51F5B" w:rsidP="00F3067A">
            <w:pPr>
              <w:pStyle w:val="R"/>
              <w:rPr>
                <w:color w:val="000000"/>
                <w:sz w:val="16"/>
                <w:szCs w:val="16"/>
              </w:rPr>
            </w:pPr>
            <w:r w:rsidRPr="00794070">
              <w:rPr>
                <w:color w:val="000000"/>
                <w:sz w:val="16"/>
                <w:szCs w:val="16"/>
              </w:rPr>
              <w:t xml:space="preserve">222 </w:t>
            </w:r>
          </w:p>
        </w:tc>
        <w:tc>
          <w:tcPr>
            <w:tcW w:w="896" w:type="dxa"/>
            <w:gridSpan w:val="2"/>
            <w:noWrap/>
            <w:hideMark/>
          </w:tcPr>
          <w:p w14:paraId="6ECA5F88" w14:textId="77777777" w:rsidR="00B51F5B" w:rsidRPr="00794070" w:rsidRDefault="00B51F5B" w:rsidP="00F3067A">
            <w:pPr>
              <w:pStyle w:val="R"/>
              <w:rPr>
                <w:color w:val="000000"/>
                <w:sz w:val="16"/>
                <w:szCs w:val="16"/>
              </w:rPr>
            </w:pPr>
            <w:r w:rsidRPr="00794070">
              <w:rPr>
                <w:color w:val="000000"/>
                <w:sz w:val="16"/>
                <w:szCs w:val="16"/>
              </w:rPr>
              <w:t>1.25%</w:t>
            </w:r>
          </w:p>
        </w:tc>
        <w:tc>
          <w:tcPr>
            <w:tcW w:w="1082" w:type="dxa"/>
            <w:shd w:val="clear" w:color="auto" w:fill="FFFF00"/>
            <w:noWrap/>
            <w:hideMark/>
          </w:tcPr>
          <w:p w14:paraId="64BFCBF5"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6B1121ED" w14:textId="77777777" w:rsidTr="00EE1070">
        <w:trPr>
          <w:trHeight w:val="285"/>
        </w:trPr>
        <w:tc>
          <w:tcPr>
            <w:tcW w:w="814" w:type="dxa"/>
            <w:noWrap/>
            <w:hideMark/>
          </w:tcPr>
          <w:p w14:paraId="0031E113" w14:textId="77777777" w:rsidR="00B51F5B" w:rsidRPr="00EE1070" w:rsidRDefault="00B51F5B" w:rsidP="00F3067A">
            <w:pPr>
              <w:pStyle w:val="R"/>
              <w:rPr>
                <w:sz w:val="16"/>
                <w:szCs w:val="16"/>
                <w:rtl/>
              </w:rPr>
            </w:pPr>
            <w:r w:rsidRPr="00EE1070">
              <w:rPr>
                <w:sz w:val="16"/>
                <w:szCs w:val="16"/>
                <w:rtl/>
              </w:rPr>
              <w:t>רהט</w:t>
            </w:r>
          </w:p>
        </w:tc>
        <w:tc>
          <w:tcPr>
            <w:tcW w:w="849" w:type="dxa"/>
            <w:noWrap/>
            <w:hideMark/>
          </w:tcPr>
          <w:p w14:paraId="149453B9" w14:textId="77777777" w:rsidR="00B51F5B" w:rsidRPr="00EE1070" w:rsidRDefault="00B51F5B" w:rsidP="00F3067A">
            <w:pPr>
              <w:pStyle w:val="R"/>
              <w:rPr>
                <w:sz w:val="16"/>
                <w:szCs w:val="16"/>
                <w:rtl/>
              </w:rPr>
            </w:pPr>
            <w:r w:rsidRPr="00EE1070">
              <w:rPr>
                <w:sz w:val="16"/>
                <w:szCs w:val="16"/>
              </w:rPr>
              <w:t xml:space="preserve"> 31,979 </w:t>
            </w:r>
          </w:p>
        </w:tc>
        <w:tc>
          <w:tcPr>
            <w:tcW w:w="992" w:type="dxa"/>
            <w:noWrap/>
            <w:hideMark/>
          </w:tcPr>
          <w:p w14:paraId="195C8E11" w14:textId="77777777" w:rsidR="00B51F5B" w:rsidRPr="00EE1070" w:rsidRDefault="00B51F5B" w:rsidP="00F3067A">
            <w:pPr>
              <w:pStyle w:val="R"/>
              <w:rPr>
                <w:sz w:val="16"/>
                <w:szCs w:val="16"/>
              </w:rPr>
            </w:pPr>
            <w:r w:rsidRPr="00EE1070">
              <w:rPr>
                <w:sz w:val="16"/>
                <w:szCs w:val="16"/>
              </w:rPr>
              <w:t xml:space="preserve">248 </w:t>
            </w:r>
          </w:p>
        </w:tc>
        <w:tc>
          <w:tcPr>
            <w:tcW w:w="992" w:type="dxa"/>
            <w:noWrap/>
            <w:hideMark/>
          </w:tcPr>
          <w:p w14:paraId="0EC2EA51" w14:textId="77777777" w:rsidR="00B51F5B" w:rsidRPr="00EE1070" w:rsidRDefault="00B51F5B" w:rsidP="00F3067A">
            <w:pPr>
              <w:pStyle w:val="R"/>
              <w:rPr>
                <w:sz w:val="16"/>
                <w:szCs w:val="16"/>
              </w:rPr>
            </w:pPr>
            <w:r w:rsidRPr="00EE1070">
              <w:rPr>
                <w:sz w:val="16"/>
                <w:szCs w:val="16"/>
              </w:rPr>
              <w:t>0.78%</w:t>
            </w:r>
          </w:p>
        </w:tc>
        <w:tc>
          <w:tcPr>
            <w:tcW w:w="1077" w:type="dxa"/>
            <w:gridSpan w:val="3"/>
            <w:shd w:val="clear" w:color="auto" w:fill="FFFF00"/>
            <w:noWrap/>
            <w:hideMark/>
          </w:tcPr>
          <w:p w14:paraId="66A3DDAD"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377C2759"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30FE43CB" w14:textId="77777777" w:rsidR="00B51F5B" w:rsidRPr="00F3067A" w:rsidRDefault="00B51F5B" w:rsidP="00F3067A">
            <w:pPr>
              <w:pStyle w:val="R"/>
              <w:rPr>
                <w:rFonts w:ascii="David" w:hAnsi="David"/>
                <w:color w:val="000000"/>
                <w:sz w:val="16"/>
                <w:szCs w:val="16"/>
                <w:rtl/>
              </w:rPr>
            </w:pPr>
            <w:r w:rsidRPr="00F3067A">
              <w:rPr>
                <w:rFonts w:ascii="David" w:hAnsi="David"/>
                <w:color w:val="000000"/>
                <w:sz w:val="16"/>
                <w:szCs w:val="16"/>
                <w:rtl/>
              </w:rPr>
              <w:t>כפר מנדא</w:t>
            </w:r>
          </w:p>
        </w:tc>
        <w:tc>
          <w:tcPr>
            <w:tcW w:w="826" w:type="dxa"/>
            <w:gridSpan w:val="2"/>
            <w:noWrap/>
            <w:hideMark/>
          </w:tcPr>
          <w:p w14:paraId="257BA102" w14:textId="77777777" w:rsidR="00B51F5B" w:rsidRPr="00794070" w:rsidRDefault="00B51F5B" w:rsidP="00F3067A">
            <w:pPr>
              <w:pStyle w:val="R"/>
              <w:rPr>
                <w:color w:val="000000"/>
                <w:sz w:val="16"/>
                <w:szCs w:val="16"/>
                <w:rtl/>
              </w:rPr>
            </w:pPr>
            <w:r w:rsidRPr="00794070">
              <w:rPr>
                <w:color w:val="000000"/>
                <w:sz w:val="16"/>
                <w:szCs w:val="16"/>
              </w:rPr>
              <w:t xml:space="preserve"> 11,545 </w:t>
            </w:r>
          </w:p>
        </w:tc>
        <w:tc>
          <w:tcPr>
            <w:tcW w:w="910" w:type="dxa"/>
            <w:gridSpan w:val="3"/>
            <w:noWrap/>
            <w:hideMark/>
          </w:tcPr>
          <w:p w14:paraId="12DC9089" w14:textId="77777777" w:rsidR="00B51F5B" w:rsidRPr="00794070" w:rsidRDefault="00B51F5B" w:rsidP="00F3067A">
            <w:pPr>
              <w:pStyle w:val="R"/>
              <w:rPr>
                <w:color w:val="000000"/>
                <w:sz w:val="16"/>
                <w:szCs w:val="16"/>
              </w:rPr>
            </w:pPr>
            <w:r w:rsidRPr="00794070">
              <w:rPr>
                <w:color w:val="000000"/>
                <w:sz w:val="16"/>
                <w:szCs w:val="16"/>
              </w:rPr>
              <w:t xml:space="preserve">207 </w:t>
            </w:r>
          </w:p>
        </w:tc>
        <w:tc>
          <w:tcPr>
            <w:tcW w:w="896" w:type="dxa"/>
            <w:gridSpan w:val="2"/>
            <w:noWrap/>
            <w:hideMark/>
          </w:tcPr>
          <w:p w14:paraId="32A1A433" w14:textId="77777777" w:rsidR="00B51F5B" w:rsidRPr="00794070" w:rsidRDefault="00B51F5B" w:rsidP="00F3067A">
            <w:pPr>
              <w:pStyle w:val="R"/>
              <w:rPr>
                <w:color w:val="000000"/>
                <w:sz w:val="16"/>
                <w:szCs w:val="16"/>
              </w:rPr>
            </w:pPr>
            <w:r w:rsidRPr="00794070">
              <w:rPr>
                <w:color w:val="000000"/>
                <w:sz w:val="16"/>
                <w:szCs w:val="16"/>
              </w:rPr>
              <w:t>1.79%</w:t>
            </w:r>
          </w:p>
        </w:tc>
        <w:tc>
          <w:tcPr>
            <w:tcW w:w="1082" w:type="dxa"/>
            <w:shd w:val="clear" w:color="auto" w:fill="FFFF00"/>
            <w:noWrap/>
            <w:hideMark/>
          </w:tcPr>
          <w:p w14:paraId="7E24F67D"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187423E0" w14:textId="77777777" w:rsidTr="00EE1070">
        <w:trPr>
          <w:trHeight w:val="285"/>
        </w:trPr>
        <w:tc>
          <w:tcPr>
            <w:tcW w:w="814" w:type="dxa"/>
            <w:noWrap/>
            <w:hideMark/>
          </w:tcPr>
          <w:p w14:paraId="0B4F7F81" w14:textId="4E121A81" w:rsidR="00B51F5B" w:rsidRPr="00EE1070" w:rsidRDefault="00B51F5B" w:rsidP="00341848">
            <w:pPr>
              <w:pStyle w:val="R"/>
              <w:rPr>
                <w:sz w:val="16"/>
                <w:szCs w:val="16"/>
                <w:rtl/>
              </w:rPr>
            </w:pPr>
            <w:r w:rsidRPr="00EE1070">
              <w:rPr>
                <w:sz w:val="16"/>
                <w:szCs w:val="16"/>
                <w:rtl/>
              </w:rPr>
              <w:t>תל</w:t>
            </w:r>
            <w:r w:rsidR="00341848" w:rsidRPr="00EE1070">
              <w:rPr>
                <w:rFonts w:hint="cs"/>
                <w:sz w:val="16"/>
                <w:szCs w:val="16"/>
                <w:rtl/>
              </w:rPr>
              <w:br/>
            </w:r>
            <w:r w:rsidRPr="00EE1070">
              <w:rPr>
                <w:sz w:val="16"/>
                <w:szCs w:val="16"/>
                <w:rtl/>
              </w:rPr>
              <w:t>שבע</w:t>
            </w:r>
          </w:p>
        </w:tc>
        <w:tc>
          <w:tcPr>
            <w:tcW w:w="849" w:type="dxa"/>
            <w:noWrap/>
            <w:hideMark/>
          </w:tcPr>
          <w:p w14:paraId="03DB3BD4" w14:textId="77777777" w:rsidR="00B51F5B" w:rsidRPr="00EE1070" w:rsidRDefault="00B51F5B" w:rsidP="00F3067A">
            <w:pPr>
              <w:pStyle w:val="R"/>
              <w:rPr>
                <w:sz w:val="16"/>
                <w:szCs w:val="16"/>
                <w:rtl/>
              </w:rPr>
            </w:pPr>
            <w:r w:rsidRPr="00EE1070">
              <w:rPr>
                <w:sz w:val="16"/>
                <w:szCs w:val="16"/>
              </w:rPr>
              <w:t xml:space="preserve"> 10,687 </w:t>
            </w:r>
          </w:p>
        </w:tc>
        <w:tc>
          <w:tcPr>
            <w:tcW w:w="992" w:type="dxa"/>
            <w:noWrap/>
            <w:hideMark/>
          </w:tcPr>
          <w:p w14:paraId="0C92DDD4" w14:textId="77777777" w:rsidR="00B51F5B" w:rsidRPr="00EE1070" w:rsidRDefault="00B51F5B" w:rsidP="00F3067A">
            <w:pPr>
              <w:pStyle w:val="R"/>
              <w:rPr>
                <w:sz w:val="16"/>
                <w:szCs w:val="16"/>
              </w:rPr>
            </w:pPr>
            <w:r w:rsidRPr="00EE1070">
              <w:rPr>
                <w:sz w:val="16"/>
                <w:szCs w:val="16"/>
              </w:rPr>
              <w:t xml:space="preserve"> 83 </w:t>
            </w:r>
          </w:p>
        </w:tc>
        <w:tc>
          <w:tcPr>
            <w:tcW w:w="992" w:type="dxa"/>
            <w:noWrap/>
            <w:hideMark/>
          </w:tcPr>
          <w:p w14:paraId="7954CF20" w14:textId="77777777" w:rsidR="00B51F5B" w:rsidRPr="00EE1070" w:rsidRDefault="00B51F5B" w:rsidP="00F3067A">
            <w:pPr>
              <w:pStyle w:val="R"/>
              <w:rPr>
                <w:sz w:val="16"/>
                <w:szCs w:val="16"/>
              </w:rPr>
            </w:pPr>
            <w:r w:rsidRPr="00EE1070">
              <w:rPr>
                <w:sz w:val="16"/>
                <w:szCs w:val="16"/>
              </w:rPr>
              <w:t>0.78%</w:t>
            </w:r>
          </w:p>
        </w:tc>
        <w:tc>
          <w:tcPr>
            <w:tcW w:w="1077" w:type="dxa"/>
            <w:gridSpan w:val="3"/>
            <w:shd w:val="clear" w:color="auto" w:fill="FFFF00"/>
            <w:noWrap/>
            <w:hideMark/>
          </w:tcPr>
          <w:p w14:paraId="459AF8E8"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654BC6E7"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271A77F7"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יפיע</w:t>
            </w:r>
          </w:p>
        </w:tc>
        <w:tc>
          <w:tcPr>
            <w:tcW w:w="826" w:type="dxa"/>
            <w:gridSpan w:val="2"/>
            <w:noWrap/>
            <w:hideMark/>
          </w:tcPr>
          <w:p w14:paraId="3D7915B9" w14:textId="77777777" w:rsidR="00B51F5B" w:rsidRPr="00794070" w:rsidRDefault="00B51F5B" w:rsidP="00F3067A">
            <w:pPr>
              <w:pStyle w:val="R"/>
              <w:rPr>
                <w:color w:val="000000"/>
                <w:sz w:val="16"/>
                <w:szCs w:val="16"/>
                <w:rtl/>
              </w:rPr>
            </w:pPr>
            <w:r w:rsidRPr="00794070">
              <w:rPr>
                <w:color w:val="000000"/>
                <w:sz w:val="16"/>
                <w:szCs w:val="16"/>
              </w:rPr>
              <w:t xml:space="preserve"> 12,216 </w:t>
            </w:r>
          </w:p>
        </w:tc>
        <w:tc>
          <w:tcPr>
            <w:tcW w:w="910" w:type="dxa"/>
            <w:gridSpan w:val="3"/>
            <w:noWrap/>
            <w:hideMark/>
          </w:tcPr>
          <w:p w14:paraId="69432FA0" w14:textId="77777777" w:rsidR="00B51F5B" w:rsidRPr="00794070" w:rsidRDefault="00B51F5B" w:rsidP="00F3067A">
            <w:pPr>
              <w:pStyle w:val="R"/>
              <w:rPr>
                <w:color w:val="000000"/>
                <w:sz w:val="16"/>
                <w:szCs w:val="16"/>
              </w:rPr>
            </w:pPr>
            <w:r w:rsidRPr="00794070">
              <w:rPr>
                <w:color w:val="000000"/>
                <w:sz w:val="16"/>
                <w:szCs w:val="16"/>
              </w:rPr>
              <w:t xml:space="preserve">224 </w:t>
            </w:r>
          </w:p>
        </w:tc>
        <w:tc>
          <w:tcPr>
            <w:tcW w:w="896" w:type="dxa"/>
            <w:gridSpan w:val="2"/>
            <w:noWrap/>
            <w:hideMark/>
          </w:tcPr>
          <w:p w14:paraId="5186E9A9" w14:textId="77777777" w:rsidR="00B51F5B" w:rsidRPr="00794070" w:rsidRDefault="00B51F5B" w:rsidP="00F3067A">
            <w:pPr>
              <w:pStyle w:val="R"/>
              <w:rPr>
                <w:color w:val="000000"/>
                <w:sz w:val="16"/>
                <w:szCs w:val="16"/>
              </w:rPr>
            </w:pPr>
            <w:r w:rsidRPr="00794070">
              <w:rPr>
                <w:color w:val="000000"/>
                <w:sz w:val="16"/>
                <w:szCs w:val="16"/>
              </w:rPr>
              <w:t>1.83%</w:t>
            </w:r>
          </w:p>
        </w:tc>
        <w:tc>
          <w:tcPr>
            <w:tcW w:w="1082" w:type="dxa"/>
            <w:shd w:val="clear" w:color="auto" w:fill="FFFF00"/>
            <w:noWrap/>
            <w:hideMark/>
          </w:tcPr>
          <w:p w14:paraId="3FBEDEBF"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349CD8A9" w14:textId="77777777" w:rsidTr="00EE1070">
        <w:trPr>
          <w:trHeight w:val="285"/>
        </w:trPr>
        <w:tc>
          <w:tcPr>
            <w:tcW w:w="814" w:type="dxa"/>
            <w:noWrap/>
            <w:hideMark/>
          </w:tcPr>
          <w:p w14:paraId="3A90FDB9" w14:textId="77777777" w:rsidR="00B51F5B" w:rsidRPr="00EE1070" w:rsidRDefault="00B51F5B" w:rsidP="00F3067A">
            <w:pPr>
              <w:pStyle w:val="R"/>
              <w:rPr>
                <w:sz w:val="16"/>
                <w:szCs w:val="16"/>
                <w:rtl/>
              </w:rPr>
            </w:pPr>
            <w:r w:rsidRPr="00EE1070">
              <w:rPr>
                <w:sz w:val="16"/>
                <w:szCs w:val="16"/>
                <w:rtl/>
              </w:rPr>
              <w:t>שפרעם</w:t>
            </w:r>
          </w:p>
        </w:tc>
        <w:tc>
          <w:tcPr>
            <w:tcW w:w="849" w:type="dxa"/>
            <w:noWrap/>
            <w:hideMark/>
          </w:tcPr>
          <w:p w14:paraId="676288A2" w14:textId="77777777" w:rsidR="00B51F5B" w:rsidRPr="00EE1070" w:rsidRDefault="00B51F5B" w:rsidP="00F3067A">
            <w:pPr>
              <w:pStyle w:val="R"/>
              <w:rPr>
                <w:sz w:val="16"/>
                <w:szCs w:val="16"/>
                <w:rtl/>
              </w:rPr>
            </w:pPr>
            <w:r w:rsidRPr="00EE1070">
              <w:rPr>
                <w:sz w:val="16"/>
                <w:szCs w:val="16"/>
              </w:rPr>
              <w:t xml:space="preserve"> 13,115 </w:t>
            </w:r>
          </w:p>
        </w:tc>
        <w:tc>
          <w:tcPr>
            <w:tcW w:w="992" w:type="dxa"/>
            <w:noWrap/>
            <w:hideMark/>
          </w:tcPr>
          <w:p w14:paraId="4A20944E" w14:textId="77777777" w:rsidR="00B51F5B" w:rsidRPr="00EE1070" w:rsidRDefault="00B51F5B" w:rsidP="00F3067A">
            <w:pPr>
              <w:pStyle w:val="R"/>
              <w:rPr>
                <w:sz w:val="16"/>
                <w:szCs w:val="16"/>
              </w:rPr>
            </w:pPr>
            <w:r w:rsidRPr="00EE1070">
              <w:rPr>
                <w:sz w:val="16"/>
                <w:szCs w:val="16"/>
              </w:rPr>
              <w:t xml:space="preserve">124 </w:t>
            </w:r>
          </w:p>
        </w:tc>
        <w:tc>
          <w:tcPr>
            <w:tcW w:w="992" w:type="dxa"/>
            <w:noWrap/>
            <w:hideMark/>
          </w:tcPr>
          <w:p w14:paraId="5EE64BED" w14:textId="77777777" w:rsidR="00B51F5B" w:rsidRPr="00EE1070" w:rsidRDefault="00B51F5B" w:rsidP="00F3067A">
            <w:pPr>
              <w:pStyle w:val="R"/>
              <w:rPr>
                <w:sz w:val="16"/>
                <w:szCs w:val="16"/>
              </w:rPr>
            </w:pPr>
            <w:r w:rsidRPr="00EE1070">
              <w:rPr>
                <w:sz w:val="16"/>
                <w:szCs w:val="16"/>
              </w:rPr>
              <w:t>0.95%</w:t>
            </w:r>
          </w:p>
        </w:tc>
        <w:tc>
          <w:tcPr>
            <w:tcW w:w="1077" w:type="dxa"/>
            <w:gridSpan w:val="3"/>
            <w:shd w:val="clear" w:color="auto" w:fill="FFFF00"/>
            <w:noWrap/>
            <w:hideMark/>
          </w:tcPr>
          <w:p w14:paraId="43FBA9E6"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28B1BE7D"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45E58465"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כפר כנא</w:t>
            </w:r>
          </w:p>
        </w:tc>
        <w:tc>
          <w:tcPr>
            <w:tcW w:w="826" w:type="dxa"/>
            <w:gridSpan w:val="2"/>
            <w:noWrap/>
            <w:hideMark/>
          </w:tcPr>
          <w:p w14:paraId="1114FF5F" w14:textId="77777777" w:rsidR="00B51F5B" w:rsidRPr="00794070" w:rsidRDefault="00B51F5B" w:rsidP="00F3067A">
            <w:pPr>
              <w:pStyle w:val="R"/>
              <w:rPr>
                <w:color w:val="000000"/>
                <w:sz w:val="16"/>
                <w:szCs w:val="16"/>
                <w:rtl/>
              </w:rPr>
            </w:pPr>
            <w:r w:rsidRPr="00794070">
              <w:rPr>
                <w:color w:val="000000"/>
                <w:sz w:val="16"/>
                <w:szCs w:val="16"/>
              </w:rPr>
              <w:t xml:space="preserve"> 13,535 </w:t>
            </w:r>
          </w:p>
        </w:tc>
        <w:tc>
          <w:tcPr>
            <w:tcW w:w="910" w:type="dxa"/>
            <w:gridSpan w:val="3"/>
            <w:noWrap/>
            <w:hideMark/>
          </w:tcPr>
          <w:p w14:paraId="6D958978" w14:textId="77777777" w:rsidR="00B51F5B" w:rsidRPr="00794070" w:rsidRDefault="00B51F5B" w:rsidP="00F3067A">
            <w:pPr>
              <w:pStyle w:val="R"/>
              <w:rPr>
                <w:color w:val="000000"/>
                <w:sz w:val="16"/>
                <w:szCs w:val="16"/>
              </w:rPr>
            </w:pPr>
            <w:r w:rsidRPr="00794070">
              <w:rPr>
                <w:color w:val="000000"/>
                <w:sz w:val="16"/>
                <w:szCs w:val="16"/>
              </w:rPr>
              <w:t xml:space="preserve">252 </w:t>
            </w:r>
          </w:p>
        </w:tc>
        <w:tc>
          <w:tcPr>
            <w:tcW w:w="896" w:type="dxa"/>
            <w:gridSpan w:val="2"/>
            <w:noWrap/>
            <w:hideMark/>
          </w:tcPr>
          <w:p w14:paraId="1CC7B602" w14:textId="77777777" w:rsidR="00B51F5B" w:rsidRPr="00794070" w:rsidRDefault="00B51F5B" w:rsidP="00F3067A">
            <w:pPr>
              <w:pStyle w:val="R"/>
              <w:rPr>
                <w:color w:val="000000"/>
                <w:sz w:val="16"/>
                <w:szCs w:val="16"/>
              </w:rPr>
            </w:pPr>
            <w:r w:rsidRPr="00794070">
              <w:rPr>
                <w:color w:val="000000"/>
                <w:sz w:val="16"/>
                <w:szCs w:val="16"/>
              </w:rPr>
              <w:t>1.86%</w:t>
            </w:r>
          </w:p>
        </w:tc>
        <w:tc>
          <w:tcPr>
            <w:tcW w:w="1082" w:type="dxa"/>
            <w:shd w:val="clear" w:color="auto" w:fill="FFFF00"/>
            <w:noWrap/>
            <w:hideMark/>
          </w:tcPr>
          <w:p w14:paraId="349E367B"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43321E07" w14:textId="77777777" w:rsidTr="00EE1070">
        <w:trPr>
          <w:trHeight w:val="300"/>
        </w:trPr>
        <w:tc>
          <w:tcPr>
            <w:tcW w:w="814" w:type="dxa"/>
            <w:noWrap/>
            <w:hideMark/>
          </w:tcPr>
          <w:p w14:paraId="0030AC48" w14:textId="77777777" w:rsidR="00B51F5B" w:rsidRPr="00EE1070" w:rsidRDefault="00B51F5B" w:rsidP="00F3067A">
            <w:pPr>
              <w:pStyle w:val="R"/>
              <w:rPr>
                <w:sz w:val="16"/>
                <w:szCs w:val="16"/>
                <w:rtl/>
              </w:rPr>
            </w:pPr>
            <w:r w:rsidRPr="00EE1070">
              <w:rPr>
                <w:sz w:val="16"/>
                <w:szCs w:val="16"/>
                <w:rtl/>
              </w:rPr>
              <w:t>סח'נין</w:t>
            </w:r>
          </w:p>
        </w:tc>
        <w:tc>
          <w:tcPr>
            <w:tcW w:w="849" w:type="dxa"/>
            <w:noWrap/>
            <w:hideMark/>
          </w:tcPr>
          <w:p w14:paraId="664DF44F" w14:textId="77777777" w:rsidR="00B51F5B" w:rsidRPr="00EE1070" w:rsidRDefault="00B51F5B" w:rsidP="00F3067A">
            <w:pPr>
              <w:pStyle w:val="R"/>
              <w:rPr>
                <w:sz w:val="16"/>
                <w:szCs w:val="16"/>
                <w:rtl/>
              </w:rPr>
            </w:pPr>
            <w:r w:rsidRPr="00EE1070">
              <w:rPr>
                <w:sz w:val="16"/>
                <w:szCs w:val="16"/>
              </w:rPr>
              <w:t xml:space="preserve"> 11,443 </w:t>
            </w:r>
          </w:p>
        </w:tc>
        <w:tc>
          <w:tcPr>
            <w:tcW w:w="992" w:type="dxa"/>
            <w:noWrap/>
            <w:hideMark/>
          </w:tcPr>
          <w:p w14:paraId="57A276B5" w14:textId="77777777" w:rsidR="00B51F5B" w:rsidRPr="00EE1070" w:rsidRDefault="00B51F5B" w:rsidP="00F3067A">
            <w:pPr>
              <w:pStyle w:val="R"/>
              <w:rPr>
                <w:sz w:val="16"/>
                <w:szCs w:val="16"/>
              </w:rPr>
            </w:pPr>
            <w:r w:rsidRPr="00EE1070">
              <w:rPr>
                <w:sz w:val="16"/>
                <w:szCs w:val="16"/>
              </w:rPr>
              <w:t xml:space="preserve">114 </w:t>
            </w:r>
          </w:p>
        </w:tc>
        <w:tc>
          <w:tcPr>
            <w:tcW w:w="992" w:type="dxa"/>
            <w:noWrap/>
            <w:hideMark/>
          </w:tcPr>
          <w:p w14:paraId="0EB0D739" w14:textId="77777777" w:rsidR="00B51F5B" w:rsidRPr="00EE1070" w:rsidRDefault="00B51F5B" w:rsidP="00F3067A">
            <w:pPr>
              <w:pStyle w:val="R"/>
              <w:rPr>
                <w:sz w:val="16"/>
                <w:szCs w:val="16"/>
              </w:rPr>
            </w:pPr>
            <w:r w:rsidRPr="00EE1070">
              <w:rPr>
                <w:sz w:val="16"/>
                <w:szCs w:val="16"/>
              </w:rPr>
              <w:t>1.00%</w:t>
            </w:r>
          </w:p>
        </w:tc>
        <w:tc>
          <w:tcPr>
            <w:tcW w:w="1077" w:type="dxa"/>
            <w:gridSpan w:val="3"/>
            <w:shd w:val="clear" w:color="auto" w:fill="FFFF00"/>
            <w:noWrap/>
            <w:hideMark/>
          </w:tcPr>
          <w:p w14:paraId="313D548A"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18E0F9C4"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09DAA08F"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ערערה</w:t>
            </w:r>
          </w:p>
        </w:tc>
        <w:tc>
          <w:tcPr>
            <w:tcW w:w="826" w:type="dxa"/>
            <w:gridSpan w:val="2"/>
            <w:noWrap/>
            <w:hideMark/>
          </w:tcPr>
          <w:p w14:paraId="234E44F3" w14:textId="77777777" w:rsidR="00B51F5B" w:rsidRPr="00794070" w:rsidRDefault="00B51F5B" w:rsidP="00F3067A">
            <w:pPr>
              <w:pStyle w:val="R"/>
              <w:rPr>
                <w:color w:val="000000"/>
                <w:sz w:val="16"/>
                <w:szCs w:val="16"/>
                <w:rtl/>
              </w:rPr>
            </w:pPr>
            <w:r w:rsidRPr="00794070">
              <w:rPr>
                <w:color w:val="000000"/>
                <w:sz w:val="16"/>
                <w:szCs w:val="16"/>
              </w:rPr>
              <w:t xml:space="preserve"> 12,287 </w:t>
            </w:r>
          </w:p>
        </w:tc>
        <w:tc>
          <w:tcPr>
            <w:tcW w:w="910" w:type="dxa"/>
            <w:gridSpan w:val="3"/>
            <w:noWrap/>
            <w:hideMark/>
          </w:tcPr>
          <w:p w14:paraId="0CB7DE32" w14:textId="77777777" w:rsidR="00B51F5B" w:rsidRPr="00794070" w:rsidRDefault="00B51F5B" w:rsidP="00F3067A">
            <w:pPr>
              <w:pStyle w:val="R"/>
              <w:rPr>
                <w:color w:val="000000"/>
                <w:sz w:val="16"/>
                <w:szCs w:val="16"/>
                <w:rtl/>
              </w:rPr>
            </w:pPr>
            <w:r w:rsidRPr="00794070">
              <w:rPr>
                <w:color w:val="000000"/>
                <w:sz w:val="16"/>
                <w:szCs w:val="16"/>
              </w:rPr>
              <w:t xml:space="preserve">233 </w:t>
            </w:r>
          </w:p>
        </w:tc>
        <w:tc>
          <w:tcPr>
            <w:tcW w:w="896" w:type="dxa"/>
            <w:gridSpan w:val="2"/>
            <w:noWrap/>
            <w:hideMark/>
          </w:tcPr>
          <w:p w14:paraId="04D3D552" w14:textId="77777777" w:rsidR="00B51F5B" w:rsidRPr="00794070" w:rsidRDefault="00B51F5B" w:rsidP="00F3067A">
            <w:pPr>
              <w:pStyle w:val="R"/>
              <w:rPr>
                <w:color w:val="000000"/>
                <w:sz w:val="16"/>
                <w:szCs w:val="16"/>
              </w:rPr>
            </w:pPr>
            <w:r w:rsidRPr="00794070">
              <w:rPr>
                <w:color w:val="000000"/>
                <w:sz w:val="16"/>
                <w:szCs w:val="16"/>
              </w:rPr>
              <w:t>1.90%</w:t>
            </w:r>
          </w:p>
        </w:tc>
        <w:tc>
          <w:tcPr>
            <w:tcW w:w="1082" w:type="dxa"/>
            <w:shd w:val="clear" w:color="auto" w:fill="FFFF00"/>
            <w:noWrap/>
            <w:hideMark/>
          </w:tcPr>
          <w:p w14:paraId="4DAB6442"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662337E6" w14:textId="77777777" w:rsidTr="00EE1070">
        <w:trPr>
          <w:trHeight w:val="285"/>
        </w:trPr>
        <w:tc>
          <w:tcPr>
            <w:tcW w:w="814" w:type="dxa"/>
            <w:noWrap/>
            <w:hideMark/>
          </w:tcPr>
          <w:p w14:paraId="74B6DB84" w14:textId="77777777" w:rsidR="00B51F5B" w:rsidRPr="00EE1070" w:rsidRDefault="00B51F5B" w:rsidP="00F3067A">
            <w:pPr>
              <w:pStyle w:val="R"/>
              <w:rPr>
                <w:sz w:val="16"/>
                <w:szCs w:val="16"/>
                <w:rtl/>
              </w:rPr>
            </w:pPr>
            <w:r w:rsidRPr="00EE1070">
              <w:rPr>
                <w:sz w:val="16"/>
                <w:szCs w:val="16"/>
                <w:rtl/>
              </w:rPr>
              <w:t>נצרת</w:t>
            </w:r>
          </w:p>
        </w:tc>
        <w:tc>
          <w:tcPr>
            <w:tcW w:w="849" w:type="dxa"/>
            <w:noWrap/>
            <w:hideMark/>
          </w:tcPr>
          <w:p w14:paraId="26104327" w14:textId="77777777" w:rsidR="00B51F5B" w:rsidRPr="00EE1070" w:rsidRDefault="00B51F5B" w:rsidP="00F3067A">
            <w:pPr>
              <w:pStyle w:val="R"/>
              <w:rPr>
                <w:sz w:val="16"/>
                <w:szCs w:val="16"/>
                <w:rtl/>
              </w:rPr>
            </w:pPr>
            <w:r w:rsidRPr="00EE1070">
              <w:rPr>
                <w:sz w:val="16"/>
                <w:szCs w:val="16"/>
              </w:rPr>
              <w:t xml:space="preserve"> 24,953 </w:t>
            </w:r>
          </w:p>
        </w:tc>
        <w:tc>
          <w:tcPr>
            <w:tcW w:w="992" w:type="dxa"/>
            <w:noWrap/>
            <w:hideMark/>
          </w:tcPr>
          <w:p w14:paraId="58ECEDBB" w14:textId="77777777" w:rsidR="00B51F5B" w:rsidRPr="00EE1070" w:rsidRDefault="00B51F5B" w:rsidP="00F3067A">
            <w:pPr>
              <w:pStyle w:val="R"/>
              <w:rPr>
                <w:rFonts w:asciiTheme="minorHAnsi" w:hAnsiTheme="minorHAnsi"/>
                <w:sz w:val="16"/>
                <w:szCs w:val="16"/>
              </w:rPr>
            </w:pPr>
            <w:r w:rsidRPr="00EE1070">
              <w:rPr>
                <w:sz w:val="16"/>
                <w:szCs w:val="16"/>
              </w:rPr>
              <w:t xml:space="preserve">273 </w:t>
            </w:r>
          </w:p>
        </w:tc>
        <w:tc>
          <w:tcPr>
            <w:tcW w:w="992" w:type="dxa"/>
            <w:noWrap/>
            <w:hideMark/>
          </w:tcPr>
          <w:p w14:paraId="1469127A" w14:textId="77777777" w:rsidR="00B51F5B" w:rsidRPr="00EE1070" w:rsidRDefault="00B51F5B" w:rsidP="00F3067A">
            <w:pPr>
              <w:pStyle w:val="R"/>
              <w:rPr>
                <w:sz w:val="16"/>
                <w:szCs w:val="16"/>
              </w:rPr>
            </w:pPr>
            <w:r w:rsidRPr="00EE1070">
              <w:rPr>
                <w:sz w:val="16"/>
                <w:szCs w:val="16"/>
              </w:rPr>
              <w:t>1.09%</w:t>
            </w:r>
          </w:p>
        </w:tc>
        <w:tc>
          <w:tcPr>
            <w:tcW w:w="1077" w:type="dxa"/>
            <w:gridSpan w:val="3"/>
            <w:shd w:val="clear" w:color="auto" w:fill="FFFF00"/>
            <w:noWrap/>
            <w:hideMark/>
          </w:tcPr>
          <w:p w14:paraId="1DF6893F" w14:textId="77777777" w:rsidR="00B51F5B" w:rsidRPr="00EE1070" w:rsidRDefault="00B51F5B" w:rsidP="00F3067A">
            <w:pPr>
              <w:pStyle w:val="R"/>
              <w:rPr>
                <w:sz w:val="16"/>
                <w:szCs w:val="16"/>
              </w:rPr>
            </w:pPr>
            <w:r w:rsidRPr="00EE1070">
              <w:rPr>
                <w:sz w:val="16"/>
                <w:szCs w:val="16"/>
                <w:rtl/>
              </w:rPr>
              <w:t>מגזר ערבי</w:t>
            </w:r>
          </w:p>
        </w:tc>
        <w:tc>
          <w:tcPr>
            <w:tcW w:w="277" w:type="dxa"/>
            <w:tcBorders>
              <w:top w:val="nil"/>
              <w:bottom w:val="nil"/>
            </w:tcBorders>
            <w:noWrap/>
            <w:hideMark/>
          </w:tcPr>
          <w:p w14:paraId="15FBEED6"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7D063D0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ריינה</w:t>
            </w:r>
          </w:p>
        </w:tc>
        <w:tc>
          <w:tcPr>
            <w:tcW w:w="826" w:type="dxa"/>
            <w:gridSpan w:val="2"/>
            <w:noWrap/>
            <w:hideMark/>
          </w:tcPr>
          <w:p w14:paraId="735FA1E9" w14:textId="77777777" w:rsidR="00B51F5B" w:rsidRPr="00794070" w:rsidRDefault="00B51F5B" w:rsidP="00F3067A">
            <w:pPr>
              <w:pStyle w:val="R"/>
              <w:rPr>
                <w:color w:val="000000"/>
                <w:sz w:val="16"/>
                <w:szCs w:val="16"/>
                <w:rtl/>
              </w:rPr>
            </w:pPr>
            <w:r w:rsidRPr="00794070">
              <w:rPr>
                <w:color w:val="000000"/>
                <w:sz w:val="16"/>
                <w:szCs w:val="16"/>
              </w:rPr>
              <w:t xml:space="preserve"> 10,763 </w:t>
            </w:r>
          </w:p>
        </w:tc>
        <w:tc>
          <w:tcPr>
            <w:tcW w:w="910" w:type="dxa"/>
            <w:gridSpan w:val="3"/>
            <w:noWrap/>
            <w:hideMark/>
          </w:tcPr>
          <w:p w14:paraId="36D3515F" w14:textId="77777777" w:rsidR="00B51F5B" w:rsidRPr="00794070" w:rsidRDefault="00B51F5B" w:rsidP="00F3067A">
            <w:pPr>
              <w:pStyle w:val="R"/>
              <w:rPr>
                <w:color w:val="000000"/>
                <w:sz w:val="16"/>
                <w:szCs w:val="16"/>
              </w:rPr>
            </w:pPr>
            <w:r w:rsidRPr="00794070">
              <w:rPr>
                <w:color w:val="000000"/>
                <w:sz w:val="16"/>
                <w:szCs w:val="16"/>
              </w:rPr>
              <w:t xml:space="preserve">210 </w:t>
            </w:r>
          </w:p>
        </w:tc>
        <w:tc>
          <w:tcPr>
            <w:tcW w:w="896" w:type="dxa"/>
            <w:gridSpan w:val="2"/>
            <w:noWrap/>
            <w:hideMark/>
          </w:tcPr>
          <w:p w14:paraId="63E56860" w14:textId="77777777" w:rsidR="00B51F5B" w:rsidRPr="00794070" w:rsidRDefault="00B51F5B" w:rsidP="00F3067A">
            <w:pPr>
              <w:pStyle w:val="R"/>
              <w:rPr>
                <w:color w:val="000000"/>
                <w:sz w:val="16"/>
                <w:szCs w:val="16"/>
              </w:rPr>
            </w:pPr>
            <w:r w:rsidRPr="00794070">
              <w:rPr>
                <w:color w:val="000000"/>
                <w:sz w:val="16"/>
                <w:szCs w:val="16"/>
              </w:rPr>
              <w:t>1.95%</w:t>
            </w:r>
          </w:p>
        </w:tc>
        <w:tc>
          <w:tcPr>
            <w:tcW w:w="1082" w:type="dxa"/>
            <w:shd w:val="clear" w:color="auto" w:fill="FFFF00"/>
            <w:noWrap/>
            <w:hideMark/>
          </w:tcPr>
          <w:p w14:paraId="72E213EC"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21219058" w14:textId="77777777" w:rsidTr="00EE1070">
        <w:trPr>
          <w:trHeight w:val="285"/>
        </w:trPr>
        <w:tc>
          <w:tcPr>
            <w:tcW w:w="814" w:type="dxa"/>
            <w:noWrap/>
            <w:hideMark/>
          </w:tcPr>
          <w:p w14:paraId="7024536F" w14:textId="77777777" w:rsidR="00B51F5B" w:rsidRPr="00EE1070" w:rsidRDefault="00B51F5B" w:rsidP="00F3067A">
            <w:pPr>
              <w:pStyle w:val="R"/>
              <w:rPr>
                <w:sz w:val="16"/>
                <w:szCs w:val="16"/>
                <w:rtl/>
              </w:rPr>
            </w:pPr>
            <w:r w:rsidRPr="00EE1070">
              <w:rPr>
                <w:sz w:val="16"/>
                <w:szCs w:val="16"/>
                <w:rtl/>
              </w:rPr>
              <w:t>קריית גת</w:t>
            </w:r>
          </w:p>
        </w:tc>
        <w:tc>
          <w:tcPr>
            <w:tcW w:w="849" w:type="dxa"/>
            <w:noWrap/>
            <w:hideMark/>
          </w:tcPr>
          <w:p w14:paraId="3CA1C435" w14:textId="77777777" w:rsidR="00B51F5B" w:rsidRPr="00EE1070" w:rsidRDefault="00B51F5B" w:rsidP="00F3067A">
            <w:pPr>
              <w:pStyle w:val="R"/>
              <w:rPr>
                <w:sz w:val="16"/>
                <w:szCs w:val="16"/>
                <w:rtl/>
              </w:rPr>
            </w:pPr>
            <w:r w:rsidRPr="00EE1070">
              <w:rPr>
                <w:sz w:val="16"/>
                <w:szCs w:val="16"/>
              </w:rPr>
              <w:t xml:space="preserve"> 17,140 </w:t>
            </w:r>
          </w:p>
        </w:tc>
        <w:tc>
          <w:tcPr>
            <w:tcW w:w="992" w:type="dxa"/>
            <w:noWrap/>
            <w:hideMark/>
          </w:tcPr>
          <w:p w14:paraId="24F0FAE6" w14:textId="77777777" w:rsidR="00B51F5B" w:rsidRPr="00EE1070" w:rsidRDefault="00B51F5B" w:rsidP="00F3067A">
            <w:pPr>
              <w:pStyle w:val="R"/>
              <w:rPr>
                <w:sz w:val="16"/>
                <w:szCs w:val="16"/>
                <w:rtl/>
              </w:rPr>
            </w:pPr>
            <w:r w:rsidRPr="00EE1070">
              <w:rPr>
                <w:sz w:val="16"/>
                <w:szCs w:val="16"/>
              </w:rPr>
              <w:t xml:space="preserve">215 </w:t>
            </w:r>
          </w:p>
        </w:tc>
        <w:tc>
          <w:tcPr>
            <w:tcW w:w="992" w:type="dxa"/>
            <w:noWrap/>
            <w:hideMark/>
          </w:tcPr>
          <w:p w14:paraId="4BD614A2" w14:textId="77777777" w:rsidR="00B51F5B" w:rsidRPr="00EE1070" w:rsidRDefault="00B51F5B" w:rsidP="00F3067A">
            <w:pPr>
              <w:pStyle w:val="R"/>
              <w:rPr>
                <w:rFonts w:asciiTheme="minorHAnsi" w:hAnsiTheme="minorHAnsi"/>
                <w:sz w:val="16"/>
                <w:szCs w:val="16"/>
              </w:rPr>
            </w:pPr>
            <w:r w:rsidRPr="00EE1070">
              <w:rPr>
                <w:sz w:val="16"/>
                <w:szCs w:val="16"/>
              </w:rPr>
              <w:t>1.25%</w:t>
            </w:r>
          </w:p>
        </w:tc>
        <w:tc>
          <w:tcPr>
            <w:tcW w:w="1077" w:type="dxa"/>
            <w:gridSpan w:val="3"/>
            <w:shd w:val="clear" w:color="auto" w:fill="92D050"/>
            <w:noWrap/>
            <w:hideMark/>
          </w:tcPr>
          <w:p w14:paraId="6EE264D7" w14:textId="77777777" w:rsidR="00B51F5B" w:rsidRPr="00EE1070" w:rsidRDefault="00B51F5B" w:rsidP="00F3067A">
            <w:pPr>
              <w:pStyle w:val="R"/>
              <w:rPr>
                <w:sz w:val="16"/>
                <w:szCs w:val="16"/>
              </w:rPr>
            </w:pPr>
            <w:r w:rsidRPr="00EE1070">
              <w:rPr>
                <w:rFonts w:eastAsia="Times New Roman"/>
                <w:sz w:val="16"/>
                <w:szCs w:val="16"/>
                <w:rtl/>
              </w:rPr>
              <w:t>פריפריה</w:t>
            </w:r>
          </w:p>
        </w:tc>
        <w:tc>
          <w:tcPr>
            <w:tcW w:w="277" w:type="dxa"/>
            <w:tcBorders>
              <w:top w:val="nil"/>
              <w:bottom w:val="nil"/>
            </w:tcBorders>
            <w:noWrap/>
            <w:hideMark/>
          </w:tcPr>
          <w:p w14:paraId="7E436BB6"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7B881CA0"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ג'דיידה-מכר</w:t>
            </w:r>
          </w:p>
        </w:tc>
        <w:tc>
          <w:tcPr>
            <w:tcW w:w="826" w:type="dxa"/>
            <w:gridSpan w:val="2"/>
            <w:noWrap/>
            <w:hideMark/>
          </w:tcPr>
          <w:p w14:paraId="2FBF1B8A" w14:textId="77777777" w:rsidR="00B51F5B" w:rsidRPr="00794070" w:rsidRDefault="00B51F5B" w:rsidP="00F3067A">
            <w:pPr>
              <w:pStyle w:val="R"/>
              <w:rPr>
                <w:color w:val="000000"/>
                <w:sz w:val="16"/>
                <w:szCs w:val="16"/>
                <w:rtl/>
              </w:rPr>
            </w:pPr>
            <w:r w:rsidRPr="00794070">
              <w:rPr>
                <w:color w:val="000000"/>
                <w:sz w:val="16"/>
                <w:szCs w:val="16"/>
              </w:rPr>
              <w:t xml:space="preserve"> 13,415 </w:t>
            </w:r>
          </w:p>
        </w:tc>
        <w:tc>
          <w:tcPr>
            <w:tcW w:w="910" w:type="dxa"/>
            <w:gridSpan w:val="3"/>
            <w:noWrap/>
            <w:hideMark/>
          </w:tcPr>
          <w:p w14:paraId="519048E2" w14:textId="77777777" w:rsidR="00B51F5B" w:rsidRPr="00794070" w:rsidRDefault="00B51F5B" w:rsidP="00F3067A">
            <w:pPr>
              <w:pStyle w:val="R"/>
              <w:rPr>
                <w:color w:val="000000"/>
                <w:sz w:val="16"/>
                <w:szCs w:val="16"/>
              </w:rPr>
            </w:pPr>
            <w:r w:rsidRPr="00794070">
              <w:rPr>
                <w:color w:val="000000"/>
                <w:sz w:val="16"/>
                <w:szCs w:val="16"/>
              </w:rPr>
              <w:t xml:space="preserve">270 </w:t>
            </w:r>
          </w:p>
        </w:tc>
        <w:tc>
          <w:tcPr>
            <w:tcW w:w="896" w:type="dxa"/>
            <w:gridSpan w:val="2"/>
            <w:noWrap/>
            <w:hideMark/>
          </w:tcPr>
          <w:p w14:paraId="2748F872" w14:textId="77777777" w:rsidR="00B51F5B" w:rsidRPr="00794070" w:rsidRDefault="00B51F5B" w:rsidP="00F3067A">
            <w:pPr>
              <w:pStyle w:val="R"/>
              <w:rPr>
                <w:color w:val="000000"/>
                <w:sz w:val="16"/>
                <w:szCs w:val="16"/>
              </w:rPr>
            </w:pPr>
            <w:r w:rsidRPr="00794070">
              <w:rPr>
                <w:color w:val="000000"/>
                <w:sz w:val="16"/>
                <w:szCs w:val="16"/>
              </w:rPr>
              <w:t>2.01%</w:t>
            </w:r>
          </w:p>
        </w:tc>
        <w:tc>
          <w:tcPr>
            <w:tcW w:w="1082" w:type="dxa"/>
            <w:shd w:val="clear" w:color="auto" w:fill="FFFF00"/>
            <w:noWrap/>
            <w:hideMark/>
          </w:tcPr>
          <w:p w14:paraId="356FE7EF"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00318B92" w14:textId="77777777" w:rsidTr="00EE1070">
        <w:trPr>
          <w:trHeight w:val="285"/>
        </w:trPr>
        <w:tc>
          <w:tcPr>
            <w:tcW w:w="814" w:type="dxa"/>
            <w:noWrap/>
            <w:hideMark/>
          </w:tcPr>
          <w:p w14:paraId="1FAB559D" w14:textId="77777777" w:rsidR="00B51F5B" w:rsidRPr="00EE1070" w:rsidRDefault="00B51F5B" w:rsidP="00F3067A">
            <w:pPr>
              <w:pStyle w:val="R"/>
              <w:rPr>
                <w:sz w:val="16"/>
                <w:szCs w:val="16"/>
                <w:rtl/>
              </w:rPr>
            </w:pPr>
            <w:r w:rsidRPr="00EE1070">
              <w:rPr>
                <w:sz w:val="16"/>
                <w:szCs w:val="16"/>
                <w:rtl/>
              </w:rPr>
              <w:t>בני ברק</w:t>
            </w:r>
          </w:p>
        </w:tc>
        <w:tc>
          <w:tcPr>
            <w:tcW w:w="849" w:type="dxa"/>
            <w:noWrap/>
            <w:hideMark/>
          </w:tcPr>
          <w:p w14:paraId="0B00331E" w14:textId="77777777" w:rsidR="00B51F5B" w:rsidRPr="00EE1070" w:rsidRDefault="00B51F5B" w:rsidP="00F3067A">
            <w:pPr>
              <w:pStyle w:val="R"/>
              <w:rPr>
                <w:sz w:val="16"/>
                <w:szCs w:val="16"/>
                <w:rtl/>
              </w:rPr>
            </w:pPr>
            <w:r w:rsidRPr="00EE1070">
              <w:rPr>
                <w:sz w:val="16"/>
                <w:szCs w:val="16"/>
              </w:rPr>
              <w:t xml:space="preserve"> 91,737 </w:t>
            </w:r>
          </w:p>
        </w:tc>
        <w:tc>
          <w:tcPr>
            <w:tcW w:w="992" w:type="dxa"/>
            <w:noWrap/>
            <w:hideMark/>
          </w:tcPr>
          <w:p w14:paraId="21B5B987" w14:textId="77777777" w:rsidR="00B51F5B" w:rsidRPr="00EE1070" w:rsidRDefault="00B51F5B" w:rsidP="00F3067A">
            <w:pPr>
              <w:pStyle w:val="R"/>
              <w:rPr>
                <w:sz w:val="16"/>
                <w:szCs w:val="16"/>
              </w:rPr>
            </w:pPr>
            <w:r w:rsidRPr="00EE1070">
              <w:rPr>
                <w:sz w:val="16"/>
                <w:szCs w:val="16"/>
              </w:rPr>
              <w:t xml:space="preserve">1,234 </w:t>
            </w:r>
          </w:p>
        </w:tc>
        <w:tc>
          <w:tcPr>
            <w:tcW w:w="992" w:type="dxa"/>
            <w:noWrap/>
            <w:hideMark/>
          </w:tcPr>
          <w:p w14:paraId="539B294A" w14:textId="77777777" w:rsidR="00B51F5B" w:rsidRPr="00EE1070" w:rsidRDefault="00B51F5B" w:rsidP="00F3067A">
            <w:pPr>
              <w:pStyle w:val="R"/>
              <w:rPr>
                <w:sz w:val="16"/>
                <w:szCs w:val="16"/>
              </w:rPr>
            </w:pPr>
            <w:r w:rsidRPr="00EE1070">
              <w:rPr>
                <w:sz w:val="16"/>
                <w:szCs w:val="16"/>
              </w:rPr>
              <w:t>1.35%</w:t>
            </w:r>
          </w:p>
        </w:tc>
        <w:tc>
          <w:tcPr>
            <w:tcW w:w="1077" w:type="dxa"/>
            <w:gridSpan w:val="3"/>
            <w:shd w:val="clear" w:color="auto" w:fill="FFC000"/>
            <w:noWrap/>
            <w:hideMark/>
          </w:tcPr>
          <w:p w14:paraId="028BCD09" w14:textId="77777777" w:rsidR="00B51F5B" w:rsidRPr="00EE1070" w:rsidRDefault="00B51F5B" w:rsidP="00F3067A">
            <w:pPr>
              <w:pStyle w:val="R"/>
              <w:rPr>
                <w:sz w:val="16"/>
                <w:szCs w:val="16"/>
              </w:rPr>
            </w:pPr>
            <w:r w:rsidRPr="00EE1070">
              <w:rPr>
                <w:sz w:val="16"/>
                <w:szCs w:val="16"/>
                <w:rtl/>
              </w:rPr>
              <w:t>מגזר חרדי</w:t>
            </w:r>
          </w:p>
        </w:tc>
        <w:tc>
          <w:tcPr>
            <w:tcW w:w="277" w:type="dxa"/>
            <w:tcBorders>
              <w:top w:val="nil"/>
              <w:bottom w:val="nil"/>
            </w:tcBorders>
            <w:noWrap/>
            <w:hideMark/>
          </w:tcPr>
          <w:p w14:paraId="48457AE1"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2C87F4D1"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כפר קרע</w:t>
            </w:r>
          </w:p>
        </w:tc>
        <w:tc>
          <w:tcPr>
            <w:tcW w:w="826" w:type="dxa"/>
            <w:gridSpan w:val="2"/>
            <w:noWrap/>
            <w:hideMark/>
          </w:tcPr>
          <w:p w14:paraId="76C7AFB1" w14:textId="77777777" w:rsidR="00B51F5B" w:rsidRPr="00794070" w:rsidRDefault="00B51F5B" w:rsidP="00F3067A">
            <w:pPr>
              <w:pStyle w:val="R"/>
              <w:rPr>
                <w:color w:val="000000"/>
                <w:sz w:val="16"/>
                <w:szCs w:val="16"/>
                <w:rtl/>
              </w:rPr>
            </w:pPr>
            <w:r w:rsidRPr="00794070">
              <w:rPr>
                <w:color w:val="000000"/>
                <w:sz w:val="16"/>
                <w:szCs w:val="16"/>
              </w:rPr>
              <w:t xml:space="preserve"> 12,039 </w:t>
            </w:r>
          </w:p>
        </w:tc>
        <w:tc>
          <w:tcPr>
            <w:tcW w:w="910" w:type="dxa"/>
            <w:gridSpan w:val="3"/>
            <w:noWrap/>
            <w:hideMark/>
          </w:tcPr>
          <w:p w14:paraId="65AC1B39" w14:textId="77777777" w:rsidR="00B51F5B" w:rsidRPr="00794070" w:rsidRDefault="00B51F5B" w:rsidP="00F3067A">
            <w:pPr>
              <w:pStyle w:val="R"/>
              <w:rPr>
                <w:color w:val="000000"/>
                <w:sz w:val="16"/>
                <w:szCs w:val="16"/>
              </w:rPr>
            </w:pPr>
            <w:r w:rsidRPr="00794070">
              <w:rPr>
                <w:color w:val="000000"/>
                <w:sz w:val="16"/>
                <w:szCs w:val="16"/>
              </w:rPr>
              <w:t xml:space="preserve">245 </w:t>
            </w:r>
          </w:p>
        </w:tc>
        <w:tc>
          <w:tcPr>
            <w:tcW w:w="896" w:type="dxa"/>
            <w:gridSpan w:val="2"/>
            <w:noWrap/>
            <w:hideMark/>
          </w:tcPr>
          <w:p w14:paraId="169D58B7" w14:textId="77777777" w:rsidR="00B51F5B" w:rsidRPr="00794070" w:rsidRDefault="00B51F5B" w:rsidP="00F3067A">
            <w:pPr>
              <w:pStyle w:val="R"/>
              <w:rPr>
                <w:color w:val="000000"/>
                <w:sz w:val="16"/>
                <w:szCs w:val="16"/>
              </w:rPr>
            </w:pPr>
            <w:r w:rsidRPr="00794070">
              <w:rPr>
                <w:color w:val="000000"/>
                <w:sz w:val="16"/>
                <w:szCs w:val="16"/>
              </w:rPr>
              <w:t>2.04%</w:t>
            </w:r>
          </w:p>
        </w:tc>
        <w:tc>
          <w:tcPr>
            <w:tcW w:w="1082" w:type="dxa"/>
            <w:shd w:val="clear" w:color="auto" w:fill="FFFF00"/>
            <w:noWrap/>
            <w:hideMark/>
          </w:tcPr>
          <w:p w14:paraId="2D61136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02AAA645" w14:textId="77777777" w:rsidTr="00EE1070">
        <w:trPr>
          <w:trHeight w:val="285"/>
        </w:trPr>
        <w:tc>
          <w:tcPr>
            <w:tcW w:w="814" w:type="dxa"/>
            <w:noWrap/>
            <w:hideMark/>
          </w:tcPr>
          <w:p w14:paraId="07C401E9" w14:textId="77777777" w:rsidR="00B51F5B" w:rsidRPr="00EE1070" w:rsidRDefault="00B51F5B" w:rsidP="00F3067A">
            <w:pPr>
              <w:pStyle w:val="R"/>
              <w:rPr>
                <w:sz w:val="16"/>
                <w:szCs w:val="16"/>
                <w:rtl/>
              </w:rPr>
            </w:pPr>
            <w:r w:rsidRPr="00EE1070">
              <w:rPr>
                <w:sz w:val="16"/>
                <w:szCs w:val="16"/>
                <w:rtl/>
              </w:rPr>
              <w:t>ירושלים</w:t>
            </w:r>
          </w:p>
        </w:tc>
        <w:tc>
          <w:tcPr>
            <w:tcW w:w="849" w:type="dxa"/>
            <w:noWrap/>
            <w:hideMark/>
          </w:tcPr>
          <w:p w14:paraId="0589FF06" w14:textId="77777777" w:rsidR="00B51F5B" w:rsidRPr="00EE1070" w:rsidRDefault="00B51F5B" w:rsidP="00F3067A">
            <w:pPr>
              <w:pStyle w:val="R"/>
              <w:rPr>
                <w:sz w:val="16"/>
                <w:szCs w:val="16"/>
                <w:rtl/>
              </w:rPr>
            </w:pPr>
            <w:r w:rsidRPr="00EE1070">
              <w:rPr>
                <w:sz w:val="16"/>
                <w:szCs w:val="16"/>
              </w:rPr>
              <w:t>365,344</w:t>
            </w:r>
          </w:p>
        </w:tc>
        <w:tc>
          <w:tcPr>
            <w:tcW w:w="992" w:type="dxa"/>
            <w:noWrap/>
            <w:hideMark/>
          </w:tcPr>
          <w:p w14:paraId="1A092D97" w14:textId="77777777" w:rsidR="00B51F5B" w:rsidRPr="00EE1070" w:rsidRDefault="00B51F5B" w:rsidP="00F3067A">
            <w:pPr>
              <w:pStyle w:val="R"/>
              <w:rPr>
                <w:sz w:val="16"/>
                <w:szCs w:val="16"/>
              </w:rPr>
            </w:pPr>
            <w:r w:rsidRPr="00EE1070">
              <w:rPr>
                <w:sz w:val="16"/>
                <w:szCs w:val="16"/>
              </w:rPr>
              <w:t xml:space="preserve">5,089 </w:t>
            </w:r>
          </w:p>
        </w:tc>
        <w:tc>
          <w:tcPr>
            <w:tcW w:w="992" w:type="dxa"/>
            <w:noWrap/>
            <w:hideMark/>
          </w:tcPr>
          <w:p w14:paraId="6D26A8B6" w14:textId="77777777" w:rsidR="00B51F5B" w:rsidRPr="00EE1070" w:rsidRDefault="00B51F5B" w:rsidP="00F3067A">
            <w:pPr>
              <w:pStyle w:val="R"/>
              <w:rPr>
                <w:sz w:val="16"/>
                <w:szCs w:val="16"/>
              </w:rPr>
            </w:pPr>
            <w:r w:rsidRPr="00EE1070">
              <w:rPr>
                <w:sz w:val="16"/>
                <w:szCs w:val="16"/>
              </w:rPr>
              <w:t>1.39%</w:t>
            </w:r>
          </w:p>
        </w:tc>
        <w:tc>
          <w:tcPr>
            <w:tcW w:w="1077" w:type="dxa"/>
            <w:gridSpan w:val="3"/>
            <w:noWrap/>
            <w:hideMark/>
          </w:tcPr>
          <w:p w14:paraId="7F234387" w14:textId="77777777" w:rsidR="00B51F5B" w:rsidRPr="00EE1070" w:rsidRDefault="00B51F5B" w:rsidP="00F3067A">
            <w:pPr>
              <w:pStyle w:val="R"/>
              <w:rPr>
                <w:sz w:val="16"/>
                <w:szCs w:val="16"/>
              </w:rPr>
            </w:pPr>
            <w:r w:rsidRPr="00EE1070">
              <w:rPr>
                <w:sz w:val="16"/>
                <w:szCs w:val="16"/>
                <w:rtl/>
              </w:rPr>
              <w:t>אחר</w:t>
            </w:r>
          </w:p>
        </w:tc>
        <w:tc>
          <w:tcPr>
            <w:tcW w:w="277" w:type="dxa"/>
            <w:tcBorders>
              <w:top w:val="nil"/>
              <w:bottom w:val="nil"/>
            </w:tcBorders>
            <w:noWrap/>
            <w:hideMark/>
          </w:tcPr>
          <w:p w14:paraId="06E2842A"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3AF4E4F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נצרת</w:t>
            </w:r>
          </w:p>
        </w:tc>
        <w:tc>
          <w:tcPr>
            <w:tcW w:w="826" w:type="dxa"/>
            <w:gridSpan w:val="2"/>
            <w:noWrap/>
            <w:hideMark/>
          </w:tcPr>
          <w:p w14:paraId="5FFFFFC3" w14:textId="77777777" w:rsidR="00B51F5B" w:rsidRPr="00794070" w:rsidRDefault="00B51F5B" w:rsidP="00F3067A">
            <w:pPr>
              <w:pStyle w:val="R"/>
              <w:rPr>
                <w:color w:val="000000"/>
                <w:sz w:val="16"/>
                <w:szCs w:val="16"/>
                <w:rtl/>
              </w:rPr>
            </w:pPr>
            <w:r w:rsidRPr="00794070">
              <w:rPr>
                <w:color w:val="000000"/>
                <w:sz w:val="16"/>
                <w:szCs w:val="16"/>
              </w:rPr>
              <w:t xml:space="preserve"> 52,958 </w:t>
            </w:r>
          </w:p>
        </w:tc>
        <w:tc>
          <w:tcPr>
            <w:tcW w:w="910" w:type="dxa"/>
            <w:gridSpan w:val="3"/>
            <w:noWrap/>
            <w:hideMark/>
          </w:tcPr>
          <w:p w14:paraId="7B03D299" w14:textId="77777777" w:rsidR="00B51F5B" w:rsidRPr="00794070" w:rsidRDefault="00B51F5B" w:rsidP="00F3067A">
            <w:pPr>
              <w:pStyle w:val="R"/>
              <w:rPr>
                <w:color w:val="000000"/>
                <w:sz w:val="16"/>
                <w:szCs w:val="16"/>
              </w:rPr>
            </w:pPr>
            <w:r w:rsidRPr="00794070">
              <w:rPr>
                <w:color w:val="000000"/>
                <w:sz w:val="16"/>
                <w:szCs w:val="16"/>
              </w:rPr>
              <w:t xml:space="preserve">1,122 </w:t>
            </w:r>
          </w:p>
        </w:tc>
        <w:tc>
          <w:tcPr>
            <w:tcW w:w="896" w:type="dxa"/>
            <w:gridSpan w:val="2"/>
            <w:noWrap/>
            <w:hideMark/>
          </w:tcPr>
          <w:p w14:paraId="5CB333F6" w14:textId="77777777" w:rsidR="00B51F5B" w:rsidRPr="00794070" w:rsidRDefault="00B51F5B" w:rsidP="00F3067A">
            <w:pPr>
              <w:pStyle w:val="R"/>
              <w:rPr>
                <w:color w:val="000000"/>
                <w:sz w:val="16"/>
                <w:szCs w:val="16"/>
              </w:rPr>
            </w:pPr>
            <w:r w:rsidRPr="00794070">
              <w:rPr>
                <w:color w:val="000000"/>
                <w:sz w:val="16"/>
                <w:szCs w:val="16"/>
              </w:rPr>
              <w:t>2.12%</w:t>
            </w:r>
          </w:p>
        </w:tc>
        <w:tc>
          <w:tcPr>
            <w:tcW w:w="1082" w:type="dxa"/>
            <w:shd w:val="clear" w:color="auto" w:fill="FFFF00"/>
            <w:noWrap/>
            <w:hideMark/>
          </w:tcPr>
          <w:p w14:paraId="61DD5249"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1CD53CA0" w14:textId="77777777" w:rsidTr="00EE1070">
        <w:trPr>
          <w:trHeight w:val="285"/>
        </w:trPr>
        <w:tc>
          <w:tcPr>
            <w:tcW w:w="814" w:type="dxa"/>
            <w:noWrap/>
            <w:hideMark/>
          </w:tcPr>
          <w:p w14:paraId="67B9602F" w14:textId="77777777" w:rsidR="00B51F5B" w:rsidRPr="00EE1070" w:rsidRDefault="00B51F5B" w:rsidP="00F3067A">
            <w:pPr>
              <w:pStyle w:val="R"/>
              <w:rPr>
                <w:sz w:val="16"/>
                <w:szCs w:val="16"/>
                <w:rtl/>
              </w:rPr>
            </w:pPr>
            <w:r w:rsidRPr="00EE1070">
              <w:rPr>
                <w:sz w:val="16"/>
                <w:szCs w:val="16"/>
                <w:rtl/>
              </w:rPr>
              <w:t>ביתר עילית</w:t>
            </w:r>
          </w:p>
        </w:tc>
        <w:tc>
          <w:tcPr>
            <w:tcW w:w="849" w:type="dxa"/>
            <w:noWrap/>
            <w:hideMark/>
          </w:tcPr>
          <w:p w14:paraId="4DABD0FB" w14:textId="77777777" w:rsidR="00B51F5B" w:rsidRPr="00EE1070" w:rsidRDefault="00B51F5B" w:rsidP="00F3067A">
            <w:pPr>
              <w:pStyle w:val="R"/>
              <w:rPr>
                <w:sz w:val="16"/>
                <w:szCs w:val="16"/>
                <w:rtl/>
              </w:rPr>
            </w:pPr>
            <w:r w:rsidRPr="00EE1070">
              <w:rPr>
                <w:sz w:val="16"/>
                <w:szCs w:val="16"/>
              </w:rPr>
              <w:t xml:space="preserve"> 34,457 </w:t>
            </w:r>
          </w:p>
        </w:tc>
        <w:tc>
          <w:tcPr>
            <w:tcW w:w="992" w:type="dxa"/>
            <w:noWrap/>
            <w:hideMark/>
          </w:tcPr>
          <w:p w14:paraId="537CF8DC" w14:textId="77777777" w:rsidR="00B51F5B" w:rsidRPr="00EE1070" w:rsidRDefault="00B51F5B" w:rsidP="00F3067A">
            <w:pPr>
              <w:pStyle w:val="R"/>
              <w:rPr>
                <w:rFonts w:asciiTheme="minorHAnsi" w:hAnsiTheme="minorHAnsi"/>
                <w:sz w:val="16"/>
                <w:szCs w:val="16"/>
              </w:rPr>
            </w:pPr>
            <w:r w:rsidRPr="00EE1070">
              <w:rPr>
                <w:sz w:val="16"/>
                <w:szCs w:val="16"/>
              </w:rPr>
              <w:t xml:space="preserve">492 </w:t>
            </w:r>
          </w:p>
        </w:tc>
        <w:tc>
          <w:tcPr>
            <w:tcW w:w="992" w:type="dxa"/>
            <w:noWrap/>
            <w:hideMark/>
          </w:tcPr>
          <w:p w14:paraId="7C63FB4A" w14:textId="77777777" w:rsidR="00B51F5B" w:rsidRPr="00EE1070" w:rsidRDefault="00B51F5B" w:rsidP="00F3067A">
            <w:pPr>
              <w:pStyle w:val="R"/>
              <w:rPr>
                <w:sz w:val="16"/>
                <w:szCs w:val="16"/>
              </w:rPr>
            </w:pPr>
            <w:r w:rsidRPr="00EE1070">
              <w:rPr>
                <w:sz w:val="16"/>
                <w:szCs w:val="16"/>
              </w:rPr>
              <w:t>1.43%</w:t>
            </w:r>
          </w:p>
        </w:tc>
        <w:tc>
          <w:tcPr>
            <w:tcW w:w="1077" w:type="dxa"/>
            <w:gridSpan w:val="3"/>
            <w:shd w:val="clear" w:color="auto" w:fill="FFC000"/>
            <w:noWrap/>
            <w:hideMark/>
          </w:tcPr>
          <w:p w14:paraId="22AC5140" w14:textId="77777777" w:rsidR="00B51F5B" w:rsidRPr="00EE1070" w:rsidRDefault="00B51F5B" w:rsidP="00F3067A">
            <w:pPr>
              <w:pStyle w:val="R"/>
              <w:rPr>
                <w:sz w:val="16"/>
                <w:szCs w:val="16"/>
              </w:rPr>
            </w:pPr>
            <w:r w:rsidRPr="00EE1070">
              <w:rPr>
                <w:sz w:val="16"/>
                <w:szCs w:val="16"/>
                <w:rtl/>
              </w:rPr>
              <w:t>מגזר חרדי</w:t>
            </w:r>
          </w:p>
        </w:tc>
        <w:tc>
          <w:tcPr>
            <w:tcW w:w="277" w:type="dxa"/>
            <w:tcBorders>
              <w:top w:val="nil"/>
              <w:bottom w:val="nil"/>
            </w:tcBorders>
            <w:noWrap/>
            <w:hideMark/>
          </w:tcPr>
          <w:p w14:paraId="47B5D865"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263B73DC"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טמרה</w:t>
            </w:r>
          </w:p>
        </w:tc>
        <w:tc>
          <w:tcPr>
            <w:tcW w:w="826" w:type="dxa"/>
            <w:gridSpan w:val="2"/>
            <w:noWrap/>
            <w:hideMark/>
          </w:tcPr>
          <w:p w14:paraId="51D8783E" w14:textId="77777777" w:rsidR="00B51F5B" w:rsidRPr="00794070" w:rsidRDefault="00B51F5B" w:rsidP="00F3067A">
            <w:pPr>
              <w:pStyle w:val="R"/>
              <w:rPr>
                <w:color w:val="000000"/>
                <w:sz w:val="16"/>
                <w:szCs w:val="16"/>
                <w:rtl/>
              </w:rPr>
            </w:pPr>
            <w:r w:rsidRPr="00794070">
              <w:rPr>
                <w:color w:val="000000"/>
                <w:sz w:val="16"/>
                <w:szCs w:val="16"/>
              </w:rPr>
              <w:t xml:space="preserve"> 21,270 </w:t>
            </w:r>
          </w:p>
        </w:tc>
        <w:tc>
          <w:tcPr>
            <w:tcW w:w="910" w:type="dxa"/>
            <w:gridSpan w:val="3"/>
            <w:noWrap/>
            <w:hideMark/>
          </w:tcPr>
          <w:p w14:paraId="7889BAA3" w14:textId="77777777" w:rsidR="00B51F5B" w:rsidRPr="00794070" w:rsidRDefault="00B51F5B" w:rsidP="00F3067A">
            <w:pPr>
              <w:pStyle w:val="R"/>
              <w:rPr>
                <w:color w:val="000000"/>
                <w:sz w:val="16"/>
                <w:szCs w:val="16"/>
                <w:rtl/>
              </w:rPr>
            </w:pPr>
            <w:r w:rsidRPr="00794070">
              <w:rPr>
                <w:color w:val="000000"/>
                <w:sz w:val="16"/>
                <w:szCs w:val="16"/>
              </w:rPr>
              <w:t xml:space="preserve">451 </w:t>
            </w:r>
          </w:p>
        </w:tc>
        <w:tc>
          <w:tcPr>
            <w:tcW w:w="896" w:type="dxa"/>
            <w:gridSpan w:val="2"/>
            <w:noWrap/>
            <w:hideMark/>
          </w:tcPr>
          <w:p w14:paraId="56C9F06E" w14:textId="77777777" w:rsidR="00B51F5B" w:rsidRPr="00794070" w:rsidRDefault="00B51F5B" w:rsidP="00F3067A">
            <w:pPr>
              <w:pStyle w:val="R"/>
              <w:rPr>
                <w:color w:val="000000"/>
                <w:sz w:val="16"/>
                <w:szCs w:val="16"/>
                <w:rtl/>
              </w:rPr>
            </w:pPr>
            <w:r w:rsidRPr="00794070">
              <w:rPr>
                <w:color w:val="000000"/>
                <w:sz w:val="16"/>
                <w:szCs w:val="16"/>
              </w:rPr>
              <w:t>2.12%</w:t>
            </w:r>
          </w:p>
        </w:tc>
        <w:tc>
          <w:tcPr>
            <w:tcW w:w="1082" w:type="dxa"/>
            <w:shd w:val="clear" w:color="auto" w:fill="FFFF00"/>
            <w:noWrap/>
            <w:hideMark/>
          </w:tcPr>
          <w:p w14:paraId="1C19977C"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5910699C" w14:textId="77777777" w:rsidTr="00EE1070">
        <w:trPr>
          <w:trHeight w:val="285"/>
        </w:trPr>
        <w:tc>
          <w:tcPr>
            <w:tcW w:w="814" w:type="dxa"/>
            <w:tcBorders>
              <w:bottom w:val="single" w:sz="4" w:space="0" w:color="auto"/>
            </w:tcBorders>
            <w:noWrap/>
            <w:hideMark/>
          </w:tcPr>
          <w:p w14:paraId="3B839207" w14:textId="77777777" w:rsidR="00B51F5B" w:rsidRPr="00EE1070" w:rsidRDefault="00B51F5B" w:rsidP="00F3067A">
            <w:pPr>
              <w:pStyle w:val="R"/>
              <w:rPr>
                <w:sz w:val="16"/>
                <w:szCs w:val="16"/>
                <w:rtl/>
              </w:rPr>
            </w:pPr>
            <w:r w:rsidRPr="00EE1070">
              <w:rPr>
                <w:sz w:val="16"/>
                <w:szCs w:val="16"/>
                <w:rtl/>
              </w:rPr>
              <w:t>נתיבות</w:t>
            </w:r>
          </w:p>
        </w:tc>
        <w:tc>
          <w:tcPr>
            <w:tcW w:w="849" w:type="dxa"/>
            <w:tcBorders>
              <w:bottom w:val="single" w:sz="4" w:space="0" w:color="auto"/>
            </w:tcBorders>
            <w:noWrap/>
            <w:hideMark/>
          </w:tcPr>
          <w:p w14:paraId="4185F075" w14:textId="77777777" w:rsidR="00B51F5B" w:rsidRPr="00EE1070" w:rsidRDefault="00B51F5B" w:rsidP="00F3067A">
            <w:pPr>
              <w:pStyle w:val="R"/>
              <w:rPr>
                <w:sz w:val="16"/>
                <w:szCs w:val="16"/>
                <w:rtl/>
              </w:rPr>
            </w:pPr>
            <w:r w:rsidRPr="00EE1070">
              <w:rPr>
                <w:sz w:val="16"/>
                <w:szCs w:val="16"/>
              </w:rPr>
              <w:t xml:space="preserve"> 14,797 </w:t>
            </w:r>
          </w:p>
        </w:tc>
        <w:tc>
          <w:tcPr>
            <w:tcW w:w="992" w:type="dxa"/>
            <w:tcBorders>
              <w:bottom w:val="single" w:sz="4" w:space="0" w:color="auto"/>
            </w:tcBorders>
            <w:noWrap/>
            <w:hideMark/>
          </w:tcPr>
          <w:p w14:paraId="4A669125" w14:textId="77777777" w:rsidR="00B51F5B" w:rsidRPr="00EE1070" w:rsidRDefault="00B51F5B" w:rsidP="00F3067A">
            <w:pPr>
              <w:pStyle w:val="R"/>
              <w:rPr>
                <w:rFonts w:asciiTheme="minorHAnsi" w:hAnsiTheme="minorHAnsi"/>
                <w:sz w:val="16"/>
                <w:szCs w:val="16"/>
              </w:rPr>
            </w:pPr>
            <w:r w:rsidRPr="00EE1070">
              <w:rPr>
                <w:sz w:val="16"/>
                <w:szCs w:val="16"/>
              </w:rPr>
              <w:t xml:space="preserve">219 </w:t>
            </w:r>
          </w:p>
        </w:tc>
        <w:tc>
          <w:tcPr>
            <w:tcW w:w="992" w:type="dxa"/>
            <w:tcBorders>
              <w:bottom w:val="single" w:sz="4" w:space="0" w:color="auto"/>
            </w:tcBorders>
            <w:noWrap/>
            <w:hideMark/>
          </w:tcPr>
          <w:p w14:paraId="5BDB0DB5" w14:textId="77777777" w:rsidR="00B51F5B" w:rsidRPr="00EE1070" w:rsidRDefault="00B51F5B" w:rsidP="00F3067A">
            <w:pPr>
              <w:pStyle w:val="R"/>
              <w:rPr>
                <w:sz w:val="16"/>
                <w:szCs w:val="16"/>
              </w:rPr>
            </w:pPr>
            <w:r w:rsidRPr="00EE1070">
              <w:rPr>
                <w:sz w:val="16"/>
                <w:szCs w:val="16"/>
              </w:rPr>
              <w:t>1.48%</w:t>
            </w:r>
          </w:p>
        </w:tc>
        <w:tc>
          <w:tcPr>
            <w:tcW w:w="1077" w:type="dxa"/>
            <w:gridSpan w:val="3"/>
            <w:tcBorders>
              <w:bottom w:val="single" w:sz="4" w:space="0" w:color="auto"/>
            </w:tcBorders>
            <w:shd w:val="clear" w:color="auto" w:fill="92D050"/>
            <w:noWrap/>
            <w:hideMark/>
          </w:tcPr>
          <w:p w14:paraId="7DA9CDB7" w14:textId="77777777" w:rsidR="00B51F5B" w:rsidRPr="00EE1070" w:rsidRDefault="00B51F5B" w:rsidP="00F3067A">
            <w:pPr>
              <w:pStyle w:val="R"/>
              <w:rPr>
                <w:sz w:val="16"/>
                <w:szCs w:val="16"/>
              </w:rPr>
            </w:pPr>
            <w:r w:rsidRPr="00EE1070">
              <w:rPr>
                <w:rFonts w:eastAsia="Times New Roman"/>
                <w:sz w:val="16"/>
                <w:szCs w:val="16"/>
                <w:rtl/>
              </w:rPr>
              <w:t>פריפריה</w:t>
            </w:r>
          </w:p>
        </w:tc>
        <w:tc>
          <w:tcPr>
            <w:tcW w:w="277" w:type="dxa"/>
            <w:tcBorders>
              <w:top w:val="nil"/>
              <w:bottom w:val="nil"/>
            </w:tcBorders>
            <w:noWrap/>
            <w:hideMark/>
          </w:tcPr>
          <w:p w14:paraId="7645D412"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964" w:type="dxa"/>
            <w:noWrap/>
            <w:hideMark/>
          </w:tcPr>
          <w:p w14:paraId="6FE5BAA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אום אל-פחם</w:t>
            </w:r>
          </w:p>
        </w:tc>
        <w:tc>
          <w:tcPr>
            <w:tcW w:w="826" w:type="dxa"/>
            <w:gridSpan w:val="2"/>
            <w:noWrap/>
            <w:hideMark/>
          </w:tcPr>
          <w:p w14:paraId="5B35E20B" w14:textId="77777777" w:rsidR="00B51F5B" w:rsidRPr="00794070" w:rsidRDefault="00B51F5B" w:rsidP="00F3067A">
            <w:pPr>
              <w:pStyle w:val="R"/>
              <w:rPr>
                <w:color w:val="000000"/>
                <w:sz w:val="16"/>
                <w:szCs w:val="16"/>
                <w:rtl/>
              </w:rPr>
            </w:pPr>
            <w:r w:rsidRPr="00794070">
              <w:rPr>
                <w:color w:val="000000"/>
                <w:sz w:val="16"/>
                <w:szCs w:val="16"/>
              </w:rPr>
              <w:t xml:space="preserve"> 33,112 </w:t>
            </w:r>
          </w:p>
        </w:tc>
        <w:tc>
          <w:tcPr>
            <w:tcW w:w="910" w:type="dxa"/>
            <w:gridSpan w:val="3"/>
            <w:noWrap/>
            <w:hideMark/>
          </w:tcPr>
          <w:p w14:paraId="3D2DB050" w14:textId="77777777" w:rsidR="00B51F5B" w:rsidRPr="00794070" w:rsidRDefault="00B51F5B" w:rsidP="00F3067A">
            <w:pPr>
              <w:pStyle w:val="R"/>
              <w:rPr>
                <w:color w:val="000000"/>
                <w:sz w:val="16"/>
                <w:szCs w:val="16"/>
              </w:rPr>
            </w:pPr>
            <w:r w:rsidRPr="00794070">
              <w:rPr>
                <w:color w:val="000000"/>
                <w:sz w:val="16"/>
                <w:szCs w:val="16"/>
              </w:rPr>
              <w:t xml:space="preserve">708 </w:t>
            </w:r>
          </w:p>
        </w:tc>
        <w:tc>
          <w:tcPr>
            <w:tcW w:w="896" w:type="dxa"/>
            <w:gridSpan w:val="2"/>
            <w:noWrap/>
            <w:hideMark/>
          </w:tcPr>
          <w:p w14:paraId="1CD1D19E" w14:textId="77777777" w:rsidR="00B51F5B" w:rsidRPr="00794070" w:rsidRDefault="00B51F5B" w:rsidP="00F3067A">
            <w:pPr>
              <w:pStyle w:val="R"/>
              <w:rPr>
                <w:color w:val="000000"/>
                <w:sz w:val="16"/>
                <w:szCs w:val="16"/>
              </w:rPr>
            </w:pPr>
            <w:r w:rsidRPr="00794070">
              <w:rPr>
                <w:color w:val="000000"/>
                <w:sz w:val="16"/>
                <w:szCs w:val="16"/>
              </w:rPr>
              <w:t>2.14%</w:t>
            </w:r>
          </w:p>
        </w:tc>
        <w:tc>
          <w:tcPr>
            <w:tcW w:w="1082" w:type="dxa"/>
            <w:shd w:val="clear" w:color="auto" w:fill="FFFF00"/>
            <w:noWrap/>
            <w:hideMark/>
          </w:tcPr>
          <w:p w14:paraId="38636B19"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EE1070" w14:paraId="35FED368" w14:textId="77777777" w:rsidTr="00EE1070">
        <w:trPr>
          <w:trHeight w:val="285"/>
        </w:trPr>
        <w:tc>
          <w:tcPr>
            <w:tcW w:w="814" w:type="dxa"/>
            <w:tcBorders>
              <w:left w:val="nil"/>
              <w:bottom w:val="nil"/>
              <w:right w:val="nil"/>
            </w:tcBorders>
            <w:noWrap/>
            <w:hideMark/>
          </w:tcPr>
          <w:p w14:paraId="65B0631B" w14:textId="77777777" w:rsidR="00B51F5B" w:rsidRPr="00E70F1F" w:rsidRDefault="00B51F5B" w:rsidP="001D0A16">
            <w:pPr>
              <w:spacing w:line="269" w:lineRule="auto"/>
              <w:jc w:val="left"/>
              <w:rPr>
                <w:rFonts w:ascii="David" w:hAnsi="David"/>
                <w:color w:val="000000"/>
                <w:szCs w:val="20"/>
                <w:rtl/>
              </w:rPr>
            </w:pPr>
          </w:p>
        </w:tc>
        <w:tc>
          <w:tcPr>
            <w:tcW w:w="849" w:type="dxa"/>
            <w:tcBorders>
              <w:left w:val="nil"/>
              <w:bottom w:val="nil"/>
              <w:right w:val="nil"/>
            </w:tcBorders>
            <w:noWrap/>
            <w:hideMark/>
          </w:tcPr>
          <w:p w14:paraId="3AD6F00E" w14:textId="77777777" w:rsidR="00B51F5B" w:rsidRPr="00E70F1F" w:rsidRDefault="00B51F5B" w:rsidP="001D0A16">
            <w:pPr>
              <w:spacing w:line="269" w:lineRule="auto"/>
              <w:jc w:val="left"/>
              <w:rPr>
                <w:rFonts w:ascii="David" w:hAnsi="David"/>
              </w:rPr>
            </w:pPr>
          </w:p>
        </w:tc>
        <w:tc>
          <w:tcPr>
            <w:tcW w:w="992" w:type="dxa"/>
            <w:tcBorders>
              <w:left w:val="nil"/>
              <w:bottom w:val="nil"/>
              <w:right w:val="nil"/>
            </w:tcBorders>
            <w:noWrap/>
            <w:hideMark/>
          </w:tcPr>
          <w:p w14:paraId="62C41C7B" w14:textId="77777777" w:rsidR="00B51F5B" w:rsidRPr="00E70F1F" w:rsidRDefault="00B51F5B" w:rsidP="001D0A16">
            <w:pPr>
              <w:spacing w:line="269" w:lineRule="auto"/>
              <w:jc w:val="left"/>
              <w:rPr>
                <w:rFonts w:ascii="David" w:hAnsi="David"/>
              </w:rPr>
            </w:pPr>
          </w:p>
        </w:tc>
        <w:tc>
          <w:tcPr>
            <w:tcW w:w="992" w:type="dxa"/>
            <w:tcBorders>
              <w:left w:val="nil"/>
              <w:bottom w:val="nil"/>
              <w:right w:val="nil"/>
            </w:tcBorders>
            <w:noWrap/>
            <w:hideMark/>
          </w:tcPr>
          <w:p w14:paraId="18857AE5" w14:textId="77777777" w:rsidR="00B51F5B" w:rsidRPr="00E70F1F" w:rsidRDefault="00B51F5B" w:rsidP="001D0A16">
            <w:pPr>
              <w:spacing w:line="269" w:lineRule="auto"/>
              <w:jc w:val="left"/>
              <w:rPr>
                <w:rFonts w:ascii="David" w:hAnsi="David"/>
              </w:rPr>
            </w:pPr>
          </w:p>
        </w:tc>
        <w:tc>
          <w:tcPr>
            <w:tcW w:w="964" w:type="dxa"/>
            <w:gridSpan w:val="2"/>
            <w:tcBorders>
              <w:left w:val="nil"/>
              <w:bottom w:val="nil"/>
              <w:right w:val="nil"/>
            </w:tcBorders>
            <w:noWrap/>
            <w:hideMark/>
          </w:tcPr>
          <w:p w14:paraId="53C85F5C" w14:textId="77777777" w:rsidR="00B51F5B" w:rsidRPr="00E70F1F" w:rsidRDefault="00B51F5B" w:rsidP="001D0A16">
            <w:pPr>
              <w:spacing w:line="269" w:lineRule="auto"/>
              <w:jc w:val="left"/>
              <w:rPr>
                <w:rFonts w:ascii="David" w:hAnsi="David"/>
              </w:rPr>
            </w:pPr>
          </w:p>
        </w:tc>
        <w:tc>
          <w:tcPr>
            <w:tcW w:w="390" w:type="dxa"/>
            <w:gridSpan w:val="2"/>
            <w:tcBorders>
              <w:top w:val="nil"/>
              <w:left w:val="nil"/>
              <w:bottom w:val="nil"/>
            </w:tcBorders>
            <w:noWrap/>
            <w:hideMark/>
          </w:tcPr>
          <w:p w14:paraId="48FF20CA"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7E99D37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כוכב יאיר</w:t>
            </w:r>
          </w:p>
        </w:tc>
        <w:tc>
          <w:tcPr>
            <w:tcW w:w="851" w:type="dxa"/>
            <w:gridSpan w:val="2"/>
            <w:noWrap/>
            <w:hideMark/>
          </w:tcPr>
          <w:p w14:paraId="6E51DC75" w14:textId="77777777" w:rsidR="00B51F5B" w:rsidRPr="00794070" w:rsidRDefault="00B51F5B" w:rsidP="00F3067A">
            <w:pPr>
              <w:pStyle w:val="R"/>
              <w:rPr>
                <w:color w:val="000000"/>
                <w:sz w:val="16"/>
                <w:szCs w:val="16"/>
                <w:rtl/>
              </w:rPr>
            </w:pPr>
            <w:r w:rsidRPr="00794070">
              <w:rPr>
                <w:color w:val="000000"/>
                <w:sz w:val="16"/>
                <w:szCs w:val="16"/>
              </w:rPr>
              <w:t xml:space="preserve">6,723 </w:t>
            </w:r>
          </w:p>
        </w:tc>
        <w:tc>
          <w:tcPr>
            <w:tcW w:w="850" w:type="dxa"/>
            <w:noWrap/>
            <w:hideMark/>
          </w:tcPr>
          <w:p w14:paraId="5583741B" w14:textId="77777777" w:rsidR="00B51F5B" w:rsidRPr="00794070" w:rsidRDefault="00B51F5B" w:rsidP="00F3067A">
            <w:pPr>
              <w:pStyle w:val="R"/>
              <w:rPr>
                <w:color w:val="000000"/>
                <w:sz w:val="16"/>
                <w:szCs w:val="16"/>
              </w:rPr>
            </w:pPr>
            <w:r w:rsidRPr="00794070">
              <w:rPr>
                <w:color w:val="000000"/>
                <w:sz w:val="16"/>
                <w:szCs w:val="16"/>
              </w:rPr>
              <w:t xml:space="preserve">150 </w:t>
            </w:r>
          </w:p>
        </w:tc>
        <w:tc>
          <w:tcPr>
            <w:tcW w:w="851" w:type="dxa"/>
            <w:gridSpan w:val="2"/>
            <w:noWrap/>
            <w:hideMark/>
          </w:tcPr>
          <w:p w14:paraId="2F0A1689" w14:textId="77777777" w:rsidR="00B51F5B" w:rsidRPr="00794070" w:rsidRDefault="00B51F5B" w:rsidP="00F3067A">
            <w:pPr>
              <w:pStyle w:val="R"/>
              <w:rPr>
                <w:color w:val="000000"/>
                <w:sz w:val="16"/>
                <w:szCs w:val="16"/>
              </w:rPr>
            </w:pPr>
            <w:r w:rsidRPr="00794070">
              <w:rPr>
                <w:color w:val="000000"/>
                <w:sz w:val="16"/>
                <w:szCs w:val="16"/>
              </w:rPr>
              <w:t>2.23%</w:t>
            </w:r>
          </w:p>
        </w:tc>
        <w:tc>
          <w:tcPr>
            <w:tcW w:w="1134" w:type="dxa"/>
            <w:gridSpan w:val="2"/>
            <w:noWrap/>
            <w:hideMark/>
          </w:tcPr>
          <w:p w14:paraId="310F60BC"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אחר</w:t>
            </w:r>
          </w:p>
        </w:tc>
      </w:tr>
      <w:tr w:rsidR="00B51F5B" w14:paraId="1B5CE120" w14:textId="77777777" w:rsidTr="00EE1070">
        <w:trPr>
          <w:trHeight w:val="285"/>
        </w:trPr>
        <w:tc>
          <w:tcPr>
            <w:tcW w:w="814" w:type="dxa"/>
            <w:tcBorders>
              <w:top w:val="nil"/>
              <w:left w:val="nil"/>
              <w:bottom w:val="nil"/>
              <w:right w:val="nil"/>
            </w:tcBorders>
            <w:noWrap/>
            <w:hideMark/>
          </w:tcPr>
          <w:p w14:paraId="0C00FEB9"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849" w:type="dxa"/>
            <w:tcBorders>
              <w:top w:val="nil"/>
              <w:left w:val="nil"/>
              <w:bottom w:val="nil"/>
              <w:right w:val="nil"/>
            </w:tcBorders>
            <w:noWrap/>
            <w:hideMark/>
          </w:tcPr>
          <w:p w14:paraId="1D38ACB1"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2245BF98"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68D3F405" w14:textId="77777777" w:rsidR="00B51F5B" w:rsidRPr="00873569" w:rsidRDefault="00B51F5B" w:rsidP="001D0A16">
            <w:pPr>
              <w:bidi w:val="0"/>
              <w:spacing w:line="269" w:lineRule="auto"/>
              <w:jc w:val="left"/>
              <w:rPr>
                <w:rFonts w:eastAsia="Times New Roman" w:cs="Times New Roman"/>
                <w:sz w:val="18"/>
                <w:szCs w:val="18"/>
              </w:rPr>
            </w:pPr>
          </w:p>
        </w:tc>
        <w:tc>
          <w:tcPr>
            <w:tcW w:w="859" w:type="dxa"/>
            <w:tcBorders>
              <w:top w:val="nil"/>
              <w:left w:val="nil"/>
              <w:bottom w:val="nil"/>
              <w:right w:val="nil"/>
            </w:tcBorders>
            <w:noWrap/>
            <w:hideMark/>
          </w:tcPr>
          <w:p w14:paraId="264560CC" w14:textId="77777777" w:rsidR="00B51F5B" w:rsidRPr="00873569" w:rsidRDefault="00B51F5B" w:rsidP="001D0A16">
            <w:pPr>
              <w:bidi w:val="0"/>
              <w:spacing w:line="269" w:lineRule="auto"/>
              <w:jc w:val="left"/>
              <w:rPr>
                <w:rFonts w:eastAsia="Times New Roman" w:cs="Times New Roman"/>
                <w:sz w:val="18"/>
                <w:szCs w:val="18"/>
              </w:rPr>
            </w:pPr>
          </w:p>
        </w:tc>
        <w:tc>
          <w:tcPr>
            <w:tcW w:w="495" w:type="dxa"/>
            <w:gridSpan w:val="3"/>
            <w:tcBorders>
              <w:top w:val="nil"/>
              <w:left w:val="nil"/>
              <w:bottom w:val="nil"/>
            </w:tcBorders>
            <w:noWrap/>
            <w:hideMark/>
          </w:tcPr>
          <w:p w14:paraId="4E9F4B0C"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500EFC80"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דיר חנא</w:t>
            </w:r>
          </w:p>
        </w:tc>
        <w:tc>
          <w:tcPr>
            <w:tcW w:w="851" w:type="dxa"/>
            <w:gridSpan w:val="2"/>
            <w:noWrap/>
            <w:hideMark/>
          </w:tcPr>
          <w:p w14:paraId="69F99EFA" w14:textId="77777777" w:rsidR="00B51F5B" w:rsidRPr="00794070" w:rsidRDefault="00B51F5B" w:rsidP="00F3067A">
            <w:pPr>
              <w:pStyle w:val="R"/>
              <w:rPr>
                <w:color w:val="000000"/>
                <w:sz w:val="16"/>
                <w:szCs w:val="16"/>
                <w:rtl/>
              </w:rPr>
            </w:pPr>
            <w:r w:rsidRPr="00794070">
              <w:rPr>
                <w:color w:val="000000"/>
                <w:sz w:val="16"/>
                <w:szCs w:val="16"/>
              </w:rPr>
              <w:t xml:space="preserve">6,844 </w:t>
            </w:r>
          </w:p>
        </w:tc>
        <w:tc>
          <w:tcPr>
            <w:tcW w:w="850" w:type="dxa"/>
            <w:noWrap/>
            <w:hideMark/>
          </w:tcPr>
          <w:p w14:paraId="2854CCEA" w14:textId="77777777" w:rsidR="00B51F5B" w:rsidRPr="00794070" w:rsidRDefault="00B51F5B" w:rsidP="00F3067A">
            <w:pPr>
              <w:pStyle w:val="R"/>
              <w:rPr>
                <w:color w:val="000000"/>
                <w:sz w:val="16"/>
                <w:szCs w:val="16"/>
              </w:rPr>
            </w:pPr>
            <w:r w:rsidRPr="00794070">
              <w:rPr>
                <w:color w:val="000000"/>
                <w:sz w:val="16"/>
                <w:szCs w:val="16"/>
              </w:rPr>
              <w:t xml:space="preserve">159 </w:t>
            </w:r>
          </w:p>
        </w:tc>
        <w:tc>
          <w:tcPr>
            <w:tcW w:w="851" w:type="dxa"/>
            <w:gridSpan w:val="2"/>
            <w:noWrap/>
            <w:hideMark/>
          </w:tcPr>
          <w:p w14:paraId="5845FCA8" w14:textId="77777777" w:rsidR="00B51F5B" w:rsidRPr="00794070" w:rsidRDefault="00B51F5B" w:rsidP="00F3067A">
            <w:pPr>
              <w:pStyle w:val="R"/>
              <w:rPr>
                <w:color w:val="000000"/>
                <w:sz w:val="16"/>
                <w:szCs w:val="16"/>
              </w:rPr>
            </w:pPr>
            <w:r w:rsidRPr="00794070">
              <w:rPr>
                <w:color w:val="000000"/>
                <w:sz w:val="16"/>
                <w:szCs w:val="16"/>
              </w:rPr>
              <w:t>2.32%</w:t>
            </w:r>
          </w:p>
        </w:tc>
        <w:tc>
          <w:tcPr>
            <w:tcW w:w="1134" w:type="dxa"/>
            <w:gridSpan w:val="2"/>
            <w:shd w:val="clear" w:color="auto" w:fill="FFFF00"/>
            <w:noWrap/>
            <w:hideMark/>
          </w:tcPr>
          <w:p w14:paraId="0FFA9618"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06D73DC2" w14:textId="77777777" w:rsidTr="00EE1070">
        <w:trPr>
          <w:trHeight w:val="285"/>
        </w:trPr>
        <w:tc>
          <w:tcPr>
            <w:tcW w:w="814" w:type="dxa"/>
            <w:tcBorders>
              <w:top w:val="nil"/>
              <w:left w:val="nil"/>
              <w:bottom w:val="nil"/>
              <w:right w:val="nil"/>
            </w:tcBorders>
            <w:noWrap/>
            <w:hideMark/>
          </w:tcPr>
          <w:p w14:paraId="55354A43"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849" w:type="dxa"/>
            <w:tcBorders>
              <w:top w:val="nil"/>
              <w:left w:val="nil"/>
              <w:bottom w:val="nil"/>
              <w:right w:val="nil"/>
            </w:tcBorders>
            <w:noWrap/>
            <w:hideMark/>
          </w:tcPr>
          <w:p w14:paraId="786ECAAC"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4D621C9F"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47F0EE95" w14:textId="77777777" w:rsidR="00B51F5B" w:rsidRPr="00873569" w:rsidRDefault="00B51F5B" w:rsidP="001D0A16">
            <w:pPr>
              <w:bidi w:val="0"/>
              <w:spacing w:line="269" w:lineRule="auto"/>
              <w:jc w:val="left"/>
              <w:rPr>
                <w:rFonts w:eastAsia="Times New Roman" w:cs="Times New Roman"/>
                <w:sz w:val="18"/>
                <w:szCs w:val="18"/>
              </w:rPr>
            </w:pPr>
          </w:p>
        </w:tc>
        <w:tc>
          <w:tcPr>
            <w:tcW w:w="859" w:type="dxa"/>
            <w:tcBorders>
              <w:top w:val="nil"/>
              <w:left w:val="nil"/>
              <w:bottom w:val="nil"/>
              <w:right w:val="nil"/>
            </w:tcBorders>
            <w:noWrap/>
            <w:hideMark/>
          </w:tcPr>
          <w:p w14:paraId="00FD9669" w14:textId="77777777" w:rsidR="00B51F5B" w:rsidRPr="00873569" w:rsidRDefault="00B51F5B" w:rsidP="001D0A16">
            <w:pPr>
              <w:bidi w:val="0"/>
              <w:spacing w:line="269" w:lineRule="auto"/>
              <w:jc w:val="left"/>
              <w:rPr>
                <w:rFonts w:eastAsia="Times New Roman" w:cs="Times New Roman"/>
                <w:sz w:val="18"/>
                <w:szCs w:val="18"/>
              </w:rPr>
            </w:pPr>
          </w:p>
        </w:tc>
        <w:tc>
          <w:tcPr>
            <w:tcW w:w="495" w:type="dxa"/>
            <w:gridSpan w:val="3"/>
            <w:tcBorders>
              <w:top w:val="nil"/>
              <w:left w:val="nil"/>
              <w:bottom w:val="nil"/>
            </w:tcBorders>
            <w:noWrap/>
            <w:hideMark/>
          </w:tcPr>
          <w:p w14:paraId="1B7FEA2D"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1547846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סח'נין</w:t>
            </w:r>
          </w:p>
        </w:tc>
        <w:tc>
          <w:tcPr>
            <w:tcW w:w="851" w:type="dxa"/>
            <w:gridSpan w:val="2"/>
            <w:noWrap/>
            <w:hideMark/>
          </w:tcPr>
          <w:p w14:paraId="73AE863E" w14:textId="77777777" w:rsidR="00B51F5B" w:rsidRPr="00794070" w:rsidRDefault="00B51F5B" w:rsidP="00F3067A">
            <w:pPr>
              <w:pStyle w:val="R"/>
              <w:rPr>
                <w:color w:val="000000"/>
                <w:sz w:val="16"/>
                <w:szCs w:val="16"/>
                <w:rtl/>
              </w:rPr>
            </w:pPr>
            <w:r w:rsidRPr="00794070">
              <w:rPr>
                <w:color w:val="000000"/>
                <w:sz w:val="16"/>
                <w:szCs w:val="16"/>
              </w:rPr>
              <w:t xml:space="preserve"> 20,123 </w:t>
            </w:r>
          </w:p>
        </w:tc>
        <w:tc>
          <w:tcPr>
            <w:tcW w:w="850" w:type="dxa"/>
            <w:noWrap/>
            <w:hideMark/>
          </w:tcPr>
          <w:p w14:paraId="0960EA88" w14:textId="77777777" w:rsidR="00B51F5B" w:rsidRPr="00794070" w:rsidRDefault="00B51F5B" w:rsidP="00F3067A">
            <w:pPr>
              <w:pStyle w:val="R"/>
              <w:rPr>
                <w:color w:val="000000"/>
                <w:sz w:val="16"/>
                <w:szCs w:val="16"/>
              </w:rPr>
            </w:pPr>
            <w:r w:rsidRPr="00794070">
              <w:rPr>
                <w:color w:val="000000"/>
                <w:sz w:val="16"/>
                <w:szCs w:val="16"/>
              </w:rPr>
              <w:t xml:space="preserve">469 </w:t>
            </w:r>
          </w:p>
        </w:tc>
        <w:tc>
          <w:tcPr>
            <w:tcW w:w="851" w:type="dxa"/>
            <w:gridSpan w:val="2"/>
            <w:noWrap/>
            <w:hideMark/>
          </w:tcPr>
          <w:p w14:paraId="661211C9" w14:textId="77777777" w:rsidR="00B51F5B" w:rsidRPr="00794070" w:rsidRDefault="00B51F5B" w:rsidP="00F3067A">
            <w:pPr>
              <w:pStyle w:val="R"/>
              <w:rPr>
                <w:color w:val="000000"/>
                <w:sz w:val="16"/>
                <w:szCs w:val="16"/>
              </w:rPr>
            </w:pPr>
            <w:r w:rsidRPr="00794070">
              <w:rPr>
                <w:color w:val="000000"/>
                <w:sz w:val="16"/>
                <w:szCs w:val="16"/>
              </w:rPr>
              <w:t>2.33%</w:t>
            </w:r>
          </w:p>
        </w:tc>
        <w:tc>
          <w:tcPr>
            <w:tcW w:w="1134" w:type="dxa"/>
            <w:gridSpan w:val="2"/>
            <w:shd w:val="clear" w:color="auto" w:fill="FFFF00"/>
            <w:noWrap/>
            <w:hideMark/>
          </w:tcPr>
          <w:p w14:paraId="5E413691"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2FA1F5D9" w14:textId="77777777" w:rsidTr="00EE1070">
        <w:trPr>
          <w:trHeight w:val="285"/>
        </w:trPr>
        <w:tc>
          <w:tcPr>
            <w:tcW w:w="814" w:type="dxa"/>
            <w:tcBorders>
              <w:top w:val="nil"/>
              <w:left w:val="nil"/>
              <w:bottom w:val="nil"/>
              <w:right w:val="nil"/>
            </w:tcBorders>
            <w:noWrap/>
            <w:hideMark/>
          </w:tcPr>
          <w:p w14:paraId="0A68F03B"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849" w:type="dxa"/>
            <w:tcBorders>
              <w:top w:val="nil"/>
              <w:left w:val="nil"/>
              <w:bottom w:val="nil"/>
              <w:right w:val="nil"/>
            </w:tcBorders>
            <w:noWrap/>
            <w:hideMark/>
          </w:tcPr>
          <w:p w14:paraId="76D4B61C"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595B5698"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2015D9F7" w14:textId="77777777" w:rsidR="00B51F5B" w:rsidRPr="00873569" w:rsidRDefault="00B51F5B" w:rsidP="001D0A16">
            <w:pPr>
              <w:bidi w:val="0"/>
              <w:spacing w:line="269" w:lineRule="auto"/>
              <w:jc w:val="left"/>
              <w:rPr>
                <w:rFonts w:eastAsia="Times New Roman" w:cs="Times New Roman"/>
                <w:sz w:val="18"/>
                <w:szCs w:val="18"/>
              </w:rPr>
            </w:pPr>
          </w:p>
        </w:tc>
        <w:tc>
          <w:tcPr>
            <w:tcW w:w="859" w:type="dxa"/>
            <w:tcBorders>
              <w:top w:val="nil"/>
              <w:left w:val="nil"/>
              <w:bottom w:val="nil"/>
              <w:right w:val="nil"/>
            </w:tcBorders>
            <w:noWrap/>
            <w:hideMark/>
          </w:tcPr>
          <w:p w14:paraId="01579CEB" w14:textId="77777777" w:rsidR="00B51F5B" w:rsidRPr="00873569" w:rsidRDefault="00B51F5B" w:rsidP="001D0A16">
            <w:pPr>
              <w:bidi w:val="0"/>
              <w:spacing w:line="269" w:lineRule="auto"/>
              <w:jc w:val="left"/>
              <w:rPr>
                <w:rFonts w:eastAsia="Times New Roman" w:cs="Times New Roman"/>
                <w:sz w:val="18"/>
                <w:szCs w:val="18"/>
              </w:rPr>
            </w:pPr>
          </w:p>
        </w:tc>
        <w:tc>
          <w:tcPr>
            <w:tcW w:w="495" w:type="dxa"/>
            <w:gridSpan w:val="3"/>
            <w:tcBorders>
              <w:top w:val="nil"/>
              <w:left w:val="nil"/>
              <w:bottom w:val="nil"/>
            </w:tcBorders>
            <w:noWrap/>
            <w:hideMark/>
          </w:tcPr>
          <w:p w14:paraId="192BA217"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39F6011B"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בית ג'ן</w:t>
            </w:r>
          </w:p>
        </w:tc>
        <w:tc>
          <w:tcPr>
            <w:tcW w:w="851" w:type="dxa"/>
            <w:gridSpan w:val="2"/>
            <w:noWrap/>
            <w:hideMark/>
          </w:tcPr>
          <w:p w14:paraId="2D95495B" w14:textId="77777777" w:rsidR="00B51F5B" w:rsidRPr="00794070" w:rsidRDefault="00B51F5B" w:rsidP="00F3067A">
            <w:pPr>
              <w:pStyle w:val="R"/>
              <w:rPr>
                <w:color w:val="000000"/>
                <w:sz w:val="16"/>
                <w:szCs w:val="16"/>
                <w:rtl/>
              </w:rPr>
            </w:pPr>
            <w:r w:rsidRPr="00794070">
              <w:rPr>
                <w:color w:val="000000"/>
                <w:sz w:val="16"/>
                <w:szCs w:val="16"/>
              </w:rPr>
              <w:t xml:space="preserve">7,934 </w:t>
            </w:r>
          </w:p>
        </w:tc>
        <w:tc>
          <w:tcPr>
            <w:tcW w:w="850" w:type="dxa"/>
            <w:noWrap/>
            <w:hideMark/>
          </w:tcPr>
          <w:p w14:paraId="532BF070" w14:textId="77777777" w:rsidR="00B51F5B" w:rsidRPr="00794070" w:rsidRDefault="00B51F5B" w:rsidP="00F3067A">
            <w:pPr>
              <w:pStyle w:val="R"/>
              <w:rPr>
                <w:color w:val="000000"/>
                <w:sz w:val="16"/>
                <w:szCs w:val="16"/>
              </w:rPr>
            </w:pPr>
            <w:r w:rsidRPr="00794070">
              <w:rPr>
                <w:color w:val="000000"/>
                <w:sz w:val="16"/>
                <w:szCs w:val="16"/>
              </w:rPr>
              <w:t xml:space="preserve">190 </w:t>
            </w:r>
          </w:p>
        </w:tc>
        <w:tc>
          <w:tcPr>
            <w:tcW w:w="851" w:type="dxa"/>
            <w:gridSpan w:val="2"/>
            <w:noWrap/>
            <w:hideMark/>
          </w:tcPr>
          <w:p w14:paraId="57B3E45C" w14:textId="77777777" w:rsidR="00B51F5B" w:rsidRPr="00794070" w:rsidRDefault="00B51F5B" w:rsidP="00F3067A">
            <w:pPr>
              <w:pStyle w:val="R"/>
              <w:rPr>
                <w:color w:val="000000"/>
                <w:sz w:val="16"/>
                <w:szCs w:val="16"/>
              </w:rPr>
            </w:pPr>
            <w:r w:rsidRPr="00794070">
              <w:rPr>
                <w:color w:val="000000"/>
                <w:sz w:val="16"/>
                <w:szCs w:val="16"/>
              </w:rPr>
              <w:t>2.39%</w:t>
            </w:r>
          </w:p>
        </w:tc>
        <w:tc>
          <w:tcPr>
            <w:tcW w:w="1134" w:type="dxa"/>
            <w:gridSpan w:val="2"/>
            <w:shd w:val="clear" w:color="auto" w:fill="FFFF00"/>
            <w:noWrap/>
            <w:hideMark/>
          </w:tcPr>
          <w:p w14:paraId="2B4C77F0"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25444AB7" w14:textId="77777777" w:rsidTr="00EE1070">
        <w:trPr>
          <w:trHeight w:val="285"/>
        </w:trPr>
        <w:tc>
          <w:tcPr>
            <w:tcW w:w="814" w:type="dxa"/>
            <w:tcBorders>
              <w:top w:val="nil"/>
              <w:left w:val="nil"/>
              <w:bottom w:val="nil"/>
              <w:right w:val="nil"/>
            </w:tcBorders>
            <w:noWrap/>
            <w:hideMark/>
          </w:tcPr>
          <w:p w14:paraId="7361607E"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849" w:type="dxa"/>
            <w:tcBorders>
              <w:top w:val="nil"/>
              <w:left w:val="nil"/>
              <w:bottom w:val="nil"/>
              <w:right w:val="nil"/>
            </w:tcBorders>
            <w:noWrap/>
            <w:hideMark/>
          </w:tcPr>
          <w:p w14:paraId="79BFB9BB"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4B4533CB"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38E0CC23" w14:textId="77777777" w:rsidR="00B51F5B" w:rsidRPr="00873569" w:rsidRDefault="00B51F5B" w:rsidP="001D0A16">
            <w:pPr>
              <w:bidi w:val="0"/>
              <w:spacing w:line="269" w:lineRule="auto"/>
              <w:jc w:val="left"/>
              <w:rPr>
                <w:rFonts w:eastAsia="Times New Roman" w:cs="Times New Roman"/>
                <w:sz w:val="18"/>
                <w:szCs w:val="18"/>
              </w:rPr>
            </w:pPr>
          </w:p>
        </w:tc>
        <w:tc>
          <w:tcPr>
            <w:tcW w:w="859" w:type="dxa"/>
            <w:tcBorders>
              <w:top w:val="nil"/>
              <w:left w:val="nil"/>
              <w:bottom w:val="nil"/>
              <w:right w:val="nil"/>
            </w:tcBorders>
            <w:noWrap/>
            <w:hideMark/>
          </w:tcPr>
          <w:p w14:paraId="230428F1" w14:textId="77777777" w:rsidR="00B51F5B" w:rsidRPr="00873569" w:rsidRDefault="00B51F5B" w:rsidP="001D0A16">
            <w:pPr>
              <w:bidi w:val="0"/>
              <w:spacing w:line="269" w:lineRule="auto"/>
              <w:jc w:val="left"/>
              <w:rPr>
                <w:rFonts w:eastAsia="Times New Roman" w:cs="Times New Roman"/>
                <w:sz w:val="18"/>
                <w:szCs w:val="18"/>
              </w:rPr>
            </w:pPr>
          </w:p>
        </w:tc>
        <w:tc>
          <w:tcPr>
            <w:tcW w:w="495" w:type="dxa"/>
            <w:gridSpan w:val="3"/>
            <w:tcBorders>
              <w:top w:val="nil"/>
              <w:left w:val="nil"/>
              <w:bottom w:val="nil"/>
            </w:tcBorders>
            <w:noWrap/>
            <w:hideMark/>
          </w:tcPr>
          <w:p w14:paraId="71A3714D"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263E8951"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מג'דל שמס</w:t>
            </w:r>
          </w:p>
        </w:tc>
        <w:tc>
          <w:tcPr>
            <w:tcW w:w="851" w:type="dxa"/>
            <w:gridSpan w:val="2"/>
            <w:noWrap/>
            <w:hideMark/>
          </w:tcPr>
          <w:p w14:paraId="4826A318" w14:textId="77777777" w:rsidR="00B51F5B" w:rsidRPr="00794070" w:rsidRDefault="00B51F5B" w:rsidP="00F3067A">
            <w:pPr>
              <w:pStyle w:val="R"/>
              <w:rPr>
                <w:color w:val="000000"/>
                <w:sz w:val="16"/>
                <w:szCs w:val="16"/>
                <w:rtl/>
              </w:rPr>
            </w:pPr>
            <w:r w:rsidRPr="00794070">
              <w:rPr>
                <w:color w:val="000000"/>
                <w:sz w:val="16"/>
                <w:szCs w:val="16"/>
              </w:rPr>
              <w:t xml:space="preserve">7,516 </w:t>
            </w:r>
          </w:p>
        </w:tc>
        <w:tc>
          <w:tcPr>
            <w:tcW w:w="850" w:type="dxa"/>
            <w:noWrap/>
            <w:hideMark/>
          </w:tcPr>
          <w:p w14:paraId="0D4BB22E" w14:textId="77777777" w:rsidR="00B51F5B" w:rsidRPr="00794070" w:rsidRDefault="00B51F5B" w:rsidP="00F3067A">
            <w:pPr>
              <w:pStyle w:val="R"/>
              <w:rPr>
                <w:color w:val="000000"/>
                <w:sz w:val="16"/>
                <w:szCs w:val="16"/>
              </w:rPr>
            </w:pPr>
            <w:r w:rsidRPr="00794070">
              <w:rPr>
                <w:color w:val="000000"/>
                <w:sz w:val="16"/>
                <w:szCs w:val="16"/>
              </w:rPr>
              <w:t xml:space="preserve">181 </w:t>
            </w:r>
          </w:p>
        </w:tc>
        <w:tc>
          <w:tcPr>
            <w:tcW w:w="851" w:type="dxa"/>
            <w:gridSpan w:val="2"/>
            <w:noWrap/>
            <w:hideMark/>
          </w:tcPr>
          <w:p w14:paraId="2BFF35C0" w14:textId="77777777" w:rsidR="00B51F5B" w:rsidRPr="00794070" w:rsidRDefault="00B51F5B" w:rsidP="00F3067A">
            <w:pPr>
              <w:pStyle w:val="R"/>
              <w:rPr>
                <w:color w:val="000000"/>
                <w:sz w:val="16"/>
                <w:szCs w:val="16"/>
              </w:rPr>
            </w:pPr>
            <w:r w:rsidRPr="00794070">
              <w:rPr>
                <w:color w:val="000000"/>
                <w:sz w:val="16"/>
                <w:szCs w:val="16"/>
              </w:rPr>
              <w:t>2.41%</w:t>
            </w:r>
          </w:p>
        </w:tc>
        <w:tc>
          <w:tcPr>
            <w:tcW w:w="1134" w:type="dxa"/>
            <w:gridSpan w:val="2"/>
            <w:shd w:val="clear" w:color="auto" w:fill="FFFF00"/>
            <w:noWrap/>
            <w:hideMark/>
          </w:tcPr>
          <w:p w14:paraId="78BDD293"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3B98AF74" w14:textId="77777777" w:rsidTr="00EE1070">
        <w:trPr>
          <w:trHeight w:val="285"/>
        </w:trPr>
        <w:tc>
          <w:tcPr>
            <w:tcW w:w="814" w:type="dxa"/>
            <w:tcBorders>
              <w:top w:val="nil"/>
              <w:left w:val="nil"/>
              <w:bottom w:val="nil"/>
              <w:right w:val="nil"/>
            </w:tcBorders>
            <w:noWrap/>
            <w:hideMark/>
          </w:tcPr>
          <w:p w14:paraId="47F304F4" w14:textId="77777777" w:rsidR="00B51F5B" w:rsidRPr="00873569" w:rsidRDefault="00B51F5B" w:rsidP="001D0A16">
            <w:pPr>
              <w:spacing w:line="269" w:lineRule="auto"/>
              <w:jc w:val="left"/>
              <w:rPr>
                <w:rFonts w:ascii="Arial" w:eastAsia="Times New Roman" w:hAnsi="Arial" w:cs="Arial"/>
                <w:color w:val="000000"/>
                <w:sz w:val="18"/>
                <w:szCs w:val="18"/>
                <w:rtl/>
              </w:rPr>
            </w:pPr>
          </w:p>
        </w:tc>
        <w:tc>
          <w:tcPr>
            <w:tcW w:w="849" w:type="dxa"/>
            <w:tcBorders>
              <w:top w:val="nil"/>
              <w:left w:val="nil"/>
              <w:bottom w:val="nil"/>
              <w:right w:val="nil"/>
            </w:tcBorders>
            <w:noWrap/>
            <w:hideMark/>
          </w:tcPr>
          <w:p w14:paraId="5111E081"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35DE82DD" w14:textId="77777777" w:rsidR="00B51F5B" w:rsidRPr="00873569" w:rsidRDefault="00B51F5B" w:rsidP="001D0A16">
            <w:pPr>
              <w:bidi w:val="0"/>
              <w:spacing w:line="269" w:lineRule="auto"/>
              <w:jc w:val="left"/>
              <w:rPr>
                <w:rFonts w:eastAsia="Times New Roman" w:cs="Times New Roman"/>
                <w:sz w:val="18"/>
                <w:szCs w:val="18"/>
              </w:rPr>
            </w:pPr>
          </w:p>
        </w:tc>
        <w:tc>
          <w:tcPr>
            <w:tcW w:w="992" w:type="dxa"/>
            <w:tcBorders>
              <w:top w:val="nil"/>
              <w:left w:val="nil"/>
              <w:bottom w:val="nil"/>
              <w:right w:val="nil"/>
            </w:tcBorders>
            <w:noWrap/>
            <w:hideMark/>
          </w:tcPr>
          <w:p w14:paraId="344F357F" w14:textId="77777777" w:rsidR="00B51F5B" w:rsidRPr="00873569" w:rsidRDefault="00B51F5B" w:rsidP="001D0A16">
            <w:pPr>
              <w:bidi w:val="0"/>
              <w:spacing w:line="269" w:lineRule="auto"/>
              <w:jc w:val="left"/>
              <w:rPr>
                <w:rFonts w:eastAsia="Times New Roman" w:cs="Times New Roman"/>
                <w:sz w:val="18"/>
                <w:szCs w:val="18"/>
              </w:rPr>
            </w:pPr>
          </w:p>
        </w:tc>
        <w:tc>
          <w:tcPr>
            <w:tcW w:w="859" w:type="dxa"/>
            <w:tcBorders>
              <w:top w:val="nil"/>
              <w:left w:val="nil"/>
              <w:bottom w:val="nil"/>
              <w:right w:val="nil"/>
            </w:tcBorders>
            <w:noWrap/>
            <w:hideMark/>
          </w:tcPr>
          <w:p w14:paraId="5DC4217A" w14:textId="77777777" w:rsidR="00B51F5B" w:rsidRPr="00873569" w:rsidRDefault="00B51F5B" w:rsidP="001D0A16">
            <w:pPr>
              <w:bidi w:val="0"/>
              <w:spacing w:line="269" w:lineRule="auto"/>
              <w:jc w:val="left"/>
              <w:rPr>
                <w:rFonts w:eastAsia="Times New Roman" w:cs="Times New Roman"/>
                <w:sz w:val="18"/>
                <w:szCs w:val="18"/>
              </w:rPr>
            </w:pPr>
          </w:p>
        </w:tc>
        <w:tc>
          <w:tcPr>
            <w:tcW w:w="495" w:type="dxa"/>
            <w:gridSpan w:val="3"/>
            <w:tcBorders>
              <w:top w:val="nil"/>
              <w:left w:val="nil"/>
              <w:bottom w:val="nil"/>
            </w:tcBorders>
            <w:noWrap/>
            <w:hideMark/>
          </w:tcPr>
          <w:p w14:paraId="48452514" w14:textId="77777777" w:rsidR="00B51F5B" w:rsidRPr="00873569" w:rsidRDefault="00B51F5B" w:rsidP="001D0A16">
            <w:pPr>
              <w:bidi w:val="0"/>
              <w:spacing w:line="269" w:lineRule="auto"/>
              <w:jc w:val="left"/>
              <w:rPr>
                <w:rFonts w:eastAsia="Times New Roman" w:cs="Times New Roman"/>
                <w:sz w:val="18"/>
                <w:szCs w:val="18"/>
              </w:rPr>
            </w:pPr>
          </w:p>
        </w:tc>
        <w:tc>
          <w:tcPr>
            <w:tcW w:w="992" w:type="dxa"/>
            <w:gridSpan w:val="2"/>
            <w:noWrap/>
            <w:hideMark/>
          </w:tcPr>
          <w:p w14:paraId="1FAC4F5A"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ביר אל-מכסור</w:t>
            </w:r>
          </w:p>
        </w:tc>
        <w:tc>
          <w:tcPr>
            <w:tcW w:w="851" w:type="dxa"/>
            <w:gridSpan w:val="2"/>
            <w:noWrap/>
            <w:hideMark/>
          </w:tcPr>
          <w:p w14:paraId="306CF66E" w14:textId="77777777" w:rsidR="00B51F5B" w:rsidRPr="00794070" w:rsidRDefault="00B51F5B" w:rsidP="00F3067A">
            <w:pPr>
              <w:pStyle w:val="R"/>
              <w:rPr>
                <w:color w:val="000000"/>
                <w:sz w:val="16"/>
                <w:szCs w:val="16"/>
                <w:rtl/>
              </w:rPr>
            </w:pPr>
            <w:r w:rsidRPr="00794070">
              <w:rPr>
                <w:color w:val="000000"/>
                <w:sz w:val="16"/>
                <w:szCs w:val="16"/>
              </w:rPr>
              <w:t xml:space="preserve">5,934 </w:t>
            </w:r>
          </w:p>
        </w:tc>
        <w:tc>
          <w:tcPr>
            <w:tcW w:w="850" w:type="dxa"/>
            <w:noWrap/>
            <w:hideMark/>
          </w:tcPr>
          <w:p w14:paraId="5F369F6B" w14:textId="77777777" w:rsidR="00B51F5B" w:rsidRPr="00794070" w:rsidRDefault="00B51F5B" w:rsidP="00F3067A">
            <w:pPr>
              <w:pStyle w:val="R"/>
              <w:rPr>
                <w:color w:val="000000"/>
                <w:sz w:val="16"/>
                <w:szCs w:val="16"/>
              </w:rPr>
            </w:pPr>
            <w:r w:rsidRPr="00794070">
              <w:rPr>
                <w:color w:val="000000"/>
                <w:sz w:val="16"/>
                <w:szCs w:val="16"/>
              </w:rPr>
              <w:t xml:space="preserve">143 </w:t>
            </w:r>
          </w:p>
        </w:tc>
        <w:tc>
          <w:tcPr>
            <w:tcW w:w="851" w:type="dxa"/>
            <w:gridSpan w:val="2"/>
            <w:noWrap/>
            <w:hideMark/>
          </w:tcPr>
          <w:p w14:paraId="4D8EB452" w14:textId="77777777" w:rsidR="00B51F5B" w:rsidRPr="00794070" w:rsidRDefault="00B51F5B" w:rsidP="00F3067A">
            <w:pPr>
              <w:pStyle w:val="R"/>
              <w:rPr>
                <w:color w:val="000000"/>
                <w:sz w:val="16"/>
                <w:szCs w:val="16"/>
              </w:rPr>
            </w:pPr>
            <w:r w:rsidRPr="00794070">
              <w:rPr>
                <w:color w:val="000000"/>
                <w:sz w:val="16"/>
                <w:szCs w:val="16"/>
              </w:rPr>
              <w:t>2.41%</w:t>
            </w:r>
          </w:p>
        </w:tc>
        <w:tc>
          <w:tcPr>
            <w:tcW w:w="1134" w:type="dxa"/>
            <w:gridSpan w:val="2"/>
            <w:shd w:val="clear" w:color="auto" w:fill="FFFF00"/>
            <w:noWrap/>
            <w:hideMark/>
          </w:tcPr>
          <w:p w14:paraId="76A88F91"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5CA4E4BF" w14:textId="77777777" w:rsidTr="00EE1070">
        <w:trPr>
          <w:trHeight w:val="285"/>
        </w:trPr>
        <w:tc>
          <w:tcPr>
            <w:tcW w:w="814" w:type="dxa"/>
            <w:tcBorders>
              <w:top w:val="nil"/>
              <w:left w:val="nil"/>
              <w:bottom w:val="nil"/>
              <w:right w:val="nil"/>
            </w:tcBorders>
            <w:noWrap/>
            <w:hideMark/>
          </w:tcPr>
          <w:p w14:paraId="6B8FBFB1"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04B9DF3E"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69B5FD67" w14:textId="77777777" w:rsidR="00B51F5B" w:rsidRPr="0062664B" w:rsidRDefault="00B51F5B" w:rsidP="001D0A16">
            <w:pPr>
              <w:bidi w:val="0"/>
              <w:spacing w:line="269" w:lineRule="auto"/>
              <w:jc w:val="left"/>
              <w:rPr>
                <w:rFonts w:asciiTheme="minorHAnsi" w:hAnsiTheme="minorHAnsi"/>
              </w:rPr>
            </w:pPr>
          </w:p>
        </w:tc>
        <w:tc>
          <w:tcPr>
            <w:tcW w:w="992" w:type="dxa"/>
            <w:tcBorders>
              <w:top w:val="nil"/>
              <w:left w:val="nil"/>
              <w:bottom w:val="nil"/>
              <w:right w:val="nil"/>
            </w:tcBorders>
            <w:noWrap/>
            <w:hideMark/>
          </w:tcPr>
          <w:p w14:paraId="05C734E2"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46447B1F" w14:textId="77777777" w:rsidR="00B51F5B" w:rsidRPr="00624273" w:rsidRDefault="00B51F5B" w:rsidP="001D0A16">
            <w:pPr>
              <w:bidi w:val="0"/>
              <w:spacing w:line="269" w:lineRule="auto"/>
              <w:jc w:val="left"/>
              <w:rPr>
                <w:rFonts w:ascii="David" w:hAnsi="David"/>
              </w:rPr>
            </w:pPr>
          </w:p>
        </w:tc>
        <w:tc>
          <w:tcPr>
            <w:tcW w:w="495" w:type="dxa"/>
            <w:gridSpan w:val="3"/>
            <w:tcBorders>
              <w:top w:val="nil"/>
              <w:left w:val="nil"/>
              <w:bottom w:val="nil"/>
            </w:tcBorders>
            <w:noWrap/>
            <w:hideMark/>
          </w:tcPr>
          <w:p w14:paraId="4C3436DE" w14:textId="77777777" w:rsidR="00B51F5B" w:rsidRPr="00624273" w:rsidRDefault="00B51F5B" w:rsidP="001D0A16">
            <w:pPr>
              <w:bidi w:val="0"/>
              <w:spacing w:line="269" w:lineRule="auto"/>
              <w:jc w:val="left"/>
              <w:rPr>
                <w:rFonts w:ascii="David" w:hAnsi="David"/>
              </w:rPr>
            </w:pPr>
          </w:p>
        </w:tc>
        <w:tc>
          <w:tcPr>
            <w:tcW w:w="992" w:type="dxa"/>
            <w:gridSpan w:val="2"/>
            <w:tcBorders>
              <w:bottom w:val="single" w:sz="4" w:space="0" w:color="auto"/>
            </w:tcBorders>
            <w:noWrap/>
            <w:hideMark/>
          </w:tcPr>
          <w:p w14:paraId="0A29BDFD" w14:textId="77777777" w:rsidR="00B51F5B" w:rsidRPr="00F3067A" w:rsidRDefault="00B51F5B" w:rsidP="00F3067A">
            <w:pPr>
              <w:pStyle w:val="R"/>
              <w:rPr>
                <w:rFonts w:ascii="David" w:hAnsi="David"/>
                <w:color w:val="000000"/>
                <w:sz w:val="16"/>
                <w:szCs w:val="16"/>
                <w:rtl/>
              </w:rPr>
            </w:pPr>
            <w:r w:rsidRPr="00F3067A">
              <w:rPr>
                <w:rFonts w:ascii="David" w:hAnsi="David"/>
                <w:color w:val="000000"/>
                <w:sz w:val="16"/>
                <w:szCs w:val="16"/>
                <w:rtl/>
              </w:rPr>
              <w:t>מג'ד אל-כרום</w:t>
            </w:r>
          </w:p>
        </w:tc>
        <w:tc>
          <w:tcPr>
            <w:tcW w:w="851" w:type="dxa"/>
            <w:gridSpan w:val="2"/>
            <w:tcBorders>
              <w:bottom w:val="single" w:sz="4" w:space="0" w:color="auto"/>
            </w:tcBorders>
            <w:noWrap/>
            <w:hideMark/>
          </w:tcPr>
          <w:p w14:paraId="7E6A567E" w14:textId="77777777" w:rsidR="00B51F5B" w:rsidRPr="00794070" w:rsidRDefault="00B51F5B" w:rsidP="00F3067A">
            <w:pPr>
              <w:pStyle w:val="R"/>
              <w:rPr>
                <w:color w:val="000000"/>
                <w:sz w:val="16"/>
                <w:szCs w:val="16"/>
              </w:rPr>
            </w:pPr>
            <w:r w:rsidRPr="00794070">
              <w:rPr>
                <w:color w:val="000000"/>
                <w:sz w:val="16"/>
                <w:szCs w:val="16"/>
              </w:rPr>
              <w:t xml:space="preserve">9,577 </w:t>
            </w:r>
          </w:p>
        </w:tc>
        <w:tc>
          <w:tcPr>
            <w:tcW w:w="850" w:type="dxa"/>
            <w:tcBorders>
              <w:bottom w:val="single" w:sz="4" w:space="0" w:color="auto"/>
            </w:tcBorders>
            <w:noWrap/>
            <w:hideMark/>
          </w:tcPr>
          <w:p w14:paraId="508519D5" w14:textId="77777777" w:rsidR="00B51F5B" w:rsidRPr="00794070" w:rsidRDefault="00B51F5B" w:rsidP="00F3067A">
            <w:pPr>
              <w:pStyle w:val="R"/>
              <w:rPr>
                <w:color w:val="000000"/>
                <w:sz w:val="16"/>
                <w:szCs w:val="16"/>
              </w:rPr>
            </w:pPr>
            <w:r w:rsidRPr="00794070">
              <w:rPr>
                <w:color w:val="000000"/>
                <w:sz w:val="16"/>
                <w:szCs w:val="16"/>
              </w:rPr>
              <w:t xml:space="preserve">232 </w:t>
            </w:r>
          </w:p>
        </w:tc>
        <w:tc>
          <w:tcPr>
            <w:tcW w:w="851" w:type="dxa"/>
            <w:gridSpan w:val="2"/>
            <w:tcBorders>
              <w:bottom w:val="single" w:sz="4" w:space="0" w:color="auto"/>
            </w:tcBorders>
            <w:noWrap/>
            <w:hideMark/>
          </w:tcPr>
          <w:p w14:paraId="1D3CD62D" w14:textId="77777777" w:rsidR="00B51F5B" w:rsidRPr="00794070" w:rsidRDefault="00B51F5B" w:rsidP="00F3067A">
            <w:pPr>
              <w:pStyle w:val="R"/>
              <w:rPr>
                <w:color w:val="000000"/>
                <w:sz w:val="16"/>
                <w:szCs w:val="16"/>
              </w:rPr>
            </w:pPr>
            <w:r w:rsidRPr="00794070">
              <w:rPr>
                <w:color w:val="000000"/>
                <w:sz w:val="16"/>
                <w:szCs w:val="16"/>
              </w:rPr>
              <w:t>2.42%</w:t>
            </w:r>
          </w:p>
        </w:tc>
        <w:tc>
          <w:tcPr>
            <w:tcW w:w="1134" w:type="dxa"/>
            <w:gridSpan w:val="2"/>
            <w:tcBorders>
              <w:bottom w:val="single" w:sz="4" w:space="0" w:color="auto"/>
            </w:tcBorders>
            <w:shd w:val="clear" w:color="auto" w:fill="FFFF00"/>
            <w:noWrap/>
            <w:hideMark/>
          </w:tcPr>
          <w:p w14:paraId="41F12F00"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bl>
    <w:p w14:paraId="7592F052" w14:textId="211A6709" w:rsidR="00EE1070" w:rsidRDefault="00EE1070">
      <w:pPr>
        <w:rPr>
          <w:rtl/>
        </w:rPr>
      </w:pPr>
    </w:p>
    <w:p w14:paraId="0CEF97D1" w14:textId="5E9FF4B5" w:rsidR="00EE1070" w:rsidRDefault="00EE1070">
      <w:pPr>
        <w:bidi w:val="0"/>
        <w:spacing w:after="200" w:line="276" w:lineRule="auto"/>
        <w:rPr>
          <w:rtl/>
        </w:rPr>
      </w:pPr>
      <w:r>
        <w:rPr>
          <w:rtl/>
        </w:rPr>
        <w:br w:type="page"/>
      </w:r>
    </w:p>
    <w:tbl>
      <w:tblPr>
        <w:tblStyle w:val="TableGrid"/>
        <w:tblpPr w:leftFromText="180" w:rightFromText="180" w:vertAnchor="text" w:horzAnchor="margin" w:tblpXSpec="center" w:tblpY="184"/>
        <w:bidiVisual/>
        <w:tblW w:w="9460" w:type="dxa"/>
        <w:tblLayout w:type="fixed"/>
        <w:tblLook w:val="04A0" w:firstRow="1" w:lastRow="0" w:firstColumn="1" w:lastColumn="0" w:noHBand="0" w:noVBand="1"/>
      </w:tblPr>
      <w:tblGrid>
        <w:gridCol w:w="814"/>
        <w:gridCol w:w="849"/>
        <w:gridCol w:w="992"/>
        <w:gridCol w:w="992"/>
        <w:gridCol w:w="859"/>
        <w:gridCol w:w="277"/>
        <w:gridCol w:w="968"/>
        <w:gridCol w:w="826"/>
        <w:gridCol w:w="910"/>
        <w:gridCol w:w="896"/>
        <w:gridCol w:w="1077"/>
      </w:tblGrid>
      <w:tr w:rsidR="002A7A03" w14:paraId="789EBCFF" w14:textId="77777777" w:rsidTr="00EE1070">
        <w:trPr>
          <w:trHeight w:val="285"/>
        </w:trPr>
        <w:tc>
          <w:tcPr>
            <w:tcW w:w="814" w:type="dxa"/>
            <w:tcBorders>
              <w:top w:val="nil"/>
              <w:left w:val="nil"/>
              <w:bottom w:val="nil"/>
              <w:right w:val="nil"/>
            </w:tcBorders>
            <w:noWrap/>
          </w:tcPr>
          <w:p w14:paraId="0E3F3C08" w14:textId="77777777" w:rsidR="002A7A03" w:rsidRPr="00624273" w:rsidRDefault="002A7A03" w:rsidP="002A7A03">
            <w:pPr>
              <w:spacing w:line="269" w:lineRule="auto"/>
              <w:jc w:val="left"/>
              <w:rPr>
                <w:rFonts w:ascii="David" w:hAnsi="David"/>
                <w:color w:val="000000"/>
                <w:szCs w:val="20"/>
                <w:rtl/>
              </w:rPr>
            </w:pPr>
          </w:p>
        </w:tc>
        <w:tc>
          <w:tcPr>
            <w:tcW w:w="849" w:type="dxa"/>
            <w:tcBorders>
              <w:top w:val="nil"/>
              <w:left w:val="nil"/>
              <w:bottom w:val="nil"/>
              <w:right w:val="nil"/>
            </w:tcBorders>
            <w:noWrap/>
          </w:tcPr>
          <w:p w14:paraId="2AEEB4A2" w14:textId="77777777" w:rsidR="002A7A03" w:rsidRPr="006E4E57" w:rsidRDefault="002A7A03" w:rsidP="002A7A03">
            <w:pPr>
              <w:bidi w:val="0"/>
              <w:spacing w:line="269" w:lineRule="auto"/>
              <w:jc w:val="left"/>
              <w:rPr>
                <w:rFonts w:asciiTheme="minorHAnsi" w:hAnsiTheme="minorHAnsi"/>
              </w:rPr>
            </w:pPr>
          </w:p>
        </w:tc>
        <w:tc>
          <w:tcPr>
            <w:tcW w:w="992" w:type="dxa"/>
            <w:tcBorders>
              <w:top w:val="nil"/>
              <w:left w:val="nil"/>
              <w:bottom w:val="nil"/>
              <w:right w:val="nil"/>
            </w:tcBorders>
            <w:noWrap/>
          </w:tcPr>
          <w:p w14:paraId="22946765" w14:textId="77777777" w:rsidR="002A7A03" w:rsidRPr="00624273" w:rsidRDefault="002A7A03" w:rsidP="002A7A03">
            <w:pPr>
              <w:bidi w:val="0"/>
              <w:spacing w:line="269" w:lineRule="auto"/>
              <w:jc w:val="left"/>
              <w:rPr>
                <w:rFonts w:ascii="David" w:hAnsi="David"/>
              </w:rPr>
            </w:pPr>
          </w:p>
        </w:tc>
        <w:tc>
          <w:tcPr>
            <w:tcW w:w="992" w:type="dxa"/>
            <w:tcBorders>
              <w:top w:val="nil"/>
              <w:left w:val="nil"/>
              <w:bottom w:val="nil"/>
              <w:right w:val="nil"/>
            </w:tcBorders>
            <w:noWrap/>
          </w:tcPr>
          <w:p w14:paraId="324F5E8A" w14:textId="77777777" w:rsidR="002A7A03" w:rsidRPr="00624273" w:rsidRDefault="002A7A03" w:rsidP="002A7A03">
            <w:pPr>
              <w:bidi w:val="0"/>
              <w:spacing w:line="269" w:lineRule="auto"/>
              <w:jc w:val="left"/>
              <w:rPr>
                <w:rFonts w:ascii="David" w:hAnsi="David"/>
              </w:rPr>
            </w:pPr>
          </w:p>
        </w:tc>
        <w:tc>
          <w:tcPr>
            <w:tcW w:w="859" w:type="dxa"/>
            <w:tcBorders>
              <w:top w:val="nil"/>
              <w:left w:val="nil"/>
              <w:bottom w:val="nil"/>
              <w:right w:val="nil"/>
            </w:tcBorders>
            <w:noWrap/>
          </w:tcPr>
          <w:p w14:paraId="29EAAD99" w14:textId="77777777" w:rsidR="002A7A03" w:rsidRPr="00624273" w:rsidRDefault="002A7A03" w:rsidP="002A7A03">
            <w:pPr>
              <w:bidi w:val="0"/>
              <w:spacing w:line="269" w:lineRule="auto"/>
              <w:jc w:val="left"/>
              <w:rPr>
                <w:rFonts w:ascii="David" w:hAnsi="David"/>
              </w:rPr>
            </w:pPr>
          </w:p>
        </w:tc>
        <w:tc>
          <w:tcPr>
            <w:tcW w:w="277" w:type="dxa"/>
            <w:tcBorders>
              <w:top w:val="nil"/>
              <w:left w:val="nil"/>
              <w:bottom w:val="nil"/>
            </w:tcBorders>
            <w:noWrap/>
          </w:tcPr>
          <w:p w14:paraId="2B129BC7" w14:textId="77777777" w:rsidR="002A7A03" w:rsidRPr="00624273" w:rsidRDefault="002A7A03" w:rsidP="002A7A03">
            <w:pPr>
              <w:pStyle w:val="B"/>
              <w:bidi w:val="0"/>
            </w:pPr>
          </w:p>
        </w:tc>
        <w:tc>
          <w:tcPr>
            <w:tcW w:w="968" w:type="dxa"/>
            <w:shd w:val="clear" w:color="auto" w:fill="C6D9F1"/>
            <w:noWrap/>
            <w:vAlign w:val="bottom"/>
          </w:tcPr>
          <w:p w14:paraId="03EEE8EE" w14:textId="0AE1D908" w:rsidR="002A7A03" w:rsidRPr="002A7A03" w:rsidRDefault="002A7A03" w:rsidP="002A7A03">
            <w:pPr>
              <w:pStyle w:val="af1"/>
              <w:rPr>
                <w:sz w:val="16"/>
                <w:szCs w:val="16"/>
                <w:rtl/>
              </w:rPr>
            </w:pPr>
            <w:r w:rsidRPr="002A7A03">
              <w:rPr>
                <w:sz w:val="16"/>
                <w:szCs w:val="16"/>
                <w:rtl/>
              </w:rPr>
              <w:t>שם יישוב</w:t>
            </w:r>
          </w:p>
        </w:tc>
        <w:tc>
          <w:tcPr>
            <w:tcW w:w="826" w:type="dxa"/>
            <w:shd w:val="clear" w:color="auto" w:fill="C6D9F1"/>
            <w:noWrap/>
            <w:vAlign w:val="bottom"/>
          </w:tcPr>
          <w:p w14:paraId="7F6A9872" w14:textId="154FB0F8" w:rsidR="002A7A03" w:rsidRPr="002A7A03" w:rsidRDefault="002A7A03" w:rsidP="002A7A03">
            <w:pPr>
              <w:pStyle w:val="af1"/>
              <w:rPr>
                <w:sz w:val="16"/>
                <w:szCs w:val="16"/>
              </w:rPr>
            </w:pPr>
            <w:r w:rsidRPr="002A7A03">
              <w:rPr>
                <w:rFonts w:hint="cs"/>
                <w:sz w:val="16"/>
                <w:szCs w:val="16"/>
                <w:rtl/>
              </w:rPr>
              <w:t xml:space="preserve">חברי קופות החולים </w:t>
            </w:r>
            <w:r w:rsidRPr="002A7A03">
              <w:rPr>
                <w:sz w:val="16"/>
                <w:szCs w:val="16"/>
                <w:rtl/>
              </w:rPr>
              <w:t>מעל לגיל 18</w:t>
            </w:r>
          </w:p>
        </w:tc>
        <w:tc>
          <w:tcPr>
            <w:tcW w:w="910" w:type="dxa"/>
            <w:shd w:val="clear" w:color="auto" w:fill="C6D9F1"/>
            <w:noWrap/>
            <w:vAlign w:val="bottom"/>
          </w:tcPr>
          <w:p w14:paraId="37675124" w14:textId="2D44E240" w:rsidR="002A7A03" w:rsidRPr="002A7A03" w:rsidRDefault="002A7A03" w:rsidP="002A7A03">
            <w:pPr>
              <w:pStyle w:val="af1"/>
              <w:rPr>
                <w:sz w:val="16"/>
                <w:szCs w:val="16"/>
              </w:rPr>
            </w:pPr>
            <w:r w:rsidRPr="002A7A03">
              <w:rPr>
                <w:sz w:val="16"/>
                <w:szCs w:val="16"/>
                <w:rtl/>
              </w:rPr>
              <w:t>מטופלים מעל לגיל 18</w:t>
            </w:r>
          </w:p>
        </w:tc>
        <w:tc>
          <w:tcPr>
            <w:tcW w:w="896" w:type="dxa"/>
            <w:shd w:val="clear" w:color="auto" w:fill="C6D9F1"/>
            <w:noWrap/>
            <w:vAlign w:val="bottom"/>
          </w:tcPr>
          <w:p w14:paraId="11A09225" w14:textId="46A88804" w:rsidR="002A7A03" w:rsidRPr="002A7A03" w:rsidRDefault="002A7A03" w:rsidP="002A7A03">
            <w:pPr>
              <w:pStyle w:val="af1"/>
              <w:rPr>
                <w:sz w:val="16"/>
                <w:szCs w:val="16"/>
              </w:rPr>
            </w:pPr>
            <w:r w:rsidRPr="002A7A03">
              <w:rPr>
                <w:sz w:val="16"/>
                <w:szCs w:val="16"/>
                <w:rtl/>
              </w:rPr>
              <w:t xml:space="preserve"> שיעור מטופלים מעל לגיל 18</w:t>
            </w:r>
          </w:p>
        </w:tc>
        <w:tc>
          <w:tcPr>
            <w:tcW w:w="1077" w:type="dxa"/>
            <w:shd w:val="clear" w:color="auto" w:fill="C6D9F1"/>
            <w:noWrap/>
            <w:vAlign w:val="bottom"/>
          </w:tcPr>
          <w:p w14:paraId="58135488" w14:textId="4A76E854" w:rsidR="002A7A03" w:rsidRPr="002A7A03" w:rsidRDefault="002A7A03" w:rsidP="002A7A03">
            <w:pPr>
              <w:pStyle w:val="af1"/>
              <w:rPr>
                <w:sz w:val="16"/>
                <w:szCs w:val="16"/>
                <w:rtl/>
              </w:rPr>
            </w:pPr>
            <w:r w:rsidRPr="002A7A03">
              <w:rPr>
                <w:sz w:val="16"/>
                <w:szCs w:val="16"/>
                <w:rtl/>
              </w:rPr>
              <w:t xml:space="preserve"> מאפייני אוכלוסייה </w:t>
            </w:r>
          </w:p>
        </w:tc>
      </w:tr>
      <w:tr w:rsidR="00B51F5B" w14:paraId="16FA73EA" w14:textId="77777777" w:rsidTr="00EE1070">
        <w:trPr>
          <w:trHeight w:val="285"/>
        </w:trPr>
        <w:tc>
          <w:tcPr>
            <w:tcW w:w="814" w:type="dxa"/>
            <w:tcBorders>
              <w:top w:val="nil"/>
              <w:left w:val="nil"/>
              <w:bottom w:val="nil"/>
              <w:right w:val="nil"/>
            </w:tcBorders>
            <w:noWrap/>
            <w:hideMark/>
          </w:tcPr>
          <w:p w14:paraId="3CE853BF"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37E1907E" w14:textId="77777777" w:rsidR="00B51F5B" w:rsidRPr="006E4E57" w:rsidRDefault="00B51F5B" w:rsidP="001D0A16">
            <w:pPr>
              <w:bidi w:val="0"/>
              <w:spacing w:line="269" w:lineRule="auto"/>
              <w:jc w:val="left"/>
              <w:rPr>
                <w:rFonts w:asciiTheme="minorHAnsi" w:hAnsiTheme="minorHAnsi"/>
              </w:rPr>
            </w:pPr>
          </w:p>
        </w:tc>
        <w:tc>
          <w:tcPr>
            <w:tcW w:w="992" w:type="dxa"/>
            <w:tcBorders>
              <w:top w:val="nil"/>
              <w:left w:val="nil"/>
              <w:bottom w:val="nil"/>
              <w:right w:val="nil"/>
            </w:tcBorders>
            <w:noWrap/>
            <w:hideMark/>
          </w:tcPr>
          <w:p w14:paraId="6370FDE6"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00C94F61"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45F6E227"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2B4EC890" w14:textId="77777777" w:rsidR="00B51F5B" w:rsidRPr="00624273" w:rsidRDefault="00B51F5B" w:rsidP="001D0A16">
            <w:pPr>
              <w:bidi w:val="0"/>
              <w:spacing w:line="269" w:lineRule="auto"/>
              <w:jc w:val="left"/>
              <w:rPr>
                <w:rFonts w:ascii="David" w:hAnsi="David"/>
              </w:rPr>
            </w:pPr>
          </w:p>
        </w:tc>
        <w:tc>
          <w:tcPr>
            <w:tcW w:w="968" w:type="dxa"/>
            <w:noWrap/>
            <w:hideMark/>
          </w:tcPr>
          <w:p w14:paraId="08710BD1" w14:textId="77777777" w:rsidR="00B51F5B" w:rsidRPr="00F3067A" w:rsidRDefault="00B51F5B" w:rsidP="00F3067A">
            <w:pPr>
              <w:pStyle w:val="R"/>
              <w:rPr>
                <w:rFonts w:ascii="David" w:hAnsi="David"/>
                <w:color w:val="000000"/>
                <w:sz w:val="16"/>
                <w:szCs w:val="16"/>
                <w:rtl/>
              </w:rPr>
            </w:pPr>
            <w:r w:rsidRPr="00F3067A">
              <w:rPr>
                <w:rFonts w:ascii="David" w:hAnsi="David"/>
                <w:color w:val="000000"/>
                <w:sz w:val="16"/>
                <w:szCs w:val="16"/>
                <w:rtl/>
              </w:rPr>
              <w:t>חורה</w:t>
            </w:r>
          </w:p>
        </w:tc>
        <w:tc>
          <w:tcPr>
            <w:tcW w:w="826" w:type="dxa"/>
            <w:noWrap/>
            <w:hideMark/>
          </w:tcPr>
          <w:p w14:paraId="73DEF9AF" w14:textId="77777777" w:rsidR="00B51F5B" w:rsidRPr="00794070" w:rsidRDefault="00B51F5B" w:rsidP="00F3067A">
            <w:pPr>
              <w:pStyle w:val="R"/>
              <w:rPr>
                <w:color w:val="000000"/>
                <w:sz w:val="16"/>
                <w:szCs w:val="16"/>
                <w:rtl/>
              </w:rPr>
            </w:pPr>
            <w:r w:rsidRPr="00794070">
              <w:rPr>
                <w:color w:val="000000"/>
                <w:sz w:val="16"/>
                <w:szCs w:val="16"/>
              </w:rPr>
              <w:t xml:space="preserve">7,189 </w:t>
            </w:r>
          </w:p>
        </w:tc>
        <w:tc>
          <w:tcPr>
            <w:tcW w:w="910" w:type="dxa"/>
            <w:noWrap/>
            <w:hideMark/>
          </w:tcPr>
          <w:p w14:paraId="4C1DA795" w14:textId="77777777" w:rsidR="00B51F5B" w:rsidRPr="00794070" w:rsidRDefault="00B51F5B" w:rsidP="00F3067A">
            <w:pPr>
              <w:pStyle w:val="R"/>
              <w:rPr>
                <w:color w:val="000000"/>
                <w:sz w:val="16"/>
                <w:szCs w:val="16"/>
              </w:rPr>
            </w:pPr>
            <w:r w:rsidRPr="00794070">
              <w:rPr>
                <w:color w:val="000000"/>
                <w:sz w:val="16"/>
                <w:szCs w:val="16"/>
              </w:rPr>
              <w:t xml:space="preserve">180 </w:t>
            </w:r>
          </w:p>
        </w:tc>
        <w:tc>
          <w:tcPr>
            <w:tcW w:w="896" w:type="dxa"/>
            <w:noWrap/>
            <w:hideMark/>
          </w:tcPr>
          <w:p w14:paraId="28B2E675" w14:textId="77777777" w:rsidR="00B51F5B" w:rsidRPr="00794070" w:rsidRDefault="00B51F5B" w:rsidP="00F3067A">
            <w:pPr>
              <w:pStyle w:val="R"/>
              <w:rPr>
                <w:color w:val="000000"/>
                <w:sz w:val="16"/>
                <w:szCs w:val="16"/>
              </w:rPr>
            </w:pPr>
            <w:r w:rsidRPr="00794070">
              <w:rPr>
                <w:color w:val="000000"/>
                <w:sz w:val="16"/>
                <w:szCs w:val="16"/>
              </w:rPr>
              <w:t>2.50%</w:t>
            </w:r>
          </w:p>
        </w:tc>
        <w:tc>
          <w:tcPr>
            <w:tcW w:w="1077" w:type="dxa"/>
            <w:shd w:val="clear" w:color="auto" w:fill="FFFF00"/>
            <w:noWrap/>
            <w:hideMark/>
          </w:tcPr>
          <w:p w14:paraId="723FDC7C"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4CC14496" w14:textId="77777777" w:rsidTr="00EE1070">
        <w:trPr>
          <w:trHeight w:val="285"/>
        </w:trPr>
        <w:tc>
          <w:tcPr>
            <w:tcW w:w="814" w:type="dxa"/>
            <w:tcBorders>
              <w:top w:val="nil"/>
              <w:left w:val="nil"/>
              <w:bottom w:val="nil"/>
              <w:right w:val="nil"/>
            </w:tcBorders>
            <w:noWrap/>
            <w:hideMark/>
          </w:tcPr>
          <w:p w14:paraId="213D9D05"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53BD8775"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290267A6"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5C4F2478"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6336EF46"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4D864EE8" w14:textId="77777777" w:rsidR="00B51F5B" w:rsidRPr="00624273" w:rsidRDefault="00B51F5B" w:rsidP="001D0A16">
            <w:pPr>
              <w:bidi w:val="0"/>
              <w:spacing w:line="269" w:lineRule="auto"/>
              <w:jc w:val="left"/>
              <w:rPr>
                <w:rFonts w:ascii="David" w:hAnsi="David"/>
              </w:rPr>
            </w:pPr>
          </w:p>
        </w:tc>
        <w:tc>
          <w:tcPr>
            <w:tcW w:w="968" w:type="dxa"/>
            <w:noWrap/>
            <w:hideMark/>
          </w:tcPr>
          <w:p w14:paraId="348E0B80"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קדימה-צורן</w:t>
            </w:r>
          </w:p>
        </w:tc>
        <w:tc>
          <w:tcPr>
            <w:tcW w:w="826" w:type="dxa"/>
            <w:noWrap/>
            <w:hideMark/>
          </w:tcPr>
          <w:p w14:paraId="485BF295" w14:textId="77777777" w:rsidR="00B51F5B" w:rsidRPr="00794070" w:rsidRDefault="00B51F5B" w:rsidP="00F3067A">
            <w:pPr>
              <w:pStyle w:val="R"/>
              <w:rPr>
                <w:color w:val="000000"/>
                <w:sz w:val="16"/>
                <w:szCs w:val="16"/>
                <w:rtl/>
              </w:rPr>
            </w:pPr>
            <w:r w:rsidRPr="00794070">
              <w:rPr>
                <w:color w:val="000000"/>
                <w:sz w:val="16"/>
                <w:szCs w:val="16"/>
              </w:rPr>
              <w:t xml:space="preserve"> 13,308 </w:t>
            </w:r>
          </w:p>
        </w:tc>
        <w:tc>
          <w:tcPr>
            <w:tcW w:w="910" w:type="dxa"/>
            <w:noWrap/>
            <w:hideMark/>
          </w:tcPr>
          <w:p w14:paraId="0A762A1B" w14:textId="77777777" w:rsidR="00B51F5B" w:rsidRPr="00794070" w:rsidRDefault="00B51F5B" w:rsidP="00F3067A">
            <w:pPr>
              <w:pStyle w:val="R"/>
              <w:rPr>
                <w:color w:val="000000"/>
                <w:sz w:val="16"/>
                <w:szCs w:val="16"/>
              </w:rPr>
            </w:pPr>
            <w:r w:rsidRPr="00794070">
              <w:rPr>
                <w:color w:val="000000"/>
                <w:sz w:val="16"/>
                <w:szCs w:val="16"/>
              </w:rPr>
              <w:t xml:space="preserve">346 </w:t>
            </w:r>
          </w:p>
        </w:tc>
        <w:tc>
          <w:tcPr>
            <w:tcW w:w="896" w:type="dxa"/>
            <w:noWrap/>
            <w:hideMark/>
          </w:tcPr>
          <w:p w14:paraId="7239F777" w14:textId="77777777" w:rsidR="00B51F5B" w:rsidRPr="00794070" w:rsidRDefault="00B51F5B" w:rsidP="00F3067A">
            <w:pPr>
              <w:pStyle w:val="R"/>
              <w:rPr>
                <w:color w:val="000000"/>
                <w:sz w:val="16"/>
                <w:szCs w:val="16"/>
              </w:rPr>
            </w:pPr>
            <w:r w:rsidRPr="00794070">
              <w:rPr>
                <w:color w:val="000000"/>
                <w:sz w:val="16"/>
                <w:szCs w:val="16"/>
              </w:rPr>
              <w:t>2.60%</w:t>
            </w:r>
          </w:p>
        </w:tc>
        <w:tc>
          <w:tcPr>
            <w:tcW w:w="1077" w:type="dxa"/>
            <w:noWrap/>
            <w:hideMark/>
          </w:tcPr>
          <w:p w14:paraId="34D79022"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אחר</w:t>
            </w:r>
          </w:p>
        </w:tc>
      </w:tr>
      <w:tr w:rsidR="00B51F5B" w14:paraId="5F3D7949" w14:textId="77777777" w:rsidTr="00EE1070">
        <w:trPr>
          <w:trHeight w:val="285"/>
        </w:trPr>
        <w:tc>
          <w:tcPr>
            <w:tcW w:w="814" w:type="dxa"/>
            <w:tcBorders>
              <w:top w:val="nil"/>
              <w:left w:val="nil"/>
              <w:bottom w:val="nil"/>
              <w:right w:val="nil"/>
            </w:tcBorders>
            <w:noWrap/>
            <w:hideMark/>
          </w:tcPr>
          <w:p w14:paraId="2D711F56"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67CBEED8"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1596D50C"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5677FB82"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53F89560" w14:textId="77777777" w:rsidR="00B51F5B" w:rsidRPr="0062664B" w:rsidRDefault="00B51F5B" w:rsidP="001D0A16">
            <w:pPr>
              <w:bidi w:val="0"/>
              <w:spacing w:line="269" w:lineRule="auto"/>
              <w:jc w:val="left"/>
              <w:rPr>
                <w:rFonts w:asciiTheme="minorHAnsi" w:hAnsiTheme="minorHAnsi"/>
              </w:rPr>
            </w:pPr>
          </w:p>
        </w:tc>
        <w:tc>
          <w:tcPr>
            <w:tcW w:w="277" w:type="dxa"/>
            <w:tcBorders>
              <w:top w:val="nil"/>
              <w:left w:val="nil"/>
              <w:bottom w:val="nil"/>
            </w:tcBorders>
            <w:noWrap/>
            <w:hideMark/>
          </w:tcPr>
          <w:p w14:paraId="028753FA" w14:textId="77777777" w:rsidR="00B51F5B" w:rsidRPr="00624273" w:rsidRDefault="00B51F5B" w:rsidP="001D0A16">
            <w:pPr>
              <w:bidi w:val="0"/>
              <w:spacing w:line="269" w:lineRule="auto"/>
              <w:jc w:val="left"/>
              <w:rPr>
                <w:rFonts w:ascii="David" w:hAnsi="David"/>
              </w:rPr>
            </w:pPr>
          </w:p>
        </w:tc>
        <w:tc>
          <w:tcPr>
            <w:tcW w:w="968" w:type="dxa"/>
            <w:noWrap/>
            <w:hideMark/>
          </w:tcPr>
          <w:p w14:paraId="1CAD57F8"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נחף</w:t>
            </w:r>
          </w:p>
        </w:tc>
        <w:tc>
          <w:tcPr>
            <w:tcW w:w="826" w:type="dxa"/>
            <w:noWrap/>
            <w:hideMark/>
          </w:tcPr>
          <w:p w14:paraId="411476C6" w14:textId="77777777" w:rsidR="00B51F5B" w:rsidRPr="00794070" w:rsidRDefault="00B51F5B" w:rsidP="00F3067A">
            <w:pPr>
              <w:pStyle w:val="R"/>
              <w:rPr>
                <w:color w:val="000000"/>
                <w:sz w:val="16"/>
                <w:szCs w:val="16"/>
                <w:rtl/>
              </w:rPr>
            </w:pPr>
            <w:r w:rsidRPr="00794070">
              <w:rPr>
                <w:color w:val="000000"/>
                <w:sz w:val="16"/>
                <w:szCs w:val="16"/>
              </w:rPr>
              <w:t xml:space="preserve">7,772 </w:t>
            </w:r>
          </w:p>
        </w:tc>
        <w:tc>
          <w:tcPr>
            <w:tcW w:w="910" w:type="dxa"/>
            <w:noWrap/>
            <w:hideMark/>
          </w:tcPr>
          <w:p w14:paraId="491D64D1" w14:textId="77777777" w:rsidR="00B51F5B" w:rsidRPr="00794070" w:rsidRDefault="00B51F5B" w:rsidP="00F3067A">
            <w:pPr>
              <w:pStyle w:val="R"/>
              <w:rPr>
                <w:color w:val="000000"/>
                <w:sz w:val="16"/>
                <w:szCs w:val="16"/>
              </w:rPr>
            </w:pPr>
            <w:r w:rsidRPr="00794070">
              <w:rPr>
                <w:color w:val="000000"/>
                <w:sz w:val="16"/>
                <w:szCs w:val="16"/>
              </w:rPr>
              <w:t xml:space="preserve">213 </w:t>
            </w:r>
          </w:p>
        </w:tc>
        <w:tc>
          <w:tcPr>
            <w:tcW w:w="896" w:type="dxa"/>
            <w:noWrap/>
            <w:hideMark/>
          </w:tcPr>
          <w:p w14:paraId="07B18C6E" w14:textId="77777777" w:rsidR="00B51F5B" w:rsidRPr="00794070" w:rsidRDefault="00B51F5B" w:rsidP="00F3067A">
            <w:pPr>
              <w:pStyle w:val="R"/>
              <w:rPr>
                <w:color w:val="000000"/>
                <w:sz w:val="16"/>
                <w:szCs w:val="16"/>
              </w:rPr>
            </w:pPr>
            <w:r w:rsidRPr="00794070">
              <w:rPr>
                <w:color w:val="000000"/>
                <w:sz w:val="16"/>
                <w:szCs w:val="16"/>
              </w:rPr>
              <w:t>2.74%</w:t>
            </w:r>
          </w:p>
        </w:tc>
        <w:tc>
          <w:tcPr>
            <w:tcW w:w="1077" w:type="dxa"/>
            <w:shd w:val="clear" w:color="auto" w:fill="FFFF00"/>
            <w:noWrap/>
            <w:hideMark/>
          </w:tcPr>
          <w:p w14:paraId="41651E05" w14:textId="77777777" w:rsidR="00B51F5B" w:rsidRPr="00F3067A" w:rsidRDefault="00B51F5B" w:rsidP="00F3067A">
            <w:pPr>
              <w:pStyle w:val="R"/>
              <w:rPr>
                <w:rFonts w:ascii="David" w:hAnsi="David"/>
                <w:color w:val="000000"/>
                <w:sz w:val="16"/>
                <w:szCs w:val="16"/>
              </w:rPr>
            </w:pPr>
            <w:r w:rsidRPr="00F3067A">
              <w:rPr>
                <w:rFonts w:ascii="David" w:hAnsi="David"/>
                <w:color w:val="000000"/>
                <w:sz w:val="16"/>
                <w:szCs w:val="16"/>
                <w:rtl/>
              </w:rPr>
              <w:t>מגזר ערבי</w:t>
            </w:r>
          </w:p>
        </w:tc>
      </w:tr>
      <w:tr w:rsidR="00B51F5B" w14:paraId="33D8506F" w14:textId="77777777" w:rsidTr="00EE1070">
        <w:trPr>
          <w:trHeight w:val="285"/>
        </w:trPr>
        <w:tc>
          <w:tcPr>
            <w:tcW w:w="814" w:type="dxa"/>
            <w:tcBorders>
              <w:top w:val="nil"/>
              <w:left w:val="nil"/>
              <w:bottom w:val="nil"/>
              <w:right w:val="nil"/>
            </w:tcBorders>
            <w:noWrap/>
            <w:hideMark/>
          </w:tcPr>
          <w:p w14:paraId="5462CCB2"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6D53A712"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3D3D58A6" w14:textId="77777777" w:rsidR="00B51F5B" w:rsidRPr="0062664B" w:rsidRDefault="00B51F5B" w:rsidP="001D0A16">
            <w:pPr>
              <w:bidi w:val="0"/>
              <w:spacing w:line="269" w:lineRule="auto"/>
              <w:jc w:val="left"/>
              <w:rPr>
                <w:rFonts w:asciiTheme="minorHAnsi" w:hAnsiTheme="minorHAnsi"/>
              </w:rPr>
            </w:pPr>
          </w:p>
        </w:tc>
        <w:tc>
          <w:tcPr>
            <w:tcW w:w="992" w:type="dxa"/>
            <w:tcBorders>
              <w:top w:val="nil"/>
              <w:left w:val="nil"/>
              <w:bottom w:val="nil"/>
              <w:right w:val="nil"/>
            </w:tcBorders>
            <w:noWrap/>
            <w:hideMark/>
          </w:tcPr>
          <w:p w14:paraId="757E9C90"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15492C5D"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33379C91" w14:textId="77777777" w:rsidR="00B51F5B" w:rsidRPr="00624273" w:rsidRDefault="00B51F5B" w:rsidP="001D0A16">
            <w:pPr>
              <w:bidi w:val="0"/>
              <w:spacing w:line="269" w:lineRule="auto"/>
              <w:jc w:val="left"/>
              <w:rPr>
                <w:rFonts w:ascii="David" w:hAnsi="David"/>
              </w:rPr>
            </w:pPr>
          </w:p>
        </w:tc>
        <w:tc>
          <w:tcPr>
            <w:tcW w:w="968" w:type="dxa"/>
            <w:noWrap/>
            <w:hideMark/>
          </w:tcPr>
          <w:p w14:paraId="777E23AA" w14:textId="77777777" w:rsidR="00B51F5B" w:rsidRPr="00F3067A" w:rsidRDefault="00B51F5B" w:rsidP="00F3067A">
            <w:pPr>
              <w:pStyle w:val="R"/>
              <w:rPr>
                <w:sz w:val="16"/>
                <w:szCs w:val="16"/>
              </w:rPr>
            </w:pPr>
            <w:r w:rsidRPr="00F3067A">
              <w:rPr>
                <w:sz w:val="16"/>
                <w:szCs w:val="16"/>
                <w:rtl/>
              </w:rPr>
              <w:t>שפרעם</w:t>
            </w:r>
          </w:p>
        </w:tc>
        <w:tc>
          <w:tcPr>
            <w:tcW w:w="826" w:type="dxa"/>
            <w:noWrap/>
            <w:hideMark/>
          </w:tcPr>
          <w:p w14:paraId="3D2B2B6A" w14:textId="77777777" w:rsidR="00B51F5B" w:rsidRPr="00F3067A" w:rsidRDefault="00B51F5B" w:rsidP="00F3067A">
            <w:pPr>
              <w:pStyle w:val="R"/>
              <w:rPr>
                <w:sz w:val="16"/>
                <w:szCs w:val="16"/>
                <w:rtl/>
              </w:rPr>
            </w:pPr>
            <w:r w:rsidRPr="00F3067A">
              <w:rPr>
                <w:sz w:val="16"/>
                <w:szCs w:val="16"/>
              </w:rPr>
              <w:t xml:space="preserve"> 27,053 </w:t>
            </w:r>
          </w:p>
        </w:tc>
        <w:tc>
          <w:tcPr>
            <w:tcW w:w="910" w:type="dxa"/>
            <w:noWrap/>
            <w:hideMark/>
          </w:tcPr>
          <w:p w14:paraId="3C2D68AF" w14:textId="77777777" w:rsidR="00B51F5B" w:rsidRPr="00F3067A" w:rsidRDefault="00B51F5B" w:rsidP="00F3067A">
            <w:pPr>
              <w:pStyle w:val="R"/>
              <w:rPr>
                <w:sz w:val="16"/>
                <w:szCs w:val="16"/>
              </w:rPr>
            </w:pPr>
            <w:r w:rsidRPr="00F3067A">
              <w:rPr>
                <w:sz w:val="16"/>
                <w:szCs w:val="16"/>
              </w:rPr>
              <w:t xml:space="preserve">745 </w:t>
            </w:r>
          </w:p>
        </w:tc>
        <w:tc>
          <w:tcPr>
            <w:tcW w:w="896" w:type="dxa"/>
            <w:noWrap/>
            <w:hideMark/>
          </w:tcPr>
          <w:p w14:paraId="3515DFFC" w14:textId="77777777" w:rsidR="00B51F5B" w:rsidRPr="00F3067A" w:rsidRDefault="00B51F5B" w:rsidP="00F3067A">
            <w:pPr>
              <w:pStyle w:val="R"/>
              <w:rPr>
                <w:sz w:val="16"/>
                <w:szCs w:val="16"/>
              </w:rPr>
            </w:pPr>
            <w:r w:rsidRPr="00F3067A">
              <w:rPr>
                <w:sz w:val="16"/>
                <w:szCs w:val="16"/>
              </w:rPr>
              <w:t>2.75%</w:t>
            </w:r>
          </w:p>
        </w:tc>
        <w:tc>
          <w:tcPr>
            <w:tcW w:w="1077" w:type="dxa"/>
            <w:shd w:val="clear" w:color="auto" w:fill="FFFF00"/>
            <w:noWrap/>
            <w:hideMark/>
          </w:tcPr>
          <w:p w14:paraId="233E9B4B" w14:textId="77777777" w:rsidR="00B51F5B" w:rsidRPr="00F3067A" w:rsidRDefault="00B51F5B" w:rsidP="00F3067A">
            <w:pPr>
              <w:pStyle w:val="R"/>
              <w:rPr>
                <w:sz w:val="16"/>
                <w:szCs w:val="16"/>
              </w:rPr>
            </w:pPr>
            <w:r w:rsidRPr="00F3067A">
              <w:rPr>
                <w:sz w:val="16"/>
                <w:szCs w:val="16"/>
                <w:rtl/>
              </w:rPr>
              <w:t>מגזר ערבי</w:t>
            </w:r>
          </w:p>
        </w:tc>
      </w:tr>
      <w:tr w:rsidR="00B51F5B" w14:paraId="68321691" w14:textId="77777777" w:rsidTr="00EE1070">
        <w:trPr>
          <w:trHeight w:val="285"/>
        </w:trPr>
        <w:tc>
          <w:tcPr>
            <w:tcW w:w="814" w:type="dxa"/>
            <w:tcBorders>
              <w:top w:val="nil"/>
              <w:left w:val="nil"/>
              <w:bottom w:val="nil"/>
              <w:right w:val="nil"/>
            </w:tcBorders>
            <w:noWrap/>
            <w:hideMark/>
          </w:tcPr>
          <w:p w14:paraId="0C92710B"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690767BE"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5C23DF6E"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673F5F04"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052D176A"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2DE7F3C2" w14:textId="77777777" w:rsidR="00B51F5B" w:rsidRPr="00624273" w:rsidRDefault="00B51F5B" w:rsidP="001D0A16">
            <w:pPr>
              <w:bidi w:val="0"/>
              <w:spacing w:line="269" w:lineRule="auto"/>
              <w:jc w:val="left"/>
              <w:rPr>
                <w:rFonts w:ascii="David" w:hAnsi="David"/>
              </w:rPr>
            </w:pPr>
          </w:p>
        </w:tc>
        <w:tc>
          <w:tcPr>
            <w:tcW w:w="968" w:type="dxa"/>
            <w:noWrap/>
            <w:hideMark/>
          </w:tcPr>
          <w:p w14:paraId="367F206F" w14:textId="77777777" w:rsidR="00B51F5B" w:rsidRPr="00F3067A" w:rsidRDefault="00B51F5B" w:rsidP="00F3067A">
            <w:pPr>
              <w:pStyle w:val="R"/>
              <w:rPr>
                <w:sz w:val="16"/>
                <w:szCs w:val="16"/>
              </w:rPr>
            </w:pPr>
            <w:r w:rsidRPr="00F3067A">
              <w:rPr>
                <w:sz w:val="16"/>
                <w:szCs w:val="16"/>
                <w:rtl/>
              </w:rPr>
              <w:t>כפר קאסם</w:t>
            </w:r>
          </w:p>
        </w:tc>
        <w:tc>
          <w:tcPr>
            <w:tcW w:w="826" w:type="dxa"/>
            <w:noWrap/>
            <w:hideMark/>
          </w:tcPr>
          <w:p w14:paraId="460C1CB0" w14:textId="77777777" w:rsidR="00B51F5B" w:rsidRPr="00F3067A" w:rsidRDefault="00B51F5B" w:rsidP="00F3067A">
            <w:pPr>
              <w:pStyle w:val="R"/>
              <w:rPr>
                <w:sz w:val="16"/>
                <w:szCs w:val="16"/>
                <w:rtl/>
              </w:rPr>
            </w:pPr>
            <w:r w:rsidRPr="00F3067A">
              <w:rPr>
                <w:sz w:val="16"/>
                <w:szCs w:val="16"/>
              </w:rPr>
              <w:t xml:space="preserve"> 14,026 </w:t>
            </w:r>
          </w:p>
        </w:tc>
        <w:tc>
          <w:tcPr>
            <w:tcW w:w="910" w:type="dxa"/>
            <w:noWrap/>
            <w:hideMark/>
          </w:tcPr>
          <w:p w14:paraId="59B56806" w14:textId="77777777" w:rsidR="00B51F5B" w:rsidRPr="00F3067A" w:rsidRDefault="00B51F5B" w:rsidP="00F3067A">
            <w:pPr>
              <w:pStyle w:val="R"/>
              <w:rPr>
                <w:sz w:val="16"/>
                <w:szCs w:val="16"/>
              </w:rPr>
            </w:pPr>
            <w:r w:rsidRPr="00F3067A">
              <w:rPr>
                <w:sz w:val="16"/>
                <w:szCs w:val="16"/>
              </w:rPr>
              <w:t xml:space="preserve">392 </w:t>
            </w:r>
          </w:p>
        </w:tc>
        <w:tc>
          <w:tcPr>
            <w:tcW w:w="896" w:type="dxa"/>
            <w:noWrap/>
            <w:hideMark/>
          </w:tcPr>
          <w:p w14:paraId="1F649116" w14:textId="77777777" w:rsidR="00B51F5B" w:rsidRPr="00F3067A" w:rsidRDefault="00B51F5B" w:rsidP="00F3067A">
            <w:pPr>
              <w:pStyle w:val="R"/>
              <w:rPr>
                <w:sz w:val="16"/>
                <w:szCs w:val="16"/>
              </w:rPr>
            </w:pPr>
            <w:r w:rsidRPr="00F3067A">
              <w:rPr>
                <w:sz w:val="16"/>
                <w:szCs w:val="16"/>
              </w:rPr>
              <w:t>2.79%</w:t>
            </w:r>
          </w:p>
        </w:tc>
        <w:tc>
          <w:tcPr>
            <w:tcW w:w="1077" w:type="dxa"/>
            <w:shd w:val="clear" w:color="auto" w:fill="FFFF00"/>
            <w:noWrap/>
            <w:hideMark/>
          </w:tcPr>
          <w:p w14:paraId="701EC9D6" w14:textId="77777777" w:rsidR="00B51F5B" w:rsidRPr="00F3067A" w:rsidRDefault="00B51F5B" w:rsidP="00F3067A">
            <w:pPr>
              <w:pStyle w:val="R"/>
              <w:rPr>
                <w:sz w:val="16"/>
                <w:szCs w:val="16"/>
              </w:rPr>
            </w:pPr>
            <w:r w:rsidRPr="00F3067A">
              <w:rPr>
                <w:sz w:val="16"/>
                <w:szCs w:val="16"/>
                <w:rtl/>
              </w:rPr>
              <w:t>מגזר ערבי</w:t>
            </w:r>
          </w:p>
        </w:tc>
      </w:tr>
      <w:tr w:rsidR="00B51F5B" w14:paraId="48DCF734" w14:textId="77777777" w:rsidTr="00EE1070">
        <w:trPr>
          <w:trHeight w:val="285"/>
        </w:trPr>
        <w:tc>
          <w:tcPr>
            <w:tcW w:w="814" w:type="dxa"/>
            <w:tcBorders>
              <w:top w:val="nil"/>
              <w:left w:val="nil"/>
              <w:bottom w:val="nil"/>
              <w:right w:val="nil"/>
            </w:tcBorders>
            <w:noWrap/>
            <w:hideMark/>
          </w:tcPr>
          <w:p w14:paraId="6498B461"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514CE92B"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0E9A0119" w14:textId="77777777" w:rsidR="00B51F5B" w:rsidRPr="0062664B" w:rsidRDefault="00B51F5B" w:rsidP="001D0A16">
            <w:pPr>
              <w:bidi w:val="0"/>
              <w:spacing w:line="269" w:lineRule="auto"/>
              <w:jc w:val="left"/>
              <w:rPr>
                <w:rFonts w:asciiTheme="minorHAnsi" w:hAnsiTheme="minorHAnsi"/>
              </w:rPr>
            </w:pPr>
          </w:p>
        </w:tc>
        <w:tc>
          <w:tcPr>
            <w:tcW w:w="992" w:type="dxa"/>
            <w:tcBorders>
              <w:top w:val="nil"/>
              <w:left w:val="nil"/>
              <w:bottom w:val="nil"/>
              <w:right w:val="nil"/>
            </w:tcBorders>
            <w:noWrap/>
            <w:hideMark/>
          </w:tcPr>
          <w:p w14:paraId="4528D3D4"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4A534B40"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787AAAEA" w14:textId="77777777" w:rsidR="00B51F5B" w:rsidRPr="00CE6586" w:rsidRDefault="00B51F5B" w:rsidP="001D0A16">
            <w:pPr>
              <w:bidi w:val="0"/>
              <w:spacing w:line="269" w:lineRule="auto"/>
              <w:jc w:val="left"/>
              <w:rPr>
                <w:rFonts w:ascii="David" w:hAnsi="David"/>
              </w:rPr>
            </w:pPr>
          </w:p>
        </w:tc>
        <w:tc>
          <w:tcPr>
            <w:tcW w:w="968" w:type="dxa"/>
            <w:noWrap/>
            <w:hideMark/>
          </w:tcPr>
          <w:p w14:paraId="14FBDCF4" w14:textId="77777777" w:rsidR="00B51F5B" w:rsidRPr="00F3067A" w:rsidRDefault="00B51F5B" w:rsidP="00F3067A">
            <w:pPr>
              <w:pStyle w:val="R"/>
              <w:rPr>
                <w:sz w:val="16"/>
                <w:szCs w:val="16"/>
              </w:rPr>
            </w:pPr>
            <w:r w:rsidRPr="00F3067A">
              <w:rPr>
                <w:sz w:val="16"/>
                <w:szCs w:val="16"/>
                <w:rtl/>
              </w:rPr>
              <w:t>ג'</w:t>
            </w:r>
            <w:r w:rsidRPr="00F3067A">
              <w:rPr>
                <w:rFonts w:hint="cs"/>
                <w:sz w:val="16"/>
                <w:szCs w:val="16"/>
                <w:rtl/>
              </w:rPr>
              <w:t>י</w:t>
            </w:r>
            <w:r w:rsidRPr="00F3067A">
              <w:rPr>
                <w:sz w:val="16"/>
                <w:szCs w:val="16"/>
                <w:rtl/>
              </w:rPr>
              <w:t>סר א-זרקא</w:t>
            </w:r>
          </w:p>
        </w:tc>
        <w:tc>
          <w:tcPr>
            <w:tcW w:w="826" w:type="dxa"/>
            <w:noWrap/>
            <w:hideMark/>
          </w:tcPr>
          <w:p w14:paraId="1D583F8E" w14:textId="77777777" w:rsidR="00B51F5B" w:rsidRPr="00F3067A" w:rsidRDefault="00B51F5B" w:rsidP="00F3067A">
            <w:pPr>
              <w:pStyle w:val="R"/>
              <w:rPr>
                <w:sz w:val="16"/>
                <w:szCs w:val="16"/>
                <w:rtl/>
              </w:rPr>
            </w:pPr>
            <w:r w:rsidRPr="00F3067A">
              <w:rPr>
                <w:sz w:val="16"/>
                <w:szCs w:val="16"/>
              </w:rPr>
              <w:t xml:space="preserve">8,261 </w:t>
            </w:r>
          </w:p>
        </w:tc>
        <w:tc>
          <w:tcPr>
            <w:tcW w:w="910" w:type="dxa"/>
            <w:noWrap/>
            <w:hideMark/>
          </w:tcPr>
          <w:p w14:paraId="5D8AE5ED" w14:textId="77777777" w:rsidR="00B51F5B" w:rsidRPr="00F3067A" w:rsidRDefault="00B51F5B" w:rsidP="00F3067A">
            <w:pPr>
              <w:pStyle w:val="R"/>
              <w:rPr>
                <w:sz w:val="16"/>
                <w:szCs w:val="16"/>
              </w:rPr>
            </w:pPr>
            <w:r w:rsidRPr="00F3067A">
              <w:rPr>
                <w:sz w:val="16"/>
                <w:szCs w:val="16"/>
              </w:rPr>
              <w:t xml:space="preserve">234 </w:t>
            </w:r>
          </w:p>
        </w:tc>
        <w:tc>
          <w:tcPr>
            <w:tcW w:w="896" w:type="dxa"/>
            <w:noWrap/>
            <w:hideMark/>
          </w:tcPr>
          <w:p w14:paraId="34A3AFE8" w14:textId="77777777" w:rsidR="00B51F5B" w:rsidRPr="00F3067A" w:rsidRDefault="00B51F5B" w:rsidP="00F3067A">
            <w:pPr>
              <w:pStyle w:val="R"/>
              <w:rPr>
                <w:sz w:val="16"/>
                <w:szCs w:val="16"/>
              </w:rPr>
            </w:pPr>
            <w:r w:rsidRPr="00F3067A">
              <w:rPr>
                <w:sz w:val="16"/>
                <w:szCs w:val="16"/>
              </w:rPr>
              <w:t>2.83%</w:t>
            </w:r>
          </w:p>
        </w:tc>
        <w:tc>
          <w:tcPr>
            <w:tcW w:w="1077" w:type="dxa"/>
            <w:shd w:val="clear" w:color="auto" w:fill="FFFF00"/>
            <w:noWrap/>
            <w:hideMark/>
          </w:tcPr>
          <w:p w14:paraId="06A025F6" w14:textId="77777777" w:rsidR="00B51F5B" w:rsidRPr="00F3067A" w:rsidRDefault="00B51F5B" w:rsidP="00F3067A">
            <w:pPr>
              <w:pStyle w:val="R"/>
              <w:rPr>
                <w:sz w:val="16"/>
                <w:szCs w:val="16"/>
              </w:rPr>
            </w:pPr>
            <w:r w:rsidRPr="00F3067A">
              <w:rPr>
                <w:sz w:val="16"/>
                <w:szCs w:val="16"/>
                <w:rtl/>
              </w:rPr>
              <w:t>מגזר ערבי</w:t>
            </w:r>
          </w:p>
        </w:tc>
      </w:tr>
      <w:tr w:rsidR="00B51F5B" w14:paraId="6C1B9EB9" w14:textId="77777777" w:rsidTr="00EE1070">
        <w:trPr>
          <w:trHeight w:val="285"/>
        </w:trPr>
        <w:tc>
          <w:tcPr>
            <w:tcW w:w="814" w:type="dxa"/>
            <w:tcBorders>
              <w:top w:val="nil"/>
              <w:left w:val="nil"/>
              <w:bottom w:val="nil"/>
              <w:right w:val="nil"/>
            </w:tcBorders>
            <w:noWrap/>
            <w:hideMark/>
          </w:tcPr>
          <w:p w14:paraId="60045F81"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22D0BAFF"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3CA28807"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424941A5"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0F682D43"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2A9D2068" w14:textId="77777777" w:rsidR="00B51F5B" w:rsidRPr="00624273" w:rsidRDefault="00B51F5B" w:rsidP="001D0A16">
            <w:pPr>
              <w:bidi w:val="0"/>
              <w:spacing w:line="269" w:lineRule="auto"/>
              <w:jc w:val="left"/>
              <w:rPr>
                <w:rFonts w:ascii="David" w:hAnsi="David"/>
              </w:rPr>
            </w:pPr>
          </w:p>
        </w:tc>
        <w:tc>
          <w:tcPr>
            <w:tcW w:w="968" w:type="dxa"/>
            <w:noWrap/>
            <w:hideMark/>
          </w:tcPr>
          <w:p w14:paraId="68F1110B" w14:textId="77777777" w:rsidR="00B51F5B" w:rsidRPr="00F3067A" w:rsidRDefault="00B51F5B" w:rsidP="00F3067A">
            <w:pPr>
              <w:pStyle w:val="R"/>
              <w:rPr>
                <w:sz w:val="16"/>
                <w:szCs w:val="16"/>
              </w:rPr>
            </w:pPr>
            <w:r w:rsidRPr="00F3067A">
              <w:rPr>
                <w:sz w:val="16"/>
                <w:szCs w:val="16"/>
                <w:rtl/>
              </w:rPr>
              <w:t>בנימינה-גבעת עדה</w:t>
            </w:r>
          </w:p>
        </w:tc>
        <w:tc>
          <w:tcPr>
            <w:tcW w:w="826" w:type="dxa"/>
            <w:noWrap/>
            <w:hideMark/>
          </w:tcPr>
          <w:p w14:paraId="0327B5FB" w14:textId="77777777" w:rsidR="00B51F5B" w:rsidRPr="00F3067A" w:rsidRDefault="00B51F5B" w:rsidP="00F3067A">
            <w:pPr>
              <w:pStyle w:val="R"/>
              <w:rPr>
                <w:sz w:val="16"/>
                <w:szCs w:val="16"/>
                <w:rtl/>
              </w:rPr>
            </w:pPr>
            <w:r w:rsidRPr="00F3067A">
              <w:rPr>
                <w:sz w:val="16"/>
                <w:szCs w:val="16"/>
              </w:rPr>
              <w:t xml:space="preserve">8,965 </w:t>
            </w:r>
          </w:p>
        </w:tc>
        <w:tc>
          <w:tcPr>
            <w:tcW w:w="910" w:type="dxa"/>
            <w:noWrap/>
            <w:hideMark/>
          </w:tcPr>
          <w:p w14:paraId="257D0FA3" w14:textId="77777777" w:rsidR="00B51F5B" w:rsidRPr="00F3067A" w:rsidRDefault="00B51F5B" w:rsidP="00F3067A">
            <w:pPr>
              <w:pStyle w:val="R"/>
              <w:rPr>
                <w:sz w:val="16"/>
                <w:szCs w:val="16"/>
              </w:rPr>
            </w:pPr>
            <w:r w:rsidRPr="00F3067A">
              <w:rPr>
                <w:sz w:val="16"/>
                <w:szCs w:val="16"/>
              </w:rPr>
              <w:t xml:space="preserve">258 </w:t>
            </w:r>
          </w:p>
        </w:tc>
        <w:tc>
          <w:tcPr>
            <w:tcW w:w="896" w:type="dxa"/>
            <w:noWrap/>
            <w:hideMark/>
          </w:tcPr>
          <w:p w14:paraId="49CDB58F" w14:textId="77777777" w:rsidR="00B51F5B" w:rsidRPr="00F3067A" w:rsidRDefault="00B51F5B" w:rsidP="00F3067A">
            <w:pPr>
              <w:pStyle w:val="R"/>
              <w:rPr>
                <w:sz w:val="16"/>
                <w:szCs w:val="16"/>
              </w:rPr>
            </w:pPr>
            <w:r w:rsidRPr="00F3067A">
              <w:rPr>
                <w:sz w:val="16"/>
                <w:szCs w:val="16"/>
              </w:rPr>
              <w:t>2.88%</w:t>
            </w:r>
          </w:p>
        </w:tc>
        <w:tc>
          <w:tcPr>
            <w:tcW w:w="1077" w:type="dxa"/>
            <w:noWrap/>
            <w:hideMark/>
          </w:tcPr>
          <w:p w14:paraId="73BB1B84" w14:textId="77777777" w:rsidR="00B51F5B" w:rsidRPr="00F3067A" w:rsidRDefault="00B51F5B" w:rsidP="00F3067A">
            <w:pPr>
              <w:pStyle w:val="R"/>
              <w:rPr>
                <w:sz w:val="16"/>
                <w:szCs w:val="16"/>
              </w:rPr>
            </w:pPr>
            <w:r w:rsidRPr="00F3067A">
              <w:rPr>
                <w:sz w:val="16"/>
                <w:szCs w:val="16"/>
                <w:rtl/>
              </w:rPr>
              <w:t>אחר</w:t>
            </w:r>
          </w:p>
        </w:tc>
      </w:tr>
      <w:tr w:rsidR="00B51F5B" w14:paraId="7EC61F07" w14:textId="77777777" w:rsidTr="00EE1070">
        <w:trPr>
          <w:trHeight w:val="285"/>
        </w:trPr>
        <w:tc>
          <w:tcPr>
            <w:tcW w:w="814" w:type="dxa"/>
            <w:tcBorders>
              <w:top w:val="nil"/>
              <w:left w:val="nil"/>
              <w:bottom w:val="nil"/>
              <w:right w:val="nil"/>
            </w:tcBorders>
            <w:noWrap/>
            <w:hideMark/>
          </w:tcPr>
          <w:p w14:paraId="7AA4FE23"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26B68A50"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43E4F3CE"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416A1062"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1D0364AF"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263A4253" w14:textId="77777777" w:rsidR="00B51F5B" w:rsidRPr="00624273" w:rsidRDefault="00B51F5B" w:rsidP="001D0A16">
            <w:pPr>
              <w:bidi w:val="0"/>
              <w:spacing w:line="269" w:lineRule="auto"/>
              <w:jc w:val="left"/>
              <w:rPr>
                <w:rFonts w:ascii="David" w:hAnsi="David"/>
              </w:rPr>
            </w:pPr>
          </w:p>
        </w:tc>
        <w:tc>
          <w:tcPr>
            <w:tcW w:w="968" w:type="dxa"/>
            <w:noWrap/>
            <w:hideMark/>
          </w:tcPr>
          <w:p w14:paraId="240F3F33" w14:textId="77777777" w:rsidR="00B51F5B" w:rsidRPr="00F3067A" w:rsidRDefault="00B51F5B" w:rsidP="00F3067A">
            <w:pPr>
              <w:pStyle w:val="R"/>
              <w:rPr>
                <w:sz w:val="16"/>
                <w:szCs w:val="16"/>
              </w:rPr>
            </w:pPr>
            <w:r w:rsidRPr="00F3067A">
              <w:rPr>
                <w:sz w:val="16"/>
                <w:szCs w:val="16"/>
                <w:rtl/>
              </w:rPr>
              <w:t>ראמה</w:t>
            </w:r>
          </w:p>
        </w:tc>
        <w:tc>
          <w:tcPr>
            <w:tcW w:w="826" w:type="dxa"/>
            <w:noWrap/>
            <w:hideMark/>
          </w:tcPr>
          <w:p w14:paraId="77F84138" w14:textId="77777777" w:rsidR="00B51F5B" w:rsidRPr="00F3067A" w:rsidRDefault="00B51F5B" w:rsidP="00F3067A">
            <w:pPr>
              <w:pStyle w:val="R"/>
              <w:rPr>
                <w:sz w:val="16"/>
                <w:szCs w:val="16"/>
                <w:rtl/>
              </w:rPr>
            </w:pPr>
            <w:r w:rsidRPr="00F3067A">
              <w:rPr>
                <w:sz w:val="16"/>
                <w:szCs w:val="16"/>
              </w:rPr>
              <w:t xml:space="preserve">5,822 </w:t>
            </w:r>
          </w:p>
        </w:tc>
        <w:tc>
          <w:tcPr>
            <w:tcW w:w="910" w:type="dxa"/>
            <w:noWrap/>
            <w:hideMark/>
          </w:tcPr>
          <w:p w14:paraId="09EAFC4E" w14:textId="77777777" w:rsidR="00B51F5B" w:rsidRPr="00F3067A" w:rsidRDefault="00B51F5B" w:rsidP="00F3067A">
            <w:pPr>
              <w:pStyle w:val="R"/>
              <w:rPr>
                <w:sz w:val="16"/>
                <w:szCs w:val="16"/>
              </w:rPr>
            </w:pPr>
            <w:r w:rsidRPr="00F3067A">
              <w:rPr>
                <w:sz w:val="16"/>
                <w:szCs w:val="16"/>
              </w:rPr>
              <w:t xml:space="preserve">170 </w:t>
            </w:r>
          </w:p>
        </w:tc>
        <w:tc>
          <w:tcPr>
            <w:tcW w:w="896" w:type="dxa"/>
            <w:noWrap/>
            <w:hideMark/>
          </w:tcPr>
          <w:p w14:paraId="16DDF2A9" w14:textId="77777777" w:rsidR="00B51F5B" w:rsidRPr="00F3067A" w:rsidRDefault="00B51F5B" w:rsidP="00F3067A">
            <w:pPr>
              <w:pStyle w:val="R"/>
              <w:rPr>
                <w:sz w:val="16"/>
                <w:szCs w:val="16"/>
              </w:rPr>
            </w:pPr>
            <w:r w:rsidRPr="00F3067A">
              <w:rPr>
                <w:sz w:val="16"/>
                <w:szCs w:val="16"/>
              </w:rPr>
              <w:t>2.92%</w:t>
            </w:r>
          </w:p>
        </w:tc>
        <w:tc>
          <w:tcPr>
            <w:tcW w:w="1077" w:type="dxa"/>
            <w:shd w:val="clear" w:color="auto" w:fill="FFFF00"/>
            <w:noWrap/>
            <w:hideMark/>
          </w:tcPr>
          <w:p w14:paraId="5BB30B52" w14:textId="77777777" w:rsidR="00B51F5B" w:rsidRPr="00F3067A" w:rsidRDefault="00B51F5B" w:rsidP="00F3067A">
            <w:pPr>
              <w:pStyle w:val="R"/>
              <w:rPr>
                <w:sz w:val="16"/>
                <w:szCs w:val="16"/>
              </w:rPr>
            </w:pPr>
            <w:r w:rsidRPr="00F3067A">
              <w:rPr>
                <w:sz w:val="16"/>
                <w:szCs w:val="16"/>
                <w:rtl/>
              </w:rPr>
              <w:t>מגזר ערבי</w:t>
            </w:r>
          </w:p>
        </w:tc>
      </w:tr>
      <w:tr w:rsidR="00B51F5B" w14:paraId="6C64EF1A" w14:textId="77777777" w:rsidTr="00EE1070">
        <w:trPr>
          <w:trHeight w:val="285"/>
        </w:trPr>
        <w:tc>
          <w:tcPr>
            <w:tcW w:w="814" w:type="dxa"/>
            <w:tcBorders>
              <w:top w:val="nil"/>
              <w:left w:val="nil"/>
              <w:bottom w:val="nil"/>
              <w:right w:val="nil"/>
            </w:tcBorders>
            <w:noWrap/>
            <w:hideMark/>
          </w:tcPr>
          <w:p w14:paraId="11A1525F"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74E1BFAE"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138366C2"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3309CD5C"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1A1814B2" w14:textId="77777777" w:rsidR="00B51F5B" w:rsidRPr="00624273" w:rsidRDefault="00B51F5B" w:rsidP="001D0A16">
            <w:pPr>
              <w:bidi w:val="0"/>
              <w:spacing w:line="269" w:lineRule="auto"/>
              <w:jc w:val="left"/>
              <w:rPr>
                <w:rFonts w:ascii="David" w:hAnsi="David"/>
              </w:rPr>
            </w:pPr>
          </w:p>
        </w:tc>
        <w:tc>
          <w:tcPr>
            <w:tcW w:w="277" w:type="dxa"/>
            <w:tcBorders>
              <w:top w:val="nil"/>
              <w:left w:val="nil"/>
              <w:bottom w:val="nil"/>
            </w:tcBorders>
            <w:noWrap/>
            <w:hideMark/>
          </w:tcPr>
          <w:p w14:paraId="28DEB513" w14:textId="77777777" w:rsidR="00B51F5B" w:rsidRPr="00624273" w:rsidRDefault="00B51F5B" w:rsidP="001D0A16">
            <w:pPr>
              <w:bidi w:val="0"/>
              <w:spacing w:line="269" w:lineRule="auto"/>
              <w:jc w:val="left"/>
              <w:rPr>
                <w:rFonts w:ascii="David" w:hAnsi="David"/>
              </w:rPr>
            </w:pPr>
          </w:p>
        </w:tc>
        <w:tc>
          <w:tcPr>
            <w:tcW w:w="968" w:type="dxa"/>
            <w:noWrap/>
            <w:hideMark/>
          </w:tcPr>
          <w:p w14:paraId="02D56D87" w14:textId="77777777" w:rsidR="00B51F5B" w:rsidRPr="00F3067A" w:rsidRDefault="00B51F5B" w:rsidP="00F3067A">
            <w:pPr>
              <w:pStyle w:val="R"/>
              <w:rPr>
                <w:sz w:val="16"/>
                <w:szCs w:val="16"/>
              </w:rPr>
            </w:pPr>
            <w:r w:rsidRPr="00F3067A">
              <w:rPr>
                <w:sz w:val="16"/>
                <w:szCs w:val="16"/>
                <w:rtl/>
              </w:rPr>
              <w:t>מיתר</w:t>
            </w:r>
          </w:p>
        </w:tc>
        <w:tc>
          <w:tcPr>
            <w:tcW w:w="826" w:type="dxa"/>
            <w:noWrap/>
            <w:hideMark/>
          </w:tcPr>
          <w:p w14:paraId="50D77C6E" w14:textId="77777777" w:rsidR="00B51F5B" w:rsidRPr="00F3067A" w:rsidRDefault="00B51F5B" w:rsidP="00F3067A">
            <w:pPr>
              <w:pStyle w:val="R"/>
              <w:rPr>
                <w:sz w:val="16"/>
                <w:szCs w:val="16"/>
                <w:rtl/>
              </w:rPr>
            </w:pPr>
            <w:r w:rsidRPr="00F3067A">
              <w:rPr>
                <w:sz w:val="16"/>
                <w:szCs w:val="16"/>
              </w:rPr>
              <w:t xml:space="preserve">5,508 </w:t>
            </w:r>
          </w:p>
        </w:tc>
        <w:tc>
          <w:tcPr>
            <w:tcW w:w="910" w:type="dxa"/>
            <w:noWrap/>
            <w:hideMark/>
          </w:tcPr>
          <w:p w14:paraId="75CD5E21" w14:textId="77777777" w:rsidR="00B51F5B" w:rsidRPr="00F3067A" w:rsidRDefault="00B51F5B" w:rsidP="00F3067A">
            <w:pPr>
              <w:pStyle w:val="R"/>
              <w:rPr>
                <w:sz w:val="16"/>
                <w:szCs w:val="16"/>
              </w:rPr>
            </w:pPr>
            <w:r w:rsidRPr="00F3067A">
              <w:rPr>
                <w:sz w:val="16"/>
                <w:szCs w:val="16"/>
              </w:rPr>
              <w:t xml:space="preserve">161 </w:t>
            </w:r>
          </w:p>
        </w:tc>
        <w:tc>
          <w:tcPr>
            <w:tcW w:w="896" w:type="dxa"/>
            <w:noWrap/>
            <w:hideMark/>
          </w:tcPr>
          <w:p w14:paraId="62A1047C" w14:textId="77777777" w:rsidR="00B51F5B" w:rsidRPr="00F3067A" w:rsidRDefault="00B51F5B" w:rsidP="00F3067A">
            <w:pPr>
              <w:pStyle w:val="R"/>
              <w:rPr>
                <w:sz w:val="16"/>
                <w:szCs w:val="16"/>
              </w:rPr>
            </w:pPr>
            <w:r w:rsidRPr="00F3067A">
              <w:rPr>
                <w:sz w:val="16"/>
                <w:szCs w:val="16"/>
              </w:rPr>
              <w:t>2.92%</w:t>
            </w:r>
          </w:p>
        </w:tc>
        <w:tc>
          <w:tcPr>
            <w:tcW w:w="1077" w:type="dxa"/>
            <w:noWrap/>
            <w:hideMark/>
          </w:tcPr>
          <w:p w14:paraId="5635E37C" w14:textId="77777777" w:rsidR="00B51F5B" w:rsidRPr="00F3067A" w:rsidRDefault="00B51F5B" w:rsidP="00F3067A">
            <w:pPr>
              <w:pStyle w:val="R"/>
              <w:rPr>
                <w:sz w:val="16"/>
                <w:szCs w:val="16"/>
              </w:rPr>
            </w:pPr>
            <w:r w:rsidRPr="00F3067A">
              <w:rPr>
                <w:sz w:val="16"/>
                <w:szCs w:val="16"/>
                <w:rtl/>
              </w:rPr>
              <w:t>אחר</w:t>
            </w:r>
          </w:p>
        </w:tc>
      </w:tr>
      <w:tr w:rsidR="00B51F5B" w14:paraId="74ACF522" w14:textId="77777777" w:rsidTr="00EE1070">
        <w:trPr>
          <w:trHeight w:val="285"/>
        </w:trPr>
        <w:tc>
          <w:tcPr>
            <w:tcW w:w="814" w:type="dxa"/>
            <w:tcBorders>
              <w:top w:val="nil"/>
              <w:left w:val="nil"/>
              <w:bottom w:val="nil"/>
              <w:right w:val="nil"/>
            </w:tcBorders>
            <w:noWrap/>
            <w:hideMark/>
          </w:tcPr>
          <w:p w14:paraId="7735973A" w14:textId="77777777" w:rsidR="00B51F5B" w:rsidRPr="00624273" w:rsidRDefault="00B51F5B" w:rsidP="001D0A16">
            <w:pPr>
              <w:spacing w:line="269" w:lineRule="auto"/>
              <w:jc w:val="left"/>
              <w:rPr>
                <w:rFonts w:ascii="David" w:hAnsi="David"/>
                <w:color w:val="000000"/>
                <w:szCs w:val="20"/>
                <w:rtl/>
              </w:rPr>
            </w:pPr>
          </w:p>
        </w:tc>
        <w:tc>
          <w:tcPr>
            <w:tcW w:w="849" w:type="dxa"/>
            <w:tcBorders>
              <w:top w:val="nil"/>
              <w:left w:val="nil"/>
              <w:bottom w:val="nil"/>
              <w:right w:val="nil"/>
            </w:tcBorders>
            <w:noWrap/>
            <w:hideMark/>
          </w:tcPr>
          <w:p w14:paraId="5DF783BB" w14:textId="77777777" w:rsidR="00B51F5B" w:rsidRPr="00624273" w:rsidRDefault="00B51F5B" w:rsidP="001D0A16">
            <w:pPr>
              <w:bidi w:val="0"/>
              <w:spacing w:line="269" w:lineRule="auto"/>
              <w:jc w:val="left"/>
              <w:rPr>
                <w:rFonts w:ascii="David" w:hAnsi="David"/>
              </w:rPr>
            </w:pPr>
          </w:p>
        </w:tc>
        <w:tc>
          <w:tcPr>
            <w:tcW w:w="992" w:type="dxa"/>
            <w:tcBorders>
              <w:top w:val="nil"/>
              <w:left w:val="nil"/>
              <w:bottom w:val="nil"/>
              <w:right w:val="nil"/>
            </w:tcBorders>
            <w:noWrap/>
            <w:hideMark/>
          </w:tcPr>
          <w:p w14:paraId="7B8579EB" w14:textId="77777777" w:rsidR="00B51F5B" w:rsidRPr="0062664B" w:rsidRDefault="00B51F5B" w:rsidP="001D0A16">
            <w:pPr>
              <w:bidi w:val="0"/>
              <w:spacing w:line="269" w:lineRule="auto"/>
              <w:jc w:val="left"/>
              <w:rPr>
                <w:rFonts w:asciiTheme="minorHAnsi" w:hAnsiTheme="minorHAnsi"/>
              </w:rPr>
            </w:pPr>
          </w:p>
        </w:tc>
        <w:tc>
          <w:tcPr>
            <w:tcW w:w="992" w:type="dxa"/>
            <w:tcBorders>
              <w:top w:val="nil"/>
              <w:left w:val="nil"/>
              <w:bottom w:val="nil"/>
              <w:right w:val="nil"/>
            </w:tcBorders>
            <w:noWrap/>
            <w:hideMark/>
          </w:tcPr>
          <w:p w14:paraId="4AA3162B" w14:textId="77777777" w:rsidR="00B51F5B" w:rsidRPr="00624273" w:rsidRDefault="00B51F5B" w:rsidP="001D0A16">
            <w:pPr>
              <w:bidi w:val="0"/>
              <w:spacing w:line="269" w:lineRule="auto"/>
              <w:jc w:val="left"/>
              <w:rPr>
                <w:rFonts w:ascii="David" w:hAnsi="David"/>
              </w:rPr>
            </w:pPr>
          </w:p>
        </w:tc>
        <w:tc>
          <w:tcPr>
            <w:tcW w:w="859" w:type="dxa"/>
            <w:tcBorders>
              <w:top w:val="nil"/>
              <w:left w:val="nil"/>
              <w:bottom w:val="nil"/>
              <w:right w:val="nil"/>
            </w:tcBorders>
            <w:noWrap/>
            <w:hideMark/>
          </w:tcPr>
          <w:p w14:paraId="6D965BBD" w14:textId="77777777" w:rsidR="00B51F5B" w:rsidRPr="00F3067A" w:rsidRDefault="00B51F5B" w:rsidP="001D0A16">
            <w:pPr>
              <w:bidi w:val="0"/>
              <w:spacing w:line="269" w:lineRule="auto"/>
              <w:jc w:val="left"/>
              <w:rPr>
                <w:rFonts w:asciiTheme="minorHAnsi" w:hAnsiTheme="minorHAnsi"/>
              </w:rPr>
            </w:pPr>
          </w:p>
        </w:tc>
        <w:tc>
          <w:tcPr>
            <w:tcW w:w="277" w:type="dxa"/>
            <w:tcBorders>
              <w:top w:val="nil"/>
              <w:left w:val="nil"/>
              <w:bottom w:val="nil"/>
            </w:tcBorders>
            <w:noWrap/>
            <w:hideMark/>
          </w:tcPr>
          <w:p w14:paraId="3C4A65FC" w14:textId="77777777" w:rsidR="00B51F5B" w:rsidRPr="0062664B" w:rsidRDefault="00B51F5B" w:rsidP="001D0A16">
            <w:pPr>
              <w:bidi w:val="0"/>
              <w:spacing w:line="269" w:lineRule="auto"/>
              <w:jc w:val="left"/>
              <w:rPr>
                <w:rFonts w:asciiTheme="minorHAnsi" w:hAnsiTheme="minorHAnsi"/>
              </w:rPr>
            </w:pPr>
          </w:p>
        </w:tc>
        <w:tc>
          <w:tcPr>
            <w:tcW w:w="968" w:type="dxa"/>
            <w:noWrap/>
            <w:hideMark/>
          </w:tcPr>
          <w:p w14:paraId="0D3745FF" w14:textId="77777777" w:rsidR="00B51F5B" w:rsidRPr="00F3067A" w:rsidRDefault="00B51F5B" w:rsidP="00F3067A">
            <w:pPr>
              <w:pStyle w:val="R"/>
              <w:rPr>
                <w:sz w:val="16"/>
                <w:szCs w:val="16"/>
              </w:rPr>
            </w:pPr>
            <w:r w:rsidRPr="00F3067A">
              <w:rPr>
                <w:sz w:val="16"/>
                <w:szCs w:val="16"/>
                <w:rtl/>
              </w:rPr>
              <w:t>טייבה</w:t>
            </w:r>
          </w:p>
        </w:tc>
        <w:tc>
          <w:tcPr>
            <w:tcW w:w="826" w:type="dxa"/>
            <w:noWrap/>
            <w:hideMark/>
          </w:tcPr>
          <w:p w14:paraId="1C850C20" w14:textId="77777777" w:rsidR="00B51F5B" w:rsidRPr="00F3067A" w:rsidRDefault="00B51F5B" w:rsidP="00F3067A">
            <w:pPr>
              <w:pStyle w:val="R"/>
              <w:rPr>
                <w:sz w:val="16"/>
                <w:szCs w:val="16"/>
                <w:rtl/>
              </w:rPr>
            </w:pPr>
            <w:r w:rsidRPr="00F3067A">
              <w:rPr>
                <w:sz w:val="16"/>
                <w:szCs w:val="16"/>
              </w:rPr>
              <w:t xml:space="preserve"> 26,486 </w:t>
            </w:r>
          </w:p>
        </w:tc>
        <w:tc>
          <w:tcPr>
            <w:tcW w:w="910" w:type="dxa"/>
            <w:noWrap/>
            <w:hideMark/>
          </w:tcPr>
          <w:p w14:paraId="372EDBDA" w14:textId="77777777" w:rsidR="00B51F5B" w:rsidRPr="00F3067A" w:rsidRDefault="00B51F5B" w:rsidP="00F3067A">
            <w:pPr>
              <w:pStyle w:val="R"/>
              <w:rPr>
                <w:sz w:val="16"/>
                <w:szCs w:val="16"/>
              </w:rPr>
            </w:pPr>
            <w:r w:rsidRPr="00F3067A">
              <w:rPr>
                <w:sz w:val="16"/>
                <w:szCs w:val="16"/>
              </w:rPr>
              <w:t xml:space="preserve">788 </w:t>
            </w:r>
          </w:p>
        </w:tc>
        <w:tc>
          <w:tcPr>
            <w:tcW w:w="896" w:type="dxa"/>
            <w:noWrap/>
            <w:hideMark/>
          </w:tcPr>
          <w:p w14:paraId="1BB504D4" w14:textId="77777777" w:rsidR="00B51F5B" w:rsidRPr="00F3067A" w:rsidRDefault="00B51F5B" w:rsidP="00F3067A">
            <w:pPr>
              <w:pStyle w:val="R"/>
              <w:rPr>
                <w:sz w:val="16"/>
                <w:szCs w:val="16"/>
              </w:rPr>
            </w:pPr>
            <w:r w:rsidRPr="00F3067A">
              <w:rPr>
                <w:sz w:val="16"/>
                <w:szCs w:val="16"/>
              </w:rPr>
              <w:t>2.98%</w:t>
            </w:r>
          </w:p>
        </w:tc>
        <w:tc>
          <w:tcPr>
            <w:tcW w:w="1077" w:type="dxa"/>
            <w:shd w:val="clear" w:color="auto" w:fill="FFFF00"/>
            <w:noWrap/>
            <w:hideMark/>
          </w:tcPr>
          <w:p w14:paraId="0A86E933" w14:textId="77777777" w:rsidR="00B51F5B" w:rsidRPr="00F3067A" w:rsidRDefault="00B51F5B" w:rsidP="00F3067A">
            <w:pPr>
              <w:pStyle w:val="R"/>
              <w:rPr>
                <w:sz w:val="16"/>
                <w:szCs w:val="16"/>
              </w:rPr>
            </w:pPr>
            <w:r w:rsidRPr="00F3067A">
              <w:rPr>
                <w:sz w:val="16"/>
                <w:szCs w:val="16"/>
                <w:rtl/>
              </w:rPr>
              <w:t>מגזר ערבי</w:t>
            </w:r>
          </w:p>
        </w:tc>
      </w:tr>
    </w:tbl>
    <w:p w14:paraId="4EB35A9F" w14:textId="77777777" w:rsidR="00341848" w:rsidRDefault="00341848" w:rsidP="00341848">
      <w:pPr>
        <w:pStyle w:val="100"/>
        <w:rPr>
          <w:rtl/>
        </w:rPr>
      </w:pPr>
    </w:p>
    <w:p w14:paraId="7CBFEF32" w14:textId="29582DEA" w:rsidR="00B51F5B" w:rsidRDefault="00B51F5B" w:rsidP="00D545F7">
      <w:pPr>
        <w:pStyle w:val="af5"/>
        <w:rPr>
          <w:rtl/>
        </w:rPr>
      </w:pPr>
      <w:r w:rsidRPr="00836A77">
        <w:rPr>
          <w:rFonts w:hint="eastAsia"/>
          <w:rtl/>
        </w:rPr>
        <w:t>מלוחות</w:t>
      </w:r>
      <w:r>
        <w:rPr>
          <w:rFonts w:hint="cs"/>
          <w:rtl/>
        </w:rPr>
        <w:t xml:space="preserve"> 3 ו-4 עולה</w:t>
      </w:r>
      <w:r w:rsidRPr="00DC6399">
        <w:rPr>
          <w:rtl/>
        </w:rPr>
        <w:t xml:space="preserve"> כי מרבית הי</w:t>
      </w:r>
      <w:r w:rsidRPr="00DC6399">
        <w:rPr>
          <w:rFonts w:hint="eastAsia"/>
          <w:rtl/>
        </w:rPr>
        <w:t>י</w:t>
      </w:r>
      <w:r w:rsidRPr="00DC6399">
        <w:rPr>
          <w:rtl/>
        </w:rPr>
        <w:t>שובים</w:t>
      </w:r>
      <w:r w:rsidRPr="00AE3145">
        <w:rPr>
          <w:rtl/>
        </w:rPr>
        <w:t xml:space="preserve"> </w:t>
      </w:r>
      <w:r>
        <w:rPr>
          <w:rFonts w:hint="cs"/>
          <w:rtl/>
        </w:rPr>
        <w:t>ש</w:t>
      </w:r>
      <w:r w:rsidRPr="00AE3145">
        <w:rPr>
          <w:rtl/>
        </w:rPr>
        <w:t>בהם ניתן הטיפול ל</w:t>
      </w:r>
      <w:r w:rsidRPr="00AE3145">
        <w:rPr>
          <w:rFonts w:hint="eastAsia"/>
          <w:rtl/>
        </w:rPr>
        <w:t>שיעור</w:t>
      </w:r>
      <w:r w:rsidRPr="00AE3145">
        <w:rPr>
          <w:rtl/>
        </w:rPr>
        <w:t xml:space="preserve"> הקט</w:t>
      </w:r>
      <w:r w:rsidRPr="00AE3145">
        <w:rPr>
          <w:rFonts w:hint="eastAsia"/>
          <w:rtl/>
        </w:rPr>
        <w:t>ן</w:t>
      </w:r>
      <w:r w:rsidRPr="00AE3145">
        <w:rPr>
          <w:rtl/>
        </w:rPr>
        <w:t xml:space="preserve"> ביותר </w:t>
      </w:r>
      <w:r>
        <w:rPr>
          <w:rFonts w:hint="cs"/>
          <w:rtl/>
        </w:rPr>
        <w:t xml:space="preserve">של חברי קופות החולים </w:t>
      </w:r>
      <w:r w:rsidRPr="00AE3145">
        <w:rPr>
          <w:rtl/>
        </w:rPr>
        <w:t>הם י</w:t>
      </w:r>
      <w:r w:rsidRPr="00AE3145">
        <w:rPr>
          <w:rFonts w:hint="eastAsia"/>
          <w:rtl/>
        </w:rPr>
        <w:t>י</w:t>
      </w:r>
      <w:r w:rsidRPr="00AE3145">
        <w:rPr>
          <w:rtl/>
        </w:rPr>
        <w:t xml:space="preserve">שובים </w:t>
      </w:r>
      <w:r>
        <w:rPr>
          <w:rFonts w:hint="cs"/>
          <w:rtl/>
        </w:rPr>
        <w:t>ערביים.</w:t>
      </w:r>
      <w:r w:rsidRPr="00AE3145">
        <w:rPr>
          <w:rtl/>
        </w:rPr>
        <w:t xml:space="preserve"> </w:t>
      </w:r>
    </w:p>
    <w:p w14:paraId="6A4857A8" w14:textId="77777777" w:rsidR="00B51F5B" w:rsidRPr="004B3F38" w:rsidRDefault="00B51F5B" w:rsidP="00D545F7">
      <w:pPr>
        <w:pStyle w:val="100"/>
        <w:rPr>
          <w:rtl/>
        </w:rPr>
      </w:pPr>
      <w:r>
        <w:rPr>
          <w:rFonts w:hint="cs"/>
          <w:rtl/>
        </w:rPr>
        <w:t>משרד הבריאות מסר בתשובתו כי מאחר שעשרות המרפאות ונקודות השירות שפתחו קופות החולים במגזר הערבי אינן מספקות - נדרשת הרחבתן</w:t>
      </w:r>
      <w:r w:rsidRPr="00485B58">
        <w:rPr>
          <w:rtl/>
        </w:rPr>
        <w:t>, אולם</w:t>
      </w:r>
      <w:r w:rsidRPr="0062664B">
        <w:rPr>
          <w:rtl/>
        </w:rPr>
        <w:t xml:space="preserve"> המחסור </w:t>
      </w:r>
      <w:r w:rsidRPr="00485B58">
        <w:rPr>
          <w:rtl/>
        </w:rPr>
        <w:t xml:space="preserve">בכוח אדם הדובר </w:t>
      </w:r>
      <w:r>
        <w:rPr>
          <w:rFonts w:hint="cs"/>
          <w:rtl/>
        </w:rPr>
        <w:t xml:space="preserve">את השפה </w:t>
      </w:r>
      <w:r w:rsidRPr="00485B58">
        <w:rPr>
          <w:rtl/>
        </w:rPr>
        <w:t xml:space="preserve">מקשה על </w:t>
      </w:r>
      <w:r>
        <w:rPr>
          <w:rFonts w:hint="cs"/>
          <w:rtl/>
        </w:rPr>
        <w:t>כך. הכללית מסרה בדצמבר 2019 כי פתחה</w:t>
      </w:r>
      <w:r w:rsidRPr="004B3F38">
        <w:rPr>
          <w:rtl/>
        </w:rPr>
        <w:t xml:space="preserve"> מרפאות ביישובי המגזר הערבי (אום אל </w:t>
      </w:r>
      <w:r>
        <w:rPr>
          <w:rFonts w:hint="cs"/>
          <w:rtl/>
        </w:rPr>
        <w:t>-</w:t>
      </w:r>
      <w:r w:rsidRPr="004B3F38">
        <w:rPr>
          <w:rtl/>
        </w:rPr>
        <w:t xml:space="preserve"> פחם</w:t>
      </w:r>
      <w:r>
        <w:rPr>
          <w:rFonts w:hint="cs"/>
          <w:rtl/>
        </w:rPr>
        <w:t>,</w:t>
      </w:r>
      <w:r w:rsidRPr="004B3F38">
        <w:rPr>
          <w:rtl/>
        </w:rPr>
        <w:t xml:space="preserve"> </w:t>
      </w:r>
      <w:r>
        <w:rPr>
          <w:rtl/>
        </w:rPr>
        <w:t>באקה אל</w:t>
      </w:r>
      <w:r>
        <w:rPr>
          <w:rFonts w:hint="cs"/>
          <w:rtl/>
        </w:rPr>
        <w:t>-</w:t>
      </w:r>
      <w:r>
        <w:rPr>
          <w:rtl/>
        </w:rPr>
        <w:t>גרב</w:t>
      </w:r>
      <w:r>
        <w:rPr>
          <w:rFonts w:hint="cs"/>
          <w:rtl/>
        </w:rPr>
        <w:t>י</w:t>
      </w:r>
      <w:r>
        <w:rPr>
          <w:rtl/>
        </w:rPr>
        <w:t>יה, טייבה</w:t>
      </w:r>
      <w:r>
        <w:rPr>
          <w:rFonts w:hint="cs"/>
          <w:rtl/>
        </w:rPr>
        <w:t xml:space="preserve"> ו</w:t>
      </w:r>
      <w:r w:rsidRPr="004B3F38">
        <w:rPr>
          <w:rtl/>
        </w:rPr>
        <w:t xml:space="preserve">רהט) </w:t>
      </w:r>
      <w:r>
        <w:rPr>
          <w:rFonts w:hint="cs"/>
          <w:rtl/>
        </w:rPr>
        <w:t xml:space="preserve">שבהן פועלים </w:t>
      </w:r>
      <w:r w:rsidRPr="004B3F38">
        <w:rPr>
          <w:rtl/>
        </w:rPr>
        <w:t>צוותים מ</w:t>
      </w:r>
      <w:r>
        <w:rPr>
          <w:rFonts w:hint="cs"/>
          <w:rtl/>
        </w:rPr>
        <w:t xml:space="preserve">ן </w:t>
      </w:r>
      <w:r w:rsidRPr="004B3F38">
        <w:rPr>
          <w:rtl/>
        </w:rPr>
        <w:t xml:space="preserve">המגזר כדי לאפשר נגישות תרבותית </w:t>
      </w:r>
      <w:r>
        <w:rPr>
          <w:rFonts w:hint="cs"/>
          <w:rtl/>
        </w:rPr>
        <w:t>ו</w:t>
      </w:r>
      <w:r w:rsidRPr="004B3F38">
        <w:rPr>
          <w:rtl/>
        </w:rPr>
        <w:t>שפתית</w:t>
      </w:r>
      <w:r>
        <w:rPr>
          <w:rFonts w:hint="cs"/>
          <w:rtl/>
        </w:rPr>
        <w:t>.</w:t>
      </w:r>
    </w:p>
    <w:p w14:paraId="3552C778" w14:textId="7996797F" w:rsidR="00D545F7" w:rsidRDefault="00B51F5B" w:rsidP="00D545F7">
      <w:pPr>
        <w:pStyle w:val="100"/>
        <w:rPr>
          <w:rtl/>
        </w:rPr>
      </w:pPr>
      <w:r w:rsidRPr="00D545F7">
        <w:rPr>
          <w:rStyle w:val="Heading7Char"/>
          <w:color w:val="004E6C"/>
          <w:spacing w:val="0"/>
          <w:rtl/>
        </w:rPr>
        <w:t xml:space="preserve">נגישות </w:t>
      </w:r>
      <w:r w:rsidRPr="00D545F7">
        <w:rPr>
          <w:rStyle w:val="Heading7Char"/>
          <w:rFonts w:hint="eastAsia"/>
          <w:color w:val="004E6C"/>
          <w:spacing w:val="0"/>
          <w:rtl/>
        </w:rPr>
        <w:t>וזמינות</w:t>
      </w:r>
      <w:r w:rsidRPr="00D545F7">
        <w:rPr>
          <w:rStyle w:val="Heading7Char"/>
          <w:color w:val="004E6C"/>
          <w:spacing w:val="0"/>
          <w:rtl/>
        </w:rPr>
        <w:t xml:space="preserve"> לא מספק</w:t>
      </w:r>
      <w:r w:rsidRPr="00D545F7">
        <w:rPr>
          <w:rStyle w:val="Heading7Char"/>
          <w:rFonts w:hint="eastAsia"/>
          <w:color w:val="004E6C"/>
          <w:spacing w:val="0"/>
          <w:rtl/>
        </w:rPr>
        <w:t>ו</w:t>
      </w:r>
      <w:r w:rsidRPr="00D545F7">
        <w:rPr>
          <w:rStyle w:val="Heading7Char"/>
          <w:color w:val="004E6C"/>
          <w:spacing w:val="0"/>
          <w:rtl/>
        </w:rPr>
        <w:t>ת של שירותי בריאות הנפש ב</w:t>
      </w:r>
      <w:r w:rsidRPr="00D545F7">
        <w:rPr>
          <w:rStyle w:val="Heading7Char"/>
          <w:rFonts w:hint="cs"/>
          <w:color w:val="004E6C"/>
          <w:spacing w:val="0"/>
          <w:rtl/>
        </w:rPr>
        <w:t>אוכלוסייה</w:t>
      </w:r>
      <w:r w:rsidRPr="00D545F7">
        <w:rPr>
          <w:rStyle w:val="Heading7Char"/>
          <w:color w:val="004E6C"/>
          <w:spacing w:val="0"/>
          <w:rtl/>
        </w:rPr>
        <w:t xml:space="preserve"> החרדי</w:t>
      </w:r>
      <w:r w:rsidRPr="00D545F7">
        <w:rPr>
          <w:rStyle w:val="Heading7Char"/>
          <w:rFonts w:hint="cs"/>
          <w:color w:val="004E6C"/>
          <w:spacing w:val="0"/>
          <w:rtl/>
        </w:rPr>
        <w:t>ת:</w:t>
      </w:r>
      <w:r w:rsidRPr="00D545F7">
        <w:rPr>
          <w:rFonts w:hint="cs"/>
          <w:color w:val="004E6C"/>
          <w:rtl/>
        </w:rPr>
        <w:t xml:space="preserve"> </w:t>
      </w:r>
      <w:r>
        <w:rPr>
          <w:rFonts w:hint="cs"/>
          <w:rtl/>
        </w:rPr>
        <w:t>גם באוכלוסיי</w:t>
      </w:r>
      <w:r>
        <w:rPr>
          <w:rFonts w:hint="eastAsia"/>
          <w:rtl/>
        </w:rPr>
        <w:t>ה</w:t>
      </w:r>
      <w:r>
        <w:rPr>
          <w:rFonts w:hint="cs"/>
          <w:rtl/>
        </w:rPr>
        <w:t xml:space="preserve"> החרדית קיים קושי תרבותי לקבל שירותים בתחום בריאות הנפש מקופות החולים. שירותים חלופיים בתחום ניתנים על ידי ארגוני חסד, פעילים ציבוריים ועמותות, חלקם שלא דרך הקופות. לפיכך, הנגשה תרבותית של השירותים </w:t>
      </w:r>
      <w:r w:rsidRPr="0062664B">
        <w:rPr>
          <w:rFonts w:hint="eastAsia"/>
          <w:rtl/>
        </w:rPr>
        <w:t>למגזר</w:t>
      </w:r>
      <w:r w:rsidRPr="0062664B">
        <w:rPr>
          <w:rtl/>
        </w:rPr>
        <w:t xml:space="preserve"> </w:t>
      </w:r>
      <w:r w:rsidRPr="0062664B">
        <w:rPr>
          <w:rFonts w:hint="eastAsia"/>
          <w:rtl/>
        </w:rPr>
        <w:t>זה</w:t>
      </w:r>
      <w:r>
        <w:rPr>
          <w:rFonts w:hint="cs"/>
          <w:rtl/>
        </w:rPr>
        <w:t xml:space="preserve"> צריכה להביא בחשבון היכרות עם עולם המושגים התרבותי שלו, התמודדות עם סוגיות הקשורות בדת ובהשתייכות</w:t>
      </w:r>
      <w:r>
        <w:rPr>
          <w:rFonts w:hint="eastAsia"/>
          <w:rtl/>
        </w:rPr>
        <w:t>ו</w:t>
      </w:r>
      <w:r>
        <w:rPr>
          <w:rFonts w:hint="cs"/>
          <w:rtl/>
        </w:rPr>
        <w:t xml:space="preserve"> הקהילתית של המטופל, מצבים טיפוליים וביטויים ייחודיים למטופלים בהפרעות פסיכיאטריות מסוימות, כמו פסיכוזה והפרעות טורדניות כפייתיות (</w:t>
      </w:r>
      <w:r>
        <w:rPr>
          <w:rFonts w:hint="cs"/>
        </w:rPr>
        <w:t>O</w:t>
      </w:r>
      <w:r>
        <w:t>CD</w:t>
      </w:r>
      <w:r>
        <w:rPr>
          <w:rFonts w:hint="cs"/>
          <w:rtl/>
        </w:rPr>
        <w:t>).</w:t>
      </w:r>
    </w:p>
    <w:p w14:paraId="58F44961" w14:textId="77777777" w:rsidR="00B51F5B" w:rsidRDefault="00B51F5B" w:rsidP="00D545F7">
      <w:pPr>
        <w:pStyle w:val="100"/>
        <w:rPr>
          <w:rtl/>
        </w:rPr>
      </w:pPr>
      <w:r>
        <w:rPr>
          <w:rFonts w:hint="cs"/>
          <w:rtl/>
        </w:rPr>
        <w:lastRenderedPageBreak/>
        <w:t>עד החלת הרפורמה המעיטה האוכלוסייה החרדית להשתמש בשירותי בריאות הנפש במסגרות הציבוריות, והשירותים ניתנו בעיקר על ידי עמותות</w:t>
      </w:r>
      <w:r>
        <w:rPr>
          <w:rStyle w:val="FootnoteReference"/>
          <w:rtl/>
        </w:rPr>
        <w:footnoteReference w:id="39"/>
      </w:r>
      <w:r>
        <w:rPr>
          <w:rFonts w:hint="cs"/>
          <w:rtl/>
        </w:rPr>
        <w:t>. עם כניסת הרפורמה נקטו קופות החולים צעדים ראויים ופיתחו שירותים מותאמים לאוכלוסיי</w:t>
      </w:r>
      <w:r>
        <w:rPr>
          <w:rFonts w:hint="eastAsia"/>
          <w:rtl/>
        </w:rPr>
        <w:t>ה</w:t>
      </w:r>
      <w:r>
        <w:rPr>
          <w:rFonts w:hint="cs"/>
          <w:rtl/>
        </w:rPr>
        <w:t xml:space="preserve"> החרדית מבחינת מיקום המרפאות ומאפייני הצוותים. כך למשל התחשבו בצורך של חלק מהחרדים לקבל את הטיפולים דווקא במרפאות מרוחקות ממקום מגוריהם, על ידי מטפלים שאינם מהמגזר, מתוך כוונה לשמור על חשאיות ופרטיות.</w:t>
      </w:r>
    </w:p>
    <w:p w14:paraId="2EA34AB7" w14:textId="5391CE38" w:rsidR="00B51F5B" w:rsidRDefault="00B51F5B" w:rsidP="00D545F7">
      <w:pPr>
        <w:pStyle w:val="100"/>
        <w:rPr>
          <w:rtl/>
        </w:rPr>
      </w:pPr>
      <w:r>
        <w:rPr>
          <w:rFonts w:hint="cs"/>
          <w:rtl/>
        </w:rPr>
        <w:t xml:space="preserve">הביקורת העלתה כי </w:t>
      </w:r>
      <w:r w:rsidRPr="002C095A">
        <w:rPr>
          <w:rFonts w:hint="cs"/>
          <w:rtl/>
        </w:rPr>
        <w:t>ביישובים המעטים בארץ</w:t>
      </w:r>
      <w:r>
        <w:rPr>
          <w:rFonts w:hint="cs"/>
          <w:rtl/>
        </w:rPr>
        <w:t>,</w:t>
      </w:r>
      <w:r w:rsidRPr="002C095A">
        <w:rPr>
          <w:rFonts w:hint="cs"/>
          <w:rtl/>
        </w:rPr>
        <w:t xml:space="preserve"> </w:t>
      </w:r>
      <w:r>
        <w:rPr>
          <w:rFonts w:hint="cs"/>
          <w:rtl/>
        </w:rPr>
        <w:t>הנושאים צביון</w:t>
      </w:r>
      <w:r w:rsidRPr="002C095A">
        <w:rPr>
          <w:rFonts w:hint="cs"/>
          <w:rtl/>
        </w:rPr>
        <w:t xml:space="preserve"> חרדי מובהק,</w:t>
      </w:r>
      <w:r>
        <w:rPr>
          <w:rFonts w:hint="cs"/>
          <w:rtl/>
        </w:rPr>
        <w:t xml:space="preserve"> היה </w:t>
      </w:r>
      <w:r w:rsidRPr="002C095A">
        <w:rPr>
          <w:rtl/>
        </w:rPr>
        <w:t>ש</w:t>
      </w:r>
      <w:r>
        <w:rPr>
          <w:rFonts w:hint="cs"/>
          <w:rtl/>
        </w:rPr>
        <w:t>י</w:t>
      </w:r>
      <w:r w:rsidRPr="002C095A">
        <w:rPr>
          <w:rtl/>
        </w:rPr>
        <w:t xml:space="preserve">עור המטופלים בקרב הילדים נמוך מ-1.5% </w:t>
      </w:r>
      <w:r w:rsidRPr="00EB2F3F">
        <w:rPr>
          <w:rtl/>
        </w:rPr>
        <w:t>(במקום 2% לפי הסכם הרפורמה)</w:t>
      </w:r>
      <w:r>
        <w:rPr>
          <w:rFonts w:hint="cs"/>
          <w:rtl/>
        </w:rPr>
        <w:t xml:space="preserve"> </w:t>
      </w:r>
      <w:r w:rsidRPr="002C095A">
        <w:rPr>
          <w:rtl/>
        </w:rPr>
        <w:t xml:space="preserve">ובקרב המבוגרים נמוך מ-3% </w:t>
      </w:r>
      <w:r w:rsidRPr="00913397">
        <w:rPr>
          <w:rtl/>
        </w:rPr>
        <w:t>(במקום 4% לפי ההסכם)</w:t>
      </w:r>
      <w:r>
        <w:rPr>
          <w:rStyle w:val="FootnoteReference"/>
          <w:rtl/>
        </w:rPr>
        <w:footnoteReference w:id="40"/>
      </w:r>
      <w:r w:rsidRPr="002C095A">
        <w:rPr>
          <w:rtl/>
        </w:rPr>
        <w:t xml:space="preserve">. </w:t>
      </w:r>
      <w:r w:rsidRPr="001163C6">
        <w:rPr>
          <w:rFonts w:hint="cs"/>
          <w:rtl/>
        </w:rPr>
        <w:t>בכללית</w:t>
      </w:r>
      <w:r>
        <w:rPr>
          <w:rFonts w:hint="cs"/>
          <w:rtl/>
        </w:rPr>
        <w:t xml:space="preserve"> -</w:t>
      </w:r>
      <w:r w:rsidRPr="001163C6">
        <w:rPr>
          <w:rFonts w:hint="cs"/>
          <w:rtl/>
        </w:rPr>
        <w:t xml:space="preserve"> </w:t>
      </w:r>
      <w:r>
        <w:rPr>
          <w:rFonts w:hint="cs"/>
          <w:rtl/>
        </w:rPr>
        <w:t>ב</w:t>
      </w:r>
      <w:r w:rsidRPr="001163C6">
        <w:rPr>
          <w:rFonts w:hint="cs"/>
          <w:rtl/>
        </w:rPr>
        <w:t>ביתר ע</w:t>
      </w:r>
      <w:r>
        <w:rPr>
          <w:rFonts w:hint="cs"/>
          <w:rtl/>
        </w:rPr>
        <w:t>י</w:t>
      </w:r>
      <w:r w:rsidRPr="001163C6">
        <w:rPr>
          <w:rFonts w:hint="cs"/>
          <w:rtl/>
        </w:rPr>
        <w:t>לית,</w:t>
      </w:r>
      <w:r>
        <w:rPr>
          <w:rFonts w:hint="cs"/>
          <w:rtl/>
        </w:rPr>
        <w:t xml:space="preserve"> ב</w:t>
      </w:r>
      <w:r w:rsidRPr="001163C6">
        <w:rPr>
          <w:rFonts w:hint="cs"/>
          <w:rtl/>
        </w:rPr>
        <w:t>כפר חב"ד</w:t>
      </w:r>
      <w:r>
        <w:rPr>
          <w:rFonts w:hint="cs"/>
          <w:rtl/>
        </w:rPr>
        <w:t>,</w:t>
      </w:r>
      <w:r w:rsidRPr="001163C6">
        <w:rPr>
          <w:rFonts w:hint="cs"/>
          <w:rtl/>
        </w:rPr>
        <w:t xml:space="preserve"> </w:t>
      </w:r>
      <w:r>
        <w:rPr>
          <w:rFonts w:hint="cs"/>
          <w:rtl/>
        </w:rPr>
        <w:t>ב</w:t>
      </w:r>
      <w:r w:rsidRPr="001163C6">
        <w:rPr>
          <w:rFonts w:hint="cs"/>
          <w:rtl/>
        </w:rPr>
        <w:t>מודיעין ע</w:t>
      </w:r>
      <w:r>
        <w:rPr>
          <w:rFonts w:hint="cs"/>
          <w:rtl/>
        </w:rPr>
        <w:t>י</w:t>
      </w:r>
      <w:r w:rsidRPr="001163C6">
        <w:rPr>
          <w:rFonts w:hint="cs"/>
          <w:rtl/>
        </w:rPr>
        <w:t>לית</w:t>
      </w:r>
      <w:r>
        <w:rPr>
          <w:rFonts w:hint="cs"/>
          <w:rtl/>
        </w:rPr>
        <w:t xml:space="preserve"> ו</w:t>
      </w:r>
      <w:r w:rsidRPr="001163C6">
        <w:rPr>
          <w:rFonts w:hint="cs"/>
          <w:rtl/>
        </w:rPr>
        <w:t xml:space="preserve">ברכסים; </w:t>
      </w:r>
      <w:r w:rsidRPr="001163C6">
        <w:rPr>
          <w:rtl/>
        </w:rPr>
        <w:t>במכבי</w:t>
      </w:r>
      <w:r>
        <w:rPr>
          <w:rFonts w:hint="cs"/>
          <w:rtl/>
        </w:rPr>
        <w:t xml:space="preserve"> -</w:t>
      </w:r>
      <w:r w:rsidRPr="001163C6">
        <w:rPr>
          <w:rFonts w:hint="cs"/>
          <w:rtl/>
        </w:rPr>
        <w:t xml:space="preserve"> בביתר ע</w:t>
      </w:r>
      <w:r>
        <w:rPr>
          <w:rFonts w:hint="cs"/>
          <w:rtl/>
        </w:rPr>
        <w:t>י</w:t>
      </w:r>
      <w:r w:rsidRPr="001163C6">
        <w:rPr>
          <w:rFonts w:hint="cs"/>
          <w:rtl/>
        </w:rPr>
        <w:t>לית</w:t>
      </w:r>
      <w:r>
        <w:rPr>
          <w:rFonts w:hint="cs"/>
          <w:rtl/>
        </w:rPr>
        <w:t>,</w:t>
      </w:r>
      <w:r w:rsidRPr="001163C6">
        <w:rPr>
          <w:rFonts w:hint="cs"/>
          <w:rtl/>
        </w:rPr>
        <w:t xml:space="preserve"> בבני ברק וברכסים</w:t>
      </w:r>
      <w:r>
        <w:rPr>
          <w:rFonts w:hint="cs"/>
          <w:rtl/>
        </w:rPr>
        <w:t>;</w:t>
      </w:r>
      <w:r w:rsidRPr="001163C6">
        <w:rPr>
          <w:rFonts w:hint="cs"/>
          <w:rtl/>
        </w:rPr>
        <w:t xml:space="preserve"> ובלאומית ו</w:t>
      </w:r>
      <w:r>
        <w:rPr>
          <w:rFonts w:hint="cs"/>
          <w:rtl/>
        </w:rPr>
        <w:t>ב</w:t>
      </w:r>
      <w:r w:rsidRPr="001163C6">
        <w:rPr>
          <w:rFonts w:hint="cs"/>
          <w:rtl/>
        </w:rPr>
        <w:t>מאוחדת בבני</w:t>
      </w:r>
      <w:r w:rsidRPr="002C095A">
        <w:rPr>
          <w:rFonts w:hint="cs"/>
          <w:rtl/>
        </w:rPr>
        <w:t xml:space="preserve"> ברק</w:t>
      </w:r>
      <w:r>
        <w:rPr>
          <w:rFonts w:hint="cs"/>
          <w:rtl/>
        </w:rPr>
        <w:t>.</w:t>
      </w:r>
    </w:p>
    <w:p w14:paraId="5032DA4B" w14:textId="77777777" w:rsidR="00B51F5B" w:rsidRDefault="00B51F5B" w:rsidP="00D545F7">
      <w:pPr>
        <w:pStyle w:val="100"/>
        <w:rPr>
          <w:rtl/>
        </w:rPr>
      </w:pPr>
      <w:r w:rsidRPr="00D0213C">
        <w:rPr>
          <w:rFonts w:hint="cs"/>
          <w:rtl/>
        </w:rPr>
        <w:t xml:space="preserve">בביקורת נמצא </w:t>
      </w:r>
      <w:r>
        <w:rPr>
          <w:rFonts w:hint="cs"/>
          <w:rtl/>
        </w:rPr>
        <w:t xml:space="preserve">שיש </w:t>
      </w:r>
      <w:r w:rsidRPr="00D0213C">
        <w:rPr>
          <w:rFonts w:hint="cs"/>
          <w:rtl/>
        </w:rPr>
        <w:t xml:space="preserve">מקרים שבהם מטופלים </w:t>
      </w:r>
      <w:r>
        <w:rPr>
          <w:rFonts w:hint="cs"/>
          <w:rtl/>
        </w:rPr>
        <w:t>חרדים לא קיבלו שירותים מפאת חוסר התאמת המטפל לאוכלוסייה החרדית ולנוכח מרפאה שאינה מותאמת לאוכלוסיי</w:t>
      </w:r>
      <w:r>
        <w:rPr>
          <w:rFonts w:hint="eastAsia"/>
          <w:rtl/>
        </w:rPr>
        <w:t>ה</w:t>
      </w:r>
      <w:r>
        <w:rPr>
          <w:rFonts w:hint="cs"/>
          <w:rtl/>
        </w:rPr>
        <w:t xml:space="preserve">. בקשותיהם לקבלת טיפול מותאם נענו בשלילה. כך למשל, </w:t>
      </w:r>
      <w:r w:rsidRPr="009C3E01">
        <w:rPr>
          <w:rtl/>
        </w:rPr>
        <w:t>מבוטח של מאוחדת המתגורר בירושלים</w:t>
      </w:r>
      <w:r>
        <w:rPr>
          <w:rFonts w:hint="cs"/>
          <w:rtl/>
        </w:rPr>
        <w:t>,</w:t>
      </w:r>
      <w:r w:rsidRPr="009C3E01">
        <w:rPr>
          <w:rtl/>
        </w:rPr>
        <w:t xml:space="preserve"> חיכה חצי שנה לפסיכולוג</w:t>
      </w:r>
      <w:r>
        <w:rPr>
          <w:rFonts w:hint="cs"/>
          <w:rtl/>
        </w:rPr>
        <w:t>, אחר כך המתין כ</w:t>
      </w:r>
      <w:r w:rsidRPr="009C3E01">
        <w:rPr>
          <w:rtl/>
        </w:rPr>
        <w:t xml:space="preserve">חצי שנה </w:t>
      </w:r>
      <w:r>
        <w:rPr>
          <w:rFonts w:hint="cs"/>
          <w:rtl/>
        </w:rPr>
        <w:t>לאבחון ו</w:t>
      </w:r>
      <w:r w:rsidRPr="009C3E01">
        <w:rPr>
          <w:rtl/>
        </w:rPr>
        <w:t xml:space="preserve">עוד </w:t>
      </w:r>
      <w:r>
        <w:rPr>
          <w:rFonts w:hint="cs"/>
          <w:rtl/>
        </w:rPr>
        <w:t>כ</w:t>
      </w:r>
      <w:r w:rsidRPr="009C3E01">
        <w:rPr>
          <w:rtl/>
        </w:rPr>
        <w:t>חצי שנה לטיפול</w:t>
      </w:r>
      <w:r>
        <w:rPr>
          <w:rFonts w:hint="cs"/>
          <w:rtl/>
        </w:rPr>
        <w:t xml:space="preserve"> - בסך הכול שנה וחצי</w:t>
      </w:r>
      <w:r w:rsidRPr="009C3E01">
        <w:rPr>
          <w:rtl/>
        </w:rPr>
        <w:t xml:space="preserve">. המטפלת </w:t>
      </w:r>
      <w:r>
        <w:rPr>
          <w:rFonts w:hint="cs"/>
          <w:rtl/>
        </w:rPr>
        <w:t xml:space="preserve">שלו </w:t>
      </w:r>
      <w:r w:rsidRPr="009C3E01">
        <w:rPr>
          <w:rtl/>
        </w:rPr>
        <w:t xml:space="preserve">לא </w:t>
      </w:r>
      <w:r>
        <w:rPr>
          <w:rFonts w:hint="cs"/>
          <w:rtl/>
        </w:rPr>
        <w:t xml:space="preserve">התאימה </w:t>
      </w:r>
      <w:r w:rsidRPr="009C3E01">
        <w:rPr>
          <w:rtl/>
        </w:rPr>
        <w:t>לאוכלוסייה החרדית</w:t>
      </w:r>
      <w:r>
        <w:rPr>
          <w:rFonts w:hint="cs"/>
          <w:rtl/>
        </w:rPr>
        <w:t>,</w:t>
      </w:r>
      <w:r w:rsidRPr="009C3E01">
        <w:rPr>
          <w:rtl/>
        </w:rPr>
        <w:t xml:space="preserve"> אולם משביקש </w:t>
      </w:r>
      <w:r w:rsidRPr="002C6C27">
        <w:rPr>
          <w:rFonts w:hint="cs"/>
          <w:rtl/>
        </w:rPr>
        <w:t xml:space="preserve">להחליפהּ, </w:t>
      </w:r>
      <w:r w:rsidRPr="002C6C27">
        <w:rPr>
          <w:rtl/>
        </w:rPr>
        <w:t>נתקל</w:t>
      </w:r>
      <w:r w:rsidRPr="009C3E01">
        <w:rPr>
          <w:rtl/>
        </w:rPr>
        <w:t xml:space="preserve"> בסירוב; מבוטחת של הכללית מתגוררת בי</w:t>
      </w:r>
      <w:r>
        <w:rPr>
          <w:rFonts w:hint="cs"/>
          <w:rtl/>
        </w:rPr>
        <w:t>י</w:t>
      </w:r>
      <w:r w:rsidRPr="009C3E01">
        <w:rPr>
          <w:rtl/>
        </w:rPr>
        <w:t xml:space="preserve">שוב </w:t>
      </w:r>
      <w:r>
        <w:rPr>
          <w:rFonts w:hint="cs"/>
          <w:rtl/>
        </w:rPr>
        <w:t>ש</w:t>
      </w:r>
      <w:r w:rsidRPr="009C3E01">
        <w:rPr>
          <w:rtl/>
        </w:rPr>
        <w:t>בו אין מרפאה</w:t>
      </w:r>
      <w:r>
        <w:rPr>
          <w:rFonts w:hint="cs"/>
          <w:rtl/>
        </w:rPr>
        <w:t>,</w:t>
      </w:r>
      <w:r w:rsidRPr="009C3E01">
        <w:rPr>
          <w:rtl/>
        </w:rPr>
        <w:t xml:space="preserve"> </w:t>
      </w:r>
      <w:r>
        <w:rPr>
          <w:rFonts w:hint="cs"/>
          <w:rtl/>
        </w:rPr>
        <w:t xml:space="preserve">היא </w:t>
      </w:r>
      <w:r w:rsidRPr="009C3E01">
        <w:rPr>
          <w:rtl/>
        </w:rPr>
        <w:t>נשלחה ל</w:t>
      </w:r>
      <w:r>
        <w:rPr>
          <w:rFonts w:hint="cs"/>
          <w:rtl/>
        </w:rPr>
        <w:t>י</w:t>
      </w:r>
      <w:r w:rsidRPr="009C3E01">
        <w:rPr>
          <w:rtl/>
        </w:rPr>
        <w:t>ישוב אחר</w:t>
      </w:r>
      <w:r>
        <w:rPr>
          <w:rFonts w:hint="cs"/>
          <w:rtl/>
        </w:rPr>
        <w:t>,</w:t>
      </w:r>
      <w:r w:rsidRPr="009C3E01">
        <w:rPr>
          <w:rtl/>
        </w:rPr>
        <w:t xml:space="preserve"> </w:t>
      </w:r>
      <w:r>
        <w:rPr>
          <w:rFonts w:hint="cs"/>
          <w:rtl/>
        </w:rPr>
        <w:t>שבו המרפאה לא</w:t>
      </w:r>
      <w:r w:rsidRPr="009C3E01">
        <w:rPr>
          <w:rtl/>
        </w:rPr>
        <w:t xml:space="preserve"> הייתה מותאמת לאוכלוסייה החרדית</w:t>
      </w:r>
      <w:r w:rsidRPr="002C095A">
        <w:rPr>
          <w:rFonts w:hint="cs"/>
          <w:rtl/>
        </w:rPr>
        <w:t xml:space="preserve">. </w:t>
      </w:r>
    </w:p>
    <w:p w14:paraId="322D3F3B" w14:textId="77777777" w:rsidR="00B51F5B" w:rsidRPr="007755E0" w:rsidRDefault="00B51F5B" w:rsidP="00D545F7">
      <w:pPr>
        <w:pStyle w:val="100"/>
        <w:rPr>
          <w:rtl/>
        </w:rPr>
      </w:pPr>
      <w:r>
        <w:rPr>
          <w:rFonts w:hint="cs"/>
          <w:rtl/>
        </w:rPr>
        <w:t xml:space="preserve">משרד הבריאות מסר בתשובתו כי </w:t>
      </w:r>
      <w:r w:rsidRPr="007755E0">
        <w:rPr>
          <w:rtl/>
        </w:rPr>
        <w:t xml:space="preserve">היצע </w:t>
      </w:r>
      <w:r>
        <w:rPr>
          <w:rFonts w:hint="cs"/>
          <w:rtl/>
        </w:rPr>
        <w:t>ה</w:t>
      </w:r>
      <w:r>
        <w:rPr>
          <w:rtl/>
        </w:rPr>
        <w:t>מטפלים מהמגזר החרדי מצומצם</w:t>
      </w:r>
      <w:r>
        <w:rPr>
          <w:rFonts w:hint="cs"/>
          <w:rtl/>
        </w:rPr>
        <w:t>,</w:t>
      </w:r>
      <w:r w:rsidRPr="007755E0">
        <w:rPr>
          <w:rtl/>
        </w:rPr>
        <w:t xml:space="preserve"> </w:t>
      </w:r>
      <w:r>
        <w:rPr>
          <w:rFonts w:hint="cs"/>
          <w:rtl/>
        </w:rPr>
        <w:t xml:space="preserve">וכי </w:t>
      </w:r>
      <w:r w:rsidRPr="007755E0">
        <w:rPr>
          <w:rtl/>
        </w:rPr>
        <w:t>קופות</w:t>
      </w:r>
      <w:r>
        <w:rPr>
          <w:rFonts w:hint="cs"/>
          <w:rtl/>
        </w:rPr>
        <w:t xml:space="preserve"> החולים</w:t>
      </w:r>
      <w:r w:rsidRPr="007755E0">
        <w:rPr>
          <w:rtl/>
        </w:rPr>
        <w:t xml:space="preserve"> </w:t>
      </w:r>
      <w:r>
        <w:rPr>
          <w:rFonts w:hint="cs"/>
          <w:rtl/>
        </w:rPr>
        <w:t>משקיעות</w:t>
      </w:r>
      <w:r w:rsidRPr="007755E0" w:rsidDel="00F6134F">
        <w:rPr>
          <w:rtl/>
        </w:rPr>
        <w:t xml:space="preserve"> </w:t>
      </w:r>
      <w:r w:rsidRPr="007755E0">
        <w:rPr>
          <w:rtl/>
        </w:rPr>
        <w:t xml:space="preserve">מאמצים </w:t>
      </w:r>
      <w:r>
        <w:rPr>
          <w:rFonts w:hint="cs"/>
          <w:rtl/>
        </w:rPr>
        <w:t>בהנגשת השירותים,</w:t>
      </w:r>
      <w:r w:rsidRPr="007755E0">
        <w:rPr>
          <w:rtl/>
        </w:rPr>
        <w:t xml:space="preserve"> אולם </w:t>
      </w:r>
      <w:r>
        <w:rPr>
          <w:rFonts w:hint="cs"/>
          <w:rtl/>
        </w:rPr>
        <w:t>מדובר</w:t>
      </w:r>
      <w:r w:rsidRPr="007755E0">
        <w:rPr>
          <w:rtl/>
        </w:rPr>
        <w:t xml:space="preserve"> </w:t>
      </w:r>
      <w:r>
        <w:rPr>
          <w:rFonts w:hint="cs"/>
          <w:rtl/>
        </w:rPr>
        <w:t>ב</w:t>
      </w:r>
      <w:r w:rsidRPr="007755E0">
        <w:rPr>
          <w:rtl/>
        </w:rPr>
        <w:t>תהליך ארוך שנים ומורכב.</w:t>
      </w:r>
    </w:p>
    <w:p w14:paraId="75B8B096" w14:textId="77777777" w:rsidR="00B51F5B" w:rsidRDefault="00B51F5B" w:rsidP="00D545F7">
      <w:pPr>
        <w:pStyle w:val="aff0"/>
        <w:rPr>
          <w:rFonts w:cstheme="minorBidi"/>
          <w:rtl/>
        </w:rPr>
      </w:pPr>
      <w:r>
        <w:rPr>
          <w:rFonts w:hint="cs"/>
          <w:rtl/>
        </w:rPr>
        <w:t>✰</w:t>
      </w:r>
    </w:p>
    <w:p w14:paraId="543A1925" w14:textId="77777777" w:rsidR="00794070" w:rsidRPr="00794070" w:rsidRDefault="00794070" w:rsidP="00D545F7">
      <w:pPr>
        <w:pStyle w:val="aff0"/>
        <w:rPr>
          <w:rFonts w:cstheme="minorBidi"/>
          <w:rtl/>
        </w:rPr>
      </w:pPr>
    </w:p>
    <w:p w14:paraId="501C62D0" w14:textId="77777777" w:rsidR="00B51F5B" w:rsidRDefault="00B51F5B" w:rsidP="00D545F7">
      <w:pPr>
        <w:pStyle w:val="af5"/>
        <w:rPr>
          <w:rtl/>
        </w:rPr>
      </w:pPr>
      <w:r>
        <w:rPr>
          <w:rFonts w:hint="cs"/>
          <w:rtl/>
        </w:rPr>
        <w:t xml:space="preserve">נוכח הפערים הקיימים בשיעור המטופלים בבריאות הנפש ביישובים שבהם מתגוררת </w:t>
      </w:r>
      <w:r w:rsidRPr="00307A2F">
        <w:rPr>
          <w:rFonts w:hint="cs"/>
          <w:rtl/>
        </w:rPr>
        <w:t>אוכלוסייה ערבי</w:t>
      </w:r>
      <w:r>
        <w:rPr>
          <w:rFonts w:hint="cs"/>
          <w:rtl/>
        </w:rPr>
        <w:t>ת</w:t>
      </w:r>
      <w:r w:rsidRPr="00307A2F">
        <w:rPr>
          <w:rFonts w:hint="cs"/>
          <w:rtl/>
        </w:rPr>
        <w:t xml:space="preserve"> ו</w:t>
      </w:r>
      <w:r>
        <w:rPr>
          <w:rFonts w:hint="cs"/>
          <w:rtl/>
        </w:rPr>
        <w:t>אוכלוסייה</w:t>
      </w:r>
      <w:r w:rsidRPr="00307A2F">
        <w:rPr>
          <w:rFonts w:hint="cs"/>
          <w:rtl/>
        </w:rPr>
        <w:t xml:space="preserve"> חרדי</w:t>
      </w:r>
      <w:r>
        <w:rPr>
          <w:rFonts w:hint="cs"/>
          <w:rtl/>
        </w:rPr>
        <w:t>ת,</w:t>
      </w:r>
      <w:r w:rsidRPr="00307A2F">
        <w:rPr>
          <w:rFonts w:hint="cs"/>
          <w:rtl/>
        </w:rPr>
        <w:t xml:space="preserve"> </w:t>
      </w:r>
      <w:r>
        <w:rPr>
          <w:rFonts w:hint="cs"/>
          <w:rtl/>
        </w:rPr>
        <w:t xml:space="preserve">עולה חשש כי נגישותם וזמינותם של שירותים המותאמים למטופלים מבחינת התרבות ומבחינת השפה אינן מספקות. </w:t>
      </w:r>
    </w:p>
    <w:p w14:paraId="4B509025" w14:textId="1CC002BD" w:rsidR="00B51F5B" w:rsidRPr="00DF3782" w:rsidRDefault="00B51F5B" w:rsidP="00D545F7">
      <w:pPr>
        <w:pStyle w:val="af5"/>
        <w:rPr>
          <w:rtl/>
        </w:rPr>
      </w:pPr>
      <w:r w:rsidRPr="00533AB8">
        <w:rPr>
          <w:rFonts w:hint="cs"/>
          <w:rtl/>
        </w:rPr>
        <w:t>על קופות החולים</w:t>
      </w:r>
      <w:r>
        <w:rPr>
          <w:rFonts w:hint="cs"/>
          <w:rtl/>
        </w:rPr>
        <w:t>,</w:t>
      </w:r>
      <w:r w:rsidRPr="00533AB8">
        <w:rPr>
          <w:rFonts w:hint="cs"/>
          <w:rtl/>
        </w:rPr>
        <w:t xml:space="preserve"> בשיתוף משרד הבריאות</w:t>
      </w:r>
      <w:r w:rsidRPr="00BE5B41">
        <w:rPr>
          <w:rFonts w:hint="cs"/>
          <w:rtl/>
        </w:rPr>
        <w:t xml:space="preserve">, </w:t>
      </w:r>
      <w:r w:rsidRPr="005C61FB">
        <w:rPr>
          <w:rFonts w:hint="eastAsia"/>
          <w:rtl/>
        </w:rPr>
        <w:t>למפות</w:t>
      </w:r>
      <w:r>
        <w:rPr>
          <w:rFonts w:hint="cs"/>
          <w:rtl/>
        </w:rPr>
        <w:t xml:space="preserve"> </w:t>
      </w:r>
      <w:r w:rsidRPr="00533AB8">
        <w:rPr>
          <w:rFonts w:hint="cs"/>
          <w:rtl/>
        </w:rPr>
        <w:t xml:space="preserve">את </w:t>
      </w:r>
      <w:r>
        <w:rPr>
          <w:rFonts w:hint="cs"/>
          <w:rtl/>
        </w:rPr>
        <w:t>היישובים שבהם קיים מחסור</w:t>
      </w:r>
      <w:r w:rsidDel="00B445A7">
        <w:rPr>
          <w:rFonts w:hint="cs"/>
          <w:rtl/>
        </w:rPr>
        <w:t xml:space="preserve"> </w:t>
      </w:r>
      <w:r>
        <w:rPr>
          <w:rFonts w:hint="cs"/>
          <w:rtl/>
        </w:rPr>
        <w:t>ולתכנן מענה</w:t>
      </w:r>
      <w:r w:rsidRPr="00533AB8">
        <w:rPr>
          <w:rFonts w:hint="cs"/>
          <w:rtl/>
        </w:rPr>
        <w:t xml:space="preserve"> </w:t>
      </w:r>
      <w:r>
        <w:rPr>
          <w:rFonts w:hint="cs"/>
          <w:rtl/>
        </w:rPr>
        <w:t xml:space="preserve">שיספק מענה הולם לצורכי כל אוכלוסייה ואוכלוסייה, על פי מאפייניה. </w:t>
      </w:r>
    </w:p>
    <w:p w14:paraId="6CB6A5FE" w14:textId="77777777" w:rsidR="00B51F5B" w:rsidRDefault="00B51F5B" w:rsidP="00D545F7">
      <w:pPr>
        <w:pStyle w:val="316"/>
        <w:rPr>
          <w:rtl/>
        </w:rPr>
      </w:pPr>
      <w:r w:rsidRPr="000D3EBA">
        <w:rPr>
          <w:rFonts w:hint="eastAsia"/>
          <w:rtl/>
        </w:rPr>
        <w:lastRenderedPageBreak/>
        <w:t>שירות</w:t>
      </w:r>
      <w:r w:rsidRPr="000D3EBA">
        <w:rPr>
          <w:rtl/>
        </w:rPr>
        <w:t xml:space="preserve"> </w:t>
      </w:r>
      <w:r w:rsidRPr="000D3EBA">
        <w:rPr>
          <w:rFonts w:hint="eastAsia"/>
          <w:rtl/>
        </w:rPr>
        <w:t>לחולים</w:t>
      </w:r>
      <w:r w:rsidRPr="00AF6645">
        <w:rPr>
          <w:rtl/>
        </w:rPr>
        <w:t xml:space="preserve"> </w:t>
      </w:r>
      <w:r w:rsidRPr="00AF6645">
        <w:rPr>
          <w:rFonts w:hint="eastAsia"/>
          <w:rtl/>
        </w:rPr>
        <w:t>במחלות</w:t>
      </w:r>
      <w:r w:rsidRPr="00AF6645">
        <w:rPr>
          <w:rtl/>
        </w:rPr>
        <w:t xml:space="preserve"> </w:t>
      </w:r>
      <w:r w:rsidRPr="00AF6645">
        <w:rPr>
          <w:rFonts w:hint="eastAsia"/>
          <w:rtl/>
        </w:rPr>
        <w:t>נפש</w:t>
      </w:r>
      <w:r w:rsidRPr="00AF6645">
        <w:rPr>
          <w:rtl/>
        </w:rPr>
        <w:t xml:space="preserve"> </w:t>
      </w:r>
      <w:r w:rsidRPr="00AF6645">
        <w:rPr>
          <w:rFonts w:hint="eastAsia"/>
          <w:rtl/>
        </w:rPr>
        <w:t>בשילוב</w:t>
      </w:r>
      <w:r w:rsidRPr="00AF6645">
        <w:rPr>
          <w:rtl/>
        </w:rPr>
        <w:t xml:space="preserve"> </w:t>
      </w:r>
      <w:r w:rsidRPr="00AF6645">
        <w:rPr>
          <w:rFonts w:hint="eastAsia"/>
          <w:rtl/>
        </w:rPr>
        <w:t>התמכרויות</w:t>
      </w:r>
    </w:p>
    <w:p w14:paraId="5DBAA8DC" w14:textId="77777777" w:rsidR="00B51F5B" w:rsidRDefault="00B51F5B" w:rsidP="00D545F7">
      <w:pPr>
        <w:pStyle w:val="100"/>
        <w:rPr>
          <w:rtl/>
        </w:rPr>
      </w:pPr>
      <w:r w:rsidRPr="0024068E">
        <w:rPr>
          <w:rFonts w:hint="cs"/>
          <w:rtl/>
        </w:rPr>
        <w:t>יש</w:t>
      </w:r>
      <w:r w:rsidRPr="0024068E">
        <w:rPr>
          <w:rtl/>
        </w:rPr>
        <w:t xml:space="preserve"> קשר מובהק בין תחלואה נפשית ובין התמכרות לסמים ולאלכוהול</w:t>
      </w:r>
      <w:r w:rsidRPr="0024068E">
        <w:rPr>
          <w:rFonts w:hint="cs"/>
          <w:rtl/>
        </w:rPr>
        <w:t xml:space="preserve">. </w:t>
      </w:r>
      <w:r w:rsidRPr="0024068E">
        <w:rPr>
          <w:rtl/>
        </w:rPr>
        <w:t xml:space="preserve">מחקר </w:t>
      </w:r>
      <w:r w:rsidRPr="0024068E">
        <w:rPr>
          <w:rFonts w:hint="cs"/>
          <w:rtl/>
        </w:rPr>
        <w:t>מגלה</w:t>
      </w:r>
      <w:r w:rsidRPr="0024068E">
        <w:rPr>
          <w:rtl/>
        </w:rPr>
        <w:t xml:space="preserve"> </w:t>
      </w:r>
      <w:r w:rsidRPr="0024068E">
        <w:rPr>
          <w:rFonts w:hint="cs"/>
          <w:rtl/>
        </w:rPr>
        <w:t>כי</w:t>
      </w:r>
      <w:r w:rsidRPr="0024068E">
        <w:rPr>
          <w:rtl/>
        </w:rPr>
        <w:t xml:space="preserve"> 47% </w:t>
      </w:r>
      <w:r w:rsidRPr="0024068E">
        <w:rPr>
          <w:rFonts w:hint="cs"/>
          <w:rtl/>
        </w:rPr>
        <w:t>מחולי</w:t>
      </w:r>
      <w:r w:rsidRPr="0024068E">
        <w:rPr>
          <w:rtl/>
        </w:rPr>
        <w:t xml:space="preserve"> </w:t>
      </w:r>
      <w:r w:rsidRPr="0024068E">
        <w:rPr>
          <w:rFonts w:hint="cs"/>
          <w:rtl/>
        </w:rPr>
        <w:t>הסכיזופרניה</w:t>
      </w:r>
      <w:r w:rsidRPr="0024068E">
        <w:rPr>
          <w:rtl/>
        </w:rPr>
        <w:t xml:space="preserve"> </w:t>
      </w:r>
      <w:r w:rsidRPr="0024068E">
        <w:rPr>
          <w:rFonts w:hint="cs"/>
          <w:rtl/>
        </w:rPr>
        <w:t>ו</w:t>
      </w:r>
      <w:r w:rsidRPr="0024068E">
        <w:rPr>
          <w:rtl/>
        </w:rPr>
        <w:t xml:space="preserve">-56% </w:t>
      </w:r>
      <w:r w:rsidRPr="0024068E">
        <w:rPr>
          <w:rFonts w:hint="cs"/>
          <w:rtl/>
        </w:rPr>
        <w:t>מהחולים</w:t>
      </w:r>
      <w:r w:rsidRPr="0024068E">
        <w:rPr>
          <w:rtl/>
        </w:rPr>
        <w:t xml:space="preserve"> </w:t>
      </w:r>
      <w:r w:rsidRPr="0024068E">
        <w:rPr>
          <w:rFonts w:hint="cs"/>
          <w:rtl/>
        </w:rPr>
        <w:t>בהפרעה</w:t>
      </w:r>
      <w:r w:rsidRPr="0024068E">
        <w:rPr>
          <w:rtl/>
        </w:rPr>
        <w:t xml:space="preserve"> </w:t>
      </w:r>
      <w:r w:rsidRPr="0024068E">
        <w:rPr>
          <w:rFonts w:hint="cs"/>
          <w:rtl/>
        </w:rPr>
        <w:t>דו</w:t>
      </w:r>
      <w:r w:rsidRPr="0024068E">
        <w:rPr>
          <w:rtl/>
        </w:rPr>
        <w:t xml:space="preserve">-קוטבית (מאניה </w:t>
      </w:r>
      <w:r w:rsidRPr="0024068E">
        <w:rPr>
          <w:rFonts w:hint="cs"/>
          <w:rtl/>
        </w:rPr>
        <w:t>דיפרסיה</w:t>
      </w:r>
      <w:r w:rsidRPr="0024068E">
        <w:rPr>
          <w:rtl/>
        </w:rPr>
        <w:t xml:space="preserve">) </w:t>
      </w:r>
      <w:r w:rsidRPr="0024068E">
        <w:rPr>
          <w:rFonts w:hint="cs"/>
          <w:rtl/>
        </w:rPr>
        <w:t>יתמכרו</w:t>
      </w:r>
      <w:r w:rsidRPr="0024068E">
        <w:rPr>
          <w:rtl/>
        </w:rPr>
        <w:t xml:space="preserve"> </w:t>
      </w:r>
      <w:r w:rsidRPr="0024068E">
        <w:rPr>
          <w:rFonts w:hint="cs"/>
          <w:rtl/>
        </w:rPr>
        <w:t>לסמים</w:t>
      </w:r>
      <w:r w:rsidRPr="0024068E">
        <w:rPr>
          <w:rtl/>
        </w:rPr>
        <w:t xml:space="preserve"> </w:t>
      </w:r>
      <w:r w:rsidRPr="0024068E">
        <w:rPr>
          <w:rFonts w:hint="cs"/>
          <w:rtl/>
        </w:rPr>
        <w:t>או</w:t>
      </w:r>
      <w:r w:rsidRPr="0024068E">
        <w:rPr>
          <w:rtl/>
        </w:rPr>
        <w:t xml:space="preserve"> </w:t>
      </w:r>
      <w:r w:rsidRPr="0024068E">
        <w:rPr>
          <w:rFonts w:hint="cs"/>
          <w:rtl/>
        </w:rPr>
        <w:t>לאלכוהול</w:t>
      </w:r>
      <w:r>
        <w:rPr>
          <w:vertAlign w:val="superscript"/>
          <w:rtl/>
        </w:rPr>
        <w:footnoteReference w:id="41"/>
      </w:r>
      <w:r w:rsidRPr="0024068E">
        <w:rPr>
          <w:rtl/>
        </w:rPr>
        <w:t xml:space="preserve">. עם השנים ניכרת עלייה </w:t>
      </w:r>
      <w:r w:rsidRPr="0024068E">
        <w:rPr>
          <w:rFonts w:hint="cs"/>
          <w:rtl/>
        </w:rPr>
        <w:t>במספר</w:t>
      </w:r>
      <w:r w:rsidRPr="0024068E">
        <w:rPr>
          <w:rtl/>
        </w:rPr>
        <w:t xml:space="preserve"> </w:t>
      </w:r>
      <w:r w:rsidRPr="0024068E">
        <w:rPr>
          <w:rFonts w:hint="cs"/>
          <w:rtl/>
        </w:rPr>
        <w:t>ה</w:t>
      </w:r>
      <w:r w:rsidRPr="0024068E">
        <w:rPr>
          <w:rtl/>
        </w:rPr>
        <w:t xml:space="preserve">חולים </w:t>
      </w:r>
      <w:r>
        <w:rPr>
          <w:rFonts w:hint="cs"/>
          <w:rtl/>
        </w:rPr>
        <w:t>הללו</w:t>
      </w:r>
      <w:r>
        <w:rPr>
          <w:vertAlign w:val="superscript"/>
          <w:rtl/>
        </w:rPr>
        <w:footnoteReference w:id="42"/>
      </w:r>
      <w:r w:rsidRPr="0024068E">
        <w:rPr>
          <w:rtl/>
        </w:rPr>
        <w:t>.</w:t>
      </w:r>
      <w:r w:rsidRPr="004E6DDC">
        <w:rPr>
          <w:rFonts w:hint="cs"/>
          <w:sz w:val="24"/>
          <w:rtl/>
        </w:rPr>
        <w:t xml:space="preserve"> </w:t>
      </w:r>
      <w:r>
        <w:rPr>
          <w:rFonts w:hint="cs"/>
          <w:sz w:val="24"/>
          <w:rtl/>
        </w:rPr>
        <w:t xml:space="preserve">בקרב חלק מהחולים המחלה הנפשית היא העיקרית וההתמכרות נלוות למחלה, ואילו בקרב אחרים ההתמכרות היא הבעיה העיקרית. יש לציין כי לא תמיד ניתן להבחין בין סוגי החולים. </w:t>
      </w:r>
    </w:p>
    <w:p w14:paraId="05CF7AFD" w14:textId="77777777" w:rsidR="00B51F5B" w:rsidRDefault="00B51F5B" w:rsidP="00D545F7">
      <w:pPr>
        <w:pStyle w:val="100"/>
        <w:rPr>
          <w:rtl/>
        </w:rPr>
      </w:pPr>
      <w:r>
        <w:rPr>
          <w:rFonts w:hint="cs"/>
          <w:rtl/>
        </w:rPr>
        <w:t xml:space="preserve">כאמור, </w:t>
      </w:r>
      <w:r w:rsidRPr="00814B77">
        <w:rPr>
          <w:rtl/>
        </w:rPr>
        <w:t xml:space="preserve">הסכם הרפורמה העביר את האחריות למתן שירותי בריאות הנפש </w:t>
      </w:r>
      <w:r>
        <w:rPr>
          <w:rFonts w:hint="cs"/>
          <w:rtl/>
        </w:rPr>
        <w:t>א</w:t>
      </w:r>
      <w:r w:rsidRPr="00814B77">
        <w:rPr>
          <w:rtl/>
        </w:rPr>
        <w:t>ל</w:t>
      </w:r>
      <w:r>
        <w:rPr>
          <w:rFonts w:hint="cs"/>
          <w:rtl/>
        </w:rPr>
        <w:t xml:space="preserve"> </w:t>
      </w:r>
      <w:r w:rsidRPr="00814B77">
        <w:rPr>
          <w:rtl/>
        </w:rPr>
        <w:t>קופות</w:t>
      </w:r>
      <w:r>
        <w:rPr>
          <w:rFonts w:hint="cs"/>
          <w:rtl/>
        </w:rPr>
        <w:t xml:space="preserve"> החולים וקבע כי</w:t>
      </w:r>
      <w:r w:rsidRPr="00814B77">
        <w:rPr>
          <w:rtl/>
        </w:rPr>
        <w:t xml:space="preserve"> </w:t>
      </w:r>
      <w:r>
        <w:rPr>
          <w:rFonts w:hint="cs"/>
          <w:rtl/>
        </w:rPr>
        <w:t>שירותי הגמילה מסמים ומהתמכרויות לא יעברו לאחריות הקופות, למעט הטיפול במשברים נפשיים חריפים כגון פסיכוזה, דיכאון או התנהגות תוקפנית המחייבים אשפוז שיהיו באחריות הקופות. ה</w:t>
      </w:r>
      <w:r w:rsidRPr="00814B77">
        <w:rPr>
          <w:rtl/>
        </w:rPr>
        <w:t>ליך הגמילה הגופנית באשפוזיות ו</w:t>
      </w:r>
      <w:r>
        <w:rPr>
          <w:rFonts w:hint="cs"/>
          <w:rtl/>
        </w:rPr>
        <w:t>ב</w:t>
      </w:r>
      <w:r w:rsidRPr="00814B77">
        <w:rPr>
          <w:rtl/>
        </w:rPr>
        <w:t xml:space="preserve">תחנות לטיפול תרופתי </w:t>
      </w:r>
      <w:r>
        <w:rPr>
          <w:rFonts w:hint="cs"/>
          <w:rtl/>
        </w:rPr>
        <w:t>לנגמלים נותרו באחריות</w:t>
      </w:r>
      <w:r w:rsidRPr="00814B77">
        <w:rPr>
          <w:rtl/>
        </w:rPr>
        <w:t xml:space="preserve"> </w:t>
      </w:r>
      <w:r>
        <w:rPr>
          <w:rFonts w:hint="cs"/>
          <w:rtl/>
        </w:rPr>
        <w:t>משרד הבריאות.</w:t>
      </w:r>
      <w:r w:rsidRPr="00814B77">
        <w:rPr>
          <w:rtl/>
        </w:rPr>
        <w:t xml:space="preserve"> </w:t>
      </w:r>
      <w:r>
        <w:rPr>
          <w:rFonts w:hint="cs"/>
          <w:rtl/>
        </w:rPr>
        <w:t>בדוח קודם של מבקר המדינה</w:t>
      </w:r>
      <w:r>
        <w:rPr>
          <w:rStyle w:val="FootnoteReference"/>
          <w:sz w:val="24"/>
          <w:rtl/>
        </w:rPr>
        <w:footnoteReference w:id="43"/>
      </w:r>
      <w:r>
        <w:rPr>
          <w:rFonts w:hint="cs"/>
          <w:rtl/>
        </w:rPr>
        <w:t xml:space="preserve"> עלה כי קיימת מחלוקת בין ה</w:t>
      </w:r>
      <w:r w:rsidRPr="00814B77">
        <w:rPr>
          <w:rtl/>
        </w:rPr>
        <w:t>קופות ל</w:t>
      </w:r>
      <w:r>
        <w:rPr>
          <w:rFonts w:hint="cs"/>
          <w:rtl/>
        </w:rPr>
        <w:t>בין ה</w:t>
      </w:r>
      <w:r w:rsidRPr="00814B77">
        <w:rPr>
          <w:rtl/>
        </w:rPr>
        <w:t>משרד ב</w:t>
      </w:r>
      <w:r>
        <w:rPr>
          <w:rFonts w:hint="cs"/>
          <w:rtl/>
        </w:rPr>
        <w:t xml:space="preserve">דבר </w:t>
      </w:r>
      <w:r w:rsidRPr="00814B77">
        <w:rPr>
          <w:rtl/>
        </w:rPr>
        <w:t>חובת</w:t>
      </w:r>
      <w:r>
        <w:rPr>
          <w:rFonts w:hint="cs"/>
          <w:rtl/>
        </w:rPr>
        <w:t>ן</w:t>
      </w:r>
      <w:r w:rsidRPr="00814B77">
        <w:rPr>
          <w:rtl/>
        </w:rPr>
        <w:t xml:space="preserve"> </w:t>
      </w:r>
      <w:r>
        <w:rPr>
          <w:rtl/>
        </w:rPr>
        <w:t>לספק שירותי</w:t>
      </w:r>
      <w:r>
        <w:rPr>
          <w:rFonts w:hint="cs"/>
          <w:rtl/>
        </w:rPr>
        <w:t xml:space="preserve">ם </w:t>
      </w:r>
      <w:r w:rsidRPr="00814B77">
        <w:rPr>
          <w:rtl/>
        </w:rPr>
        <w:t>למטופלים</w:t>
      </w:r>
      <w:r>
        <w:rPr>
          <w:rFonts w:hint="cs"/>
          <w:rtl/>
        </w:rPr>
        <w:t xml:space="preserve"> הללו. </w:t>
      </w:r>
      <w:r w:rsidRPr="00814B77">
        <w:rPr>
          <w:rtl/>
        </w:rPr>
        <w:t xml:space="preserve">מבקר </w:t>
      </w:r>
      <w:r>
        <w:rPr>
          <w:rFonts w:hint="cs"/>
          <w:rtl/>
        </w:rPr>
        <w:t xml:space="preserve">המדינה </w:t>
      </w:r>
      <w:r w:rsidRPr="00814B77">
        <w:rPr>
          <w:rtl/>
        </w:rPr>
        <w:t xml:space="preserve">העיר כי עולה חשש כי </w:t>
      </w:r>
      <w:r>
        <w:rPr>
          <w:rFonts w:hint="cs"/>
          <w:rtl/>
        </w:rPr>
        <w:t xml:space="preserve">חברי הקופות אינם מקבלים טיפול, וכי </w:t>
      </w:r>
      <w:r w:rsidRPr="00814B77">
        <w:rPr>
          <w:rtl/>
        </w:rPr>
        <w:t>על המשרד כמאסדר</w:t>
      </w:r>
      <w:r>
        <w:rPr>
          <w:rFonts w:hint="cs"/>
          <w:rtl/>
        </w:rPr>
        <w:t xml:space="preserve"> </w:t>
      </w:r>
      <w:r w:rsidRPr="00814B77">
        <w:rPr>
          <w:rtl/>
        </w:rPr>
        <w:t xml:space="preserve">להבהיר על מי מוטלת האחריות </w:t>
      </w:r>
      <w:r>
        <w:rPr>
          <w:rFonts w:hint="cs"/>
          <w:rtl/>
        </w:rPr>
        <w:t>ו</w:t>
      </w:r>
      <w:r w:rsidRPr="00814B77">
        <w:rPr>
          <w:rtl/>
        </w:rPr>
        <w:t xml:space="preserve">לנקוט פעולות שיבטיחו </w:t>
      </w:r>
      <w:r>
        <w:rPr>
          <w:rFonts w:hint="cs"/>
          <w:rtl/>
        </w:rPr>
        <w:t xml:space="preserve">את </w:t>
      </w:r>
      <w:r w:rsidRPr="00814B77">
        <w:rPr>
          <w:rtl/>
        </w:rPr>
        <w:t xml:space="preserve">קבלת השירות בקהילה. </w:t>
      </w:r>
    </w:p>
    <w:p w14:paraId="4415CB81" w14:textId="09EDC1C6" w:rsidR="00B51F5B" w:rsidRDefault="00B51F5B" w:rsidP="00D545F7">
      <w:pPr>
        <w:pStyle w:val="100"/>
        <w:rPr>
          <w:rtl/>
        </w:rPr>
      </w:pPr>
      <w:r w:rsidRPr="009B3E47">
        <w:rPr>
          <w:rFonts w:hint="eastAsia"/>
          <w:rtl/>
        </w:rPr>
        <w:t>פסיכיאטרים</w:t>
      </w:r>
      <w:r>
        <w:rPr>
          <w:rFonts w:hint="cs"/>
          <w:rtl/>
        </w:rPr>
        <w:t>,</w:t>
      </w:r>
      <w:r w:rsidRPr="009B3E47">
        <w:rPr>
          <w:rtl/>
        </w:rPr>
        <w:t xml:space="preserve"> </w:t>
      </w:r>
      <w:r>
        <w:rPr>
          <w:rFonts w:hint="cs"/>
          <w:rtl/>
        </w:rPr>
        <w:t>המטפלים ב</w:t>
      </w:r>
      <w:r w:rsidRPr="009B3E47">
        <w:rPr>
          <w:rFonts w:hint="eastAsia"/>
          <w:rtl/>
        </w:rPr>
        <w:t>סובל</w:t>
      </w:r>
      <w:r>
        <w:rPr>
          <w:rFonts w:hint="cs"/>
          <w:rtl/>
        </w:rPr>
        <w:t>ים</w:t>
      </w:r>
      <w:r w:rsidRPr="009B3E47">
        <w:rPr>
          <w:rtl/>
        </w:rPr>
        <w:t xml:space="preserve"> </w:t>
      </w:r>
      <w:r w:rsidRPr="009B3E47">
        <w:rPr>
          <w:rFonts w:hint="eastAsia"/>
          <w:rtl/>
        </w:rPr>
        <w:t>מהפרעות</w:t>
      </w:r>
      <w:r w:rsidRPr="009B3E47">
        <w:rPr>
          <w:rtl/>
        </w:rPr>
        <w:t xml:space="preserve"> </w:t>
      </w:r>
      <w:r w:rsidRPr="009B3E47">
        <w:rPr>
          <w:rFonts w:hint="eastAsia"/>
          <w:rtl/>
        </w:rPr>
        <w:t>נפשיות</w:t>
      </w:r>
      <w:r w:rsidRPr="009B3E47">
        <w:rPr>
          <w:rtl/>
        </w:rPr>
        <w:t xml:space="preserve"> </w:t>
      </w:r>
      <w:r w:rsidRPr="009B3E47">
        <w:rPr>
          <w:rFonts w:hint="eastAsia"/>
          <w:rtl/>
        </w:rPr>
        <w:t>בשילוב</w:t>
      </w:r>
      <w:r>
        <w:rPr>
          <w:rFonts w:hint="cs"/>
          <w:rtl/>
        </w:rPr>
        <w:t xml:space="preserve"> </w:t>
      </w:r>
      <w:r w:rsidRPr="009B3E47">
        <w:rPr>
          <w:rFonts w:hint="eastAsia"/>
          <w:rtl/>
        </w:rPr>
        <w:t>התמכרויות</w:t>
      </w:r>
      <w:r>
        <w:rPr>
          <w:rFonts w:hint="cs"/>
          <w:rtl/>
        </w:rPr>
        <w:t>,</w:t>
      </w:r>
      <w:r w:rsidRPr="009B3E47">
        <w:rPr>
          <w:rtl/>
        </w:rPr>
        <w:t xml:space="preserve"> </w:t>
      </w:r>
      <w:r w:rsidRPr="009B3E47">
        <w:rPr>
          <w:rFonts w:hint="eastAsia"/>
          <w:rtl/>
        </w:rPr>
        <w:t>נתקלים</w:t>
      </w:r>
      <w:r w:rsidRPr="009B3E47">
        <w:rPr>
          <w:rtl/>
        </w:rPr>
        <w:t xml:space="preserve"> </w:t>
      </w:r>
      <w:r w:rsidRPr="009B3E47">
        <w:rPr>
          <w:rFonts w:hint="eastAsia"/>
          <w:rtl/>
        </w:rPr>
        <w:t>מאז</w:t>
      </w:r>
      <w:r w:rsidRPr="009B3E47">
        <w:rPr>
          <w:rtl/>
        </w:rPr>
        <w:t xml:space="preserve"> </w:t>
      </w:r>
      <w:r w:rsidRPr="009B3E47">
        <w:rPr>
          <w:rFonts w:hint="eastAsia"/>
          <w:rtl/>
        </w:rPr>
        <w:t>כניסת</w:t>
      </w:r>
      <w:r w:rsidRPr="009B3E47">
        <w:rPr>
          <w:rtl/>
        </w:rPr>
        <w:t xml:space="preserve"> </w:t>
      </w:r>
      <w:r w:rsidRPr="009B3E47">
        <w:rPr>
          <w:rFonts w:hint="eastAsia"/>
          <w:rtl/>
        </w:rPr>
        <w:t>הרפורמה</w:t>
      </w:r>
      <w:r w:rsidRPr="009B3E47">
        <w:rPr>
          <w:rtl/>
        </w:rPr>
        <w:t xml:space="preserve"> </w:t>
      </w:r>
      <w:r>
        <w:rPr>
          <w:rFonts w:hint="cs"/>
          <w:rtl/>
        </w:rPr>
        <w:t>במקרים שבהם</w:t>
      </w:r>
      <w:r w:rsidRPr="009B3E47">
        <w:rPr>
          <w:rtl/>
        </w:rPr>
        <w:t xml:space="preserve"> </w:t>
      </w:r>
      <w:r w:rsidRPr="009B3E47">
        <w:rPr>
          <w:rFonts w:hint="eastAsia"/>
          <w:rtl/>
        </w:rPr>
        <w:t>קופות</w:t>
      </w:r>
      <w:r w:rsidRPr="009B3E47">
        <w:rPr>
          <w:rtl/>
        </w:rPr>
        <w:t xml:space="preserve"> </w:t>
      </w:r>
      <w:r w:rsidRPr="009B3E47">
        <w:rPr>
          <w:rFonts w:hint="eastAsia"/>
          <w:rtl/>
        </w:rPr>
        <w:t>החולים</w:t>
      </w:r>
      <w:r>
        <w:rPr>
          <w:rFonts w:hint="cs"/>
          <w:rtl/>
        </w:rPr>
        <w:t xml:space="preserve"> מערימות קשיים</w:t>
      </w:r>
      <w:r w:rsidRPr="009B3E47">
        <w:rPr>
          <w:rtl/>
        </w:rPr>
        <w:t xml:space="preserve"> </w:t>
      </w:r>
      <w:r>
        <w:rPr>
          <w:rFonts w:hint="cs"/>
          <w:rtl/>
        </w:rPr>
        <w:t>ע</w:t>
      </w:r>
      <w:r w:rsidRPr="009B3E47">
        <w:rPr>
          <w:rFonts w:hint="eastAsia"/>
          <w:rtl/>
        </w:rPr>
        <w:t>ל</w:t>
      </w:r>
      <w:r>
        <w:rPr>
          <w:rFonts w:hint="cs"/>
          <w:rtl/>
        </w:rPr>
        <w:t xml:space="preserve"> מתן </w:t>
      </w:r>
      <w:r w:rsidRPr="009B3E47">
        <w:rPr>
          <w:rFonts w:hint="eastAsia"/>
          <w:rtl/>
        </w:rPr>
        <w:t>התחייבות</w:t>
      </w:r>
      <w:r w:rsidRPr="009B3E47">
        <w:rPr>
          <w:rtl/>
        </w:rPr>
        <w:t xml:space="preserve"> </w:t>
      </w:r>
      <w:r w:rsidRPr="009B3E47">
        <w:rPr>
          <w:rFonts w:hint="eastAsia"/>
          <w:rtl/>
        </w:rPr>
        <w:t>לטיפול</w:t>
      </w:r>
      <w:r w:rsidRPr="009B3E47">
        <w:rPr>
          <w:rFonts w:hint="cs"/>
          <w:rtl/>
        </w:rPr>
        <w:t xml:space="preserve"> </w:t>
      </w:r>
      <w:r w:rsidRPr="009B3E47">
        <w:rPr>
          <w:rFonts w:hint="eastAsia"/>
          <w:rtl/>
        </w:rPr>
        <w:t>במסגרות</w:t>
      </w:r>
      <w:r w:rsidRPr="009B3E47">
        <w:rPr>
          <w:rtl/>
        </w:rPr>
        <w:t xml:space="preserve"> </w:t>
      </w:r>
      <w:r w:rsidRPr="005C61FB">
        <w:rPr>
          <w:rFonts w:hint="cs"/>
          <w:rtl/>
        </w:rPr>
        <w:t xml:space="preserve">המשלבות </w:t>
      </w:r>
      <w:r w:rsidRPr="005C61FB">
        <w:rPr>
          <w:rtl/>
        </w:rPr>
        <w:t xml:space="preserve">טיפול </w:t>
      </w:r>
      <w:r w:rsidRPr="005C61FB">
        <w:rPr>
          <w:rFonts w:hint="cs"/>
          <w:rtl/>
        </w:rPr>
        <w:t xml:space="preserve">נפשי וטיפול בהתמכרות </w:t>
      </w:r>
      <w:r>
        <w:rPr>
          <w:rFonts w:hint="cs"/>
          <w:rtl/>
        </w:rPr>
        <w:t>או מסרבות כליל לכך,</w:t>
      </w:r>
      <w:r w:rsidRPr="009B3E47">
        <w:rPr>
          <w:rtl/>
        </w:rPr>
        <w:t xml:space="preserve"> </w:t>
      </w:r>
      <w:r>
        <w:rPr>
          <w:rFonts w:hint="cs"/>
          <w:rtl/>
        </w:rPr>
        <w:t>בטענה</w:t>
      </w:r>
      <w:r w:rsidRPr="009E463A">
        <w:rPr>
          <w:rtl/>
        </w:rPr>
        <w:t xml:space="preserve"> </w:t>
      </w:r>
      <w:r>
        <w:rPr>
          <w:rFonts w:hint="cs"/>
          <w:rtl/>
        </w:rPr>
        <w:t>שה</w:t>
      </w:r>
      <w:r w:rsidRPr="009E463A">
        <w:rPr>
          <w:rtl/>
        </w:rPr>
        <w:t xml:space="preserve">אחריות </w:t>
      </w:r>
      <w:r>
        <w:rPr>
          <w:rFonts w:hint="cs"/>
          <w:rtl/>
        </w:rPr>
        <w:t>ל</w:t>
      </w:r>
      <w:r w:rsidRPr="009E463A">
        <w:rPr>
          <w:rtl/>
        </w:rPr>
        <w:t xml:space="preserve">נושא </w:t>
      </w:r>
      <w:r w:rsidRPr="009E463A">
        <w:rPr>
          <w:rFonts w:hint="eastAsia"/>
          <w:rtl/>
        </w:rPr>
        <w:t>מסור</w:t>
      </w:r>
      <w:r>
        <w:rPr>
          <w:rFonts w:hint="cs"/>
          <w:rtl/>
        </w:rPr>
        <w:t>ה</w:t>
      </w:r>
      <w:r w:rsidRPr="009E463A">
        <w:rPr>
          <w:rtl/>
        </w:rPr>
        <w:t xml:space="preserve"> למשרד הבריאות. </w:t>
      </w:r>
      <w:r w:rsidRPr="009E463A">
        <w:rPr>
          <w:rFonts w:hint="eastAsia"/>
          <w:rtl/>
        </w:rPr>
        <w:t>כתנאי</w:t>
      </w:r>
      <w:r w:rsidRPr="009E463A">
        <w:rPr>
          <w:rtl/>
        </w:rPr>
        <w:t xml:space="preserve"> לקבלת טיפול</w:t>
      </w:r>
      <w:r>
        <w:rPr>
          <w:rFonts w:hint="cs"/>
          <w:rtl/>
        </w:rPr>
        <w:t xml:space="preserve"> דורשות</w:t>
      </w:r>
      <w:r w:rsidRPr="009E463A">
        <w:rPr>
          <w:rtl/>
        </w:rPr>
        <w:t xml:space="preserve"> הקופות כי </w:t>
      </w:r>
      <w:r w:rsidRPr="009E463A">
        <w:rPr>
          <w:rFonts w:hint="eastAsia"/>
          <w:rtl/>
        </w:rPr>
        <w:t>ההפרעה</w:t>
      </w:r>
      <w:r w:rsidRPr="009E463A">
        <w:rPr>
          <w:rtl/>
        </w:rPr>
        <w:t xml:space="preserve"> </w:t>
      </w:r>
      <w:r w:rsidRPr="009E463A">
        <w:rPr>
          <w:rFonts w:hint="eastAsia"/>
          <w:rtl/>
        </w:rPr>
        <w:t>הנפשית</w:t>
      </w:r>
      <w:r w:rsidRPr="009E463A">
        <w:rPr>
          <w:rtl/>
        </w:rPr>
        <w:t xml:space="preserve"> </w:t>
      </w:r>
      <w:r w:rsidRPr="009E463A">
        <w:rPr>
          <w:rFonts w:hint="eastAsia"/>
          <w:rtl/>
        </w:rPr>
        <w:t>תהיה</w:t>
      </w:r>
      <w:r w:rsidRPr="009E463A">
        <w:rPr>
          <w:rtl/>
        </w:rPr>
        <w:t xml:space="preserve"> </w:t>
      </w:r>
      <w:r w:rsidRPr="009E463A">
        <w:rPr>
          <w:rFonts w:hint="eastAsia"/>
          <w:rtl/>
        </w:rPr>
        <w:t>ה</w:t>
      </w:r>
      <w:r>
        <w:rPr>
          <w:rFonts w:hint="cs"/>
          <w:rtl/>
        </w:rPr>
        <w:t>שלטת</w:t>
      </w:r>
      <w:r w:rsidRPr="009E463A">
        <w:rPr>
          <w:rtl/>
        </w:rPr>
        <w:t xml:space="preserve"> </w:t>
      </w:r>
      <w:r w:rsidRPr="009E463A">
        <w:rPr>
          <w:rFonts w:hint="eastAsia"/>
          <w:rtl/>
        </w:rPr>
        <w:t>לעומת</w:t>
      </w:r>
      <w:r w:rsidRPr="009E463A">
        <w:rPr>
          <w:rtl/>
        </w:rPr>
        <w:t xml:space="preserve"> </w:t>
      </w:r>
      <w:r w:rsidRPr="009E463A">
        <w:rPr>
          <w:rFonts w:hint="eastAsia"/>
          <w:rtl/>
        </w:rPr>
        <w:t>ההתמכרות</w:t>
      </w:r>
      <w:r>
        <w:rPr>
          <w:rFonts w:hint="cs"/>
          <w:rtl/>
        </w:rPr>
        <w:t>,</w:t>
      </w:r>
      <w:r w:rsidRPr="009E463A">
        <w:rPr>
          <w:rtl/>
        </w:rPr>
        <w:t xml:space="preserve"> </w:t>
      </w:r>
      <w:r w:rsidRPr="009E463A">
        <w:rPr>
          <w:rFonts w:hint="eastAsia"/>
          <w:rtl/>
        </w:rPr>
        <w:t>ולעיתים</w:t>
      </w:r>
      <w:r w:rsidRPr="009E463A">
        <w:rPr>
          <w:rtl/>
        </w:rPr>
        <w:t xml:space="preserve"> </w:t>
      </w:r>
      <w:r w:rsidRPr="009E463A">
        <w:rPr>
          <w:rFonts w:hint="eastAsia"/>
          <w:rtl/>
        </w:rPr>
        <w:t>גם</w:t>
      </w:r>
      <w:r w:rsidRPr="009E463A">
        <w:rPr>
          <w:rtl/>
        </w:rPr>
        <w:t xml:space="preserve"> </w:t>
      </w:r>
      <w:r w:rsidRPr="009E463A">
        <w:rPr>
          <w:rFonts w:hint="eastAsia"/>
          <w:rtl/>
        </w:rPr>
        <w:t>שהמטופלים</w:t>
      </w:r>
      <w:r w:rsidRPr="009E463A">
        <w:rPr>
          <w:rtl/>
        </w:rPr>
        <w:t xml:space="preserve"> </w:t>
      </w:r>
      <w:r w:rsidRPr="009E463A">
        <w:rPr>
          <w:rFonts w:hint="eastAsia"/>
          <w:rtl/>
        </w:rPr>
        <w:t>יאובחנו</w:t>
      </w:r>
      <w:r w:rsidRPr="009E463A">
        <w:rPr>
          <w:rtl/>
        </w:rPr>
        <w:t xml:space="preserve"> </w:t>
      </w:r>
      <w:r w:rsidRPr="009E463A">
        <w:rPr>
          <w:rFonts w:hint="eastAsia"/>
          <w:rtl/>
        </w:rPr>
        <w:t>כסובלים</w:t>
      </w:r>
      <w:r w:rsidRPr="009E463A">
        <w:rPr>
          <w:rtl/>
        </w:rPr>
        <w:t xml:space="preserve"> </w:t>
      </w:r>
      <w:r w:rsidRPr="009E463A">
        <w:rPr>
          <w:rFonts w:hint="eastAsia"/>
          <w:rtl/>
        </w:rPr>
        <w:t>ממחלות</w:t>
      </w:r>
      <w:r w:rsidRPr="009E463A">
        <w:rPr>
          <w:rtl/>
        </w:rPr>
        <w:t xml:space="preserve"> </w:t>
      </w:r>
      <w:r w:rsidRPr="009E463A">
        <w:rPr>
          <w:rFonts w:hint="eastAsia"/>
          <w:rtl/>
        </w:rPr>
        <w:t>נפשיות</w:t>
      </w:r>
      <w:r w:rsidRPr="009E463A">
        <w:rPr>
          <w:rtl/>
        </w:rPr>
        <w:t xml:space="preserve"> </w:t>
      </w:r>
      <w:r w:rsidRPr="009E463A">
        <w:rPr>
          <w:rFonts w:hint="eastAsia"/>
          <w:rtl/>
        </w:rPr>
        <w:t>קשות</w:t>
      </w:r>
      <w:r w:rsidRPr="009E463A">
        <w:rPr>
          <w:rtl/>
        </w:rPr>
        <w:t xml:space="preserve"> </w:t>
      </w:r>
      <w:r w:rsidRPr="009E463A">
        <w:rPr>
          <w:rFonts w:hint="eastAsia"/>
          <w:rtl/>
        </w:rPr>
        <w:t>ולא</w:t>
      </w:r>
      <w:r w:rsidRPr="009E463A">
        <w:rPr>
          <w:rtl/>
        </w:rPr>
        <w:t xml:space="preserve"> </w:t>
      </w:r>
      <w:r w:rsidRPr="009E463A">
        <w:rPr>
          <w:rFonts w:hint="eastAsia"/>
          <w:rtl/>
        </w:rPr>
        <w:t>רק</w:t>
      </w:r>
      <w:r w:rsidRPr="009E463A">
        <w:rPr>
          <w:rtl/>
        </w:rPr>
        <w:t xml:space="preserve"> </w:t>
      </w:r>
      <w:r w:rsidRPr="009E463A">
        <w:rPr>
          <w:rFonts w:hint="eastAsia"/>
          <w:rtl/>
        </w:rPr>
        <w:t>מהפרעות</w:t>
      </w:r>
      <w:r w:rsidRPr="009E463A">
        <w:rPr>
          <w:rtl/>
        </w:rPr>
        <w:t xml:space="preserve">. </w:t>
      </w:r>
      <w:r w:rsidRPr="009E463A">
        <w:rPr>
          <w:rFonts w:hint="eastAsia"/>
          <w:rtl/>
        </w:rPr>
        <w:t>הדבר</w:t>
      </w:r>
      <w:r w:rsidRPr="009E463A">
        <w:rPr>
          <w:rtl/>
        </w:rPr>
        <w:t xml:space="preserve"> </w:t>
      </w:r>
      <w:r w:rsidRPr="009E463A">
        <w:rPr>
          <w:rFonts w:hint="eastAsia"/>
          <w:rtl/>
        </w:rPr>
        <w:t>יוצר</w:t>
      </w:r>
      <w:r w:rsidRPr="009E463A">
        <w:rPr>
          <w:rtl/>
        </w:rPr>
        <w:t xml:space="preserve"> </w:t>
      </w:r>
      <w:r w:rsidRPr="009E463A">
        <w:rPr>
          <w:rFonts w:hint="eastAsia"/>
          <w:rtl/>
        </w:rPr>
        <w:t>דין</w:t>
      </w:r>
      <w:r w:rsidRPr="009E463A">
        <w:rPr>
          <w:rtl/>
        </w:rPr>
        <w:t xml:space="preserve"> </w:t>
      </w:r>
      <w:r w:rsidRPr="009E463A">
        <w:rPr>
          <w:rFonts w:hint="eastAsia"/>
          <w:rtl/>
        </w:rPr>
        <w:t>ודברים</w:t>
      </w:r>
      <w:r w:rsidRPr="009E463A">
        <w:rPr>
          <w:rtl/>
        </w:rPr>
        <w:t xml:space="preserve"> </w:t>
      </w:r>
      <w:r w:rsidRPr="009E463A">
        <w:rPr>
          <w:rFonts w:hint="eastAsia"/>
          <w:rtl/>
        </w:rPr>
        <w:t>יומיומי</w:t>
      </w:r>
      <w:r w:rsidRPr="009E463A">
        <w:rPr>
          <w:rtl/>
        </w:rPr>
        <w:t xml:space="preserve"> </w:t>
      </w:r>
      <w:r w:rsidRPr="009E463A">
        <w:rPr>
          <w:rFonts w:hint="eastAsia"/>
          <w:rtl/>
        </w:rPr>
        <w:t>מול</w:t>
      </w:r>
      <w:r w:rsidRPr="009E463A">
        <w:rPr>
          <w:rtl/>
        </w:rPr>
        <w:t xml:space="preserve"> </w:t>
      </w:r>
      <w:r w:rsidRPr="009E463A">
        <w:rPr>
          <w:rFonts w:hint="eastAsia"/>
          <w:rtl/>
        </w:rPr>
        <w:t>הקופות</w:t>
      </w:r>
      <w:r w:rsidRPr="009E463A">
        <w:rPr>
          <w:rtl/>
        </w:rPr>
        <w:t xml:space="preserve"> </w:t>
      </w:r>
      <w:r>
        <w:rPr>
          <w:rFonts w:hint="cs"/>
          <w:rtl/>
        </w:rPr>
        <w:t xml:space="preserve">בנושא </w:t>
      </w:r>
      <w:r w:rsidRPr="009E463A">
        <w:rPr>
          <w:rFonts w:hint="eastAsia"/>
          <w:rtl/>
        </w:rPr>
        <w:t>פרשנות</w:t>
      </w:r>
      <w:r w:rsidRPr="009E463A">
        <w:rPr>
          <w:rtl/>
        </w:rPr>
        <w:t xml:space="preserve"> </w:t>
      </w:r>
      <w:r w:rsidRPr="009E463A">
        <w:rPr>
          <w:rFonts w:hint="eastAsia"/>
          <w:rtl/>
        </w:rPr>
        <w:t>חומרת</w:t>
      </w:r>
      <w:r w:rsidRPr="009E463A">
        <w:rPr>
          <w:rtl/>
        </w:rPr>
        <w:t xml:space="preserve"> </w:t>
      </w:r>
      <w:r w:rsidRPr="009E463A">
        <w:rPr>
          <w:rFonts w:hint="eastAsia"/>
          <w:rtl/>
        </w:rPr>
        <w:t>ההפרעה</w:t>
      </w:r>
      <w:r w:rsidRPr="009E463A">
        <w:rPr>
          <w:rtl/>
        </w:rPr>
        <w:t xml:space="preserve"> </w:t>
      </w:r>
      <w:r w:rsidRPr="009E463A">
        <w:rPr>
          <w:rFonts w:hint="eastAsia"/>
          <w:rtl/>
        </w:rPr>
        <w:t>והדומיננטיות</w:t>
      </w:r>
      <w:r w:rsidRPr="009E463A">
        <w:rPr>
          <w:rtl/>
        </w:rPr>
        <w:t xml:space="preserve"> </w:t>
      </w:r>
      <w:r w:rsidRPr="009E463A">
        <w:rPr>
          <w:rFonts w:hint="eastAsia"/>
          <w:rtl/>
        </w:rPr>
        <w:t>שלה</w:t>
      </w:r>
      <w:r>
        <w:rPr>
          <w:rFonts w:hint="cs"/>
          <w:rtl/>
        </w:rPr>
        <w:t>,</w:t>
      </w:r>
      <w:r w:rsidRPr="009E463A">
        <w:rPr>
          <w:rtl/>
        </w:rPr>
        <w:t xml:space="preserve"> אף </w:t>
      </w:r>
      <w:r>
        <w:rPr>
          <w:rFonts w:hint="cs"/>
          <w:rtl/>
        </w:rPr>
        <w:t>על פי שהלכה למעשה</w:t>
      </w:r>
      <w:r w:rsidRPr="009E463A">
        <w:rPr>
          <w:rtl/>
        </w:rPr>
        <w:t xml:space="preserve"> </w:t>
      </w:r>
      <w:r w:rsidRPr="009E463A">
        <w:rPr>
          <w:rFonts w:hint="eastAsia"/>
          <w:rtl/>
        </w:rPr>
        <w:t>שיעור</w:t>
      </w:r>
      <w:r w:rsidRPr="009E463A">
        <w:rPr>
          <w:rtl/>
        </w:rPr>
        <w:t xml:space="preserve"> </w:t>
      </w:r>
      <w:r w:rsidRPr="009E463A">
        <w:rPr>
          <w:rFonts w:hint="eastAsia"/>
          <w:rtl/>
        </w:rPr>
        <w:t>גבוה</w:t>
      </w:r>
      <w:r w:rsidRPr="009E463A">
        <w:rPr>
          <w:rtl/>
        </w:rPr>
        <w:t xml:space="preserve"> </w:t>
      </w:r>
      <w:r w:rsidRPr="009E463A">
        <w:rPr>
          <w:rFonts w:hint="eastAsia"/>
          <w:rtl/>
        </w:rPr>
        <w:t>מהמטופלים</w:t>
      </w:r>
      <w:r w:rsidRPr="009E463A">
        <w:rPr>
          <w:rtl/>
        </w:rPr>
        <w:t xml:space="preserve"> </w:t>
      </w:r>
      <w:r w:rsidRPr="009E463A">
        <w:rPr>
          <w:rFonts w:hint="eastAsia"/>
          <w:rtl/>
        </w:rPr>
        <w:t>בבריאות</w:t>
      </w:r>
      <w:r w:rsidRPr="009E463A">
        <w:rPr>
          <w:rtl/>
        </w:rPr>
        <w:t xml:space="preserve"> </w:t>
      </w:r>
      <w:r w:rsidRPr="009E463A">
        <w:rPr>
          <w:rFonts w:hint="eastAsia"/>
          <w:rtl/>
        </w:rPr>
        <w:t>הנפש</w:t>
      </w:r>
      <w:r w:rsidRPr="009E463A">
        <w:rPr>
          <w:rtl/>
        </w:rPr>
        <w:t xml:space="preserve"> </w:t>
      </w:r>
      <w:r w:rsidRPr="009E463A">
        <w:rPr>
          <w:rFonts w:hint="eastAsia"/>
          <w:rtl/>
        </w:rPr>
        <w:t>סובלים</w:t>
      </w:r>
      <w:r w:rsidRPr="009E463A">
        <w:rPr>
          <w:rtl/>
        </w:rPr>
        <w:t xml:space="preserve"> </w:t>
      </w:r>
      <w:r w:rsidRPr="009E463A">
        <w:rPr>
          <w:rFonts w:hint="eastAsia"/>
          <w:rtl/>
        </w:rPr>
        <w:t>גם</w:t>
      </w:r>
      <w:r w:rsidRPr="009E463A">
        <w:rPr>
          <w:rtl/>
        </w:rPr>
        <w:t xml:space="preserve"> </w:t>
      </w:r>
      <w:r w:rsidRPr="009E463A">
        <w:rPr>
          <w:rFonts w:hint="eastAsia"/>
          <w:rtl/>
        </w:rPr>
        <w:t>מהתמכרויות</w:t>
      </w:r>
      <w:r w:rsidRPr="009E463A">
        <w:rPr>
          <w:rtl/>
        </w:rPr>
        <w:t xml:space="preserve">. </w:t>
      </w:r>
      <w:r w:rsidRPr="009E463A">
        <w:rPr>
          <w:rFonts w:hint="eastAsia"/>
          <w:rtl/>
        </w:rPr>
        <w:t>מאחר</w:t>
      </w:r>
      <w:r w:rsidRPr="009E463A">
        <w:rPr>
          <w:rtl/>
        </w:rPr>
        <w:t xml:space="preserve"> </w:t>
      </w:r>
      <w:r w:rsidRPr="009E463A">
        <w:rPr>
          <w:rFonts w:hint="cs"/>
          <w:rtl/>
        </w:rPr>
        <w:t>ש</w:t>
      </w:r>
      <w:r w:rsidRPr="009E463A">
        <w:rPr>
          <w:rFonts w:hint="eastAsia"/>
          <w:rtl/>
        </w:rPr>
        <w:t>מדובר</w:t>
      </w:r>
      <w:r w:rsidRPr="009B3E47">
        <w:rPr>
          <w:rtl/>
        </w:rPr>
        <w:t xml:space="preserve"> </w:t>
      </w:r>
      <w:r w:rsidRPr="009B3E47">
        <w:rPr>
          <w:rFonts w:hint="eastAsia"/>
          <w:rtl/>
        </w:rPr>
        <w:t>באוכלוסייה</w:t>
      </w:r>
      <w:r w:rsidRPr="009B3E47">
        <w:rPr>
          <w:rtl/>
        </w:rPr>
        <w:t xml:space="preserve"> </w:t>
      </w:r>
      <w:r w:rsidRPr="009B3E47">
        <w:rPr>
          <w:rFonts w:hint="eastAsia"/>
          <w:rtl/>
        </w:rPr>
        <w:t>מוחלשת</w:t>
      </w:r>
      <w:r w:rsidR="00500532">
        <w:rPr>
          <w:rFonts w:hint="cs"/>
          <w:rtl/>
        </w:rPr>
        <w:t>,</w:t>
      </w:r>
      <w:r w:rsidRPr="009B3E47">
        <w:rPr>
          <w:rtl/>
        </w:rPr>
        <w:t xml:space="preserve"> </w:t>
      </w:r>
      <w:r w:rsidRPr="009B3E47">
        <w:rPr>
          <w:rFonts w:hint="eastAsia"/>
          <w:rtl/>
        </w:rPr>
        <w:t>עלולים</w:t>
      </w:r>
      <w:r w:rsidRPr="009B3E47">
        <w:rPr>
          <w:rtl/>
        </w:rPr>
        <w:t xml:space="preserve"> </w:t>
      </w:r>
      <w:r w:rsidRPr="009B3E47">
        <w:rPr>
          <w:rFonts w:hint="eastAsia"/>
          <w:rtl/>
        </w:rPr>
        <w:t>המטופלים</w:t>
      </w:r>
      <w:r w:rsidRPr="009B3E47">
        <w:rPr>
          <w:rtl/>
        </w:rPr>
        <w:t xml:space="preserve"> </w:t>
      </w:r>
      <w:r w:rsidRPr="009B3E47">
        <w:rPr>
          <w:rFonts w:hint="eastAsia"/>
          <w:rtl/>
        </w:rPr>
        <w:t>ל</w:t>
      </w:r>
      <w:r>
        <w:rPr>
          <w:rFonts w:hint="cs"/>
          <w:rtl/>
        </w:rPr>
        <w:t>וותר על קבלת ה</w:t>
      </w:r>
      <w:r w:rsidRPr="009B3E47">
        <w:rPr>
          <w:rFonts w:hint="eastAsia"/>
          <w:rtl/>
        </w:rPr>
        <w:t>טיפול</w:t>
      </w:r>
      <w:r w:rsidRPr="009B3E47">
        <w:rPr>
          <w:rtl/>
        </w:rPr>
        <w:t>.</w:t>
      </w:r>
      <w:r w:rsidRPr="009B3E47">
        <w:rPr>
          <w:rFonts w:hint="cs"/>
          <w:rtl/>
        </w:rPr>
        <w:t xml:space="preserve"> </w:t>
      </w:r>
    </w:p>
    <w:p w14:paraId="4011E842" w14:textId="77777777" w:rsidR="00B51F5B" w:rsidRDefault="00B51F5B" w:rsidP="00D545F7">
      <w:pPr>
        <w:pStyle w:val="100"/>
        <w:rPr>
          <w:rtl/>
        </w:rPr>
      </w:pPr>
      <w:r>
        <w:rPr>
          <w:rFonts w:hint="cs"/>
          <w:rtl/>
        </w:rPr>
        <w:t xml:space="preserve">משרד הבריאות מסר </w:t>
      </w:r>
      <w:r w:rsidRPr="009B3E47">
        <w:rPr>
          <w:rFonts w:hint="cs"/>
          <w:rtl/>
        </w:rPr>
        <w:t>באוקטובר 2019 כי אף ש</w:t>
      </w:r>
      <w:r>
        <w:rPr>
          <w:rFonts w:hint="cs"/>
          <w:rtl/>
        </w:rPr>
        <w:t xml:space="preserve">בהסכם הרפורמה הובהר שהאחריות לשירותי גמילה לא עברה לקופות החולים, </w:t>
      </w:r>
      <w:r>
        <w:rPr>
          <w:rtl/>
        </w:rPr>
        <w:t>הטיפול בבעיות הנפשיות</w:t>
      </w:r>
      <w:r>
        <w:rPr>
          <w:rFonts w:hint="cs"/>
          <w:rtl/>
        </w:rPr>
        <w:t xml:space="preserve"> במטופלים המשתמשים גם בחומרים ממכרים </w:t>
      </w:r>
      <w:r w:rsidRPr="007F0CD9">
        <w:rPr>
          <w:rtl/>
        </w:rPr>
        <w:t>ה</w:t>
      </w:r>
      <w:r>
        <w:rPr>
          <w:rFonts w:hint="cs"/>
          <w:rtl/>
        </w:rPr>
        <w:t>ו</w:t>
      </w:r>
      <w:r w:rsidRPr="007F0CD9">
        <w:rPr>
          <w:rtl/>
        </w:rPr>
        <w:t xml:space="preserve">א באחריות </w:t>
      </w:r>
      <w:r>
        <w:rPr>
          <w:rFonts w:hint="cs"/>
          <w:rtl/>
        </w:rPr>
        <w:t>ה</w:t>
      </w:r>
      <w:r w:rsidRPr="007F0CD9">
        <w:rPr>
          <w:rtl/>
        </w:rPr>
        <w:t>קופות</w:t>
      </w:r>
      <w:r>
        <w:rPr>
          <w:rFonts w:hint="cs"/>
          <w:rtl/>
        </w:rPr>
        <w:t>. למרות זאת ה</w:t>
      </w:r>
      <w:r w:rsidRPr="00CF23EA">
        <w:rPr>
          <w:rFonts w:hint="cs"/>
          <w:rtl/>
        </w:rPr>
        <w:t>קופות</w:t>
      </w:r>
      <w:r w:rsidRPr="009B3E47">
        <w:rPr>
          <w:rFonts w:hint="cs"/>
          <w:rtl/>
        </w:rPr>
        <w:t xml:space="preserve"> </w:t>
      </w:r>
      <w:r>
        <w:rPr>
          <w:rFonts w:hint="cs"/>
          <w:rtl/>
        </w:rPr>
        <w:t xml:space="preserve">אינן מעניקות את </w:t>
      </w:r>
      <w:r w:rsidRPr="009B3E47">
        <w:rPr>
          <w:rFonts w:hint="cs"/>
          <w:rtl/>
        </w:rPr>
        <w:t xml:space="preserve">השירות </w:t>
      </w:r>
      <w:r w:rsidRPr="009B3E47">
        <w:rPr>
          <w:rtl/>
        </w:rPr>
        <w:t>בכל המקרים</w:t>
      </w:r>
      <w:r w:rsidRPr="009B3E47">
        <w:rPr>
          <w:rFonts w:hint="cs"/>
          <w:rtl/>
        </w:rPr>
        <w:t>.</w:t>
      </w:r>
    </w:p>
    <w:p w14:paraId="5D3AAAFC" w14:textId="273B3865" w:rsidR="00B51F5B" w:rsidRDefault="00B51F5B" w:rsidP="00B55D7C">
      <w:pPr>
        <w:pStyle w:val="af5"/>
        <w:rPr>
          <w:rtl/>
        </w:rPr>
      </w:pPr>
      <w:r w:rsidRPr="002D0DE6">
        <w:rPr>
          <w:rFonts w:hint="cs"/>
          <w:rtl/>
        </w:rPr>
        <w:t xml:space="preserve">עולה כי בשל </w:t>
      </w:r>
      <w:r>
        <w:rPr>
          <w:rFonts w:hint="cs"/>
          <w:rtl/>
        </w:rPr>
        <w:t xml:space="preserve">פרשנויות מנוגדות של הסכם הרפורמה </w:t>
      </w:r>
      <w:r w:rsidRPr="0085754D">
        <w:rPr>
          <w:rFonts w:hint="cs"/>
          <w:rtl/>
        </w:rPr>
        <w:t xml:space="preserve">בדבר האחריות </w:t>
      </w:r>
      <w:r>
        <w:rPr>
          <w:rFonts w:hint="cs"/>
          <w:rtl/>
        </w:rPr>
        <w:t>לסובלים ממחלות נפש בשילוב התמכרויות</w:t>
      </w:r>
      <w:r w:rsidRPr="002D0DE6">
        <w:rPr>
          <w:rFonts w:hint="cs"/>
          <w:rtl/>
        </w:rPr>
        <w:t xml:space="preserve">, </w:t>
      </w:r>
      <w:r>
        <w:rPr>
          <w:rFonts w:hint="cs"/>
          <w:rtl/>
        </w:rPr>
        <w:t>אלו נ</w:t>
      </w:r>
      <w:r w:rsidRPr="002D0DE6">
        <w:rPr>
          <w:rFonts w:hint="cs"/>
          <w:rtl/>
        </w:rPr>
        <w:t xml:space="preserve">תקלים בקושי </w:t>
      </w:r>
      <w:r w:rsidRPr="00D46EFB">
        <w:rPr>
          <w:rFonts w:hint="cs"/>
          <w:rtl/>
        </w:rPr>
        <w:t xml:space="preserve">לקבל את שירותי בריאות הנפש, ובחלק מהמקרים הטיפול ניתן על ידי רופאים שאינם מתמחים בתחום. </w:t>
      </w:r>
      <w:r w:rsidRPr="00D46EFB">
        <w:rPr>
          <w:rFonts w:hint="eastAsia"/>
          <w:rtl/>
        </w:rPr>
        <w:t>מומלץ</w:t>
      </w:r>
      <w:r w:rsidRPr="00D46EFB">
        <w:rPr>
          <w:rtl/>
        </w:rPr>
        <w:t xml:space="preserve"> כי </w:t>
      </w:r>
      <w:r w:rsidRPr="00D46EFB">
        <w:rPr>
          <w:rFonts w:hint="eastAsia"/>
          <w:rtl/>
        </w:rPr>
        <w:t>משרד</w:t>
      </w:r>
      <w:r w:rsidRPr="00D46EFB">
        <w:rPr>
          <w:rFonts w:hint="cs"/>
          <w:rtl/>
        </w:rPr>
        <w:t xml:space="preserve"> הבריאות</w:t>
      </w:r>
      <w:r w:rsidRPr="00D46EFB">
        <w:rPr>
          <w:rtl/>
        </w:rPr>
        <w:t xml:space="preserve"> </w:t>
      </w:r>
      <w:r w:rsidRPr="00D46EFB">
        <w:rPr>
          <w:rFonts w:hint="eastAsia"/>
          <w:rtl/>
        </w:rPr>
        <w:t>ו</w:t>
      </w:r>
      <w:r>
        <w:rPr>
          <w:rFonts w:hint="cs"/>
          <w:rtl/>
        </w:rPr>
        <w:t>קופות החולים</w:t>
      </w:r>
      <w:r w:rsidRPr="00D46EFB">
        <w:rPr>
          <w:rtl/>
        </w:rPr>
        <w:t xml:space="preserve"> </w:t>
      </w:r>
      <w:r w:rsidRPr="00D46EFB">
        <w:rPr>
          <w:rFonts w:hint="eastAsia"/>
          <w:rtl/>
        </w:rPr>
        <w:t>יפעלו</w:t>
      </w:r>
      <w:r w:rsidRPr="00D46EFB">
        <w:rPr>
          <w:rtl/>
        </w:rPr>
        <w:t xml:space="preserve"> לשם הסדרת </w:t>
      </w:r>
      <w:r w:rsidRPr="00D46EFB">
        <w:rPr>
          <w:rFonts w:hint="eastAsia"/>
          <w:rtl/>
        </w:rPr>
        <w:t>הנושא</w:t>
      </w:r>
      <w:r w:rsidRPr="00D46EFB">
        <w:rPr>
          <w:rFonts w:hint="cs"/>
          <w:rtl/>
        </w:rPr>
        <w:t xml:space="preserve"> ויאפשרו </w:t>
      </w:r>
      <w:r>
        <w:rPr>
          <w:rFonts w:hint="cs"/>
          <w:rtl/>
        </w:rPr>
        <w:t xml:space="preserve">לאוכלוסייה </w:t>
      </w:r>
      <w:r w:rsidRPr="00D46EFB">
        <w:rPr>
          <w:rFonts w:hint="cs"/>
          <w:rtl/>
        </w:rPr>
        <w:t>זו לקבל טיפול ראוי ומתאים</w:t>
      </w:r>
      <w:r>
        <w:rPr>
          <w:rFonts w:hint="cs"/>
          <w:rtl/>
        </w:rPr>
        <w:t>.</w:t>
      </w:r>
    </w:p>
    <w:p w14:paraId="2EBE65AE" w14:textId="77777777" w:rsidR="00B51F5B" w:rsidRDefault="00B51F5B" w:rsidP="00B55D7C">
      <w:pPr>
        <w:pStyle w:val="414"/>
        <w:rPr>
          <w:rtl/>
        </w:rPr>
      </w:pPr>
      <w:r>
        <w:rPr>
          <w:rFonts w:hint="cs"/>
          <w:rtl/>
        </w:rPr>
        <w:t>ביקורי בית ושירות למטופלים במצבי משבר וחירום נפשיים</w:t>
      </w:r>
    </w:p>
    <w:p w14:paraId="520DC191" w14:textId="25EF3A62" w:rsidR="00B51F5B" w:rsidRPr="00B55D7C" w:rsidRDefault="00B51F5B" w:rsidP="00B55D7C">
      <w:pPr>
        <w:pStyle w:val="100"/>
        <w:rPr>
          <w:rStyle w:val="Heading5Char"/>
          <w:rFonts w:asciiTheme="minorBidi" w:eastAsiaTheme="minorHAnsi" w:hAnsiTheme="minorBidi"/>
          <w:bCs w:val="0"/>
          <w:spacing w:val="0"/>
          <w:sz w:val="24"/>
          <w:rtl/>
        </w:rPr>
      </w:pPr>
      <w:r>
        <w:rPr>
          <w:rFonts w:hint="cs"/>
          <w:rtl/>
        </w:rPr>
        <w:t>על פי הסכם הרפורמה, סל השירותים האמבולטוריים כולל, בין היתר, התערבות במשברים, מעקב תמיכה, אחזקה וביקורי בית. מטרות השירותים האלה הן לחזק את המטופלים השוהים בקהילה לרבות במערך השיקום, למנוע את התדרדרותם הנפשית, למנוע אשפוזים ראשונים וחוזרים, לצמצם את תופעת "הדלת המסתובבת" (יציאה מאשפוז</w:t>
      </w:r>
      <w:r w:rsidRPr="006B18BD">
        <w:rPr>
          <w:rFonts w:hint="cs"/>
          <w:rtl/>
        </w:rPr>
        <w:t xml:space="preserve"> </w:t>
      </w:r>
      <w:r>
        <w:rPr>
          <w:rFonts w:hint="cs"/>
          <w:rtl/>
        </w:rPr>
        <w:t>וחזרה לאשפוז בתוך זמן קצר) ולהפחית את מספר האשפוזים בכפייה. היעדר שירותים במצבי משבר וחירום מגביר את פנייתם של המטופלים לחדרי מיון בבתי חולים פסיכיאטריים שבהם ניתן השירות ללא תשלום</w:t>
      </w:r>
      <w:r>
        <w:rPr>
          <w:rStyle w:val="FootnoteReference"/>
          <w:rtl/>
        </w:rPr>
        <w:footnoteReference w:id="44"/>
      </w:r>
      <w:r>
        <w:rPr>
          <w:rFonts w:hint="cs"/>
          <w:rtl/>
        </w:rPr>
        <w:t>.</w:t>
      </w:r>
    </w:p>
    <w:p w14:paraId="74C7AE84" w14:textId="0707E091" w:rsidR="00B51F5B" w:rsidRPr="00AE3145" w:rsidRDefault="00B51F5B" w:rsidP="00B55D7C">
      <w:pPr>
        <w:pStyle w:val="5115"/>
        <w:rPr>
          <w:rtl/>
        </w:rPr>
      </w:pPr>
      <w:r w:rsidRPr="00184892">
        <w:rPr>
          <w:rFonts w:hint="eastAsia"/>
          <w:rtl/>
        </w:rPr>
        <w:t>ביקורי</w:t>
      </w:r>
      <w:r w:rsidRPr="00184892">
        <w:rPr>
          <w:rtl/>
        </w:rPr>
        <w:t xml:space="preserve"> </w:t>
      </w:r>
      <w:r w:rsidRPr="00184892">
        <w:rPr>
          <w:rFonts w:hint="eastAsia"/>
          <w:rtl/>
        </w:rPr>
        <w:t>בית</w:t>
      </w:r>
      <w:r>
        <w:rPr>
          <w:rFonts w:hint="cs"/>
          <w:rtl/>
        </w:rPr>
        <w:t xml:space="preserve"> </w:t>
      </w:r>
    </w:p>
    <w:p w14:paraId="3F28D60A" w14:textId="77777777" w:rsidR="00B51F5B" w:rsidRDefault="00B51F5B" w:rsidP="00B55D7C">
      <w:pPr>
        <w:pStyle w:val="100"/>
        <w:rPr>
          <w:rtl/>
        </w:rPr>
      </w:pPr>
      <w:r>
        <w:rPr>
          <w:rFonts w:hint="cs"/>
          <w:rtl/>
        </w:rPr>
        <w:t>ביקורי בית מחליפים ביקור</w:t>
      </w:r>
      <w:r>
        <w:rPr>
          <w:rtl/>
        </w:rPr>
        <w:t xml:space="preserve"> של המטופל במרפאה</w:t>
      </w:r>
      <w:r>
        <w:rPr>
          <w:rFonts w:hint="cs"/>
          <w:rtl/>
        </w:rPr>
        <w:t>.</w:t>
      </w:r>
      <w:r w:rsidRPr="006E3B8B">
        <w:rPr>
          <w:rFonts w:hint="cs"/>
          <w:rtl/>
        </w:rPr>
        <w:t xml:space="preserve"> מטרתם </w:t>
      </w:r>
      <w:r>
        <w:rPr>
          <w:rFonts w:hint="cs"/>
          <w:rtl/>
        </w:rPr>
        <w:t>להרחיב את מקבלי הטיפול הנפשי גם לאוכלוסייה המסרבת להגיע למרפאות לקבלת טיפול, לאוכלוסייה הסובלת מבעיות פסיכיאטריות חמורות או מ</w:t>
      </w:r>
      <w:r w:rsidRPr="006E3B8B">
        <w:rPr>
          <w:rFonts w:hint="cs"/>
          <w:rtl/>
        </w:rPr>
        <w:t>מחל</w:t>
      </w:r>
      <w:r>
        <w:rPr>
          <w:rFonts w:hint="cs"/>
          <w:rtl/>
        </w:rPr>
        <w:t>ות</w:t>
      </w:r>
      <w:r w:rsidRPr="006E3B8B">
        <w:rPr>
          <w:rFonts w:hint="cs"/>
          <w:rtl/>
        </w:rPr>
        <w:t xml:space="preserve"> </w:t>
      </w:r>
      <w:r w:rsidRPr="00057B85">
        <w:rPr>
          <w:rFonts w:hint="eastAsia"/>
          <w:rtl/>
        </w:rPr>
        <w:t>פיזי</w:t>
      </w:r>
      <w:r w:rsidRPr="00057B85">
        <w:rPr>
          <w:rFonts w:hint="cs"/>
          <w:rtl/>
        </w:rPr>
        <w:t>ו</w:t>
      </w:r>
      <w:r w:rsidRPr="00057B85">
        <w:rPr>
          <w:rFonts w:hint="eastAsia"/>
          <w:rtl/>
        </w:rPr>
        <w:t>ת</w:t>
      </w:r>
      <w:r>
        <w:rPr>
          <w:rFonts w:hint="cs"/>
          <w:rtl/>
        </w:rPr>
        <w:t xml:space="preserve"> </w:t>
      </w:r>
      <w:r w:rsidRPr="006E3B8B">
        <w:rPr>
          <w:rFonts w:hint="cs"/>
          <w:rtl/>
        </w:rPr>
        <w:t>קש</w:t>
      </w:r>
      <w:r>
        <w:rPr>
          <w:rFonts w:hint="cs"/>
          <w:rtl/>
        </w:rPr>
        <w:t>ות ו</w:t>
      </w:r>
      <w:r w:rsidRPr="006E3B8B">
        <w:rPr>
          <w:rFonts w:hint="cs"/>
          <w:rtl/>
        </w:rPr>
        <w:t>למנוע חזר</w:t>
      </w:r>
      <w:r>
        <w:rPr>
          <w:rFonts w:hint="cs"/>
          <w:rtl/>
        </w:rPr>
        <w:t>ת</w:t>
      </w:r>
      <w:r w:rsidRPr="006E3B8B">
        <w:rPr>
          <w:rFonts w:hint="cs"/>
          <w:rtl/>
        </w:rPr>
        <w:t xml:space="preserve"> מטופלים </w:t>
      </w:r>
      <w:r>
        <w:rPr>
          <w:rFonts w:hint="cs"/>
          <w:rtl/>
        </w:rPr>
        <w:t>לאשפוז. הצוותים מעריכים את מצבו הנפשי של המטופל, בוחנים את סביבת מגוריו, מתייחסים לבני משפחתו ולגורמים המטפלים בו דרך קבע ומעניקים את הטיפול הפסיכיאטרי והפסיכותרפי ככל שנדרש.</w:t>
      </w:r>
    </w:p>
    <w:p w14:paraId="02EE685C" w14:textId="7EB66A6A" w:rsidR="00B51F5B" w:rsidRDefault="00B51F5B" w:rsidP="00B55D7C">
      <w:pPr>
        <w:pStyle w:val="100"/>
        <w:rPr>
          <w:rtl/>
        </w:rPr>
      </w:pPr>
      <w:r>
        <w:rPr>
          <w:rFonts w:hint="cs"/>
          <w:rtl/>
        </w:rPr>
        <w:t xml:space="preserve">עד כניסת הרפורמה לתוקף ביולי 2015, ביצעו את ביקורי הבית המרפאות </w:t>
      </w:r>
      <w:r w:rsidRPr="00CB0948">
        <w:rPr>
          <w:rFonts w:hint="cs"/>
          <w:rtl/>
        </w:rPr>
        <w:t>הממשלתיות</w:t>
      </w:r>
      <w:r>
        <w:rPr>
          <w:rFonts w:hint="cs"/>
          <w:rtl/>
        </w:rPr>
        <w:t>,</w:t>
      </w:r>
      <w:r w:rsidRPr="00CB0948">
        <w:rPr>
          <w:rFonts w:hint="cs"/>
          <w:rtl/>
        </w:rPr>
        <w:t xml:space="preserve"> </w:t>
      </w:r>
      <w:r>
        <w:rPr>
          <w:rFonts w:hint="cs"/>
          <w:rtl/>
        </w:rPr>
        <w:t>ו</w:t>
      </w:r>
      <w:r w:rsidRPr="00CB0948">
        <w:rPr>
          <w:rFonts w:hint="cs"/>
          <w:rtl/>
        </w:rPr>
        <w:t xml:space="preserve">מיעוטן </w:t>
      </w:r>
      <w:r>
        <w:rPr>
          <w:rFonts w:hint="cs"/>
          <w:rtl/>
        </w:rPr>
        <w:t>ממשיכות לבצעם</w:t>
      </w:r>
      <w:r>
        <w:rPr>
          <w:rStyle w:val="FootnoteReference"/>
          <w:rtl/>
        </w:rPr>
        <w:footnoteReference w:id="45"/>
      </w:r>
      <w:r>
        <w:rPr>
          <w:rFonts w:hint="cs"/>
          <w:rtl/>
        </w:rPr>
        <w:t>.</w:t>
      </w:r>
      <w:r w:rsidRPr="00CB0948">
        <w:rPr>
          <w:rFonts w:hint="cs"/>
          <w:rtl/>
        </w:rPr>
        <w:t xml:space="preserve"> במרפאות הממשלתיות נעשו בשנת 2011, </w:t>
      </w:r>
      <w:r>
        <w:rPr>
          <w:rFonts w:hint="cs"/>
          <w:rtl/>
        </w:rPr>
        <w:t>טרום תקופת ההיערכות לרפורמה, כ-3,200 ביקורי בית</w:t>
      </w:r>
      <w:r>
        <w:rPr>
          <w:rStyle w:val="FootnoteReference"/>
          <w:rtl/>
        </w:rPr>
        <w:footnoteReference w:id="46"/>
      </w:r>
      <w:r>
        <w:rPr>
          <w:rFonts w:hint="cs"/>
          <w:rtl/>
        </w:rPr>
        <w:t xml:space="preserve"> ובשנת 2015 נעשו כ-3,100 ביקורי בית</w:t>
      </w:r>
      <w:r>
        <w:rPr>
          <w:rStyle w:val="FootnoteReference"/>
          <w:rtl/>
        </w:rPr>
        <w:footnoteReference w:id="47"/>
      </w:r>
      <w:r>
        <w:rPr>
          <w:rFonts w:hint="cs"/>
          <w:rtl/>
        </w:rPr>
        <w:t>. לאחר כניסת הרפורמה ירדה בהרבה כמות הביקורים, והיא עמדה בשנת 2017 על כ-500 ביקורי בית בלבד שסיפקו קופות החולים ישירות ועוד כ-1,500 ביקורי בית שביצעו בתי החולים</w:t>
      </w:r>
      <w:r w:rsidR="00AC04C6">
        <w:rPr>
          <w:rtl/>
        </w:rPr>
        <w:br/>
      </w:r>
      <w:r>
        <w:rPr>
          <w:rFonts w:hint="cs"/>
          <w:rtl/>
        </w:rPr>
        <w:t xml:space="preserve"> </w:t>
      </w:r>
      <w:r w:rsidR="00AC04C6">
        <w:rPr>
          <w:rtl/>
        </w:rPr>
        <w:br/>
      </w:r>
      <w:r>
        <w:rPr>
          <w:rFonts w:hint="cs"/>
          <w:rtl/>
        </w:rPr>
        <w:t>הפסיכיאטריים כספקי שירות של הקופות</w:t>
      </w:r>
      <w:r>
        <w:rPr>
          <w:rStyle w:val="FootnoteReference"/>
          <w:rtl/>
        </w:rPr>
        <w:footnoteReference w:id="48"/>
      </w:r>
      <w:r>
        <w:rPr>
          <w:rFonts w:hint="cs"/>
          <w:rtl/>
        </w:rPr>
        <w:t>. להלן תרשים 1 המציג את מספר ביקורי הבית שביצעו הקופות והמרפאות הממשלתיות בשנים 2017-2015</w:t>
      </w:r>
      <w:r>
        <w:rPr>
          <w:rStyle w:val="FootnoteReference"/>
          <w:rtl/>
        </w:rPr>
        <w:footnoteReference w:id="49"/>
      </w:r>
      <w:r>
        <w:rPr>
          <w:rFonts w:hint="cs"/>
          <w:rtl/>
        </w:rPr>
        <w:t>. מאוחדת אינה מיוצגת בתרשים משום שלא ביצעה ביקורי בית.</w:t>
      </w:r>
    </w:p>
    <w:p w14:paraId="0F2646B3" w14:textId="77777777" w:rsidR="00B51F5B" w:rsidRPr="00B55D7C" w:rsidRDefault="00B51F5B" w:rsidP="00B55D7C">
      <w:pPr>
        <w:pStyle w:val="aa"/>
        <w:rPr>
          <w:b/>
          <w:bCs/>
          <w:rtl/>
        </w:rPr>
      </w:pPr>
      <w:r w:rsidRPr="00F31BDA">
        <w:rPr>
          <w:rFonts w:hint="cs"/>
          <w:rtl/>
        </w:rPr>
        <w:t xml:space="preserve">תרשים </w:t>
      </w:r>
      <w:r>
        <w:rPr>
          <w:rFonts w:hint="cs"/>
          <w:rtl/>
        </w:rPr>
        <w:t>1</w:t>
      </w:r>
      <w:r w:rsidRPr="00F31BDA">
        <w:rPr>
          <w:rFonts w:hint="cs"/>
          <w:rtl/>
        </w:rPr>
        <w:t xml:space="preserve">: </w:t>
      </w:r>
      <w:r w:rsidRPr="00B55D7C">
        <w:rPr>
          <w:rFonts w:hint="cs"/>
          <w:b/>
          <w:bCs/>
          <w:rtl/>
        </w:rPr>
        <w:t>ביקורי בית שביצעו קופות החולים והמרפאות הממשלתיות, 2017-2015</w:t>
      </w:r>
    </w:p>
    <w:p w14:paraId="4A72FA20" w14:textId="77777777" w:rsidR="00B51F5B" w:rsidRDefault="00B51F5B" w:rsidP="00B51F5B">
      <w:pPr>
        <w:spacing w:line="269" w:lineRule="auto"/>
        <w:rPr>
          <w:rtl/>
        </w:rPr>
      </w:pPr>
      <w:r>
        <w:rPr>
          <w:noProof/>
          <w:rtl/>
        </w:rPr>
        <w:drawing>
          <wp:inline distT="0" distB="0" distL="0" distR="0" wp14:anchorId="2A8FA029" wp14:editId="62FFFB84">
            <wp:extent cx="5242118" cy="1637969"/>
            <wp:effectExtent l="0" t="0" r="15875" b="635"/>
            <wp:docPr id="225"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F277D7" w14:textId="77777777" w:rsidR="00B51F5B" w:rsidRDefault="00B51F5B" w:rsidP="00AC04C6">
      <w:pPr>
        <w:pStyle w:val="aff3"/>
        <w:rPr>
          <w:rtl/>
        </w:rPr>
      </w:pPr>
      <w:r w:rsidRPr="001A394B">
        <w:rPr>
          <w:rtl/>
        </w:rPr>
        <w:t>על</w:t>
      </w:r>
      <w:r w:rsidRPr="001A394B">
        <w:rPr>
          <w:rFonts w:hint="cs"/>
          <w:rtl/>
        </w:rPr>
        <w:t xml:space="preserve"> פי</w:t>
      </w:r>
      <w:r w:rsidRPr="001A394B">
        <w:rPr>
          <w:rtl/>
        </w:rPr>
        <w:t xml:space="preserve"> נתונים שנאספו במהלך הביקורת, בעיבוד משרד מבקר המדינה</w:t>
      </w:r>
    </w:p>
    <w:p w14:paraId="39A6FCE1" w14:textId="77777777" w:rsidR="00F204BE" w:rsidRPr="0009379D" w:rsidRDefault="00F204BE" w:rsidP="00B55D7C">
      <w:pPr>
        <w:pStyle w:val="ac"/>
        <w:rPr>
          <w:rtl/>
        </w:rPr>
      </w:pPr>
    </w:p>
    <w:p w14:paraId="619045C2" w14:textId="77777777" w:rsidR="00B51F5B" w:rsidRDefault="00B51F5B" w:rsidP="00B55D7C">
      <w:pPr>
        <w:pStyle w:val="100"/>
        <w:rPr>
          <w:rtl/>
        </w:rPr>
      </w:pPr>
      <w:r w:rsidRPr="00B55D7C">
        <w:rPr>
          <w:rFonts w:hint="cs"/>
          <w:rtl/>
        </w:rPr>
        <w:t>מתרשים 1 עולה כי קופות החולים לא פיתחו שי</w:t>
      </w:r>
      <w:r w:rsidRPr="00B55D7C">
        <w:rPr>
          <w:rtl/>
        </w:rPr>
        <w:t xml:space="preserve">רות </w:t>
      </w:r>
      <w:r w:rsidRPr="00B55D7C">
        <w:rPr>
          <w:rFonts w:hint="cs"/>
          <w:rtl/>
        </w:rPr>
        <w:t>חלופי של ביקורי בית במקום זה שצמצמו המ</w:t>
      </w:r>
      <w:r>
        <w:rPr>
          <w:rFonts w:hint="cs"/>
          <w:rtl/>
        </w:rPr>
        <w:t>רפאות הממשלתיות.</w:t>
      </w:r>
      <w:r w:rsidRPr="00AD5A62">
        <w:rPr>
          <w:rtl/>
        </w:rPr>
        <w:t xml:space="preserve"> </w:t>
      </w:r>
    </w:p>
    <w:p w14:paraId="68FE14A2" w14:textId="3EA9E95E" w:rsidR="00B51F5B" w:rsidRDefault="00B51F5B" w:rsidP="00B55D7C">
      <w:pPr>
        <w:pStyle w:val="af5"/>
        <w:rPr>
          <w:rtl/>
        </w:rPr>
      </w:pPr>
      <w:r>
        <w:rPr>
          <w:rFonts w:hint="cs"/>
          <w:rtl/>
        </w:rPr>
        <w:t>אף</w:t>
      </w:r>
      <w:r w:rsidRPr="0062664B" w:rsidDel="0009379D">
        <w:rPr>
          <w:rFonts w:hint="eastAsia"/>
          <w:rtl/>
        </w:rPr>
        <w:t xml:space="preserve"> </w:t>
      </w:r>
      <w:r w:rsidRPr="0062664B">
        <w:rPr>
          <w:rFonts w:hint="eastAsia"/>
          <w:rtl/>
        </w:rPr>
        <w:t>שחלק</w:t>
      </w:r>
      <w:r w:rsidRPr="0062664B">
        <w:rPr>
          <w:rtl/>
        </w:rPr>
        <w:t xml:space="preserve"> </w:t>
      </w:r>
      <w:r w:rsidRPr="0062664B">
        <w:rPr>
          <w:rFonts w:hint="eastAsia"/>
          <w:rtl/>
        </w:rPr>
        <w:t>מקופות</w:t>
      </w:r>
      <w:r>
        <w:rPr>
          <w:rFonts w:hint="cs"/>
          <w:rtl/>
        </w:rPr>
        <w:t xml:space="preserve"> החולים</w:t>
      </w:r>
      <w:r w:rsidRPr="0062664B">
        <w:rPr>
          <w:rtl/>
        </w:rPr>
        <w:t xml:space="preserve"> </w:t>
      </w:r>
      <w:r w:rsidRPr="0062664B">
        <w:rPr>
          <w:rFonts w:hint="eastAsia"/>
          <w:rtl/>
        </w:rPr>
        <w:t>פרסמו</w:t>
      </w:r>
      <w:r w:rsidRPr="0062664B">
        <w:rPr>
          <w:rtl/>
        </w:rPr>
        <w:t xml:space="preserve"> </w:t>
      </w:r>
      <w:r w:rsidRPr="0062664B">
        <w:rPr>
          <w:rFonts w:hint="eastAsia"/>
          <w:rtl/>
        </w:rPr>
        <w:t>הנחיות</w:t>
      </w:r>
      <w:r w:rsidRPr="0062664B">
        <w:rPr>
          <w:rtl/>
        </w:rPr>
        <w:t xml:space="preserve"> </w:t>
      </w:r>
      <w:r w:rsidRPr="0062664B">
        <w:rPr>
          <w:rFonts w:hint="eastAsia"/>
          <w:rtl/>
        </w:rPr>
        <w:t>ונהלים</w:t>
      </w:r>
      <w:r w:rsidRPr="0062664B">
        <w:rPr>
          <w:rtl/>
        </w:rPr>
        <w:t xml:space="preserve"> </w:t>
      </w:r>
      <w:r w:rsidRPr="0062664B">
        <w:rPr>
          <w:rFonts w:hint="eastAsia"/>
          <w:rtl/>
        </w:rPr>
        <w:t>בנושא</w:t>
      </w:r>
      <w:r w:rsidRPr="00AF6645">
        <w:rPr>
          <w:rtl/>
        </w:rPr>
        <w:t>,</w:t>
      </w:r>
      <w:r w:rsidRPr="0062664B">
        <w:rPr>
          <w:rtl/>
        </w:rPr>
        <w:t xml:space="preserve"> שבין היתר מגדירים את המצבים הדורשים ביקורי בית, נמצא כי ברוב המקרים אין להן מערך ייעודי לאספקת הש</w:t>
      </w:r>
      <w:r>
        <w:rPr>
          <w:rFonts w:hint="cs"/>
          <w:rtl/>
        </w:rPr>
        <w:t>י</w:t>
      </w:r>
      <w:r w:rsidRPr="0062664B">
        <w:rPr>
          <w:rtl/>
        </w:rPr>
        <w:t>רות</w:t>
      </w:r>
      <w:r w:rsidRPr="003D50AF">
        <w:rPr>
          <w:rStyle w:val="FootnoteReference"/>
          <w:rtl/>
        </w:rPr>
        <w:footnoteReference w:id="50"/>
      </w:r>
      <w:r w:rsidRPr="003D50AF">
        <w:rPr>
          <w:rtl/>
        </w:rPr>
        <w:t>.</w:t>
      </w:r>
      <w:r>
        <w:rPr>
          <w:rFonts w:hint="cs"/>
          <w:color w:val="FF0000"/>
          <w:rtl/>
        </w:rPr>
        <w:t xml:space="preserve"> </w:t>
      </w:r>
    </w:p>
    <w:p w14:paraId="766A83C8" w14:textId="77777777" w:rsidR="00B51F5B" w:rsidRPr="00B55D7C" w:rsidRDefault="00B51F5B" w:rsidP="00B55D7C">
      <w:pPr>
        <w:pStyle w:val="100"/>
        <w:rPr>
          <w:rtl/>
        </w:rPr>
      </w:pPr>
      <w:r w:rsidRPr="00B55D7C">
        <w:rPr>
          <w:rFonts w:hint="cs"/>
          <w:rtl/>
        </w:rPr>
        <w:t>בתי החולים לבריאות הנפש המפעילים את המרפאות הממשלתיות הסבירו שהסיבה לאי-מתן שירות של ביקורי בית היא חוסר הכדאיות הכלכלית שבכך</w:t>
      </w:r>
      <w:r w:rsidRPr="003D50AF">
        <w:rPr>
          <w:rStyle w:val="FootnoteReference"/>
          <w:rtl/>
        </w:rPr>
        <w:footnoteReference w:id="51"/>
      </w:r>
      <w:r w:rsidRPr="00B55D7C">
        <w:rPr>
          <w:rFonts w:hint="cs"/>
          <w:rtl/>
        </w:rPr>
        <w:t>. קושי זה עלה כבר בישיבת מינהלת הרפורמה מספטמבר 2015, סמוך לכניסת הרפורמה לתוקף. מועצת הבריאות</w:t>
      </w:r>
      <w:r w:rsidRPr="00AC04C6">
        <w:rPr>
          <w:rStyle w:val="FootnoteReference"/>
          <w:rtl/>
        </w:rPr>
        <w:footnoteReference w:id="52"/>
      </w:r>
      <w:r w:rsidRPr="00B55D7C">
        <w:rPr>
          <w:rFonts w:hint="cs"/>
          <w:rtl/>
        </w:rPr>
        <w:t xml:space="preserve">, בישיבה מדצמבר 2017, הציעה למשרד לחייב את קופות החולים לתת שירות של ביקורי בית למטופלים שלא יוצאים מהבית מסיבות שונות בדומה לקיים בתחומי בריאות אחרים. המשרד לא קידם הצעה זו. </w:t>
      </w:r>
    </w:p>
    <w:p w14:paraId="34E8F18C" w14:textId="77777777" w:rsidR="00B51F5B" w:rsidRPr="00B55D7C" w:rsidRDefault="00B51F5B" w:rsidP="00B55D7C">
      <w:pPr>
        <w:pStyle w:val="100"/>
        <w:rPr>
          <w:rtl/>
        </w:rPr>
      </w:pPr>
      <w:r w:rsidRPr="00B55D7C">
        <w:rPr>
          <w:rFonts w:hint="cs"/>
          <w:rtl/>
        </w:rPr>
        <w:t>משרד הבריאות מסר בתשובתו כי מאחר</w:t>
      </w:r>
      <w:r w:rsidRPr="00B55D7C">
        <w:rPr>
          <w:rtl/>
        </w:rPr>
        <w:t xml:space="preserve"> </w:t>
      </w:r>
      <w:r w:rsidRPr="00B55D7C">
        <w:rPr>
          <w:rFonts w:hint="cs"/>
          <w:rtl/>
        </w:rPr>
        <w:t>ש</w:t>
      </w:r>
      <w:r w:rsidRPr="00B55D7C">
        <w:rPr>
          <w:rtl/>
        </w:rPr>
        <w:t>עוד טרם הרפורמה</w:t>
      </w:r>
      <w:r w:rsidRPr="00B55D7C">
        <w:rPr>
          <w:rFonts w:hint="cs"/>
          <w:rtl/>
        </w:rPr>
        <w:t xml:space="preserve"> </w:t>
      </w:r>
      <w:r w:rsidRPr="00B55D7C">
        <w:rPr>
          <w:rtl/>
        </w:rPr>
        <w:t>נצפתה ירידה במספר ביקורי הבית וביתר שאת לאחריה</w:t>
      </w:r>
      <w:r w:rsidRPr="00B55D7C">
        <w:rPr>
          <w:rFonts w:hint="cs"/>
          <w:rtl/>
        </w:rPr>
        <w:t>, הנושא עלה ב</w:t>
      </w:r>
      <w:r w:rsidRPr="00B55D7C">
        <w:rPr>
          <w:rtl/>
        </w:rPr>
        <w:t xml:space="preserve">דיוני הוועדה לבחינת הרפורמה </w:t>
      </w:r>
      <w:r w:rsidRPr="00B55D7C">
        <w:rPr>
          <w:rFonts w:hint="cs"/>
          <w:rtl/>
        </w:rPr>
        <w:t>אשר</w:t>
      </w:r>
      <w:r w:rsidRPr="00B55D7C">
        <w:rPr>
          <w:rtl/>
        </w:rPr>
        <w:t xml:space="preserve"> מתכננת להמליץ על תמחור מחודש של שירות זה.</w:t>
      </w:r>
      <w:r w:rsidRPr="00B55D7C">
        <w:rPr>
          <w:rFonts w:hint="cs"/>
          <w:rtl/>
        </w:rPr>
        <w:t xml:space="preserve"> </w:t>
      </w:r>
    </w:p>
    <w:p w14:paraId="4F5A2618" w14:textId="77777777" w:rsidR="00B51F5B" w:rsidRPr="00B55D7C" w:rsidRDefault="00B51F5B" w:rsidP="00B55D7C">
      <w:pPr>
        <w:pStyle w:val="100"/>
        <w:rPr>
          <w:rtl/>
        </w:rPr>
      </w:pPr>
      <w:r w:rsidRPr="00B55D7C">
        <w:rPr>
          <w:rFonts w:hint="eastAsia"/>
          <w:rtl/>
        </w:rPr>
        <w:t>מכבי</w:t>
      </w:r>
      <w:r w:rsidRPr="00B55D7C">
        <w:rPr>
          <w:rtl/>
        </w:rPr>
        <w:t xml:space="preserve"> מסרה ב</w:t>
      </w:r>
      <w:r w:rsidRPr="00B55D7C">
        <w:rPr>
          <w:rFonts w:hint="eastAsia"/>
          <w:rtl/>
        </w:rPr>
        <w:t>תשובתה</w:t>
      </w:r>
      <w:r w:rsidRPr="00B55D7C">
        <w:rPr>
          <w:rtl/>
        </w:rPr>
        <w:t xml:space="preserve"> </w:t>
      </w:r>
      <w:r w:rsidRPr="00B55D7C">
        <w:rPr>
          <w:rFonts w:hint="eastAsia"/>
          <w:rtl/>
        </w:rPr>
        <w:t>כי</w:t>
      </w:r>
      <w:r w:rsidRPr="00B55D7C">
        <w:rPr>
          <w:rtl/>
        </w:rPr>
        <w:t xml:space="preserve"> </w:t>
      </w:r>
      <w:r w:rsidRPr="00B55D7C">
        <w:rPr>
          <w:rFonts w:hint="eastAsia"/>
          <w:rtl/>
        </w:rPr>
        <w:t>אין</w:t>
      </w:r>
      <w:r w:rsidRPr="00B55D7C">
        <w:rPr>
          <w:rtl/>
        </w:rPr>
        <w:t xml:space="preserve"> ספקים שנותנים את הש</w:t>
      </w:r>
      <w:r w:rsidRPr="00B55D7C">
        <w:rPr>
          <w:rFonts w:hint="cs"/>
          <w:rtl/>
        </w:rPr>
        <w:t>י</w:t>
      </w:r>
      <w:r w:rsidRPr="00B55D7C">
        <w:rPr>
          <w:rtl/>
        </w:rPr>
        <w:t xml:space="preserve">רות וכי </w:t>
      </w:r>
      <w:r w:rsidRPr="00B55D7C">
        <w:rPr>
          <w:rFonts w:hint="eastAsia"/>
          <w:rtl/>
        </w:rPr>
        <w:t>המרפאות</w:t>
      </w:r>
      <w:r w:rsidRPr="00B55D7C">
        <w:rPr>
          <w:rtl/>
        </w:rPr>
        <w:t xml:space="preserve"> </w:t>
      </w:r>
      <w:r w:rsidRPr="00B55D7C">
        <w:rPr>
          <w:rFonts w:hint="eastAsia"/>
          <w:rtl/>
        </w:rPr>
        <w:t>הממשלתיות</w:t>
      </w:r>
      <w:r w:rsidRPr="00B55D7C">
        <w:rPr>
          <w:rtl/>
        </w:rPr>
        <w:t xml:space="preserve"> </w:t>
      </w:r>
      <w:r w:rsidRPr="00B55D7C">
        <w:rPr>
          <w:rFonts w:hint="eastAsia"/>
          <w:rtl/>
        </w:rPr>
        <w:t>אינן</w:t>
      </w:r>
      <w:r w:rsidRPr="00B55D7C">
        <w:rPr>
          <w:rtl/>
        </w:rPr>
        <w:t xml:space="preserve"> </w:t>
      </w:r>
      <w:r w:rsidRPr="00B55D7C">
        <w:rPr>
          <w:rFonts w:hint="eastAsia"/>
          <w:rtl/>
        </w:rPr>
        <w:t>מספקות</w:t>
      </w:r>
      <w:r w:rsidRPr="00B55D7C">
        <w:rPr>
          <w:rtl/>
        </w:rPr>
        <w:t xml:space="preserve"> </w:t>
      </w:r>
      <w:r w:rsidRPr="00B55D7C">
        <w:rPr>
          <w:rFonts w:hint="eastAsia"/>
          <w:rtl/>
        </w:rPr>
        <w:t>שירות</w:t>
      </w:r>
      <w:r w:rsidRPr="00B55D7C">
        <w:rPr>
          <w:rtl/>
        </w:rPr>
        <w:t xml:space="preserve"> </w:t>
      </w:r>
      <w:r w:rsidRPr="00B55D7C">
        <w:rPr>
          <w:rFonts w:hint="eastAsia"/>
          <w:rtl/>
        </w:rPr>
        <w:t>זה</w:t>
      </w:r>
      <w:r w:rsidRPr="00B55D7C">
        <w:rPr>
          <w:rFonts w:hint="cs"/>
          <w:rtl/>
        </w:rPr>
        <w:t>,</w:t>
      </w:r>
      <w:r w:rsidRPr="00B55D7C">
        <w:rPr>
          <w:rtl/>
        </w:rPr>
        <w:t xml:space="preserve"> </w:t>
      </w:r>
      <w:r w:rsidRPr="00B55D7C">
        <w:rPr>
          <w:rFonts w:hint="eastAsia"/>
          <w:rtl/>
        </w:rPr>
        <w:t>אף</w:t>
      </w:r>
      <w:r w:rsidRPr="00B55D7C">
        <w:rPr>
          <w:rtl/>
        </w:rPr>
        <w:t xml:space="preserve"> </w:t>
      </w:r>
      <w:r w:rsidRPr="00B55D7C">
        <w:rPr>
          <w:rFonts w:hint="eastAsia"/>
          <w:rtl/>
        </w:rPr>
        <w:t>שהוגדר</w:t>
      </w:r>
      <w:r w:rsidRPr="00B55D7C">
        <w:rPr>
          <w:rtl/>
        </w:rPr>
        <w:t xml:space="preserve"> </w:t>
      </w:r>
      <w:r w:rsidRPr="00B55D7C">
        <w:rPr>
          <w:rFonts w:hint="eastAsia"/>
          <w:rtl/>
        </w:rPr>
        <w:t>במסגרת</w:t>
      </w:r>
      <w:r w:rsidRPr="00B55D7C">
        <w:rPr>
          <w:rtl/>
        </w:rPr>
        <w:t xml:space="preserve"> </w:t>
      </w:r>
      <w:r w:rsidRPr="00B55D7C">
        <w:rPr>
          <w:rFonts w:hint="eastAsia"/>
          <w:rtl/>
        </w:rPr>
        <w:t>המנוי</w:t>
      </w:r>
      <w:r w:rsidRPr="00B55D7C">
        <w:rPr>
          <w:rtl/>
        </w:rPr>
        <w:t xml:space="preserve"> וכחלק מהטיפול.</w:t>
      </w:r>
      <w:r w:rsidRPr="00B55D7C">
        <w:rPr>
          <w:rFonts w:hint="cs"/>
          <w:rtl/>
        </w:rPr>
        <w:t xml:space="preserve"> </w:t>
      </w:r>
    </w:p>
    <w:p w14:paraId="1A8C5534" w14:textId="77777777" w:rsidR="00B51F5B" w:rsidRPr="00B55D7C" w:rsidRDefault="00B51F5B" w:rsidP="00B55D7C">
      <w:pPr>
        <w:pStyle w:val="100"/>
        <w:rPr>
          <w:rtl/>
        </w:rPr>
      </w:pPr>
      <w:r w:rsidRPr="00B55D7C">
        <w:rPr>
          <w:rtl/>
        </w:rPr>
        <w:t>מאוחדת מסרה בתשובתה לממצאי הביקורת בדצמבר 201</w:t>
      </w:r>
      <w:r w:rsidRPr="00B55D7C">
        <w:rPr>
          <w:rFonts w:hint="cs"/>
          <w:rtl/>
        </w:rPr>
        <w:t>9</w:t>
      </w:r>
      <w:r w:rsidRPr="00B55D7C">
        <w:rPr>
          <w:rtl/>
        </w:rPr>
        <w:t xml:space="preserve"> (להלן - תשובת מאוחדת) כי </w:t>
      </w:r>
      <w:r w:rsidRPr="00B55D7C">
        <w:rPr>
          <w:rFonts w:hint="cs"/>
          <w:rtl/>
        </w:rPr>
        <w:t>בשנת 2019 קיימה ביקורי בית מעטים יחסית ואיפשרה מתחילת הרפורמה טיפולי פסיכותרפיה מקוונים ומנובמבר 2019 גם טיפול פסיכיאטרי מקוון</w:t>
      </w:r>
      <w:r w:rsidRPr="00B55D7C">
        <w:rPr>
          <w:rtl/>
        </w:rPr>
        <w:t>.</w:t>
      </w:r>
      <w:r w:rsidRPr="00B55D7C">
        <w:rPr>
          <w:rFonts w:hint="cs"/>
          <w:rtl/>
        </w:rPr>
        <w:t xml:space="preserve"> </w:t>
      </w:r>
    </w:p>
    <w:p w14:paraId="5E85F8E6" w14:textId="77777777" w:rsidR="00B51F5B" w:rsidRDefault="00B51F5B" w:rsidP="00B55D7C">
      <w:pPr>
        <w:pStyle w:val="100"/>
        <w:rPr>
          <w:rtl/>
        </w:rPr>
      </w:pPr>
      <w:r w:rsidRPr="00B55D7C">
        <w:rPr>
          <w:rFonts w:hint="cs"/>
          <w:rtl/>
        </w:rPr>
        <w:t>לאומית מסרה בתשובתה לממצאי הביקורת בדצמבר 2019 (להלן - תשובת לאומית) כי אף שברפורמה</w:t>
      </w:r>
      <w:r>
        <w:rPr>
          <w:rFonts w:hint="cs"/>
          <w:rtl/>
        </w:rPr>
        <w:t xml:space="preserve"> נקבע כי ביקורי הבית ייעשו במסגרת המנוי, בפועל צמצמו המרפאות את השירות בהיעדר כדאיות כלכלית, וכי </w:t>
      </w:r>
      <w:r w:rsidRPr="004B733F">
        <w:rPr>
          <w:rtl/>
        </w:rPr>
        <w:t>המשרד כרגולטור לא נקט עמדה כלפי מרפאותיו בנושא זה</w:t>
      </w:r>
      <w:r>
        <w:rPr>
          <w:rFonts w:hint="cs"/>
          <w:rtl/>
        </w:rPr>
        <w:t>.</w:t>
      </w:r>
    </w:p>
    <w:p w14:paraId="2B9C76B5" w14:textId="77777777" w:rsidR="00B51F5B" w:rsidRPr="007B117F" w:rsidRDefault="00B51F5B" w:rsidP="00B55D7C">
      <w:pPr>
        <w:pStyle w:val="af5"/>
        <w:rPr>
          <w:rtl/>
        </w:rPr>
      </w:pPr>
      <w:r>
        <w:rPr>
          <w:rFonts w:hint="cs"/>
          <w:rtl/>
        </w:rPr>
        <w:t xml:space="preserve">על פי עקרונות הרפורמה, מוטלת על קופות החולים </w:t>
      </w:r>
      <w:r w:rsidRPr="00582E2D">
        <w:rPr>
          <w:rFonts w:hint="cs"/>
          <w:rtl/>
        </w:rPr>
        <w:t xml:space="preserve">האחריות לספק </w:t>
      </w:r>
      <w:r>
        <w:rPr>
          <w:rFonts w:hint="cs"/>
          <w:rtl/>
        </w:rPr>
        <w:t>גם טיפולים במסגרת ביקורי בית. היות שהיקף ביקורי הבית הצטמצם בהרבה</w:t>
      </w:r>
      <w:r w:rsidDel="007E03AC">
        <w:rPr>
          <w:rFonts w:hint="cs"/>
          <w:rtl/>
        </w:rPr>
        <w:t xml:space="preserve"> </w:t>
      </w:r>
      <w:r>
        <w:rPr>
          <w:rFonts w:hint="cs"/>
          <w:rtl/>
        </w:rPr>
        <w:t>והיות שלא הוסדר מערך למתן השירות על ידי הקופות, נדרש שהוועדה לבחינת הרפורמה במשרד הבריאות תשלים את טיפולה בנושא ותגבש בשיתוף הקופות הסדר מתאים, שיאפשר את מתן שירות בהיקף ראוי.</w:t>
      </w:r>
    </w:p>
    <w:p w14:paraId="2DFB28EA" w14:textId="77777777" w:rsidR="00B51F5B" w:rsidRPr="00AE3145" w:rsidRDefault="00B51F5B" w:rsidP="00B55D7C">
      <w:pPr>
        <w:pStyle w:val="5115"/>
        <w:rPr>
          <w:rtl/>
        </w:rPr>
      </w:pPr>
      <w:r w:rsidRPr="00AE3145">
        <w:rPr>
          <w:rFonts w:hint="eastAsia"/>
          <w:rtl/>
        </w:rPr>
        <w:t>צוותי</w:t>
      </w:r>
      <w:r w:rsidRPr="00AE3145">
        <w:rPr>
          <w:rtl/>
        </w:rPr>
        <w:t xml:space="preserve"> </w:t>
      </w:r>
      <w:r w:rsidRPr="00AE3145">
        <w:rPr>
          <w:rFonts w:hint="eastAsia"/>
          <w:rtl/>
        </w:rPr>
        <w:t>משבר</w:t>
      </w:r>
    </w:p>
    <w:p w14:paraId="7739BE6E" w14:textId="77777777" w:rsidR="00B51F5B" w:rsidRDefault="00B51F5B" w:rsidP="00B55D7C">
      <w:pPr>
        <w:pStyle w:val="100"/>
        <w:rPr>
          <w:rtl/>
        </w:rPr>
      </w:pPr>
      <w:r>
        <w:rPr>
          <w:rFonts w:hint="cs"/>
          <w:rtl/>
        </w:rPr>
        <w:t xml:space="preserve">קיימים מצבים שבהם נדרשת התערבות טיפולית מהירה, למשל במצבים שבהם חלה הידרדרות במצבו של המטופל והוא זקוק למענה ממוקד על ידי אנשי מקצוע בעלי מומחיות בתחום (להלן - צוותי משבר). צוותי משבר מספקים טיפול ייעודי המתאים לכל מקרה, הם פוגשים </w:t>
      </w:r>
      <w:r>
        <w:rPr>
          <w:rtl/>
        </w:rPr>
        <w:t xml:space="preserve">את המטופל </w:t>
      </w:r>
      <w:r>
        <w:rPr>
          <w:rFonts w:hint="cs"/>
          <w:rtl/>
        </w:rPr>
        <w:t>או את הגורם הפונה (בן משפחה או מטפל עיקרי אחר) בבית המטופל ועוסקים, בין היתר,</w:t>
      </w:r>
      <w:r>
        <w:rPr>
          <w:rtl/>
        </w:rPr>
        <w:t xml:space="preserve"> </w:t>
      </w:r>
      <w:r>
        <w:rPr>
          <w:rFonts w:hint="cs"/>
          <w:rtl/>
        </w:rPr>
        <w:t>בבדיקה</w:t>
      </w:r>
      <w:r>
        <w:rPr>
          <w:rtl/>
        </w:rPr>
        <w:t xml:space="preserve"> ו</w:t>
      </w:r>
      <w:r>
        <w:rPr>
          <w:rFonts w:hint="cs"/>
          <w:rtl/>
        </w:rPr>
        <w:t>ב</w:t>
      </w:r>
      <w:r>
        <w:rPr>
          <w:rtl/>
        </w:rPr>
        <w:t>הערכה של מצב</w:t>
      </w:r>
      <w:r>
        <w:rPr>
          <w:rFonts w:hint="cs"/>
          <w:rtl/>
        </w:rPr>
        <w:t>ו</w:t>
      </w:r>
      <w:r>
        <w:rPr>
          <w:rtl/>
        </w:rPr>
        <w:t xml:space="preserve"> הנפשי של המטופל</w:t>
      </w:r>
      <w:r>
        <w:rPr>
          <w:rFonts w:hint="cs"/>
          <w:rtl/>
        </w:rPr>
        <w:t>;</w:t>
      </w:r>
      <w:r>
        <w:rPr>
          <w:rtl/>
        </w:rPr>
        <w:t xml:space="preserve"> </w:t>
      </w:r>
      <w:r>
        <w:rPr>
          <w:rFonts w:hint="cs"/>
          <w:rtl/>
        </w:rPr>
        <w:t>ב</w:t>
      </w:r>
      <w:r>
        <w:rPr>
          <w:rtl/>
        </w:rPr>
        <w:t>הצגת חלופות והמלצות</w:t>
      </w:r>
      <w:r>
        <w:rPr>
          <w:rFonts w:hint="cs"/>
          <w:rtl/>
        </w:rPr>
        <w:t xml:space="preserve"> לטיפול;</w:t>
      </w:r>
      <w:r>
        <w:rPr>
          <w:rtl/>
        </w:rPr>
        <w:t xml:space="preserve"> </w:t>
      </w:r>
      <w:r>
        <w:rPr>
          <w:rFonts w:hint="cs"/>
          <w:rtl/>
        </w:rPr>
        <w:t>ב</w:t>
      </w:r>
      <w:r>
        <w:rPr>
          <w:rtl/>
        </w:rPr>
        <w:t>מתן עזרה ראשונה וטיפול עד להפניה והשתלבות במסגרת הטיפולית בקהילה</w:t>
      </w:r>
      <w:r>
        <w:rPr>
          <w:rFonts w:hint="cs"/>
          <w:rtl/>
        </w:rPr>
        <w:t>; וב</w:t>
      </w:r>
      <w:r>
        <w:rPr>
          <w:rtl/>
        </w:rPr>
        <w:t>הערכת מסוכנות</w:t>
      </w:r>
      <w:r>
        <w:rPr>
          <w:rFonts w:asciiTheme="minorBidi" w:hAnsiTheme="minorBidi" w:hint="cs"/>
          <w:sz w:val="24"/>
          <w:rtl/>
        </w:rPr>
        <w:t xml:space="preserve"> כדי לבחון את הצורך באשפוז כפוי. </w:t>
      </w:r>
    </w:p>
    <w:p w14:paraId="5684B6B5" w14:textId="176A8ED9" w:rsidR="00B51F5B" w:rsidRPr="0062664B" w:rsidRDefault="00B51F5B" w:rsidP="00B55D7C">
      <w:pPr>
        <w:pStyle w:val="100"/>
        <w:rPr>
          <w:rtl/>
        </w:rPr>
      </w:pPr>
      <w:r w:rsidRPr="004E3419">
        <w:rPr>
          <w:rFonts w:hint="eastAsia"/>
          <w:rtl/>
        </w:rPr>
        <w:t>טרום</w:t>
      </w:r>
      <w:r w:rsidRPr="004E3419">
        <w:rPr>
          <w:rtl/>
        </w:rPr>
        <w:t xml:space="preserve"> הרפורמה </w:t>
      </w:r>
      <w:r w:rsidRPr="004E3419">
        <w:rPr>
          <w:rFonts w:hint="eastAsia"/>
          <w:rtl/>
        </w:rPr>
        <w:t>העניקו</w:t>
      </w:r>
      <w:r w:rsidRPr="004E3419">
        <w:rPr>
          <w:rtl/>
        </w:rPr>
        <w:t xml:space="preserve"> </w:t>
      </w:r>
      <w:r w:rsidRPr="004E3419">
        <w:rPr>
          <w:rFonts w:hint="eastAsia"/>
          <w:rtl/>
        </w:rPr>
        <w:t>המרפאות</w:t>
      </w:r>
      <w:r w:rsidRPr="004E3419">
        <w:rPr>
          <w:rtl/>
        </w:rPr>
        <w:t xml:space="preserve"> </w:t>
      </w:r>
      <w:r w:rsidRPr="004E3419">
        <w:rPr>
          <w:rFonts w:hint="eastAsia"/>
          <w:rtl/>
        </w:rPr>
        <w:t>הממשלתיות</w:t>
      </w:r>
      <w:r w:rsidRPr="004E3419">
        <w:rPr>
          <w:rtl/>
        </w:rPr>
        <w:t xml:space="preserve"> את שירות צוותי המשבר</w:t>
      </w:r>
      <w:r>
        <w:rPr>
          <w:rFonts w:hint="cs"/>
          <w:rtl/>
        </w:rPr>
        <w:t>.</w:t>
      </w:r>
      <w:r w:rsidRPr="004E3419">
        <w:rPr>
          <w:rtl/>
        </w:rPr>
        <w:t xml:space="preserve"> </w:t>
      </w:r>
      <w:r w:rsidRPr="004E3419">
        <w:rPr>
          <w:rFonts w:hint="eastAsia"/>
          <w:rtl/>
        </w:rPr>
        <w:t>לאחר</w:t>
      </w:r>
      <w:r w:rsidRPr="004E3419">
        <w:rPr>
          <w:rtl/>
        </w:rPr>
        <w:t xml:space="preserve"> </w:t>
      </w:r>
      <w:r w:rsidRPr="004E3419">
        <w:rPr>
          <w:rFonts w:hint="eastAsia"/>
          <w:rtl/>
        </w:rPr>
        <w:t>הרפורמה</w:t>
      </w:r>
      <w:r w:rsidRPr="004E3419">
        <w:rPr>
          <w:rtl/>
        </w:rPr>
        <w:t xml:space="preserve"> </w:t>
      </w:r>
      <w:r w:rsidRPr="004E3419">
        <w:rPr>
          <w:rFonts w:hint="cs"/>
          <w:rtl/>
        </w:rPr>
        <w:t xml:space="preserve">הועברה </w:t>
      </w:r>
      <w:r>
        <w:rPr>
          <w:rFonts w:hint="cs"/>
          <w:rtl/>
        </w:rPr>
        <w:t xml:space="preserve">האחריות גם בנושא התערבות במשברים </w:t>
      </w:r>
      <w:r w:rsidRPr="004E3419">
        <w:rPr>
          <w:rFonts w:hint="cs"/>
          <w:rtl/>
        </w:rPr>
        <w:t>ל</w:t>
      </w:r>
      <w:r w:rsidRPr="004E3419">
        <w:rPr>
          <w:rFonts w:hint="eastAsia"/>
          <w:rtl/>
        </w:rPr>
        <w:t>קופות</w:t>
      </w:r>
      <w:r w:rsidRPr="004E3419">
        <w:rPr>
          <w:rtl/>
        </w:rPr>
        <w:t xml:space="preserve"> </w:t>
      </w:r>
      <w:r w:rsidRPr="004E3419">
        <w:rPr>
          <w:rFonts w:hint="eastAsia"/>
          <w:rtl/>
        </w:rPr>
        <w:t>החולים</w:t>
      </w:r>
      <w:r w:rsidRPr="004E3419">
        <w:rPr>
          <w:rtl/>
        </w:rPr>
        <w:t xml:space="preserve">, </w:t>
      </w:r>
      <w:r w:rsidRPr="004E3419">
        <w:rPr>
          <w:rFonts w:hint="eastAsia"/>
          <w:rtl/>
        </w:rPr>
        <w:t>כולל</w:t>
      </w:r>
      <w:r w:rsidRPr="004E3419">
        <w:rPr>
          <w:rtl/>
        </w:rPr>
        <w:t xml:space="preserve"> מעקב </w:t>
      </w:r>
      <w:r>
        <w:rPr>
          <w:rFonts w:hint="cs"/>
          <w:rtl/>
        </w:rPr>
        <w:t>אחר ה</w:t>
      </w:r>
      <w:r w:rsidRPr="004E3419">
        <w:rPr>
          <w:rtl/>
        </w:rPr>
        <w:t>מטופלים</w:t>
      </w:r>
      <w:r>
        <w:rPr>
          <w:rFonts w:hint="cs"/>
          <w:rtl/>
        </w:rPr>
        <w:t xml:space="preserve"> ותמיכה בהם</w:t>
      </w:r>
      <w:r w:rsidRPr="004E3419">
        <w:rPr>
          <w:rtl/>
        </w:rPr>
        <w:t>.</w:t>
      </w:r>
    </w:p>
    <w:p w14:paraId="3C621C2A" w14:textId="77777777" w:rsidR="00B51F5B" w:rsidRDefault="00B51F5B" w:rsidP="00B55D7C">
      <w:pPr>
        <w:pStyle w:val="5115"/>
        <w:rPr>
          <w:rtl/>
        </w:rPr>
      </w:pPr>
      <w:r w:rsidRPr="003360FB">
        <w:rPr>
          <w:rtl/>
        </w:rPr>
        <w:t>התערבות מיידית במצבי חירום נפשיים (מד"א נפשי)</w:t>
      </w:r>
      <w:r>
        <w:rPr>
          <w:rFonts w:hint="cs"/>
          <w:rtl/>
        </w:rPr>
        <w:t xml:space="preserve"> </w:t>
      </w:r>
    </w:p>
    <w:p w14:paraId="0373868D" w14:textId="77777777" w:rsidR="00B51F5B" w:rsidRPr="00DC0FA5" w:rsidRDefault="00B51F5B" w:rsidP="00B55D7C">
      <w:pPr>
        <w:pStyle w:val="100"/>
        <w:rPr>
          <w:rtl/>
        </w:rPr>
      </w:pPr>
      <w:r>
        <w:rPr>
          <w:rtl/>
        </w:rPr>
        <w:t>מצבי חירום נפשיים</w:t>
      </w:r>
      <w:r>
        <w:rPr>
          <w:rFonts w:hint="cs"/>
          <w:rtl/>
        </w:rPr>
        <w:t>,</w:t>
      </w:r>
      <w:r w:rsidRPr="008D6625">
        <w:rPr>
          <w:rtl/>
        </w:rPr>
        <w:t xml:space="preserve"> ובכללם </w:t>
      </w:r>
      <w:r>
        <w:rPr>
          <w:rFonts w:hint="cs"/>
          <w:rtl/>
        </w:rPr>
        <w:t>חשש ל</w:t>
      </w:r>
      <w:r w:rsidRPr="008D6625">
        <w:rPr>
          <w:rtl/>
        </w:rPr>
        <w:t>אובדנות</w:t>
      </w:r>
      <w:r>
        <w:rPr>
          <w:rFonts w:hint="cs"/>
          <w:rtl/>
        </w:rPr>
        <w:t>, הם אירועים מסכני חיים הנדרשים ל</w:t>
      </w:r>
      <w:r w:rsidRPr="008D6625">
        <w:rPr>
          <w:rtl/>
        </w:rPr>
        <w:t xml:space="preserve">מענה חירום </w:t>
      </w:r>
      <w:r>
        <w:rPr>
          <w:rFonts w:hint="cs"/>
          <w:rtl/>
        </w:rPr>
        <w:t>מיידי</w:t>
      </w:r>
      <w:r w:rsidRPr="008D6625">
        <w:rPr>
          <w:rtl/>
        </w:rPr>
        <w:t xml:space="preserve"> ומותאם. </w:t>
      </w:r>
      <w:r>
        <w:rPr>
          <w:rFonts w:hint="cs"/>
          <w:rtl/>
        </w:rPr>
        <w:t>כיום במצבי חירום ובהיעדר פתרון אחר, המענה ניתן לרוב על ידי משטרת ישראל שמגיעה למקום ועוצרת את האדם בשל מסוכנותו לעצמו או לסביבתו. מדובר במענה המנסה למנוע פגיעה ולא במענה נפשי מקצועי למטופל. אם מד"א מוזעק,</w:t>
      </w:r>
      <w:r w:rsidRPr="00B01E35">
        <w:rPr>
          <w:rFonts w:hint="cs"/>
          <w:rtl/>
        </w:rPr>
        <w:t xml:space="preserve"> </w:t>
      </w:r>
      <w:r>
        <w:rPr>
          <w:rFonts w:hint="cs"/>
          <w:rtl/>
        </w:rPr>
        <w:t>והמטופל משתף פעולה, המפגש</w:t>
      </w:r>
      <w:r w:rsidRPr="008D6625">
        <w:rPr>
          <w:rtl/>
        </w:rPr>
        <w:t xml:space="preserve"> מסתיים בפינוי</w:t>
      </w:r>
      <w:r>
        <w:rPr>
          <w:rFonts w:hint="cs"/>
          <w:rtl/>
        </w:rPr>
        <w:t>ו</w:t>
      </w:r>
      <w:r w:rsidRPr="008D6625">
        <w:rPr>
          <w:rtl/>
        </w:rPr>
        <w:t xml:space="preserve"> לבית חו</w:t>
      </w:r>
      <w:r>
        <w:rPr>
          <w:rtl/>
        </w:rPr>
        <w:t>לים</w:t>
      </w:r>
      <w:r>
        <w:rPr>
          <w:rFonts w:hint="cs"/>
          <w:rtl/>
        </w:rPr>
        <w:t xml:space="preserve"> או בהפנייתו לטיפול בקהילה. אם המטופל אינו משתף פעולה, הטיפול נשאר בידי המשטרה</w:t>
      </w:r>
      <w:r>
        <w:rPr>
          <w:rtl/>
        </w:rPr>
        <w:t>.</w:t>
      </w:r>
      <w:r>
        <w:rPr>
          <w:rFonts w:hint="cs"/>
          <w:rtl/>
        </w:rPr>
        <w:t xml:space="preserve"> משמעות הדבר היא שלא תתאפשר בדיקה מיידית באשפוז כל עוד המטופל מסרב לכך. מצב זה עלול להיות מסוכן למטופל ולסביבתו, כאחד</w:t>
      </w:r>
      <w:r>
        <w:rPr>
          <w:rStyle w:val="FootnoteReference"/>
          <w:rtl/>
        </w:rPr>
        <w:footnoteReference w:id="53"/>
      </w:r>
      <w:r>
        <w:rPr>
          <w:rFonts w:hint="cs"/>
          <w:rtl/>
        </w:rPr>
        <w:t>.</w:t>
      </w:r>
    </w:p>
    <w:p w14:paraId="773B0B4C" w14:textId="2C558ADF" w:rsidR="00B51F5B" w:rsidRDefault="00B51F5B" w:rsidP="00013754">
      <w:pPr>
        <w:pStyle w:val="100"/>
        <w:rPr>
          <w:rtl/>
        </w:rPr>
      </w:pPr>
      <w:r>
        <w:rPr>
          <w:rFonts w:hint="cs"/>
          <w:rtl/>
        </w:rPr>
        <w:t xml:space="preserve">במחצית שנת 2016 פיתח האגף לבריאות הנפש מודל להפעלת שירותי חירום נפשיים (להלן - מד"א נפשי), שייתן מענה למצבים אלו באמצעות צוותי מד"א. במרץ 2017 הוצג המודל למועצה הלאומית לבריאות הנפש, וכ-60 פרמדיקים במד"א הוכשרו בנושא. על פי המודל, בעקבות פנייה למוקד, </w:t>
      </w:r>
      <w:r w:rsidRPr="00C0117D">
        <w:rPr>
          <w:rFonts w:hint="cs"/>
          <w:rtl/>
        </w:rPr>
        <w:t>יגיעו הפרמדיקים</w:t>
      </w:r>
      <w:r>
        <w:rPr>
          <w:rFonts w:hint="cs"/>
          <w:rtl/>
        </w:rPr>
        <w:t xml:space="preserve"> לאירוע ולאחר התייעצות עם כונן</w:t>
      </w:r>
      <w:r>
        <w:rPr>
          <w:rtl/>
        </w:rPr>
        <w:t xml:space="preserve"> </w:t>
      </w:r>
      <w:r>
        <w:rPr>
          <w:rFonts w:hint="cs"/>
          <w:rtl/>
        </w:rPr>
        <w:t>בריאות הנפש במד"א ינקטו אחת מפעולות אלה:</w:t>
      </w:r>
      <w:r w:rsidR="00172C92" w:rsidRPr="00172C92">
        <w:rPr>
          <w:rFonts w:hint="cs"/>
          <w:rtl/>
        </w:rPr>
        <w:t xml:space="preserve"> </w:t>
      </w:r>
      <w:r w:rsidR="00172C92">
        <w:rPr>
          <w:rFonts w:hint="cs"/>
          <w:rtl/>
        </w:rPr>
        <w:t xml:space="preserve">בהסכמת המטופל </w:t>
      </w:r>
      <w:r w:rsidR="004D7B69">
        <w:rPr>
          <w:rFonts w:hint="cs"/>
          <w:rtl/>
        </w:rPr>
        <w:t xml:space="preserve">יְפַּנוּ </w:t>
      </w:r>
      <w:r w:rsidR="00172C92">
        <w:rPr>
          <w:rFonts w:hint="cs"/>
          <w:rtl/>
        </w:rPr>
        <w:t xml:space="preserve">אותו למיון כללי או פסיכיאטרי; </w:t>
      </w:r>
      <w:r>
        <w:rPr>
          <w:rFonts w:hint="cs"/>
          <w:rtl/>
        </w:rPr>
        <w:t xml:space="preserve">יִפנו </w:t>
      </w:r>
      <w:r>
        <w:rPr>
          <w:rtl/>
        </w:rPr>
        <w:t xml:space="preserve">לפסיכיאטר המחוזי </w:t>
      </w:r>
      <w:r>
        <w:rPr>
          <w:rFonts w:hint="cs"/>
          <w:rtl/>
        </w:rPr>
        <w:t xml:space="preserve">לצורך קבלת </w:t>
      </w:r>
      <w:r>
        <w:rPr>
          <w:rtl/>
        </w:rPr>
        <w:t>הוראת בדיקה</w:t>
      </w:r>
      <w:r>
        <w:rPr>
          <w:rFonts w:hint="cs"/>
          <w:rtl/>
        </w:rPr>
        <w:t xml:space="preserve"> כפויה</w:t>
      </w:r>
      <w:r>
        <w:rPr>
          <w:rStyle w:val="FootnoteReference"/>
          <w:rtl/>
        </w:rPr>
        <w:footnoteReference w:id="54"/>
      </w:r>
      <w:r>
        <w:rPr>
          <w:rFonts w:hint="cs"/>
          <w:rtl/>
        </w:rPr>
        <w:t xml:space="preserve"> ויְ</w:t>
      </w:r>
      <w:r w:rsidR="004D7B69">
        <w:rPr>
          <w:rFonts w:hint="cs"/>
          <w:rtl/>
        </w:rPr>
        <w:t>פַּ</w:t>
      </w:r>
      <w:r>
        <w:rPr>
          <w:rFonts w:hint="cs"/>
          <w:rtl/>
        </w:rPr>
        <w:t>נו</w:t>
      </w:r>
      <w:r w:rsidR="004D7B69">
        <w:rPr>
          <w:rFonts w:hint="cs"/>
          <w:rtl/>
        </w:rPr>
        <w:t>ּ</w:t>
      </w:r>
      <w:r>
        <w:rPr>
          <w:rFonts w:hint="cs"/>
          <w:rtl/>
        </w:rPr>
        <w:t xml:space="preserve"> את המטופל לבית חולים פסיכיאטרי; יזעיקו את המשטרה; </w:t>
      </w:r>
      <w:r w:rsidR="00E110B3">
        <w:rPr>
          <w:rFonts w:hint="cs"/>
          <w:rtl/>
        </w:rPr>
        <w:t xml:space="preserve">כשאין צורך בפינוי למיון </w:t>
      </w:r>
      <w:r>
        <w:rPr>
          <w:rFonts w:hint="cs"/>
          <w:rtl/>
        </w:rPr>
        <w:t>יַ</w:t>
      </w:r>
      <w:r w:rsidR="003B7E74" w:rsidRPr="003B7E74">
        <w:rPr>
          <w:rFonts w:hint="cs"/>
          <w:rtl/>
        </w:rPr>
        <w:t>פ</w:t>
      </w:r>
      <w:r w:rsidR="003B7E74" w:rsidRPr="003B7E74">
        <w:rPr>
          <w:rtl/>
        </w:rPr>
        <w:t>ְ</w:t>
      </w:r>
      <w:r>
        <w:rPr>
          <w:rFonts w:hint="cs"/>
          <w:rtl/>
        </w:rPr>
        <w:t>נ</w:t>
      </w:r>
      <w:r w:rsidR="003B7E74" w:rsidRPr="003B7E74">
        <w:rPr>
          <w:rtl/>
        </w:rPr>
        <w:t>וּ</w:t>
      </w:r>
      <w:r>
        <w:rPr>
          <w:rFonts w:hint="cs"/>
          <w:rtl/>
        </w:rPr>
        <w:t xml:space="preserve"> את המטופל להמשך טיפול בקהילה. המועצה הלאומית לבריאות הנפש המליצה להנהלת משרד הבריאות ליישם את המודל</w:t>
      </w:r>
      <w:r>
        <w:rPr>
          <w:rStyle w:val="FootnoteReference"/>
          <w:rFonts w:asciiTheme="minorBidi" w:hAnsiTheme="minorBidi"/>
          <w:sz w:val="24"/>
          <w:rtl/>
        </w:rPr>
        <w:footnoteReference w:id="55"/>
      </w:r>
      <w:r>
        <w:rPr>
          <w:rFonts w:hint="cs"/>
          <w:rtl/>
        </w:rPr>
        <w:t>. גם קואליציית הארגונים בבריאות הנפש</w:t>
      </w:r>
      <w:r>
        <w:rPr>
          <w:rStyle w:val="FootnoteReference"/>
          <w:rtl/>
        </w:rPr>
        <w:footnoteReference w:id="56"/>
      </w:r>
      <w:r>
        <w:rPr>
          <w:rFonts w:hint="cs"/>
          <w:rtl/>
        </w:rPr>
        <w:t xml:space="preserve"> ביקשה ליישמו, ואף פנתה פעמים מספר למנכ"ל המשרד בבקשה להפעיל את השירות</w:t>
      </w:r>
      <w:r>
        <w:rPr>
          <w:rStyle w:val="FootnoteReference"/>
          <w:rtl/>
        </w:rPr>
        <w:footnoteReference w:id="57"/>
      </w:r>
      <w:r w:rsidR="0081707B">
        <w:rPr>
          <w:rFonts w:hint="cs"/>
          <w:rtl/>
        </w:rPr>
        <w:t>.</w:t>
      </w:r>
    </w:p>
    <w:p w14:paraId="7A7CB683" w14:textId="77777777" w:rsidR="00B51F5B" w:rsidRDefault="00B51F5B" w:rsidP="00B55D7C">
      <w:pPr>
        <w:pStyle w:val="af5"/>
        <w:rPr>
          <w:color w:val="FF0000"/>
          <w:rtl/>
        </w:rPr>
      </w:pPr>
      <w:r w:rsidRPr="009B1613">
        <w:rPr>
          <w:rFonts w:hint="eastAsia"/>
          <w:rtl/>
        </w:rPr>
        <w:t>ואולם</w:t>
      </w:r>
      <w:r>
        <w:rPr>
          <w:rFonts w:hint="cs"/>
          <w:rtl/>
        </w:rPr>
        <w:t>,</w:t>
      </w:r>
      <w:r w:rsidRPr="009B1613">
        <w:rPr>
          <w:rtl/>
        </w:rPr>
        <w:t xml:space="preserve"> </w:t>
      </w:r>
      <w:r w:rsidRPr="009B1613">
        <w:rPr>
          <w:rFonts w:hint="eastAsia"/>
          <w:rtl/>
        </w:rPr>
        <w:t>עקב</w:t>
      </w:r>
      <w:r w:rsidRPr="009B1613">
        <w:rPr>
          <w:rtl/>
        </w:rPr>
        <w:t xml:space="preserve"> </w:t>
      </w:r>
      <w:r w:rsidRPr="009B1613">
        <w:rPr>
          <w:rFonts w:hint="eastAsia"/>
          <w:rtl/>
        </w:rPr>
        <w:t>מחלוקת</w:t>
      </w:r>
      <w:r w:rsidRPr="009B1613">
        <w:rPr>
          <w:rtl/>
        </w:rPr>
        <w:t xml:space="preserve"> </w:t>
      </w:r>
      <w:r w:rsidRPr="009B1613">
        <w:rPr>
          <w:rFonts w:hint="eastAsia"/>
          <w:rtl/>
        </w:rPr>
        <w:t>בין</w:t>
      </w:r>
      <w:r w:rsidRPr="009B1613">
        <w:rPr>
          <w:rtl/>
        </w:rPr>
        <w:t xml:space="preserve"> </w:t>
      </w:r>
      <w:r w:rsidRPr="009B1613">
        <w:rPr>
          <w:rFonts w:hint="eastAsia"/>
          <w:rtl/>
        </w:rPr>
        <w:t>משרד</w:t>
      </w:r>
      <w:r w:rsidRPr="009B1613">
        <w:rPr>
          <w:rtl/>
        </w:rPr>
        <w:t xml:space="preserve"> </w:t>
      </w:r>
      <w:r w:rsidRPr="009B1613">
        <w:rPr>
          <w:rFonts w:hint="eastAsia"/>
          <w:rtl/>
        </w:rPr>
        <w:t>הבריאות</w:t>
      </w:r>
      <w:r w:rsidRPr="009B1613">
        <w:rPr>
          <w:rtl/>
        </w:rPr>
        <w:t xml:space="preserve"> </w:t>
      </w:r>
      <w:r w:rsidRPr="009B1613">
        <w:rPr>
          <w:rFonts w:hint="eastAsia"/>
          <w:rtl/>
        </w:rPr>
        <w:t>למשרד</w:t>
      </w:r>
      <w:r w:rsidRPr="009B1613">
        <w:rPr>
          <w:rtl/>
        </w:rPr>
        <w:t xml:space="preserve"> </w:t>
      </w:r>
      <w:r w:rsidRPr="009B1613">
        <w:rPr>
          <w:rFonts w:hint="eastAsia"/>
          <w:rtl/>
        </w:rPr>
        <w:t>האוצר</w:t>
      </w:r>
      <w:r>
        <w:rPr>
          <w:rFonts w:hint="cs"/>
          <w:rtl/>
        </w:rPr>
        <w:t>,</w:t>
      </w:r>
      <w:r w:rsidRPr="009B1613">
        <w:rPr>
          <w:rtl/>
        </w:rPr>
        <w:t xml:space="preserve"> </w:t>
      </w:r>
      <w:r w:rsidRPr="009B1613">
        <w:rPr>
          <w:rFonts w:hint="eastAsia"/>
          <w:rtl/>
        </w:rPr>
        <w:t>בין</w:t>
      </w:r>
      <w:r w:rsidRPr="009B1613">
        <w:rPr>
          <w:rtl/>
        </w:rPr>
        <w:t xml:space="preserve"> </w:t>
      </w:r>
      <w:r w:rsidRPr="009B1613">
        <w:rPr>
          <w:rFonts w:hint="eastAsia"/>
          <w:rtl/>
        </w:rPr>
        <w:t>היתר</w:t>
      </w:r>
      <w:r w:rsidRPr="009B1613">
        <w:rPr>
          <w:rtl/>
        </w:rPr>
        <w:t xml:space="preserve"> </w:t>
      </w:r>
      <w:r w:rsidRPr="009B1613">
        <w:rPr>
          <w:rFonts w:hint="eastAsia"/>
          <w:rtl/>
        </w:rPr>
        <w:t>על</w:t>
      </w:r>
      <w:r w:rsidRPr="009B1613">
        <w:rPr>
          <w:rtl/>
        </w:rPr>
        <w:t xml:space="preserve"> </w:t>
      </w:r>
      <w:r w:rsidRPr="009B1613">
        <w:rPr>
          <w:rFonts w:hint="eastAsia"/>
          <w:rtl/>
        </w:rPr>
        <w:t>אופן</w:t>
      </w:r>
      <w:r w:rsidRPr="009B1613">
        <w:rPr>
          <w:rtl/>
        </w:rPr>
        <w:t xml:space="preserve"> </w:t>
      </w:r>
      <w:r w:rsidRPr="009B1613">
        <w:rPr>
          <w:rFonts w:hint="eastAsia"/>
          <w:rtl/>
        </w:rPr>
        <w:t>תגמול</w:t>
      </w:r>
      <w:r w:rsidRPr="009B1613">
        <w:rPr>
          <w:rtl/>
        </w:rPr>
        <w:t xml:space="preserve"> </w:t>
      </w:r>
      <w:r w:rsidRPr="009B1613">
        <w:rPr>
          <w:rFonts w:hint="eastAsia"/>
          <w:rtl/>
        </w:rPr>
        <w:t>הפסיכיאטרים</w:t>
      </w:r>
      <w:r>
        <w:rPr>
          <w:rFonts w:hint="cs"/>
          <w:rtl/>
        </w:rPr>
        <w:t xml:space="preserve"> </w:t>
      </w:r>
      <w:r w:rsidRPr="009B1613">
        <w:rPr>
          <w:rtl/>
        </w:rPr>
        <w:t xml:space="preserve">המחוזיים </w:t>
      </w:r>
      <w:r w:rsidRPr="009B1613">
        <w:rPr>
          <w:rFonts w:hint="eastAsia"/>
          <w:rtl/>
        </w:rPr>
        <w:t>וסגניהם</w:t>
      </w:r>
      <w:r w:rsidRPr="009B1613">
        <w:rPr>
          <w:rtl/>
        </w:rPr>
        <w:t xml:space="preserve"> עבור תוספת הכוננויות שתידרש מהם</w:t>
      </w:r>
      <w:r>
        <w:rPr>
          <w:rFonts w:hint="cs"/>
          <w:rtl/>
        </w:rPr>
        <w:t xml:space="preserve"> לטענתם</w:t>
      </w:r>
      <w:r w:rsidRPr="009B1613">
        <w:rPr>
          <w:rtl/>
        </w:rPr>
        <w:t xml:space="preserve">, </w:t>
      </w:r>
      <w:r>
        <w:rPr>
          <w:rFonts w:hint="cs"/>
          <w:rtl/>
        </w:rPr>
        <w:t xml:space="preserve">לא אושר </w:t>
      </w:r>
      <w:r w:rsidRPr="009B1613">
        <w:rPr>
          <w:rFonts w:hint="eastAsia"/>
          <w:rtl/>
        </w:rPr>
        <w:t>הפרויקט</w:t>
      </w:r>
      <w:r w:rsidRPr="009B1613">
        <w:rPr>
          <w:rtl/>
        </w:rPr>
        <w:t>.</w:t>
      </w:r>
      <w:r w:rsidRPr="009B1613">
        <w:rPr>
          <w:color w:val="FF0000"/>
          <w:rtl/>
        </w:rPr>
        <w:t xml:space="preserve"> </w:t>
      </w:r>
    </w:p>
    <w:p w14:paraId="540F991E" w14:textId="77777777" w:rsidR="00B51F5B" w:rsidRDefault="00B51F5B" w:rsidP="00B55D7C">
      <w:pPr>
        <w:pStyle w:val="100"/>
        <w:rPr>
          <w:rtl/>
        </w:rPr>
      </w:pPr>
      <w:r w:rsidRPr="006032D9">
        <w:rPr>
          <w:rFonts w:hint="eastAsia"/>
          <w:rtl/>
        </w:rPr>
        <w:t>חטיבת</w:t>
      </w:r>
      <w:r w:rsidRPr="006032D9">
        <w:rPr>
          <w:rtl/>
        </w:rPr>
        <w:t xml:space="preserve"> </w:t>
      </w:r>
      <w:r w:rsidRPr="006032D9">
        <w:rPr>
          <w:rFonts w:hint="eastAsia"/>
          <w:rtl/>
        </w:rPr>
        <w:t>המרכזים</w:t>
      </w:r>
      <w:r w:rsidRPr="006032D9">
        <w:rPr>
          <w:rtl/>
        </w:rPr>
        <w:t xml:space="preserve"> </w:t>
      </w:r>
      <w:r w:rsidRPr="006032D9">
        <w:rPr>
          <w:rFonts w:hint="eastAsia"/>
          <w:rtl/>
        </w:rPr>
        <w:t>הרפואיים</w:t>
      </w:r>
      <w:r w:rsidRPr="006032D9">
        <w:rPr>
          <w:rtl/>
        </w:rPr>
        <w:t xml:space="preserve"> </w:t>
      </w:r>
      <w:r w:rsidRPr="006032D9">
        <w:rPr>
          <w:rFonts w:hint="eastAsia"/>
          <w:rtl/>
        </w:rPr>
        <w:t>הממשלתיים</w:t>
      </w:r>
      <w:r>
        <w:rPr>
          <w:rFonts w:hint="cs"/>
          <w:rtl/>
        </w:rPr>
        <w:t xml:space="preserve"> במשרד</w:t>
      </w:r>
      <w:r w:rsidRPr="006032D9">
        <w:rPr>
          <w:rtl/>
        </w:rPr>
        <w:t xml:space="preserve"> </w:t>
      </w:r>
      <w:r>
        <w:rPr>
          <w:rFonts w:hint="cs"/>
          <w:rtl/>
        </w:rPr>
        <w:t xml:space="preserve">הבריאות </w:t>
      </w:r>
      <w:r w:rsidRPr="006032D9">
        <w:rPr>
          <w:rFonts w:hint="eastAsia"/>
          <w:rtl/>
        </w:rPr>
        <w:t>הציעה</w:t>
      </w:r>
      <w:r w:rsidRPr="006032D9">
        <w:rPr>
          <w:rtl/>
        </w:rPr>
        <w:t xml:space="preserve"> באוקטובר 2018</w:t>
      </w:r>
      <w:r w:rsidRPr="006032D9">
        <w:rPr>
          <w:rFonts w:hint="cs"/>
          <w:rtl/>
        </w:rPr>
        <w:t xml:space="preserve"> </w:t>
      </w:r>
      <w:r w:rsidRPr="006032D9">
        <w:rPr>
          <w:rFonts w:hint="eastAsia"/>
          <w:rtl/>
        </w:rPr>
        <w:t>מודל</w:t>
      </w:r>
      <w:r w:rsidRPr="006032D9">
        <w:rPr>
          <w:rtl/>
        </w:rPr>
        <w:t xml:space="preserve"> למתן </w:t>
      </w:r>
      <w:r w:rsidRPr="006032D9">
        <w:rPr>
          <w:rFonts w:hint="eastAsia"/>
          <w:rtl/>
        </w:rPr>
        <w:t>שירותי</w:t>
      </w:r>
      <w:r w:rsidRPr="006032D9">
        <w:rPr>
          <w:rtl/>
        </w:rPr>
        <w:t xml:space="preserve"> </w:t>
      </w:r>
      <w:r w:rsidRPr="006032D9">
        <w:rPr>
          <w:rFonts w:hint="eastAsia"/>
          <w:rtl/>
        </w:rPr>
        <w:t>חירום</w:t>
      </w:r>
      <w:r>
        <w:rPr>
          <w:rStyle w:val="FootnoteReference"/>
          <w:rtl/>
        </w:rPr>
        <w:footnoteReference w:id="58"/>
      </w:r>
      <w:r w:rsidRPr="006032D9">
        <w:rPr>
          <w:rtl/>
        </w:rPr>
        <w:t xml:space="preserve">, </w:t>
      </w:r>
      <w:r>
        <w:rPr>
          <w:rFonts w:hint="cs"/>
          <w:rtl/>
        </w:rPr>
        <w:t>ה</w:t>
      </w:r>
      <w:r w:rsidRPr="006032D9">
        <w:rPr>
          <w:rFonts w:hint="eastAsia"/>
          <w:rtl/>
        </w:rPr>
        <w:t>מתבסס</w:t>
      </w:r>
      <w:r w:rsidRPr="006032D9">
        <w:rPr>
          <w:rtl/>
        </w:rPr>
        <w:t xml:space="preserve"> </w:t>
      </w:r>
      <w:r w:rsidRPr="006032D9">
        <w:rPr>
          <w:rFonts w:hint="eastAsia"/>
          <w:rtl/>
        </w:rPr>
        <w:t>על</w:t>
      </w:r>
      <w:r w:rsidRPr="006032D9">
        <w:rPr>
          <w:rtl/>
        </w:rPr>
        <w:t xml:space="preserve"> צוותי חדרי המיון </w:t>
      </w:r>
      <w:r w:rsidRPr="006032D9">
        <w:rPr>
          <w:rFonts w:hint="eastAsia"/>
          <w:rtl/>
        </w:rPr>
        <w:t>בבתי</w:t>
      </w:r>
      <w:r w:rsidRPr="006032D9">
        <w:rPr>
          <w:rtl/>
        </w:rPr>
        <w:t xml:space="preserve"> </w:t>
      </w:r>
      <w:r w:rsidRPr="006032D9">
        <w:rPr>
          <w:rFonts w:hint="eastAsia"/>
          <w:rtl/>
        </w:rPr>
        <w:t>החולים</w:t>
      </w:r>
      <w:r>
        <w:rPr>
          <w:rFonts w:hint="cs"/>
          <w:rtl/>
        </w:rPr>
        <w:t xml:space="preserve"> הפסיכיאטריים</w:t>
      </w:r>
      <w:r w:rsidRPr="006032D9">
        <w:rPr>
          <w:rtl/>
        </w:rPr>
        <w:t xml:space="preserve">, </w:t>
      </w:r>
      <w:r>
        <w:rPr>
          <w:rFonts w:hint="cs"/>
          <w:rtl/>
        </w:rPr>
        <w:t>ש</w:t>
      </w:r>
      <w:r w:rsidRPr="006032D9">
        <w:rPr>
          <w:rtl/>
        </w:rPr>
        <w:t>אלי</w:t>
      </w:r>
      <w:r w:rsidRPr="006032D9">
        <w:rPr>
          <w:rFonts w:hint="eastAsia"/>
          <w:rtl/>
        </w:rPr>
        <w:t>הם</w:t>
      </w:r>
      <w:r w:rsidRPr="006032D9">
        <w:rPr>
          <w:rtl/>
        </w:rPr>
        <w:t xml:space="preserve"> יופנה </w:t>
      </w:r>
      <w:r w:rsidRPr="006032D9">
        <w:rPr>
          <w:rFonts w:hint="eastAsia"/>
          <w:rtl/>
        </w:rPr>
        <w:t>מטופל</w:t>
      </w:r>
      <w:r w:rsidRPr="006032D9">
        <w:rPr>
          <w:rtl/>
        </w:rPr>
        <w:t xml:space="preserve"> </w:t>
      </w:r>
      <w:r w:rsidRPr="006032D9">
        <w:rPr>
          <w:rFonts w:hint="eastAsia"/>
          <w:rtl/>
        </w:rPr>
        <w:t>אחר</w:t>
      </w:r>
      <w:r>
        <w:rPr>
          <w:rFonts w:hint="cs"/>
          <w:rtl/>
        </w:rPr>
        <w:t>י</w:t>
      </w:r>
      <w:r w:rsidRPr="006032D9">
        <w:rPr>
          <w:rtl/>
        </w:rPr>
        <w:t xml:space="preserve"> שפנה </w:t>
      </w:r>
      <w:r w:rsidRPr="006032D9">
        <w:rPr>
          <w:rFonts w:hint="eastAsia"/>
          <w:rtl/>
        </w:rPr>
        <w:t>לגורם</w:t>
      </w:r>
      <w:r w:rsidRPr="006032D9">
        <w:rPr>
          <w:rtl/>
        </w:rPr>
        <w:t xml:space="preserve"> </w:t>
      </w:r>
      <w:r w:rsidRPr="006032D9">
        <w:rPr>
          <w:rFonts w:hint="eastAsia"/>
          <w:rtl/>
        </w:rPr>
        <w:t>המקצועי</w:t>
      </w:r>
      <w:r w:rsidRPr="006032D9">
        <w:rPr>
          <w:rtl/>
        </w:rPr>
        <w:t xml:space="preserve"> </w:t>
      </w:r>
      <w:r w:rsidRPr="006032D9">
        <w:rPr>
          <w:rFonts w:hint="eastAsia"/>
          <w:rtl/>
        </w:rPr>
        <w:t>דרך</w:t>
      </w:r>
      <w:r w:rsidRPr="006032D9">
        <w:rPr>
          <w:rtl/>
        </w:rPr>
        <w:t xml:space="preserve"> </w:t>
      </w:r>
      <w:r w:rsidRPr="006032D9">
        <w:rPr>
          <w:rFonts w:hint="eastAsia"/>
          <w:rtl/>
        </w:rPr>
        <w:t>קופת</w:t>
      </w:r>
      <w:r w:rsidRPr="006032D9">
        <w:rPr>
          <w:rtl/>
        </w:rPr>
        <w:t xml:space="preserve"> </w:t>
      </w:r>
      <w:r w:rsidRPr="006032D9">
        <w:rPr>
          <w:rFonts w:hint="eastAsia"/>
          <w:rtl/>
        </w:rPr>
        <w:t>החולים</w:t>
      </w:r>
      <w:r w:rsidRPr="006032D9">
        <w:rPr>
          <w:rtl/>
        </w:rPr>
        <w:t xml:space="preserve"> </w:t>
      </w:r>
      <w:r w:rsidRPr="006032D9">
        <w:rPr>
          <w:rFonts w:hint="eastAsia"/>
          <w:rtl/>
        </w:rPr>
        <w:t>או</w:t>
      </w:r>
      <w:r w:rsidRPr="006032D9">
        <w:rPr>
          <w:rtl/>
        </w:rPr>
        <w:t xml:space="preserve"> </w:t>
      </w:r>
      <w:r>
        <w:rPr>
          <w:rFonts w:hint="cs"/>
          <w:rtl/>
        </w:rPr>
        <w:t xml:space="preserve">באמצעות </w:t>
      </w:r>
      <w:r w:rsidRPr="006032D9">
        <w:rPr>
          <w:rFonts w:hint="eastAsia"/>
          <w:rtl/>
        </w:rPr>
        <w:t>כל</w:t>
      </w:r>
      <w:r w:rsidRPr="006032D9">
        <w:rPr>
          <w:rtl/>
        </w:rPr>
        <w:t xml:space="preserve"> </w:t>
      </w:r>
      <w:r w:rsidRPr="006032D9">
        <w:rPr>
          <w:rFonts w:hint="eastAsia"/>
          <w:rtl/>
        </w:rPr>
        <w:t>גורם</w:t>
      </w:r>
      <w:r w:rsidRPr="006032D9">
        <w:rPr>
          <w:rtl/>
        </w:rPr>
        <w:t xml:space="preserve"> </w:t>
      </w:r>
      <w:r w:rsidRPr="006032D9">
        <w:rPr>
          <w:rFonts w:hint="eastAsia"/>
          <w:rtl/>
        </w:rPr>
        <w:t>אחר</w:t>
      </w:r>
      <w:r w:rsidRPr="006032D9">
        <w:rPr>
          <w:rtl/>
        </w:rPr>
        <w:t xml:space="preserve"> </w:t>
      </w:r>
      <w:r w:rsidRPr="006032D9">
        <w:rPr>
          <w:rFonts w:hint="eastAsia"/>
          <w:rtl/>
        </w:rPr>
        <w:t>בקהילה</w:t>
      </w:r>
      <w:r w:rsidRPr="006032D9">
        <w:rPr>
          <w:rtl/>
        </w:rPr>
        <w:t xml:space="preserve">. </w:t>
      </w:r>
      <w:r w:rsidRPr="006032D9">
        <w:rPr>
          <w:rFonts w:hint="eastAsia"/>
          <w:rtl/>
        </w:rPr>
        <w:t>כונן</w:t>
      </w:r>
      <w:r w:rsidRPr="006032D9">
        <w:rPr>
          <w:rtl/>
        </w:rPr>
        <w:t xml:space="preserve"> החירום של בית החולים </w:t>
      </w:r>
      <w:r w:rsidRPr="006032D9">
        <w:rPr>
          <w:rFonts w:hint="eastAsia"/>
          <w:rtl/>
        </w:rPr>
        <w:t>ייתן</w:t>
      </w:r>
      <w:r w:rsidRPr="006032D9">
        <w:rPr>
          <w:rtl/>
        </w:rPr>
        <w:t xml:space="preserve"> </w:t>
      </w:r>
      <w:r w:rsidRPr="006032D9">
        <w:rPr>
          <w:rFonts w:hint="eastAsia"/>
          <w:rtl/>
        </w:rPr>
        <w:t>מענה</w:t>
      </w:r>
      <w:r w:rsidRPr="006032D9">
        <w:rPr>
          <w:rtl/>
        </w:rPr>
        <w:t xml:space="preserve"> </w:t>
      </w:r>
      <w:r w:rsidRPr="006032D9">
        <w:rPr>
          <w:rFonts w:hint="eastAsia"/>
          <w:rtl/>
        </w:rPr>
        <w:t>מתאים</w:t>
      </w:r>
      <w:r w:rsidRPr="006032D9">
        <w:rPr>
          <w:rtl/>
        </w:rPr>
        <w:t xml:space="preserve"> </w:t>
      </w:r>
      <w:r>
        <w:rPr>
          <w:rFonts w:hint="cs"/>
          <w:rtl/>
        </w:rPr>
        <w:t>דוגמת</w:t>
      </w:r>
      <w:r w:rsidRPr="006032D9">
        <w:rPr>
          <w:rtl/>
        </w:rPr>
        <w:t xml:space="preserve"> </w:t>
      </w:r>
      <w:r w:rsidRPr="006032D9">
        <w:rPr>
          <w:rFonts w:hint="eastAsia"/>
          <w:rtl/>
        </w:rPr>
        <w:t>ייעוץ</w:t>
      </w:r>
      <w:r w:rsidRPr="006032D9">
        <w:rPr>
          <w:rtl/>
        </w:rPr>
        <w:t xml:space="preserve"> טלפוני, </w:t>
      </w:r>
      <w:r w:rsidRPr="006032D9">
        <w:rPr>
          <w:rFonts w:hint="eastAsia"/>
          <w:rtl/>
        </w:rPr>
        <w:t>הזנקת</w:t>
      </w:r>
      <w:r w:rsidRPr="006032D9">
        <w:rPr>
          <w:rtl/>
        </w:rPr>
        <w:t xml:space="preserve"> צוות חירום </w:t>
      </w:r>
      <w:r w:rsidRPr="006032D9">
        <w:rPr>
          <w:rFonts w:hint="eastAsia"/>
          <w:rtl/>
        </w:rPr>
        <w:t>של</w:t>
      </w:r>
      <w:r w:rsidRPr="006032D9">
        <w:rPr>
          <w:rtl/>
        </w:rPr>
        <w:t xml:space="preserve"> בית החולים </w:t>
      </w:r>
      <w:r w:rsidRPr="006032D9">
        <w:rPr>
          <w:rFonts w:hint="eastAsia"/>
          <w:rtl/>
        </w:rPr>
        <w:t>או</w:t>
      </w:r>
      <w:r w:rsidRPr="006032D9">
        <w:rPr>
          <w:rtl/>
        </w:rPr>
        <w:t xml:space="preserve"> </w:t>
      </w:r>
      <w:r w:rsidRPr="006032D9">
        <w:rPr>
          <w:rFonts w:hint="eastAsia"/>
          <w:rtl/>
        </w:rPr>
        <w:t>הפניה</w:t>
      </w:r>
      <w:r w:rsidRPr="006032D9">
        <w:rPr>
          <w:rtl/>
        </w:rPr>
        <w:t xml:space="preserve"> </w:t>
      </w:r>
      <w:r w:rsidRPr="006032D9">
        <w:rPr>
          <w:rFonts w:hint="eastAsia"/>
          <w:rtl/>
        </w:rPr>
        <w:t>להמשך</w:t>
      </w:r>
      <w:r w:rsidRPr="006032D9">
        <w:rPr>
          <w:rtl/>
        </w:rPr>
        <w:t xml:space="preserve"> </w:t>
      </w:r>
      <w:r w:rsidRPr="006032D9">
        <w:rPr>
          <w:rFonts w:hint="eastAsia"/>
          <w:rtl/>
        </w:rPr>
        <w:t>טיפול</w:t>
      </w:r>
      <w:r w:rsidRPr="006032D9">
        <w:rPr>
          <w:rtl/>
        </w:rPr>
        <w:t xml:space="preserve"> </w:t>
      </w:r>
      <w:r w:rsidRPr="006032D9">
        <w:rPr>
          <w:rFonts w:hint="eastAsia"/>
          <w:rtl/>
        </w:rPr>
        <w:t>בקהילה</w:t>
      </w:r>
      <w:r w:rsidRPr="006032D9">
        <w:rPr>
          <w:rtl/>
        </w:rPr>
        <w:t xml:space="preserve">. </w:t>
      </w:r>
      <w:r w:rsidRPr="006032D9">
        <w:rPr>
          <w:rFonts w:hint="eastAsia"/>
          <w:rtl/>
        </w:rPr>
        <w:t>אם</w:t>
      </w:r>
      <w:r w:rsidRPr="006032D9">
        <w:rPr>
          <w:rtl/>
        </w:rPr>
        <w:t xml:space="preserve"> </w:t>
      </w:r>
      <w:r w:rsidRPr="006032D9">
        <w:rPr>
          <w:rFonts w:hint="eastAsia"/>
          <w:rtl/>
        </w:rPr>
        <w:t>יוזנק</w:t>
      </w:r>
      <w:r w:rsidRPr="006032D9">
        <w:rPr>
          <w:rtl/>
        </w:rPr>
        <w:t xml:space="preserve"> </w:t>
      </w:r>
      <w:r w:rsidRPr="006032D9">
        <w:rPr>
          <w:rFonts w:hint="eastAsia"/>
          <w:rtl/>
        </w:rPr>
        <w:t>צוות</w:t>
      </w:r>
      <w:r w:rsidRPr="006032D9">
        <w:rPr>
          <w:rtl/>
        </w:rPr>
        <w:t xml:space="preserve"> </w:t>
      </w:r>
      <w:r w:rsidRPr="006032D9">
        <w:rPr>
          <w:rFonts w:hint="eastAsia"/>
          <w:rtl/>
        </w:rPr>
        <w:t>חירום</w:t>
      </w:r>
      <w:r>
        <w:rPr>
          <w:rFonts w:hint="cs"/>
          <w:rtl/>
        </w:rPr>
        <w:t>,</w:t>
      </w:r>
      <w:r w:rsidRPr="006032D9">
        <w:rPr>
          <w:rtl/>
        </w:rPr>
        <w:t xml:space="preserve"> </w:t>
      </w:r>
      <w:r w:rsidRPr="006032D9">
        <w:rPr>
          <w:rFonts w:hint="eastAsia"/>
          <w:rtl/>
        </w:rPr>
        <w:t>הוא</w:t>
      </w:r>
      <w:r w:rsidRPr="006032D9">
        <w:rPr>
          <w:rtl/>
        </w:rPr>
        <w:t xml:space="preserve"> ייתן י</w:t>
      </w:r>
      <w:r w:rsidRPr="006032D9">
        <w:rPr>
          <w:rFonts w:hint="eastAsia"/>
          <w:rtl/>
        </w:rPr>
        <w:t>יעוץ</w:t>
      </w:r>
      <w:r w:rsidRPr="006032D9">
        <w:rPr>
          <w:rtl/>
        </w:rPr>
        <w:t xml:space="preserve"> </w:t>
      </w:r>
      <w:r w:rsidRPr="006032D9">
        <w:rPr>
          <w:rFonts w:hint="eastAsia"/>
          <w:rtl/>
        </w:rPr>
        <w:t>או</w:t>
      </w:r>
      <w:r w:rsidRPr="006032D9">
        <w:rPr>
          <w:rtl/>
        </w:rPr>
        <w:t xml:space="preserve"> </w:t>
      </w:r>
      <w:r w:rsidRPr="006032D9">
        <w:rPr>
          <w:rFonts w:hint="eastAsia"/>
          <w:rtl/>
        </w:rPr>
        <w:t>הפניה</w:t>
      </w:r>
      <w:r w:rsidRPr="006032D9">
        <w:rPr>
          <w:rtl/>
        </w:rPr>
        <w:t xml:space="preserve">, טיפול במקום או </w:t>
      </w:r>
      <w:r w:rsidRPr="006032D9">
        <w:rPr>
          <w:rFonts w:hint="eastAsia"/>
          <w:rtl/>
        </w:rPr>
        <w:t>שיביא</w:t>
      </w:r>
      <w:r w:rsidRPr="006032D9">
        <w:rPr>
          <w:rtl/>
        </w:rPr>
        <w:t xml:space="preserve"> את המטופל </w:t>
      </w:r>
      <w:r w:rsidRPr="006032D9">
        <w:rPr>
          <w:rFonts w:hint="eastAsia"/>
          <w:rtl/>
        </w:rPr>
        <w:t>לאשפוז</w:t>
      </w:r>
      <w:r w:rsidRPr="006032D9">
        <w:rPr>
          <w:rtl/>
        </w:rPr>
        <w:t xml:space="preserve"> מרצון או בכפייה. </w:t>
      </w:r>
      <w:r>
        <w:rPr>
          <w:rFonts w:hint="cs"/>
          <w:rtl/>
        </w:rPr>
        <w:t>האגף לבריאות הנפש הציע מודל נוסף, המסתמך על מודל בריטי, ולפיו מרפאות אחראיות על אזורי מגורים מוגדרים. המרפאות כוללות: צוות מרפאה המטפל במרפאה ובמידת הצורך גם מקיים ביקורי בית; צוות משבר המגיע לבתי המטופלים במצבי משבר ומעניק טיפול או מחליט על אשפוז במקרה הצורך.</w:t>
      </w:r>
      <w:r w:rsidRPr="000E2FAB">
        <w:rPr>
          <w:rFonts w:hint="eastAsia"/>
          <w:rtl/>
        </w:rPr>
        <w:t xml:space="preserve"> </w:t>
      </w:r>
    </w:p>
    <w:p w14:paraId="31A2BBD6" w14:textId="77777777" w:rsidR="00B51F5B" w:rsidRDefault="00B51F5B" w:rsidP="00B55D7C">
      <w:pPr>
        <w:pStyle w:val="100"/>
        <w:rPr>
          <w:rtl/>
        </w:rPr>
      </w:pPr>
      <w:r>
        <w:rPr>
          <w:rFonts w:hint="cs"/>
          <w:rtl/>
        </w:rPr>
        <w:t xml:space="preserve">משרד הבריאות מסר בתשובתו כי </w:t>
      </w:r>
      <w:r>
        <w:rPr>
          <w:rtl/>
        </w:rPr>
        <w:t xml:space="preserve">פעל מול הממונה על השכר במשרד </w:t>
      </w:r>
      <w:r>
        <w:rPr>
          <w:rFonts w:hint="cs"/>
          <w:rtl/>
        </w:rPr>
        <w:t>האוצר</w:t>
      </w:r>
      <w:r>
        <w:rPr>
          <w:rtl/>
        </w:rPr>
        <w:t xml:space="preserve"> במטרה להביא לתוספת </w:t>
      </w:r>
      <w:r>
        <w:rPr>
          <w:rFonts w:hint="cs"/>
          <w:rtl/>
        </w:rPr>
        <w:t xml:space="preserve">ניכרת </w:t>
      </w:r>
      <w:r>
        <w:rPr>
          <w:rtl/>
        </w:rPr>
        <w:t>בשכר</w:t>
      </w:r>
      <w:r>
        <w:rPr>
          <w:rFonts w:hint="cs"/>
          <w:rtl/>
        </w:rPr>
        <w:t>ם</w:t>
      </w:r>
      <w:r>
        <w:rPr>
          <w:rtl/>
        </w:rPr>
        <w:t xml:space="preserve"> של הפסיכיאטרים המחוזיים כדי שי</w:t>
      </w:r>
      <w:r>
        <w:rPr>
          <w:rFonts w:hint="cs"/>
          <w:rtl/>
        </w:rPr>
        <w:t>י</w:t>
      </w:r>
      <w:r>
        <w:rPr>
          <w:rtl/>
        </w:rPr>
        <w:t>תנו מענה למוקד מד"א בעת הצורך</w:t>
      </w:r>
      <w:r>
        <w:rPr>
          <w:rFonts w:hint="cs"/>
          <w:rtl/>
        </w:rPr>
        <w:t xml:space="preserve">, </w:t>
      </w:r>
      <w:r w:rsidRPr="00855B93">
        <w:rPr>
          <w:rFonts w:hint="eastAsia"/>
          <w:rtl/>
        </w:rPr>
        <w:t>אולם</w:t>
      </w:r>
      <w:r w:rsidRPr="00855B93">
        <w:rPr>
          <w:rtl/>
        </w:rPr>
        <w:t xml:space="preserve"> הפסיכיאטרים </w:t>
      </w:r>
      <w:r w:rsidRPr="00855B93">
        <w:rPr>
          <w:rFonts w:hint="eastAsia"/>
          <w:rtl/>
        </w:rPr>
        <w:t>המחוזיים</w:t>
      </w:r>
      <w:r>
        <w:rPr>
          <w:rFonts w:hint="cs"/>
          <w:rtl/>
        </w:rPr>
        <w:t>,</w:t>
      </w:r>
      <w:r w:rsidRPr="00855B93">
        <w:rPr>
          <w:rtl/>
        </w:rPr>
        <w:t xml:space="preserve"> בגיבוי ההסתדרות הרפואית בישראל (</w:t>
      </w:r>
      <w:r w:rsidRPr="00855B93">
        <w:rPr>
          <w:rFonts w:hint="eastAsia"/>
          <w:rtl/>
        </w:rPr>
        <w:t>להלן</w:t>
      </w:r>
      <w:r w:rsidRPr="00855B93">
        <w:rPr>
          <w:rtl/>
        </w:rPr>
        <w:t xml:space="preserve"> - </w:t>
      </w:r>
      <w:r w:rsidRPr="00855B93">
        <w:rPr>
          <w:rFonts w:hint="eastAsia"/>
          <w:rtl/>
        </w:rPr>
        <w:t>הר</w:t>
      </w:r>
      <w:r w:rsidRPr="00855B93">
        <w:rPr>
          <w:rtl/>
        </w:rPr>
        <w:t>"י), מתנגדים לכך.</w:t>
      </w:r>
      <w:r>
        <w:rPr>
          <w:rtl/>
        </w:rPr>
        <w:t xml:space="preserve"> </w:t>
      </w:r>
      <w:r>
        <w:rPr>
          <w:rFonts w:hint="cs"/>
          <w:rtl/>
        </w:rPr>
        <w:t>לכן,</w:t>
      </w:r>
      <w:r>
        <w:rPr>
          <w:rtl/>
        </w:rPr>
        <w:t xml:space="preserve"> </w:t>
      </w:r>
      <w:r>
        <w:rPr>
          <w:rFonts w:hint="cs"/>
          <w:rtl/>
        </w:rPr>
        <w:t>המשרד בוחן</w:t>
      </w:r>
      <w:r>
        <w:rPr>
          <w:rtl/>
        </w:rPr>
        <w:t xml:space="preserve"> אפשרויות </w:t>
      </w:r>
      <w:r>
        <w:rPr>
          <w:rFonts w:hint="cs"/>
          <w:rtl/>
        </w:rPr>
        <w:t xml:space="preserve">למתן </w:t>
      </w:r>
      <w:r>
        <w:rPr>
          <w:rtl/>
        </w:rPr>
        <w:t xml:space="preserve">מענה למוקד מד"א נפשי </w:t>
      </w:r>
      <w:r>
        <w:rPr>
          <w:rFonts w:hint="cs"/>
          <w:rtl/>
        </w:rPr>
        <w:t xml:space="preserve">באמצעות </w:t>
      </w:r>
      <w:r>
        <w:rPr>
          <w:rtl/>
        </w:rPr>
        <w:t>פסיכיאטרים אחרי</w:t>
      </w:r>
      <w:r>
        <w:rPr>
          <w:rFonts w:hint="cs"/>
          <w:rtl/>
        </w:rPr>
        <w:t xml:space="preserve">ם. המשרד הוסיף וציין כי הוא </w:t>
      </w:r>
      <w:r>
        <w:rPr>
          <w:rtl/>
        </w:rPr>
        <w:t xml:space="preserve">ימשיך ויקדם </w:t>
      </w:r>
      <w:r>
        <w:rPr>
          <w:rFonts w:hint="cs"/>
          <w:rtl/>
        </w:rPr>
        <w:t xml:space="preserve">את הנושא </w:t>
      </w:r>
      <w:r>
        <w:rPr>
          <w:rtl/>
        </w:rPr>
        <w:t>בתכנית העבודה</w:t>
      </w:r>
      <w:r>
        <w:rPr>
          <w:rFonts w:hint="cs"/>
          <w:rtl/>
        </w:rPr>
        <w:t xml:space="preserve"> שלו לשנת</w:t>
      </w:r>
      <w:r>
        <w:rPr>
          <w:rtl/>
        </w:rPr>
        <w:t xml:space="preserve"> </w:t>
      </w:r>
      <w:r>
        <w:rPr>
          <w:rFonts w:hint="cs"/>
          <w:rtl/>
        </w:rPr>
        <w:t xml:space="preserve">2020 גם מול משרד האוצר. </w:t>
      </w:r>
    </w:p>
    <w:p w14:paraId="48218CAE" w14:textId="77777777" w:rsidR="00B51F5B" w:rsidRDefault="00B51F5B" w:rsidP="00B55D7C">
      <w:pPr>
        <w:pStyle w:val="100"/>
        <w:rPr>
          <w:rtl/>
        </w:rPr>
      </w:pPr>
      <w:r>
        <w:rPr>
          <w:rFonts w:hint="cs"/>
          <w:rtl/>
        </w:rPr>
        <w:t xml:space="preserve">אגף השכר והסכמי עבודה במשרד האוצר מסר בדצמבר 2019 כי הוא מוכן להמשיך ולדון במתווה התגמול שגיבש עם משרד הבריאות ושנתקל בהתנגדות הר"י. </w:t>
      </w:r>
    </w:p>
    <w:p w14:paraId="18A3D9F3" w14:textId="77777777" w:rsidR="00B51F5B" w:rsidRDefault="00B51F5B" w:rsidP="00B55D7C">
      <w:pPr>
        <w:pStyle w:val="100"/>
        <w:rPr>
          <w:rtl/>
        </w:rPr>
      </w:pPr>
      <w:r>
        <w:rPr>
          <w:rFonts w:hint="cs"/>
          <w:rtl/>
        </w:rPr>
        <w:t xml:space="preserve">הר"י מסרה בדצמבר 2019 כי התגמול שהוצע לפסיכיאטרים עבור הפעלת המודל אינו משקף את השינוי המשמעותי בהיקף העבודה הנוספת. </w:t>
      </w:r>
    </w:p>
    <w:p w14:paraId="160EFE15" w14:textId="5C88667D" w:rsidR="00B51F5B" w:rsidRPr="00704692" w:rsidRDefault="00B51F5B" w:rsidP="0081707B">
      <w:pPr>
        <w:pStyle w:val="af5"/>
        <w:rPr>
          <w:rtl/>
        </w:rPr>
      </w:pPr>
      <w:r w:rsidRPr="00D46EFB">
        <w:rPr>
          <w:rFonts w:hint="eastAsia"/>
          <w:rtl/>
        </w:rPr>
        <w:t>נכון</w:t>
      </w:r>
      <w:r w:rsidRPr="00D46EFB">
        <w:rPr>
          <w:rtl/>
        </w:rPr>
        <w:t xml:space="preserve"> </w:t>
      </w:r>
      <w:r w:rsidRPr="00D46EFB">
        <w:rPr>
          <w:rFonts w:hint="eastAsia"/>
          <w:rtl/>
        </w:rPr>
        <w:t>למועד</w:t>
      </w:r>
      <w:r w:rsidRPr="00D46EFB">
        <w:rPr>
          <w:rtl/>
        </w:rPr>
        <w:t xml:space="preserve"> </w:t>
      </w:r>
      <w:r w:rsidRPr="00D46EFB">
        <w:rPr>
          <w:rFonts w:hint="eastAsia"/>
          <w:rtl/>
        </w:rPr>
        <w:t>סיום</w:t>
      </w:r>
      <w:r w:rsidRPr="00D46EFB">
        <w:rPr>
          <w:rtl/>
        </w:rPr>
        <w:t xml:space="preserve"> </w:t>
      </w:r>
      <w:r w:rsidRPr="00D46EFB">
        <w:rPr>
          <w:rFonts w:hint="eastAsia"/>
          <w:rtl/>
        </w:rPr>
        <w:t>הביקורת</w:t>
      </w:r>
      <w:r w:rsidRPr="00D46EFB">
        <w:rPr>
          <w:rtl/>
        </w:rPr>
        <w:t xml:space="preserve"> </w:t>
      </w:r>
      <w:r>
        <w:rPr>
          <w:rFonts w:hint="cs"/>
          <w:rtl/>
        </w:rPr>
        <w:t>שום מ</w:t>
      </w:r>
      <w:r w:rsidRPr="00FF2EC0">
        <w:rPr>
          <w:rFonts w:hint="eastAsia"/>
          <w:rtl/>
        </w:rPr>
        <w:t>ודל</w:t>
      </w:r>
      <w:r w:rsidRPr="00FF2EC0">
        <w:rPr>
          <w:rtl/>
        </w:rPr>
        <w:t xml:space="preserve"> </w:t>
      </w:r>
      <w:r>
        <w:rPr>
          <w:rFonts w:hint="cs"/>
          <w:rtl/>
        </w:rPr>
        <w:t>ל</w:t>
      </w:r>
      <w:r w:rsidRPr="00110577">
        <w:rPr>
          <w:rFonts w:hint="eastAsia"/>
          <w:rtl/>
        </w:rPr>
        <w:t>התערבות</w:t>
      </w:r>
      <w:r w:rsidRPr="00110577">
        <w:rPr>
          <w:rtl/>
        </w:rPr>
        <w:t xml:space="preserve"> </w:t>
      </w:r>
      <w:r w:rsidRPr="00D46EFB">
        <w:rPr>
          <w:rFonts w:hint="eastAsia"/>
          <w:rtl/>
        </w:rPr>
        <w:t>מיידית</w:t>
      </w:r>
      <w:r w:rsidRPr="00D46EFB">
        <w:rPr>
          <w:rtl/>
        </w:rPr>
        <w:t xml:space="preserve"> </w:t>
      </w:r>
      <w:r w:rsidRPr="00D46EFB">
        <w:rPr>
          <w:rFonts w:hint="eastAsia"/>
          <w:rtl/>
        </w:rPr>
        <w:t>במצבי</w:t>
      </w:r>
      <w:r w:rsidRPr="00D46EFB">
        <w:rPr>
          <w:rtl/>
        </w:rPr>
        <w:t xml:space="preserve"> </w:t>
      </w:r>
      <w:r w:rsidRPr="00D46EFB">
        <w:rPr>
          <w:rFonts w:hint="eastAsia"/>
          <w:rtl/>
        </w:rPr>
        <w:t>חירום</w:t>
      </w:r>
      <w:r w:rsidRPr="00D46EFB">
        <w:rPr>
          <w:rtl/>
        </w:rPr>
        <w:t xml:space="preserve"> </w:t>
      </w:r>
      <w:r w:rsidRPr="00D46EFB">
        <w:rPr>
          <w:rFonts w:hint="eastAsia"/>
          <w:rtl/>
        </w:rPr>
        <w:t>לא</w:t>
      </w:r>
      <w:r w:rsidRPr="00D46EFB">
        <w:rPr>
          <w:rtl/>
        </w:rPr>
        <w:t xml:space="preserve"> </w:t>
      </w:r>
      <w:r w:rsidRPr="00D46EFB">
        <w:rPr>
          <w:rFonts w:hint="eastAsia"/>
          <w:rtl/>
        </w:rPr>
        <w:t>קוּדם</w:t>
      </w:r>
      <w:r w:rsidRPr="00D46EFB">
        <w:rPr>
          <w:rFonts w:hint="cs"/>
          <w:rtl/>
        </w:rPr>
        <w:t xml:space="preserve"> ובכלל זה</w:t>
      </w:r>
      <w:r w:rsidRPr="00D46EFB">
        <w:rPr>
          <w:rtl/>
        </w:rPr>
        <w:t xml:space="preserve"> </w:t>
      </w:r>
      <w:r w:rsidRPr="00D46EFB">
        <w:rPr>
          <w:rFonts w:hint="cs"/>
          <w:rtl/>
        </w:rPr>
        <w:t xml:space="preserve">טרם הוסדר נושא התגמול במודל ההפעלה של מד"א נפשי. ככל שהמודל של מד"א נפשי יאומץ, </w:t>
      </w:r>
      <w:r w:rsidRPr="00D46EFB">
        <w:rPr>
          <w:rtl/>
        </w:rPr>
        <w:t>מומלץ כי כלל המעורבים</w:t>
      </w:r>
      <w:r w:rsidRPr="00D46EFB">
        <w:rPr>
          <w:rFonts w:hint="cs"/>
          <w:rtl/>
        </w:rPr>
        <w:t xml:space="preserve"> -</w:t>
      </w:r>
      <w:r w:rsidRPr="00D46EFB">
        <w:rPr>
          <w:rtl/>
        </w:rPr>
        <w:t xml:space="preserve"> משרד הבריאות, משרד האוצר </w:t>
      </w:r>
      <w:r w:rsidRPr="00D46EFB">
        <w:rPr>
          <w:rFonts w:hint="eastAsia"/>
          <w:rtl/>
        </w:rPr>
        <w:t>והר</w:t>
      </w:r>
      <w:r w:rsidRPr="00D46EFB">
        <w:rPr>
          <w:rtl/>
        </w:rPr>
        <w:t>"י</w:t>
      </w:r>
      <w:r w:rsidRPr="00D46EFB">
        <w:rPr>
          <w:rFonts w:hint="cs"/>
          <w:rtl/>
        </w:rPr>
        <w:t>,</w:t>
      </w:r>
      <w:r w:rsidRPr="00D46EFB">
        <w:rPr>
          <w:rtl/>
        </w:rPr>
        <w:t xml:space="preserve"> </w:t>
      </w:r>
      <w:r w:rsidRPr="00D46EFB">
        <w:rPr>
          <w:rFonts w:hint="eastAsia"/>
          <w:rtl/>
        </w:rPr>
        <w:t>ישלימו</w:t>
      </w:r>
      <w:r w:rsidRPr="00D46EFB">
        <w:rPr>
          <w:rtl/>
        </w:rPr>
        <w:t xml:space="preserve"> </w:t>
      </w:r>
      <w:r w:rsidRPr="00D46EFB">
        <w:rPr>
          <w:rFonts w:hint="eastAsia"/>
          <w:rtl/>
        </w:rPr>
        <w:t>את</w:t>
      </w:r>
      <w:r w:rsidRPr="00D46EFB">
        <w:rPr>
          <w:rtl/>
        </w:rPr>
        <w:t xml:space="preserve"> </w:t>
      </w:r>
      <w:r w:rsidRPr="00D46EFB">
        <w:rPr>
          <w:rFonts w:hint="eastAsia"/>
          <w:rtl/>
        </w:rPr>
        <w:t>המ</w:t>
      </w:r>
      <w:r w:rsidRPr="00D46EFB">
        <w:rPr>
          <w:rFonts w:hint="cs"/>
          <w:rtl/>
        </w:rPr>
        <w:t>שא ומתן בנושא</w:t>
      </w:r>
      <w:r w:rsidRPr="00D46EFB">
        <w:rPr>
          <w:rtl/>
        </w:rPr>
        <w:t xml:space="preserve"> </w:t>
      </w:r>
      <w:r w:rsidRPr="00D46EFB">
        <w:rPr>
          <w:rFonts w:hint="eastAsia"/>
          <w:rtl/>
        </w:rPr>
        <w:t>על</w:t>
      </w:r>
      <w:r w:rsidRPr="00D46EFB">
        <w:rPr>
          <w:rtl/>
        </w:rPr>
        <w:t xml:space="preserve"> </w:t>
      </w:r>
      <w:r w:rsidRPr="00D46EFB">
        <w:rPr>
          <w:rFonts w:hint="eastAsia"/>
          <w:rtl/>
        </w:rPr>
        <w:t>מנת</w:t>
      </w:r>
      <w:r w:rsidRPr="00D46EFB">
        <w:rPr>
          <w:rtl/>
        </w:rPr>
        <w:t xml:space="preserve"> </w:t>
      </w:r>
      <w:r w:rsidRPr="00D46EFB">
        <w:rPr>
          <w:rFonts w:hint="eastAsia"/>
          <w:rtl/>
        </w:rPr>
        <w:t>להפעיל</w:t>
      </w:r>
      <w:r w:rsidRPr="00D46EFB">
        <w:rPr>
          <w:rtl/>
        </w:rPr>
        <w:t xml:space="preserve"> </w:t>
      </w:r>
      <w:r w:rsidRPr="00D46EFB">
        <w:rPr>
          <w:rFonts w:hint="eastAsia"/>
          <w:rtl/>
        </w:rPr>
        <w:t>את</w:t>
      </w:r>
      <w:r w:rsidRPr="00D46EFB">
        <w:rPr>
          <w:rtl/>
        </w:rPr>
        <w:t xml:space="preserve"> </w:t>
      </w:r>
      <w:r w:rsidRPr="00D46EFB">
        <w:rPr>
          <w:rFonts w:hint="eastAsia"/>
          <w:rtl/>
        </w:rPr>
        <w:t>המודל</w:t>
      </w:r>
      <w:r w:rsidRPr="00D46EFB">
        <w:rPr>
          <w:rtl/>
        </w:rPr>
        <w:t>.</w:t>
      </w:r>
      <w:r>
        <w:rPr>
          <w:rFonts w:hint="cs"/>
          <w:rtl/>
        </w:rPr>
        <w:t xml:space="preserve"> </w:t>
      </w:r>
    </w:p>
    <w:p w14:paraId="58362E04" w14:textId="77777777" w:rsidR="00B51F5B" w:rsidRPr="009E16C9" w:rsidRDefault="00B51F5B" w:rsidP="0081707B">
      <w:pPr>
        <w:pStyle w:val="5115"/>
        <w:rPr>
          <w:rtl/>
        </w:rPr>
      </w:pPr>
      <w:r>
        <w:rPr>
          <w:rFonts w:hint="cs"/>
          <w:rtl/>
        </w:rPr>
        <w:t>"בית מאזן" כ</w:t>
      </w:r>
      <w:r w:rsidRPr="009E16C9">
        <w:rPr>
          <w:rFonts w:hint="eastAsia"/>
          <w:rtl/>
        </w:rPr>
        <w:t>מסגרת</w:t>
      </w:r>
      <w:r w:rsidRPr="009E16C9">
        <w:rPr>
          <w:rtl/>
        </w:rPr>
        <w:t xml:space="preserve"> </w:t>
      </w:r>
      <w:r w:rsidRPr="009E16C9">
        <w:rPr>
          <w:rFonts w:hint="eastAsia"/>
          <w:rtl/>
        </w:rPr>
        <w:t>חלופית</w:t>
      </w:r>
      <w:r w:rsidRPr="009E16C9">
        <w:rPr>
          <w:rtl/>
        </w:rPr>
        <w:t xml:space="preserve"> </w:t>
      </w:r>
      <w:r w:rsidRPr="009E16C9">
        <w:rPr>
          <w:rFonts w:hint="eastAsia"/>
          <w:rtl/>
        </w:rPr>
        <w:t>לאשפוז</w:t>
      </w:r>
      <w:r w:rsidRPr="009E16C9">
        <w:rPr>
          <w:rtl/>
        </w:rPr>
        <w:t xml:space="preserve"> </w:t>
      </w:r>
      <w:r>
        <w:rPr>
          <w:rFonts w:hint="cs"/>
          <w:rtl/>
        </w:rPr>
        <w:t>פסיכיאטרי</w:t>
      </w:r>
    </w:p>
    <w:p w14:paraId="03E47481" w14:textId="77777777" w:rsidR="00B51F5B" w:rsidRDefault="00B51F5B" w:rsidP="0081707B">
      <w:pPr>
        <w:pStyle w:val="100"/>
        <w:rPr>
          <w:rtl/>
        </w:rPr>
      </w:pPr>
      <w:r w:rsidRPr="009E16C9">
        <w:rPr>
          <w:rFonts w:hint="eastAsia"/>
          <w:rtl/>
        </w:rPr>
        <w:t>בית</w:t>
      </w:r>
      <w:r w:rsidRPr="009E16C9">
        <w:rPr>
          <w:rtl/>
        </w:rPr>
        <w:t xml:space="preserve"> מ</w:t>
      </w:r>
      <w:r>
        <w:rPr>
          <w:rFonts w:hint="cs"/>
          <w:rtl/>
        </w:rPr>
        <w:t>ְ</w:t>
      </w:r>
      <w:r w:rsidRPr="009E16C9">
        <w:rPr>
          <w:rtl/>
        </w:rPr>
        <w:t>א</w:t>
      </w:r>
      <w:r>
        <w:rPr>
          <w:rFonts w:hint="cs"/>
          <w:rtl/>
        </w:rPr>
        <w:t>ַזֵּ</w:t>
      </w:r>
      <w:r w:rsidRPr="009E16C9">
        <w:rPr>
          <w:rtl/>
        </w:rPr>
        <w:t>ן ה</w:t>
      </w:r>
      <w:r>
        <w:rPr>
          <w:rFonts w:hint="cs"/>
          <w:rtl/>
        </w:rPr>
        <w:t>וא</w:t>
      </w:r>
      <w:r w:rsidRPr="009E16C9">
        <w:rPr>
          <w:rtl/>
        </w:rPr>
        <w:t xml:space="preserve"> מסגרת חלופית המיועדת לבגירים </w:t>
      </w:r>
      <w:r>
        <w:rPr>
          <w:rFonts w:hint="cs"/>
          <w:rtl/>
        </w:rPr>
        <w:t>הנמצאים במשבר נפשי חריף</w:t>
      </w:r>
      <w:r w:rsidRPr="009E16C9">
        <w:rPr>
          <w:rtl/>
        </w:rPr>
        <w:t xml:space="preserve"> אשר אינם יכולים להישאר במסגרת המגורים וזקוקים למענה אינטנסיבי יותר מטיפול אמבולטורי</w:t>
      </w:r>
      <w:r>
        <w:rPr>
          <w:rFonts w:hint="cs"/>
          <w:rtl/>
        </w:rPr>
        <w:t>,</w:t>
      </w:r>
      <w:r w:rsidRPr="009E16C9">
        <w:rPr>
          <w:rtl/>
        </w:rPr>
        <w:t xml:space="preserve"> במטרה לסייע להם לחזור לשגרת חיי</w:t>
      </w:r>
      <w:r w:rsidRPr="009E16C9">
        <w:rPr>
          <w:rFonts w:hint="eastAsia"/>
          <w:rtl/>
        </w:rPr>
        <w:t>הם</w:t>
      </w:r>
      <w:r w:rsidRPr="009E16C9">
        <w:rPr>
          <w:rtl/>
        </w:rPr>
        <w:t xml:space="preserve"> </w:t>
      </w:r>
      <w:r w:rsidRPr="009E16C9">
        <w:rPr>
          <w:rFonts w:hint="eastAsia"/>
          <w:rtl/>
        </w:rPr>
        <w:t>ולמנוע</w:t>
      </w:r>
      <w:r w:rsidRPr="009E16C9">
        <w:rPr>
          <w:rtl/>
        </w:rPr>
        <w:t xml:space="preserve"> </w:t>
      </w:r>
      <w:r w:rsidRPr="009E16C9">
        <w:rPr>
          <w:rFonts w:hint="eastAsia"/>
          <w:rtl/>
        </w:rPr>
        <w:t>אשפוז</w:t>
      </w:r>
      <w:r w:rsidRPr="009E16C9">
        <w:rPr>
          <w:rtl/>
        </w:rPr>
        <w:t xml:space="preserve">. </w:t>
      </w:r>
      <w:r>
        <w:rPr>
          <w:rFonts w:hint="cs"/>
          <w:rtl/>
        </w:rPr>
        <w:t xml:space="preserve">לפי </w:t>
      </w:r>
      <w:r w:rsidRPr="009E16C9">
        <w:rPr>
          <w:rtl/>
        </w:rPr>
        <w:t>מודל הבית המאזן, שפותח בשנות ה</w:t>
      </w:r>
      <w:r>
        <w:rPr>
          <w:rFonts w:hint="cs"/>
          <w:rtl/>
        </w:rPr>
        <w:t>שבעים והשמונים</w:t>
      </w:r>
      <w:r w:rsidRPr="009E16C9">
        <w:rPr>
          <w:rtl/>
        </w:rPr>
        <w:t xml:space="preserve"> של המאה העשרים, </w:t>
      </w:r>
      <w:r>
        <w:rPr>
          <w:rFonts w:hint="cs"/>
          <w:rtl/>
        </w:rPr>
        <w:t>מנהלים</w:t>
      </w:r>
      <w:r w:rsidRPr="009E16C9">
        <w:rPr>
          <w:rtl/>
        </w:rPr>
        <w:t xml:space="preserve"> </w:t>
      </w:r>
      <w:r w:rsidRPr="009E16C9">
        <w:rPr>
          <w:rFonts w:hint="eastAsia"/>
          <w:rtl/>
        </w:rPr>
        <w:t>כעשרה</w:t>
      </w:r>
      <w:r w:rsidRPr="009E16C9">
        <w:rPr>
          <w:rtl/>
        </w:rPr>
        <w:t xml:space="preserve"> </w:t>
      </w:r>
      <w:r w:rsidRPr="009E16C9">
        <w:rPr>
          <w:rFonts w:hint="eastAsia"/>
          <w:rtl/>
        </w:rPr>
        <w:t>דיירים</w:t>
      </w:r>
      <w:r w:rsidRPr="009E16C9">
        <w:rPr>
          <w:rtl/>
        </w:rPr>
        <w:t xml:space="preserve"> </w:t>
      </w:r>
      <w:r w:rsidRPr="009E16C9">
        <w:rPr>
          <w:rFonts w:hint="eastAsia"/>
          <w:rtl/>
        </w:rPr>
        <w:t>וצוות</w:t>
      </w:r>
      <w:r>
        <w:rPr>
          <w:rFonts w:hint="cs"/>
          <w:rtl/>
        </w:rPr>
        <w:t xml:space="preserve"> חיים משותפים בבית</w:t>
      </w:r>
      <w:r w:rsidRPr="009E16C9">
        <w:rPr>
          <w:rtl/>
        </w:rPr>
        <w:t xml:space="preserve">, </w:t>
      </w:r>
      <w:r>
        <w:rPr>
          <w:rFonts w:hint="cs"/>
          <w:rtl/>
        </w:rPr>
        <w:t xml:space="preserve">המאפשר </w:t>
      </w:r>
      <w:r w:rsidRPr="009E16C9">
        <w:rPr>
          <w:rFonts w:hint="eastAsia"/>
          <w:rtl/>
        </w:rPr>
        <w:t>מגוון</w:t>
      </w:r>
      <w:r w:rsidRPr="009E16C9">
        <w:rPr>
          <w:rtl/>
        </w:rPr>
        <w:t xml:space="preserve"> </w:t>
      </w:r>
      <w:r w:rsidRPr="009E16C9">
        <w:rPr>
          <w:rFonts w:hint="eastAsia"/>
          <w:rtl/>
        </w:rPr>
        <w:t>רחב</w:t>
      </w:r>
      <w:r w:rsidRPr="009E16C9">
        <w:rPr>
          <w:rtl/>
        </w:rPr>
        <w:t xml:space="preserve"> </w:t>
      </w:r>
      <w:r w:rsidRPr="009E16C9">
        <w:rPr>
          <w:rFonts w:hint="eastAsia"/>
          <w:rtl/>
        </w:rPr>
        <w:t>של</w:t>
      </w:r>
      <w:r w:rsidRPr="009E16C9">
        <w:rPr>
          <w:rtl/>
        </w:rPr>
        <w:t xml:space="preserve"> </w:t>
      </w:r>
      <w:r w:rsidRPr="009E16C9">
        <w:rPr>
          <w:rFonts w:hint="eastAsia"/>
          <w:rtl/>
        </w:rPr>
        <w:t>פעילויות</w:t>
      </w:r>
      <w:r w:rsidRPr="009E16C9">
        <w:rPr>
          <w:rtl/>
        </w:rPr>
        <w:t xml:space="preserve"> </w:t>
      </w:r>
      <w:r w:rsidRPr="009E16C9">
        <w:rPr>
          <w:rFonts w:hint="eastAsia"/>
          <w:rtl/>
        </w:rPr>
        <w:t>ותמיכה</w:t>
      </w:r>
      <w:r w:rsidRPr="009E16C9">
        <w:rPr>
          <w:rtl/>
        </w:rPr>
        <w:t xml:space="preserve"> </w:t>
      </w:r>
      <w:r w:rsidRPr="009E16C9">
        <w:rPr>
          <w:rFonts w:hint="eastAsia"/>
          <w:rtl/>
        </w:rPr>
        <w:t>למעגל</w:t>
      </w:r>
      <w:r w:rsidRPr="009E16C9">
        <w:rPr>
          <w:rtl/>
        </w:rPr>
        <w:t xml:space="preserve"> </w:t>
      </w:r>
      <w:r w:rsidRPr="009E16C9">
        <w:rPr>
          <w:rFonts w:hint="eastAsia"/>
          <w:rtl/>
        </w:rPr>
        <w:t>המשפחתי</w:t>
      </w:r>
      <w:r w:rsidRPr="009E16C9">
        <w:rPr>
          <w:rtl/>
        </w:rPr>
        <w:t xml:space="preserve"> </w:t>
      </w:r>
      <w:r w:rsidRPr="009E16C9">
        <w:rPr>
          <w:rFonts w:hint="eastAsia"/>
          <w:rtl/>
        </w:rPr>
        <w:t>חברתי</w:t>
      </w:r>
      <w:r>
        <w:rPr>
          <w:rStyle w:val="FootnoteReference"/>
          <w:rtl/>
        </w:rPr>
        <w:footnoteReference w:id="59"/>
      </w:r>
      <w:r w:rsidRPr="009E16C9">
        <w:rPr>
          <w:rtl/>
        </w:rPr>
        <w:t xml:space="preserve">. </w:t>
      </w:r>
      <w:r w:rsidRPr="009E16C9">
        <w:rPr>
          <w:rFonts w:hint="eastAsia"/>
          <w:rtl/>
        </w:rPr>
        <w:t>בספטמבר</w:t>
      </w:r>
      <w:r w:rsidRPr="009E16C9">
        <w:rPr>
          <w:rtl/>
        </w:rPr>
        <w:t xml:space="preserve"> 2017 </w:t>
      </w:r>
      <w:r w:rsidRPr="009E16C9">
        <w:rPr>
          <w:rFonts w:hint="eastAsia"/>
          <w:rtl/>
        </w:rPr>
        <w:t>פרסם</w:t>
      </w:r>
      <w:r w:rsidRPr="009E16C9">
        <w:rPr>
          <w:rtl/>
        </w:rPr>
        <w:t xml:space="preserve"> האגף לבריאות הנפש הנחיות ה</w:t>
      </w:r>
      <w:r w:rsidRPr="009E16C9">
        <w:rPr>
          <w:rFonts w:hint="eastAsia"/>
          <w:rtl/>
        </w:rPr>
        <w:t>מאפשרות</w:t>
      </w:r>
      <w:r w:rsidRPr="009E16C9">
        <w:rPr>
          <w:rtl/>
        </w:rPr>
        <w:t xml:space="preserve"> </w:t>
      </w:r>
      <w:r w:rsidRPr="009E16C9">
        <w:rPr>
          <w:rFonts w:hint="eastAsia"/>
          <w:rtl/>
        </w:rPr>
        <w:t>את</w:t>
      </w:r>
      <w:r w:rsidRPr="009E16C9">
        <w:rPr>
          <w:rtl/>
        </w:rPr>
        <w:t xml:space="preserve"> </w:t>
      </w:r>
      <w:r w:rsidRPr="009E16C9">
        <w:rPr>
          <w:rFonts w:hint="eastAsia"/>
          <w:rtl/>
        </w:rPr>
        <w:t>הפעלת</w:t>
      </w:r>
      <w:r w:rsidRPr="009E16C9">
        <w:rPr>
          <w:rtl/>
        </w:rPr>
        <w:t xml:space="preserve"> </w:t>
      </w:r>
      <w:r w:rsidRPr="009E16C9">
        <w:rPr>
          <w:rFonts w:hint="eastAsia"/>
          <w:rtl/>
        </w:rPr>
        <w:t>הבתים</w:t>
      </w:r>
      <w:r w:rsidRPr="009E16C9">
        <w:rPr>
          <w:rtl/>
        </w:rPr>
        <w:t xml:space="preserve"> </w:t>
      </w:r>
      <w:r w:rsidRPr="009E16C9">
        <w:rPr>
          <w:rFonts w:hint="eastAsia"/>
          <w:rtl/>
        </w:rPr>
        <w:t>המאזנים</w:t>
      </w:r>
      <w:r>
        <w:rPr>
          <w:rStyle w:val="FootnoteReference"/>
          <w:rtl/>
        </w:rPr>
        <w:footnoteReference w:id="60"/>
      </w:r>
      <w:r>
        <w:rPr>
          <w:rFonts w:hint="cs"/>
          <w:rtl/>
        </w:rPr>
        <w:t xml:space="preserve"> וקובעות, </w:t>
      </w:r>
      <w:r w:rsidRPr="009E16C9">
        <w:rPr>
          <w:rFonts w:hint="eastAsia"/>
          <w:rtl/>
        </w:rPr>
        <w:t>בין</w:t>
      </w:r>
      <w:r w:rsidRPr="009E16C9">
        <w:rPr>
          <w:rtl/>
        </w:rPr>
        <w:t xml:space="preserve"> </w:t>
      </w:r>
      <w:r w:rsidRPr="009E16C9">
        <w:rPr>
          <w:rFonts w:hint="eastAsia"/>
          <w:rtl/>
        </w:rPr>
        <w:t>היתר</w:t>
      </w:r>
      <w:r>
        <w:rPr>
          <w:rFonts w:hint="cs"/>
          <w:rtl/>
        </w:rPr>
        <w:t>,</w:t>
      </w:r>
      <w:r w:rsidRPr="009E16C9">
        <w:rPr>
          <w:rtl/>
        </w:rPr>
        <w:t xml:space="preserve"> </w:t>
      </w:r>
      <w:r w:rsidRPr="009E16C9">
        <w:rPr>
          <w:rFonts w:hint="eastAsia"/>
          <w:rtl/>
        </w:rPr>
        <w:t>כי</w:t>
      </w:r>
      <w:r w:rsidRPr="009E16C9">
        <w:rPr>
          <w:rtl/>
        </w:rPr>
        <w:t xml:space="preserve"> </w:t>
      </w:r>
      <w:r w:rsidRPr="009E16C9">
        <w:rPr>
          <w:rFonts w:hint="eastAsia"/>
          <w:rtl/>
        </w:rPr>
        <w:t>המסגרת</w:t>
      </w:r>
      <w:r w:rsidRPr="009E16C9">
        <w:rPr>
          <w:rtl/>
        </w:rPr>
        <w:t xml:space="preserve"> </w:t>
      </w:r>
      <w:r w:rsidRPr="009E16C9">
        <w:rPr>
          <w:rFonts w:hint="eastAsia"/>
          <w:rtl/>
        </w:rPr>
        <w:t>תספק</w:t>
      </w:r>
      <w:r w:rsidRPr="009E16C9">
        <w:rPr>
          <w:rtl/>
        </w:rPr>
        <w:t xml:space="preserve"> </w:t>
      </w:r>
      <w:r w:rsidRPr="009E16C9">
        <w:rPr>
          <w:rFonts w:hint="eastAsia"/>
          <w:rtl/>
        </w:rPr>
        <w:t>מעקב</w:t>
      </w:r>
      <w:r w:rsidRPr="009E16C9">
        <w:rPr>
          <w:rtl/>
        </w:rPr>
        <w:t xml:space="preserve"> </w:t>
      </w:r>
      <w:r w:rsidRPr="009E16C9">
        <w:rPr>
          <w:rFonts w:hint="eastAsia"/>
          <w:rtl/>
        </w:rPr>
        <w:t>פסיכיאטרי</w:t>
      </w:r>
      <w:r w:rsidRPr="009E16C9">
        <w:rPr>
          <w:rtl/>
        </w:rPr>
        <w:t xml:space="preserve">, </w:t>
      </w:r>
      <w:r w:rsidRPr="009E16C9">
        <w:rPr>
          <w:rFonts w:hint="eastAsia"/>
          <w:rtl/>
        </w:rPr>
        <w:t>פסיכותרפיה</w:t>
      </w:r>
      <w:r w:rsidRPr="009E16C9">
        <w:rPr>
          <w:rtl/>
        </w:rPr>
        <w:t xml:space="preserve">, </w:t>
      </w:r>
      <w:r w:rsidRPr="009E16C9">
        <w:rPr>
          <w:rFonts w:hint="eastAsia"/>
          <w:rtl/>
        </w:rPr>
        <w:t>הדרכה</w:t>
      </w:r>
      <w:r w:rsidRPr="009E16C9">
        <w:rPr>
          <w:rtl/>
        </w:rPr>
        <w:t xml:space="preserve"> </w:t>
      </w:r>
      <w:r w:rsidRPr="009E16C9">
        <w:rPr>
          <w:rFonts w:hint="eastAsia"/>
          <w:rtl/>
        </w:rPr>
        <w:t>משפחתית</w:t>
      </w:r>
      <w:r w:rsidRPr="009E16C9">
        <w:rPr>
          <w:rtl/>
        </w:rPr>
        <w:t xml:space="preserve">, </w:t>
      </w:r>
      <w:r w:rsidRPr="009E16C9">
        <w:rPr>
          <w:rFonts w:hint="eastAsia"/>
          <w:rtl/>
        </w:rPr>
        <w:t>פעילויות</w:t>
      </w:r>
      <w:r w:rsidRPr="009E16C9">
        <w:rPr>
          <w:rtl/>
        </w:rPr>
        <w:t xml:space="preserve"> </w:t>
      </w:r>
      <w:r w:rsidRPr="009E16C9">
        <w:rPr>
          <w:rFonts w:hint="eastAsia"/>
          <w:rtl/>
        </w:rPr>
        <w:t>לשעות</w:t>
      </w:r>
      <w:r w:rsidRPr="009E16C9">
        <w:rPr>
          <w:rtl/>
        </w:rPr>
        <w:t xml:space="preserve"> </w:t>
      </w:r>
      <w:r w:rsidRPr="009E16C9">
        <w:rPr>
          <w:rFonts w:hint="eastAsia"/>
          <w:rtl/>
        </w:rPr>
        <w:t>הפנאי</w:t>
      </w:r>
      <w:r w:rsidRPr="009E16C9">
        <w:rPr>
          <w:rtl/>
        </w:rPr>
        <w:t xml:space="preserve"> </w:t>
      </w:r>
      <w:r w:rsidRPr="009E16C9">
        <w:rPr>
          <w:rFonts w:hint="eastAsia"/>
          <w:rtl/>
        </w:rPr>
        <w:t>וליווי</w:t>
      </w:r>
      <w:r w:rsidRPr="009E16C9">
        <w:rPr>
          <w:rtl/>
        </w:rPr>
        <w:t xml:space="preserve"> </w:t>
      </w:r>
      <w:r w:rsidRPr="009E16C9">
        <w:rPr>
          <w:rFonts w:hint="eastAsia"/>
          <w:rtl/>
        </w:rPr>
        <w:t>פרטני</w:t>
      </w:r>
      <w:r w:rsidRPr="009E16C9">
        <w:rPr>
          <w:rtl/>
        </w:rPr>
        <w:t xml:space="preserve"> </w:t>
      </w:r>
      <w:r w:rsidRPr="009E16C9">
        <w:rPr>
          <w:rFonts w:hint="eastAsia"/>
          <w:rtl/>
        </w:rPr>
        <w:t>על</w:t>
      </w:r>
      <w:r w:rsidRPr="009E16C9">
        <w:rPr>
          <w:rtl/>
        </w:rPr>
        <w:t xml:space="preserve"> </w:t>
      </w:r>
      <w:r w:rsidRPr="009E16C9">
        <w:rPr>
          <w:rFonts w:hint="eastAsia"/>
          <w:rtl/>
        </w:rPr>
        <w:t>ידי</w:t>
      </w:r>
      <w:r w:rsidRPr="009E16C9">
        <w:rPr>
          <w:rtl/>
        </w:rPr>
        <w:t xml:space="preserve"> </w:t>
      </w:r>
      <w:r w:rsidRPr="009E16C9">
        <w:rPr>
          <w:rFonts w:hint="eastAsia"/>
          <w:rtl/>
        </w:rPr>
        <w:t>מדריכים</w:t>
      </w:r>
      <w:r w:rsidRPr="009E16C9">
        <w:rPr>
          <w:rtl/>
        </w:rPr>
        <w:t xml:space="preserve">. </w:t>
      </w:r>
      <w:r>
        <w:rPr>
          <w:rFonts w:hint="cs"/>
          <w:rtl/>
        </w:rPr>
        <w:t>עמדת משרד הבריאות היא שה</w:t>
      </w:r>
      <w:r w:rsidRPr="00E26614">
        <w:rPr>
          <w:rtl/>
        </w:rPr>
        <w:t xml:space="preserve">שירות בבית </w:t>
      </w:r>
      <w:r>
        <w:rPr>
          <w:rFonts w:hint="cs"/>
          <w:rtl/>
        </w:rPr>
        <w:t>מ</w:t>
      </w:r>
      <w:r w:rsidRPr="00E26614">
        <w:rPr>
          <w:rtl/>
        </w:rPr>
        <w:t>אז</w:t>
      </w:r>
      <w:r>
        <w:rPr>
          <w:rFonts w:hint="cs"/>
          <w:rtl/>
        </w:rPr>
        <w:t xml:space="preserve">ן </w:t>
      </w:r>
      <w:r w:rsidRPr="00E26614">
        <w:rPr>
          <w:rtl/>
        </w:rPr>
        <w:t xml:space="preserve">הוא חוליה נוספת </w:t>
      </w:r>
      <w:r>
        <w:rPr>
          <w:rFonts w:hint="cs"/>
          <w:rtl/>
        </w:rPr>
        <w:t>ב</w:t>
      </w:r>
      <w:r w:rsidRPr="00E26614">
        <w:rPr>
          <w:rtl/>
        </w:rPr>
        <w:t>טיפול האינטנסיבי ביותר בקהילה במסגרת</w:t>
      </w:r>
      <w:r>
        <w:rPr>
          <w:rFonts w:hint="cs"/>
          <w:rtl/>
        </w:rPr>
        <w:t xml:space="preserve"> </w:t>
      </w:r>
      <w:r w:rsidRPr="00E26614">
        <w:rPr>
          <w:rtl/>
        </w:rPr>
        <w:t>שאיננה</w:t>
      </w:r>
      <w:r>
        <w:rPr>
          <w:rFonts w:hint="cs"/>
          <w:rtl/>
        </w:rPr>
        <w:t xml:space="preserve"> </w:t>
      </w:r>
      <w:r w:rsidRPr="00E26614">
        <w:rPr>
          <w:rtl/>
        </w:rPr>
        <w:t>בתוך המתח</w:t>
      </w:r>
      <w:r>
        <w:rPr>
          <w:rFonts w:hint="cs"/>
          <w:rtl/>
        </w:rPr>
        <w:t>ם האשפוזי של בית החולים.</w:t>
      </w:r>
      <w:r w:rsidRPr="009E16C9">
        <w:rPr>
          <w:rtl/>
        </w:rPr>
        <w:t xml:space="preserve"> </w:t>
      </w:r>
    </w:p>
    <w:p w14:paraId="7C54473D" w14:textId="420D3BE6" w:rsidR="00B51F5B" w:rsidRPr="00E26614" w:rsidRDefault="00B51F5B" w:rsidP="0081707B">
      <w:pPr>
        <w:pStyle w:val="100"/>
        <w:rPr>
          <w:rtl/>
        </w:rPr>
      </w:pPr>
      <w:r w:rsidRPr="009E16C9">
        <w:rPr>
          <w:rtl/>
        </w:rPr>
        <w:t xml:space="preserve">להערכת האגף </w:t>
      </w:r>
      <w:r>
        <w:rPr>
          <w:rFonts w:hint="cs"/>
          <w:rtl/>
        </w:rPr>
        <w:t>כדי</w:t>
      </w:r>
      <w:r w:rsidRPr="009E16C9">
        <w:rPr>
          <w:rtl/>
        </w:rPr>
        <w:t xml:space="preserve"> להבטיח את הטמעת המודל </w:t>
      </w:r>
      <w:r w:rsidRPr="009E16C9">
        <w:rPr>
          <w:rFonts w:hint="eastAsia"/>
          <w:rtl/>
        </w:rPr>
        <w:t>יש</w:t>
      </w:r>
      <w:r w:rsidRPr="009E16C9">
        <w:rPr>
          <w:rtl/>
        </w:rPr>
        <w:t xml:space="preserve"> </w:t>
      </w:r>
      <w:r w:rsidRPr="009E16C9">
        <w:rPr>
          <w:rFonts w:hint="eastAsia"/>
          <w:rtl/>
        </w:rPr>
        <w:t>לשאוף</w:t>
      </w:r>
      <w:r w:rsidRPr="009E16C9">
        <w:rPr>
          <w:rtl/>
        </w:rPr>
        <w:t xml:space="preserve"> </w:t>
      </w:r>
      <w:r w:rsidRPr="009E16C9">
        <w:rPr>
          <w:rFonts w:hint="eastAsia"/>
          <w:rtl/>
        </w:rPr>
        <w:t>להיצע</w:t>
      </w:r>
      <w:r w:rsidRPr="009E16C9">
        <w:rPr>
          <w:rtl/>
        </w:rPr>
        <w:t xml:space="preserve"> </w:t>
      </w:r>
      <w:r w:rsidRPr="009E16C9">
        <w:rPr>
          <w:rFonts w:hint="eastAsia"/>
          <w:rtl/>
        </w:rPr>
        <w:t>של</w:t>
      </w:r>
      <w:r w:rsidRPr="009E16C9">
        <w:rPr>
          <w:rtl/>
        </w:rPr>
        <w:t xml:space="preserve"> 20 </w:t>
      </w:r>
      <w:r w:rsidRPr="009E16C9">
        <w:rPr>
          <w:rFonts w:hint="eastAsia"/>
          <w:rtl/>
        </w:rPr>
        <w:t>בתים</w:t>
      </w:r>
      <w:r w:rsidRPr="009E16C9">
        <w:rPr>
          <w:rtl/>
        </w:rPr>
        <w:t xml:space="preserve"> </w:t>
      </w:r>
      <w:r w:rsidRPr="009E16C9">
        <w:rPr>
          <w:rFonts w:hint="eastAsia"/>
          <w:rtl/>
        </w:rPr>
        <w:t>מאזנים</w:t>
      </w:r>
      <w:r w:rsidRPr="009E16C9">
        <w:rPr>
          <w:rtl/>
        </w:rPr>
        <w:t xml:space="preserve"> </w:t>
      </w:r>
      <w:r w:rsidRPr="009E16C9">
        <w:rPr>
          <w:rFonts w:hint="eastAsia"/>
          <w:rtl/>
        </w:rPr>
        <w:t>עד</w:t>
      </w:r>
      <w:r w:rsidRPr="009E16C9">
        <w:rPr>
          <w:rtl/>
        </w:rPr>
        <w:t xml:space="preserve"> </w:t>
      </w:r>
      <w:r w:rsidRPr="009E16C9">
        <w:rPr>
          <w:rFonts w:hint="eastAsia"/>
          <w:rtl/>
        </w:rPr>
        <w:t>לסוף</w:t>
      </w:r>
      <w:r w:rsidRPr="009E16C9">
        <w:rPr>
          <w:rtl/>
        </w:rPr>
        <w:t xml:space="preserve"> </w:t>
      </w:r>
      <w:r w:rsidRPr="009E16C9">
        <w:rPr>
          <w:rFonts w:hint="eastAsia"/>
          <w:rtl/>
        </w:rPr>
        <w:t>שנת</w:t>
      </w:r>
      <w:r w:rsidRPr="009E16C9">
        <w:rPr>
          <w:rtl/>
        </w:rPr>
        <w:t xml:space="preserve"> 2019. </w:t>
      </w:r>
      <w:r w:rsidRPr="00A91E88">
        <w:rPr>
          <w:rtl/>
        </w:rPr>
        <w:t xml:space="preserve">בהשוואה וצירוף תוצאות של מגוון מחקרים </w:t>
      </w:r>
      <w:r>
        <w:rPr>
          <w:rFonts w:hint="cs"/>
          <w:rtl/>
        </w:rPr>
        <w:t>(</w:t>
      </w:r>
      <w:r w:rsidRPr="009E16C9">
        <w:rPr>
          <w:rtl/>
        </w:rPr>
        <w:t>מט</w:t>
      </w:r>
      <w:r>
        <w:rPr>
          <w:rFonts w:hint="cs"/>
          <w:rtl/>
        </w:rPr>
        <w:t>א-</w:t>
      </w:r>
      <w:r w:rsidRPr="009E16C9">
        <w:rPr>
          <w:rtl/>
        </w:rPr>
        <w:t>אנליזה</w:t>
      </w:r>
      <w:r>
        <w:rPr>
          <w:rFonts w:hint="cs"/>
          <w:rtl/>
        </w:rPr>
        <w:t>)</w:t>
      </w:r>
      <w:r w:rsidRPr="009E16C9">
        <w:rPr>
          <w:rtl/>
        </w:rPr>
        <w:t xml:space="preserve"> שנערכו </w:t>
      </w:r>
      <w:r w:rsidRPr="009E16C9">
        <w:rPr>
          <w:rFonts w:hint="eastAsia"/>
          <w:rtl/>
        </w:rPr>
        <w:t>נמצא</w:t>
      </w:r>
      <w:r w:rsidRPr="009E16C9">
        <w:rPr>
          <w:rtl/>
        </w:rPr>
        <w:t xml:space="preserve"> כי המודל מפחית את עוצמת התסמינים בטווח ה</w:t>
      </w:r>
      <w:r>
        <w:rPr>
          <w:rFonts w:hint="cs"/>
          <w:rtl/>
        </w:rPr>
        <w:t>קרוב</w:t>
      </w:r>
      <w:r w:rsidRPr="009E16C9">
        <w:rPr>
          <w:rtl/>
        </w:rPr>
        <w:t xml:space="preserve"> בדומה למחלקות האשפוז, </w:t>
      </w:r>
      <w:r>
        <w:rPr>
          <w:rFonts w:hint="cs"/>
          <w:rtl/>
        </w:rPr>
        <w:t xml:space="preserve">אך בטווח הרחוק גובר יתרונו על המרפאות בכך שהוא </w:t>
      </w:r>
      <w:r w:rsidRPr="009E16C9">
        <w:rPr>
          <w:rtl/>
        </w:rPr>
        <w:t>משפר</w:t>
      </w:r>
      <w:r>
        <w:rPr>
          <w:rFonts w:hint="cs"/>
          <w:rtl/>
        </w:rPr>
        <w:t xml:space="preserve"> גם</w:t>
      </w:r>
      <w:r w:rsidRPr="009E16C9">
        <w:rPr>
          <w:rtl/>
        </w:rPr>
        <w:t xml:space="preserve"> את התפקוד הפסיכו-</w:t>
      </w:r>
      <w:r w:rsidRPr="009E16C9">
        <w:rPr>
          <w:rFonts w:hint="eastAsia"/>
          <w:rtl/>
        </w:rPr>
        <w:t>חברתי</w:t>
      </w:r>
      <w:r w:rsidRPr="009E16C9">
        <w:rPr>
          <w:rtl/>
        </w:rPr>
        <w:t xml:space="preserve"> ואת חזר</w:t>
      </w:r>
      <w:r w:rsidRPr="009E16C9">
        <w:rPr>
          <w:rFonts w:hint="eastAsia"/>
          <w:rtl/>
        </w:rPr>
        <w:t>ת</w:t>
      </w:r>
      <w:r w:rsidRPr="009E16C9">
        <w:rPr>
          <w:rtl/>
        </w:rPr>
        <w:t xml:space="preserve"> </w:t>
      </w:r>
      <w:r w:rsidRPr="009E16C9">
        <w:rPr>
          <w:rFonts w:hint="eastAsia"/>
          <w:rtl/>
        </w:rPr>
        <w:t>המטופל</w:t>
      </w:r>
      <w:r w:rsidRPr="009E16C9">
        <w:rPr>
          <w:rtl/>
        </w:rPr>
        <w:t xml:space="preserve"> </w:t>
      </w:r>
      <w:r w:rsidRPr="009E16C9">
        <w:rPr>
          <w:rFonts w:hint="eastAsia"/>
          <w:rtl/>
        </w:rPr>
        <w:t>לשגרה</w:t>
      </w:r>
      <w:r>
        <w:rPr>
          <w:rStyle w:val="FootnoteReference"/>
          <w:rtl/>
        </w:rPr>
        <w:footnoteReference w:id="61"/>
      </w:r>
      <w:r w:rsidRPr="009E16C9">
        <w:rPr>
          <w:rtl/>
        </w:rPr>
        <w:t xml:space="preserve">. דוח מיוחד שהוגש לאו"ם </w:t>
      </w:r>
      <w:r w:rsidRPr="009E16C9">
        <w:rPr>
          <w:rFonts w:hint="eastAsia"/>
          <w:rtl/>
        </w:rPr>
        <w:t>חיזק</w:t>
      </w:r>
      <w:r w:rsidRPr="009E16C9">
        <w:rPr>
          <w:rtl/>
        </w:rPr>
        <w:t xml:space="preserve"> את ההכרה במודל </w:t>
      </w:r>
      <w:r w:rsidRPr="009E16C9">
        <w:rPr>
          <w:rFonts w:hint="eastAsia"/>
          <w:rtl/>
        </w:rPr>
        <w:t>זה</w:t>
      </w:r>
      <w:r>
        <w:rPr>
          <w:rFonts w:hint="cs"/>
          <w:rtl/>
        </w:rPr>
        <w:t>,</w:t>
      </w:r>
      <w:r w:rsidRPr="009E16C9">
        <w:rPr>
          <w:rtl/>
        </w:rPr>
        <w:t xml:space="preserve"> </w:t>
      </w:r>
      <w:r w:rsidRPr="009E16C9">
        <w:rPr>
          <w:rFonts w:hint="eastAsia"/>
          <w:rtl/>
        </w:rPr>
        <w:t>המציע</w:t>
      </w:r>
      <w:r w:rsidRPr="009E16C9">
        <w:rPr>
          <w:rtl/>
        </w:rPr>
        <w:t xml:space="preserve"> </w:t>
      </w:r>
      <w:r w:rsidRPr="009E16C9">
        <w:rPr>
          <w:rFonts w:hint="eastAsia"/>
          <w:rtl/>
        </w:rPr>
        <w:t>טיפול</w:t>
      </w:r>
      <w:r w:rsidRPr="009E16C9">
        <w:rPr>
          <w:rtl/>
        </w:rPr>
        <w:t xml:space="preserve"> </w:t>
      </w:r>
      <w:r w:rsidRPr="009E16C9">
        <w:rPr>
          <w:rFonts w:hint="eastAsia"/>
          <w:rtl/>
        </w:rPr>
        <w:t>יעיל</w:t>
      </w:r>
      <w:r w:rsidRPr="009E16C9">
        <w:rPr>
          <w:rtl/>
        </w:rPr>
        <w:t xml:space="preserve"> </w:t>
      </w:r>
      <w:r w:rsidR="004D7B69">
        <w:rPr>
          <w:rtl/>
        </w:rPr>
        <w:softHyphen/>
      </w:r>
      <w:r w:rsidR="004D7B69">
        <w:rPr>
          <w:rtl/>
        </w:rPr>
        <w:softHyphen/>
      </w:r>
      <w:r>
        <w:rPr>
          <w:rFonts w:hint="cs"/>
          <w:rtl/>
        </w:rPr>
        <w:t>מ</w:t>
      </w:r>
      <w:r w:rsidRPr="009E16C9">
        <w:rPr>
          <w:rFonts w:hint="eastAsia"/>
          <w:rtl/>
        </w:rPr>
        <w:t>תוך</w:t>
      </w:r>
      <w:r w:rsidRPr="009E16C9">
        <w:rPr>
          <w:rtl/>
        </w:rPr>
        <w:t xml:space="preserve"> </w:t>
      </w:r>
      <w:r w:rsidRPr="009E16C9">
        <w:rPr>
          <w:rFonts w:hint="eastAsia"/>
          <w:rtl/>
        </w:rPr>
        <w:t>שמירה</w:t>
      </w:r>
      <w:r w:rsidRPr="009E16C9">
        <w:rPr>
          <w:rtl/>
        </w:rPr>
        <w:t xml:space="preserve"> על זכויות אדם</w:t>
      </w:r>
      <w:r>
        <w:rPr>
          <w:rStyle w:val="FootnoteReference"/>
          <w:rtl/>
        </w:rPr>
        <w:footnoteReference w:id="62"/>
      </w:r>
      <w:r w:rsidRPr="009E16C9">
        <w:rPr>
          <w:rtl/>
        </w:rPr>
        <w:t xml:space="preserve">. </w:t>
      </w:r>
      <w:r w:rsidRPr="009E16C9">
        <w:rPr>
          <w:rFonts w:hint="eastAsia"/>
          <w:rtl/>
        </w:rPr>
        <w:t>כיום</w:t>
      </w:r>
      <w:r w:rsidRPr="009E16C9">
        <w:rPr>
          <w:rtl/>
        </w:rPr>
        <w:t xml:space="preserve"> </w:t>
      </w:r>
      <w:r w:rsidRPr="009E16C9">
        <w:rPr>
          <w:rFonts w:hint="eastAsia"/>
          <w:rtl/>
        </w:rPr>
        <w:t>מתבצעים</w:t>
      </w:r>
      <w:r w:rsidRPr="009E16C9">
        <w:rPr>
          <w:rtl/>
        </w:rPr>
        <w:t xml:space="preserve"> בארץ שני מחקרים בנושא</w:t>
      </w:r>
      <w:r>
        <w:rPr>
          <w:rStyle w:val="FootnoteReference"/>
          <w:rtl/>
        </w:rPr>
        <w:footnoteReference w:id="63"/>
      </w:r>
      <w:r w:rsidRPr="009E16C9">
        <w:rPr>
          <w:rtl/>
        </w:rPr>
        <w:t xml:space="preserve">. </w:t>
      </w:r>
      <w:r>
        <w:rPr>
          <w:rFonts w:hint="cs"/>
          <w:rtl/>
        </w:rPr>
        <w:t>בנובמבר</w:t>
      </w:r>
      <w:r w:rsidRPr="009E16C9">
        <w:rPr>
          <w:rtl/>
        </w:rPr>
        <w:t xml:space="preserve"> 2019</w:t>
      </w:r>
      <w:r>
        <w:rPr>
          <w:rFonts w:hint="cs"/>
          <w:rtl/>
        </w:rPr>
        <w:t xml:space="preserve"> פעלו </w:t>
      </w:r>
      <w:r w:rsidRPr="009E16C9">
        <w:rPr>
          <w:rtl/>
        </w:rPr>
        <w:t xml:space="preserve">בארץ </w:t>
      </w:r>
      <w:r>
        <w:rPr>
          <w:rFonts w:hint="cs"/>
          <w:rtl/>
        </w:rPr>
        <w:t>שמונה</w:t>
      </w:r>
      <w:r w:rsidRPr="009E16C9">
        <w:rPr>
          <w:rtl/>
        </w:rPr>
        <w:t xml:space="preserve"> בתים מאזנים</w:t>
      </w:r>
      <w:r>
        <w:rPr>
          <w:rStyle w:val="FootnoteReference"/>
          <w:rtl/>
        </w:rPr>
        <w:footnoteReference w:id="64"/>
      </w:r>
      <w:r>
        <w:rPr>
          <w:rFonts w:hint="cs"/>
          <w:rtl/>
        </w:rPr>
        <w:t>,</w:t>
      </w:r>
      <w:r w:rsidRPr="009E16C9">
        <w:rPr>
          <w:rtl/>
        </w:rPr>
        <w:t xml:space="preserve"> וקופות החולים, למעט הכללית, </w:t>
      </w:r>
      <w:r w:rsidRPr="009E16C9">
        <w:rPr>
          <w:rFonts w:hint="eastAsia"/>
          <w:rtl/>
        </w:rPr>
        <w:t>חתמו</w:t>
      </w:r>
      <w:r w:rsidRPr="009E16C9">
        <w:rPr>
          <w:rtl/>
        </w:rPr>
        <w:t xml:space="preserve"> </w:t>
      </w:r>
      <w:r w:rsidRPr="009E16C9">
        <w:rPr>
          <w:rFonts w:hint="eastAsia"/>
          <w:rtl/>
        </w:rPr>
        <w:t>איתם</w:t>
      </w:r>
      <w:r w:rsidRPr="009E16C9">
        <w:rPr>
          <w:rtl/>
        </w:rPr>
        <w:t xml:space="preserve"> על </w:t>
      </w:r>
      <w:r w:rsidRPr="009E16C9">
        <w:rPr>
          <w:rFonts w:hint="eastAsia"/>
          <w:rtl/>
        </w:rPr>
        <w:t>הסכמים</w:t>
      </w:r>
      <w:r w:rsidRPr="009E16C9">
        <w:rPr>
          <w:rtl/>
        </w:rPr>
        <w:t xml:space="preserve"> למתן השירות.</w:t>
      </w:r>
      <w:r>
        <w:rPr>
          <w:rFonts w:hint="cs"/>
          <w:rtl/>
        </w:rPr>
        <w:t xml:space="preserve"> בדצמבר 2019 הודיעה הכללית כי היא נמצאת במגעים מול בית מאזן להכנסת השירות כחלק משירותי בריאות הנפש.</w:t>
      </w:r>
    </w:p>
    <w:p w14:paraId="0931AA43" w14:textId="77777777" w:rsidR="00B51F5B" w:rsidRPr="00240370" w:rsidRDefault="00B51F5B" w:rsidP="0081707B">
      <w:pPr>
        <w:pStyle w:val="100"/>
        <w:rPr>
          <w:rtl/>
        </w:rPr>
      </w:pPr>
      <w:r w:rsidRPr="0062664B">
        <w:rPr>
          <w:rFonts w:hint="eastAsia"/>
          <w:rtl/>
        </w:rPr>
        <w:t>מנתונים</w:t>
      </w:r>
      <w:r w:rsidRPr="0062664B">
        <w:rPr>
          <w:rtl/>
        </w:rPr>
        <w:t xml:space="preserve"> </w:t>
      </w:r>
      <w:r w:rsidRPr="0062664B">
        <w:rPr>
          <w:rFonts w:hint="eastAsia"/>
          <w:rtl/>
        </w:rPr>
        <w:t>שהועברו</w:t>
      </w:r>
      <w:r w:rsidRPr="0062664B">
        <w:rPr>
          <w:rtl/>
        </w:rPr>
        <w:t xml:space="preserve"> </w:t>
      </w:r>
      <w:r w:rsidRPr="0062664B">
        <w:rPr>
          <w:rFonts w:hint="eastAsia"/>
          <w:rtl/>
        </w:rPr>
        <w:t>למשרד</w:t>
      </w:r>
      <w:r w:rsidRPr="0062664B">
        <w:rPr>
          <w:rtl/>
        </w:rPr>
        <w:t xml:space="preserve"> </w:t>
      </w:r>
      <w:r w:rsidRPr="0062664B">
        <w:rPr>
          <w:rFonts w:hint="eastAsia"/>
          <w:rtl/>
        </w:rPr>
        <w:t>מבקר</w:t>
      </w:r>
      <w:r w:rsidRPr="0062664B">
        <w:rPr>
          <w:rtl/>
        </w:rPr>
        <w:t xml:space="preserve"> </w:t>
      </w:r>
      <w:r w:rsidRPr="0062664B">
        <w:rPr>
          <w:rFonts w:hint="eastAsia"/>
          <w:rtl/>
        </w:rPr>
        <w:t>המדינה</w:t>
      </w:r>
      <w:r>
        <w:rPr>
          <w:sz w:val="24"/>
          <w:vertAlign w:val="superscript"/>
          <w:rtl/>
        </w:rPr>
        <w:footnoteReference w:id="65"/>
      </w:r>
      <w:r w:rsidRPr="0062664B">
        <w:rPr>
          <w:vertAlign w:val="superscript"/>
          <w:rtl/>
        </w:rPr>
        <w:t xml:space="preserve"> </w:t>
      </w:r>
      <w:r w:rsidRPr="0062664B">
        <w:rPr>
          <w:rtl/>
        </w:rPr>
        <w:t>עולה כי שהות ממוצעת של מטופל בבית מאזן בשנים</w:t>
      </w:r>
      <w:r>
        <w:rPr>
          <w:rFonts w:hint="cs"/>
          <w:rtl/>
        </w:rPr>
        <w:t xml:space="preserve"> 2017 עד</w:t>
      </w:r>
      <w:r w:rsidRPr="0062664B">
        <w:rPr>
          <w:rtl/>
        </w:rPr>
        <w:t xml:space="preserve"> 2018 עמדה על 38 ימים והעלות ליום אשפוז הייתה כ-900 ש"ח; לעומת זאת, שהות ממוצעת של אשפוז במחלקה פעילה בבית חולים פסיכיאטרי</w:t>
      </w:r>
      <w:r>
        <w:rPr>
          <w:sz w:val="24"/>
          <w:vertAlign w:val="superscript"/>
          <w:rtl/>
        </w:rPr>
        <w:footnoteReference w:id="66"/>
      </w:r>
      <w:r w:rsidRPr="0062664B">
        <w:rPr>
          <w:rtl/>
        </w:rPr>
        <w:t xml:space="preserve"> עמדה על </w:t>
      </w:r>
      <w:r w:rsidRPr="00F4575E">
        <w:rPr>
          <w:rFonts w:hint="eastAsia"/>
          <w:rtl/>
        </w:rPr>
        <w:t>כ</w:t>
      </w:r>
      <w:r w:rsidRPr="00F4575E">
        <w:rPr>
          <w:rtl/>
        </w:rPr>
        <w:t>-</w:t>
      </w:r>
      <w:r w:rsidRPr="00F4575E">
        <w:rPr>
          <w:rFonts w:hint="cs"/>
          <w:rtl/>
        </w:rPr>
        <w:t>29</w:t>
      </w:r>
      <w:r w:rsidRPr="0062664B">
        <w:rPr>
          <w:rtl/>
        </w:rPr>
        <w:t xml:space="preserve"> ימים</w:t>
      </w:r>
      <w:r>
        <w:rPr>
          <w:vertAlign w:val="superscript"/>
          <w:rtl/>
        </w:rPr>
        <w:footnoteReference w:id="67"/>
      </w:r>
      <w:r w:rsidRPr="0062664B">
        <w:rPr>
          <w:vertAlign w:val="superscript"/>
          <w:rtl/>
        </w:rPr>
        <w:t xml:space="preserve"> </w:t>
      </w:r>
      <w:r w:rsidRPr="0062664B">
        <w:rPr>
          <w:rtl/>
        </w:rPr>
        <w:t xml:space="preserve">והעלות ליום אשפוז הייתה כ-1,170 ש"ח. מכך עולה כי עלות </w:t>
      </w:r>
      <w:r w:rsidRPr="00F4575E">
        <w:rPr>
          <w:rFonts w:hint="cs"/>
          <w:rtl/>
        </w:rPr>
        <w:t>שהות</w:t>
      </w:r>
      <w:r w:rsidRPr="0062664B">
        <w:rPr>
          <w:rtl/>
        </w:rPr>
        <w:t xml:space="preserve"> ממוצעת בבית מאזן </w:t>
      </w:r>
      <w:r w:rsidRPr="00F4575E">
        <w:rPr>
          <w:rtl/>
        </w:rPr>
        <w:t>דומה לעלות אשפוז בבית חולים ועומדת</w:t>
      </w:r>
      <w:r w:rsidRPr="0062664B">
        <w:rPr>
          <w:rtl/>
        </w:rPr>
        <w:t xml:space="preserve"> על כ-34,000 ש"ח</w:t>
      </w:r>
      <w:r w:rsidRPr="00F4575E">
        <w:rPr>
          <w:rtl/>
        </w:rPr>
        <w:t xml:space="preserve">. </w:t>
      </w:r>
      <w:r w:rsidRPr="008D66DE">
        <w:rPr>
          <w:rtl/>
        </w:rPr>
        <w:t xml:space="preserve">יש לסייג חישוב זה מאחר </w:t>
      </w:r>
      <w:r w:rsidRPr="008D66DE">
        <w:rPr>
          <w:rFonts w:hint="eastAsia"/>
          <w:rtl/>
        </w:rPr>
        <w:t>שהמטופלים</w:t>
      </w:r>
      <w:r w:rsidRPr="008D66DE">
        <w:rPr>
          <w:rtl/>
        </w:rPr>
        <w:t xml:space="preserve"> </w:t>
      </w:r>
      <w:r w:rsidRPr="008D66DE">
        <w:rPr>
          <w:rFonts w:hint="eastAsia"/>
          <w:rtl/>
        </w:rPr>
        <w:t>המתקבלים</w:t>
      </w:r>
      <w:r w:rsidRPr="008D66DE">
        <w:rPr>
          <w:rtl/>
        </w:rPr>
        <w:t xml:space="preserve"> </w:t>
      </w:r>
      <w:r w:rsidRPr="008D66DE">
        <w:rPr>
          <w:rFonts w:hint="eastAsia"/>
          <w:rtl/>
        </w:rPr>
        <w:t>לבית</w:t>
      </w:r>
      <w:r w:rsidRPr="008D66DE">
        <w:rPr>
          <w:rtl/>
        </w:rPr>
        <w:t xml:space="preserve"> </w:t>
      </w:r>
      <w:r w:rsidRPr="008D66DE">
        <w:rPr>
          <w:rFonts w:hint="eastAsia"/>
          <w:rtl/>
        </w:rPr>
        <w:t>מאזן</w:t>
      </w:r>
      <w:r w:rsidRPr="008D66DE">
        <w:rPr>
          <w:rtl/>
        </w:rPr>
        <w:t xml:space="preserve"> </w:t>
      </w:r>
      <w:r w:rsidRPr="008D66DE">
        <w:rPr>
          <w:rFonts w:hint="eastAsia"/>
          <w:rtl/>
        </w:rPr>
        <w:t>לרוב</w:t>
      </w:r>
      <w:r w:rsidRPr="008D66DE">
        <w:rPr>
          <w:rtl/>
        </w:rPr>
        <w:t xml:space="preserve"> </w:t>
      </w:r>
      <w:r>
        <w:rPr>
          <w:rFonts w:hint="cs"/>
          <w:rtl/>
        </w:rPr>
        <w:t>נמצאים</w:t>
      </w:r>
      <w:r w:rsidRPr="008D66DE">
        <w:rPr>
          <w:rtl/>
        </w:rPr>
        <w:t xml:space="preserve"> </w:t>
      </w:r>
      <w:r w:rsidRPr="008D66DE">
        <w:rPr>
          <w:rFonts w:hint="eastAsia"/>
          <w:rtl/>
        </w:rPr>
        <w:t>לפני</w:t>
      </w:r>
      <w:r w:rsidRPr="0062664B">
        <w:rPr>
          <w:rtl/>
        </w:rPr>
        <w:t xml:space="preserve"> </w:t>
      </w:r>
      <w:r w:rsidRPr="0062664B">
        <w:rPr>
          <w:rFonts w:hint="eastAsia"/>
          <w:rtl/>
        </w:rPr>
        <w:t>אשפוז</w:t>
      </w:r>
      <w:r w:rsidRPr="0062664B">
        <w:rPr>
          <w:rtl/>
        </w:rPr>
        <w:t xml:space="preserve"> </w:t>
      </w:r>
      <w:r w:rsidRPr="008D66DE">
        <w:rPr>
          <w:rFonts w:hint="eastAsia"/>
          <w:rtl/>
        </w:rPr>
        <w:t>ראשון</w:t>
      </w:r>
      <w:r w:rsidRPr="008D66DE">
        <w:rPr>
          <w:rtl/>
        </w:rPr>
        <w:t xml:space="preserve"> </w:t>
      </w:r>
      <w:r w:rsidRPr="008D66DE">
        <w:rPr>
          <w:rFonts w:hint="eastAsia"/>
          <w:rtl/>
        </w:rPr>
        <w:t>וקלים</w:t>
      </w:r>
      <w:r w:rsidRPr="008D66DE">
        <w:rPr>
          <w:rtl/>
        </w:rPr>
        <w:t xml:space="preserve"> </w:t>
      </w:r>
      <w:r w:rsidRPr="008D66DE">
        <w:rPr>
          <w:rFonts w:hint="eastAsia"/>
          <w:rtl/>
        </w:rPr>
        <w:t>יותר</w:t>
      </w:r>
      <w:r w:rsidRPr="008D66DE">
        <w:rPr>
          <w:rtl/>
        </w:rPr>
        <w:t xml:space="preserve"> </w:t>
      </w:r>
      <w:r w:rsidRPr="008D66DE">
        <w:rPr>
          <w:rFonts w:hint="eastAsia"/>
          <w:rtl/>
        </w:rPr>
        <w:t>מאלו</w:t>
      </w:r>
      <w:r w:rsidRPr="008D66DE">
        <w:rPr>
          <w:rtl/>
        </w:rPr>
        <w:t xml:space="preserve"> </w:t>
      </w:r>
      <w:r w:rsidRPr="008D66DE">
        <w:rPr>
          <w:rFonts w:hint="eastAsia"/>
          <w:rtl/>
        </w:rPr>
        <w:t>המגיעים</w:t>
      </w:r>
      <w:r w:rsidRPr="008D66DE">
        <w:rPr>
          <w:rtl/>
        </w:rPr>
        <w:t xml:space="preserve"> </w:t>
      </w:r>
      <w:r w:rsidRPr="008D66DE">
        <w:rPr>
          <w:rFonts w:hint="eastAsia"/>
          <w:rtl/>
        </w:rPr>
        <w:t>לאשפוז</w:t>
      </w:r>
      <w:r w:rsidRPr="008D66DE">
        <w:rPr>
          <w:rtl/>
        </w:rPr>
        <w:t xml:space="preserve">. </w:t>
      </w:r>
      <w:r>
        <w:rPr>
          <w:rFonts w:hint="cs"/>
          <w:rtl/>
        </w:rPr>
        <w:t xml:space="preserve">עם זאת, </w:t>
      </w:r>
      <w:r w:rsidRPr="008D66DE">
        <w:rPr>
          <w:rFonts w:hint="eastAsia"/>
          <w:rtl/>
        </w:rPr>
        <w:t>יש</w:t>
      </w:r>
      <w:r w:rsidRPr="008D66DE">
        <w:rPr>
          <w:rtl/>
        </w:rPr>
        <w:t xml:space="preserve"> </w:t>
      </w:r>
      <w:r w:rsidRPr="008D66DE">
        <w:rPr>
          <w:rFonts w:hint="eastAsia"/>
          <w:rtl/>
        </w:rPr>
        <w:t>להביא</w:t>
      </w:r>
      <w:r w:rsidRPr="008D66DE">
        <w:rPr>
          <w:rtl/>
        </w:rPr>
        <w:t xml:space="preserve"> </w:t>
      </w:r>
      <w:r w:rsidRPr="008D66DE">
        <w:rPr>
          <w:rFonts w:hint="eastAsia"/>
          <w:rtl/>
        </w:rPr>
        <w:t>בחשבון</w:t>
      </w:r>
      <w:r w:rsidRPr="008D66DE">
        <w:rPr>
          <w:rtl/>
        </w:rPr>
        <w:t xml:space="preserve">, </w:t>
      </w:r>
      <w:r w:rsidRPr="008D66DE">
        <w:rPr>
          <w:rFonts w:hint="eastAsia"/>
          <w:rtl/>
        </w:rPr>
        <w:t>שאופן</w:t>
      </w:r>
      <w:r w:rsidRPr="008D66DE">
        <w:rPr>
          <w:rtl/>
        </w:rPr>
        <w:t xml:space="preserve"> </w:t>
      </w:r>
      <w:r w:rsidRPr="008D66DE">
        <w:rPr>
          <w:rFonts w:hint="eastAsia"/>
          <w:rtl/>
        </w:rPr>
        <w:t>הפעלת</w:t>
      </w:r>
      <w:r w:rsidRPr="008D66DE">
        <w:rPr>
          <w:rtl/>
        </w:rPr>
        <w:t xml:space="preserve"> </w:t>
      </w:r>
      <w:r w:rsidRPr="008D66DE">
        <w:rPr>
          <w:rFonts w:hint="eastAsia"/>
          <w:rtl/>
        </w:rPr>
        <w:t>הבית</w:t>
      </w:r>
      <w:r w:rsidRPr="008D66DE">
        <w:rPr>
          <w:rtl/>
        </w:rPr>
        <w:t xml:space="preserve"> </w:t>
      </w:r>
      <w:r w:rsidRPr="008D66DE">
        <w:rPr>
          <w:rFonts w:hint="eastAsia"/>
          <w:rtl/>
        </w:rPr>
        <w:t>מאזן</w:t>
      </w:r>
      <w:r w:rsidRPr="008D66DE">
        <w:rPr>
          <w:rtl/>
        </w:rPr>
        <w:t xml:space="preserve"> </w:t>
      </w:r>
      <w:r w:rsidRPr="008D66DE">
        <w:rPr>
          <w:rFonts w:hint="eastAsia"/>
          <w:rtl/>
        </w:rPr>
        <w:t>עשוי</w:t>
      </w:r>
      <w:r w:rsidRPr="008D66DE">
        <w:rPr>
          <w:rtl/>
        </w:rPr>
        <w:t xml:space="preserve"> </w:t>
      </w:r>
      <w:r w:rsidRPr="008D66DE">
        <w:rPr>
          <w:rFonts w:hint="eastAsia"/>
          <w:rtl/>
        </w:rPr>
        <w:t>למנ</w:t>
      </w:r>
      <w:r w:rsidRPr="008D66DE">
        <w:rPr>
          <w:rtl/>
        </w:rPr>
        <w:t>וע אשפוז</w:t>
      </w:r>
      <w:r w:rsidRPr="008D66DE">
        <w:rPr>
          <w:rFonts w:hint="eastAsia"/>
          <w:rtl/>
        </w:rPr>
        <w:t>י</w:t>
      </w:r>
      <w:r w:rsidRPr="008D66DE">
        <w:rPr>
          <w:rtl/>
        </w:rPr>
        <w:t>ם בבית חולים והתדרדרות נפשית</w:t>
      </w:r>
      <w:r w:rsidRPr="0062664B">
        <w:rPr>
          <w:rtl/>
        </w:rPr>
        <w:t xml:space="preserve"> של </w:t>
      </w:r>
      <w:r w:rsidRPr="008D66DE">
        <w:rPr>
          <w:rtl/>
        </w:rPr>
        <w:t>הדיירים</w:t>
      </w:r>
      <w:r>
        <w:rPr>
          <w:rFonts w:hint="cs"/>
          <w:rtl/>
        </w:rPr>
        <w:t>,</w:t>
      </w:r>
      <w:r w:rsidRPr="008D66DE">
        <w:rPr>
          <w:rtl/>
        </w:rPr>
        <w:t xml:space="preserve"> ומכאן אף </w:t>
      </w:r>
      <w:r>
        <w:rPr>
          <w:rFonts w:hint="cs"/>
          <w:rtl/>
        </w:rPr>
        <w:t>להפחית</w:t>
      </w:r>
      <w:r w:rsidRPr="008D66DE">
        <w:rPr>
          <w:rtl/>
        </w:rPr>
        <w:t xml:space="preserve"> את </w:t>
      </w:r>
      <w:r>
        <w:rPr>
          <w:rFonts w:hint="cs"/>
          <w:rtl/>
        </w:rPr>
        <w:t>העלויות</w:t>
      </w:r>
      <w:r w:rsidRPr="008D66DE">
        <w:rPr>
          <w:rtl/>
        </w:rPr>
        <w:t xml:space="preserve"> הכלכליות </w:t>
      </w:r>
      <w:r w:rsidRPr="008D66DE">
        <w:rPr>
          <w:rFonts w:hint="eastAsia"/>
          <w:rtl/>
        </w:rPr>
        <w:t>הכרוכות</w:t>
      </w:r>
      <w:r w:rsidRPr="008D66DE">
        <w:rPr>
          <w:rtl/>
        </w:rPr>
        <w:t xml:space="preserve"> </w:t>
      </w:r>
      <w:r w:rsidRPr="008D66DE">
        <w:rPr>
          <w:rFonts w:hint="eastAsia"/>
          <w:rtl/>
        </w:rPr>
        <w:t>בכך</w:t>
      </w:r>
      <w:r w:rsidRPr="00F4575E">
        <w:rPr>
          <w:rFonts w:hint="cs"/>
          <w:rtl/>
        </w:rPr>
        <w:t>.</w:t>
      </w:r>
    </w:p>
    <w:p w14:paraId="1885D14F" w14:textId="7203ABF9" w:rsidR="00785EAB" w:rsidRDefault="00B51F5B" w:rsidP="003A2050">
      <w:pPr>
        <w:pStyle w:val="100"/>
        <w:rPr>
          <w:rFonts w:ascii="David" w:hAnsi="David"/>
          <w:sz w:val="36"/>
          <w:rtl/>
        </w:rPr>
      </w:pPr>
      <w:r>
        <w:rPr>
          <w:rFonts w:ascii="David" w:hAnsi="David" w:hint="cs"/>
          <w:rtl/>
        </w:rPr>
        <w:t xml:space="preserve">משרד הבריאות ציין בתשובתו כי </w:t>
      </w:r>
      <w:r w:rsidRPr="0078758F">
        <w:rPr>
          <w:rFonts w:ascii="David" w:hAnsi="David"/>
          <w:rtl/>
        </w:rPr>
        <w:t xml:space="preserve">שירות </w:t>
      </w:r>
      <w:r>
        <w:rPr>
          <w:rFonts w:ascii="David" w:hAnsi="David" w:hint="cs"/>
          <w:rtl/>
        </w:rPr>
        <w:t xml:space="preserve">זה אינו כלול </w:t>
      </w:r>
      <w:r>
        <w:rPr>
          <w:rFonts w:ascii="David" w:hAnsi="David"/>
          <w:rtl/>
        </w:rPr>
        <w:t>בסל</w:t>
      </w:r>
      <w:r>
        <w:rPr>
          <w:rFonts w:ascii="David" w:hAnsi="David" w:hint="cs"/>
          <w:rtl/>
        </w:rPr>
        <w:t>,</w:t>
      </w:r>
      <w:r>
        <w:rPr>
          <w:rFonts w:ascii="David" w:hAnsi="David"/>
          <w:rtl/>
        </w:rPr>
        <w:t xml:space="preserve"> </w:t>
      </w:r>
      <w:r>
        <w:rPr>
          <w:rFonts w:ascii="David" w:hAnsi="David" w:hint="cs"/>
          <w:rtl/>
        </w:rPr>
        <w:t>כי מדובר ב</w:t>
      </w:r>
      <w:r>
        <w:rPr>
          <w:rFonts w:ascii="David" w:hAnsi="David"/>
          <w:rtl/>
        </w:rPr>
        <w:t>שירות</w:t>
      </w:r>
      <w:r w:rsidDel="005F0149">
        <w:rPr>
          <w:rFonts w:ascii="David" w:hAnsi="David"/>
          <w:rtl/>
        </w:rPr>
        <w:t xml:space="preserve"> </w:t>
      </w:r>
      <w:r>
        <w:rPr>
          <w:rFonts w:ascii="David" w:hAnsi="David"/>
          <w:rtl/>
        </w:rPr>
        <w:t>ניסיוני בפיתוח</w:t>
      </w:r>
      <w:r>
        <w:rPr>
          <w:rFonts w:ascii="David" w:hAnsi="David" w:hint="cs"/>
          <w:rtl/>
        </w:rPr>
        <w:t>,</w:t>
      </w:r>
      <w:r w:rsidRPr="0078758F">
        <w:rPr>
          <w:rFonts w:ascii="David" w:hAnsi="David"/>
          <w:rtl/>
        </w:rPr>
        <w:t xml:space="preserve"> </w:t>
      </w:r>
      <w:r>
        <w:rPr>
          <w:rFonts w:ascii="David" w:hAnsi="David" w:hint="cs"/>
          <w:rtl/>
        </w:rPr>
        <w:t>ו</w:t>
      </w:r>
      <w:r w:rsidRPr="0078758F">
        <w:rPr>
          <w:rFonts w:ascii="David" w:hAnsi="David"/>
          <w:rtl/>
        </w:rPr>
        <w:t>בכוונת</w:t>
      </w:r>
      <w:r w:rsidR="004D7B69">
        <w:rPr>
          <w:rFonts w:ascii="David" w:hAnsi="David" w:hint="cs"/>
          <w:rtl/>
        </w:rPr>
        <w:t>ו</w:t>
      </w:r>
      <w:r w:rsidRPr="0078758F">
        <w:rPr>
          <w:rFonts w:ascii="David" w:hAnsi="David"/>
          <w:rtl/>
        </w:rPr>
        <w:t xml:space="preserve"> לקדם מבחני תמיכה </w:t>
      </w:r>
      <w:r>
        <w:rPr>
          <w:rFonts w:ascii="David" w:hAnsi="David" w:hint="cs"/>
          <w:rtl/>
        </w:rPr>
        <w:t xml:space="preserve">בנושא </w:t>
      </w:r>
      <w:r w:rsidRPr="0078758F">
        <w:rPr>
          <w:rFonts w:ascii="David" w:hAnsi="David"/>
          <w:rtl/>
        </w:rPr>
        <w:t xml:space="preserve">לקופות </w:t>
      </w:r>
      <w:r>
        <w:rPr>
          <w:rFonts w:ascii="David" w:hAnsi="David" w:hint="cs"/>
          <w:rtl/>
        </w:rPr>
        <w:t>החולים כדי</w:t>
      </w:r>
      <w:r w:rsidRPr="0078758F">
        <w:rPr>
          <w:rFonts w:ascii="David" w:hAnsi="David"/>
          <w:rtl/>
        </w:rPr>
        <w:t xml:space="preserve"> לעג</w:t>
      </w:r>
      <w:r>
        <w:rPr>
          <w:rFonts w:ascii="David" w:hAnsi="David" w:hint="cs"/>
          <w:rtl/>
        </w:rPr>
        <w:t>נו</w:t>
      </w:r>
      <w:r w:rsidRPr="0078758F">
        <w:rPr>
          <w:rFonts w:ascii="David" w:hAnsi="David"/>
          <w:rtl/>
        </w:rPr>
        <w:t>.</w:t>
      </w:r>
      <w:r>
        <w:rPr>
          <w:rFonts w:ascii="David" w:hAnsi="David" w:hint="cs"/>
          <w:rtl/>
        </w:rPr>
        <w:t xml:space="preserve"> הכללית ציינה בתשובתה כי </w:t>
      </w:r>
      <w:r w:rsidRPr="004207BF">
        <w:rPr>
          <w:rFonts w:ascii="David" w:hAnsi="David"/>
          <w:rtl/>
        </w:rPr>
        <w:t xml:space="preserve">המיטות בבתים המאזנים </w:t>
      </w:r>
      <w:r>
        <w:rPr>
          <w:rFonts w:ascii="David" w:hAnsi="David" w:hint="cs"/>
          <w:rtl/>
        </w:rPr>
        <w:t>נוספו</w:t>
      </w:r>
      <w:r w:rsidRPr="004207BF">
        <w:rPr>
          <w:rFonts w:ascii="David" w:hAnsi="David"/>
          <w:rtl/>
        </w:rPr>
        <w:t xml:space="preserve"> על אלו הקיימות בבתי החולים הפסיכיאטריים, </w:t>
      </w:r>
      <w:r>
        <w:rPr>
          <w:rFonts w:ascii="David" w:hAnsi="David" w:hint="cs"/>
          <w:rtl/>
        </w:rPr>
        <w:t>ולהבדיל מהן,</w:t>
      </w:r>
      <w:r w:rsidRPr="004207BF">
        <w:rPr>
          <w:rFonts w:ascii="David" w:hAnsi="David"/>
          <w:rtl/>
        </w:rPr>
        <w:t xml:space="preserve"> </w:t>
      </w:r>
      <w:r>
        <w:rPr>
          <w:rFonts w:ascii="David" w:hAnsi="David" w:hint="cs"/>
          <w:rtl/>
        </w:rPr>
        <w:t xml:space="preserve">המשרד אינו </w:t>
      </w:r>
      <w:r w:rsidRPr="004207BF">
        <w:rPr>
          <w:rFonts w:ascii="David" w:hAnsi="David"/>
          <w:rtl/>
        </w:rPr>
        <w:t>מתקצב</w:t>
      </w:r>
      <w:r>
        <w:rPr>
          <w:rFonts w:ascii="David" w:hAnsi="David" w:hint="cs"/>
          <w:rtl/>
        </w:rPr>
        <w:t xml:space="preserve"> </w:t>
      </w:r>
      <w:r w:rsidRPr="004207BF">
        <w:rPr>
          <w:rFonts w:ascii="David" w:hAnsi="David"/>
          <w:rtl/>
        </w:rPr>
        <w:t>אות</w:t>
      </w:r>
      <w:r>
        <w:rPr>
          <w:rFonts w:ascii="David" w:hAnsi="David" w:hint="cs"/>
          <w:rtl/>
        </w:rPr>
        <w:t>ן</w:t>
      </w:r>
      <w:r w:rsidRPr="004207BF">
        <w:rPr>
          <w:rFonts w:ascii="David" w:hAnsi="David"/>
          <w:rtl/>
        </w:rPr>
        <w:t>.</w:t>
      </w:r>
      <w:r>
        <w:rPr>
          <w:rFonts w:ascii="David" w:hAnsi="David" w:hint="cs"/>
          <w:rtl/>
        </w:rPr>
        <w:t xml:space="preserve"> גם </w:t>
      </w:r>
      <w:r w:rsidRPr="00BD1141">
        <w:rPr>
          <w:rFonts w:ascii="David" w:hAnsi="David" w:hint="cs"/>
          <w:rtl/>
        </w:rPr>
        <w:t>מכבי ציינה בתשובתה</w:t>
      </w:r>
      <w:r>
        <w:rPr>
          <w:rFonts w:ascii="David" w:hAnsi="David" w:hint="cs"/>
          <w:b/>
          <w:bCs/>
          <w:rtl/>
        </w:rPr>
        <w:t xml:space="preserve"> </w:t>
      </w:r>
      <w:r w:rsidRPr="00687F2F">
        <w:rPr>
          <w:rFonts w:ascii="David" w:hAnsi="David" w:hint="cs"/>
          <w:sz w:val="36"/>
          <w:rtl/>
        </w:rPr>
        <w:t>כי</w:t>
      </w:r>
      <w:r>
        <w:rPr>
          <w:rFonts w:ascii="David" w:hAnsi="David" w:hint="cs"/>
          <w:sz w:val="36"/>
          <w:rtl/>
        </w:rPr>
        <w:t xml:space="preserve"> עלויות הפעלת בתים מאזנים לא תוקצבו במסגרת הרפורמה והוסיפה כי הבתים הקיימים אינם פתרון מתאים וכי הפיקוח עליהם מורכב. </w:t>
      </w:r>
    </w:p>
    <w:p w14:paraId="60BB72FA" w14:textId="542BC8D8" w:rsidR="00785EAB" w:rsidRDefault="00B51F5B" w:rsidP="003A2050">
      <w:pPr>
        <w:pStyle w:val="aff0"/>
        <w:rPr>
          <w:rtl/>
        </w:rPr>
      </w:pPr>
      <w:r w:rsidRPr="006C7D77">
        <w:rPr>
          <w:rFonts w:hint="cs"/>
          <w:rtl/>
        </w:rPr>
        <w:t>✰</w:t>
      </w:r>
    </w:p>
    <w:p w14:paraId="2EC4D5F8" w14:textId="77777777" w:rsidR="003A2050" w:rsidRDefault="003A2050" w:rsidP="003A2050">
      <w:pPr>
        <w:pStyle w:val="aff0"/>
        <w:rPr>
          <w:rtl/>
        </w:rPr>
      </w:pPr>
    </w:p>
    <w:p w14:paraId="0674214B" w14:textId="77777777" w:rsidR="00B51F5B" w:rsidRDefault="00B51F5B" w:rsidP="0081707B">
      <w:pPr>
        <w:pStyle w:val="100"/>
        <w:rPr>
          <w:rtl/>
        </w:rPr>
      </w:pPr>
      <w:r>
        <w:rPr>
          <w:rFonts w:hint="cs"/>
          <w:rtl/>
        </w:rPr>
        <w:t>משרד הבריאות מסר בתשובתו כי הוא</w:t>
      </w:r>
      <w:r w:rsidRPr="00E847AA">
        <w:rPr>
          <w:rtl/>
        </w:rPr>
        <w:t xml:space="preserve"> בוחן פתרונות נוספים </w:t>
      </w:r>
      <w:r>
        <w:rPr>
          <w:rFonts w:hint="cs"/>
          <w:rtl/>
        </w:rPr>
        <w:t>מעבר לאלו שהוצגו לעיל, כדי</w:t>
      </w:r>
      <w:r w:rsidRPr="00E847AA">
        <w:rPr>
          <w:rtl/>
        </w:rPr>
        <w:t xml:space="preserve"> לעודד את קופות החולים להרח</w:t>
      </w:r>
      <w:r>
        <w:rPr>
          <w:rFonts w:hint="cs"/>
          <w:rtl/>
        </w:rPr>
        <w:t>י</w:t>
      </w:r>
      <w:r w:rsidRPr="00E847AA">
        <w:rPr>
          <w:rtl/>
        </w:rPr>
        <w:t xml:space="preserve">ב </w:t>
      </w:r>
      <w:r>
        <w:rPr>
          <w:rFonts w:hint="cs"/>
          <w:rtl/>
        </w:rPr>
        <w:t>את מגוון ה</w:t>
      </w:r>
      <w:r w:rsidRPr="00E847AA">
        <w:rPr>
          <w:rtl/>
        </w:rPr>
        <w:t xml:space="preserve">שירותים </w:t>
      </w:r>
      <w:r>
        <w:rPr>
          <w:rFonts w:hint="cs"/>
          <w:rtl/>
        </w:rPr>
        <w:t>ה</w:t>
      </w:r>
      <w:r w:rsidRPr="00E847AA">
        <w:rPr>
          <w:rtl/>
        </w:rPr>
        <w:t>ביתיים</w:t>
      </w:r>
      <w:r>
        <w:rPr>
          <w:rFonts w:hint="cs"/>
          <w:rtl/>
        </w:rPr>
        <w:t>,</w:t>
      </w:r>
      <w:r w:rsidRPr="00E847AA">
        <w:rPr>
          <w:rtl/>
        </w:rPr>
        <w:t xml:space="preserve"> </w:t>
      </w:r>
      <w:r>
        <w:rPr>
          <w:rFonts w:hint="cs"/>
          <w:rtl/>
        </w:rPr>
        <w:t xml:space="preserve">ובכללם </w:t>
      </w:r>
      <w:r w:rsidRPr="00E847AA">
        <w:rPr>
          <w:rtl/>
        </w:rPr>
        <w:t xml:space="preserve">ביקורי בית </w:t>
      </w:r>
      <w:r>
        <w:rPr>
          <w:rFonts w:hint="cs"/>
          <w:rtl/>
        </w:rPr>
        <w:t>ו</w:t>
      </w:r>
      <w:r w:rsidRPr="00E847AA">
        <w:rPr>
          <w:rtl/>
        </w:rPr>
        <w:t>צוותי משבר</w:t>
      </w:r>
      <w:r>
        <w:rPr>
          <w:rFonts w:hint="cs"/>
          <w:rtl/>
        </w:rPr>
        <w:t>.</w:t>
      </w:r>
      <w:r w:rsidRPr="00E847AA">
        <w:rPr>
          <w:rtl/>
        </w:rPr>
        <w:t xml:space="preserve"> </w:t>
      </w:r>
      <w:r>
        <w:rPr>
          <w:rFonts w:hint="cs"/>
          <w:rtl/>
        </w:rPr>
        <w:t xml:space="preserve">קידום </w:t>
      </w:r>
      <w:r w:rsidRPr="00E847AA">
        <w:rPr>
          <w:rtl/>
        </w:rPr>
        <w:t xml:space="preserve">הנושא </w:t>
      </w:r>
      <w:r>
        <w:rPr>
          <w:rFonts w:hint="cs"/>
          <w:rtl/>
        </w:rPr>
        <w:t xml:space="preserve">מותנה </w:t>
      </w:r>
      <w:r w:rsidRPr="00E847AA">
        <w:rPr>
          <w:rtl/>
        </w:rPr>
        <w:t>בסדר העדיפויות המשרדי.</w:t>
      </w:r>
    </w:p>
    <w:p w14:paraId="6AD4C11C" w14:textId="77777777" w:rsidR="00B51F5B" w:rsidRDefault="00B51F5B" w:rsidP="0081707B">
      <w:pPr>
        <w:pStyle w:val="af5"/>
        <w:rPr>
          <w:rtl/>
        </w:rPr>
      </w:pPr>
      <w:r>
        <w:rPr>
          <w:rFonts w:hint="cs"/>
          <w:rtl/>
        </w:rPr>
        <w:t xml:space="preserve">אף על פי שבהתאם להסכם הרפורמה, על קופות החולים לספק שירותי בריאות נפש גם במקרי משבר, הן </w:t>
      </w:r>
      <w:r w:rsidRPr="00C079E1">
        <w:rPr>
          <w:rFonts w:hint="cs"/>
          <w:rtl/>
        </w:rPr>
        <w:t>לא פיתחו מענה למצבי ח</w:t>
      </w:r>
      <w:r w:rsidRPr="009E463A">
        <w:rPr>
          <w:rFonts w:hint="eastAsia"/>
          <w:rtl/>
        </w:rPr>
        <w:t>י</w:t>
      </w:r>
      <w:r w:rsidRPr="00C079E1">
        <w:rPr>
          <w:rFonts w:hint="cs"/>
          <w:rtl/>
        </w:rPr>
        <w:t xml:space="preserve">רום </w:t>
      </w:r>
      <w:r>
        <w:rPr>
          <w:rFonts w:hint="cs"/>
          <w:rtl/>
        </w:rPr>
        <w:t xml:space="preserve">דחופים. הדבר </w:t>
      </w:r>
      <w:r w:rsidRPr="00ED55BF">
        <w:rPr>
          <w:rFonts w:hint="cs"/>
          <w:rtl/>
        </w:rPr>
        <w:t xml:space="preserve">עלול לפגוע </w:t>
      </w:r>
      <w:r w:rsidRPr="00ED55BF">
        <w:rPr>
          <w:rFonts w:hint="eastAsia"/>
          <w:rtl/>
        </w:rPr>
        <w:t>במצב</w:t>
      </w:r>
      <w:r w:rsidRPr="00ED55BF">
        <w:rPr>
          <w:rtl/>
        </w:rPr>
        <w:t xml:space="preserve"> המטופל</w:t>
      </w:r>
      <w:r>
        <w:rPr>
          <w:rFonts w:hint="cs"/>
          <w:rtl/>
        </w:rPr>
        <w:t>ים</w:t>
      </w:r>
      <w:r w:rsidRPr="00ED55BF">
        <w:rPr>
          <w:rFonts w:hint="cs"/>
          <w:rtl/>
        </w:rPr>
        <w:t xml:space="preserve"> עד כדי צורך באשפוז </w:t>
      </w:r>
      <w:r>
        <w:rPr>
          <w:rFonts w:hint="cs"/>
          <w:rtl/>
        </w:rPr>
        <w:t>ו</w:t>
      </w:r>
      <w:r w:rsidRPr="00ED55BF">
        <w:rPr>
          <w:rFonts w:hint="cs"/>
          <w:rtl/>
        </w:rPr>
        <w:t>לעיתים מדובר אף בסיכון חיים של ממש.</w:t>
      </w:r>
      <w:r>
        <w:rPr>
          <w:rFonts w:hint="cs"/>
          <w:rtl/>
        </w:rPr>
        <w:t xml:space="preserve"> </w:t>
      </w:r>
    </w:p>
    <w:p w14:paraId="70BC22B4" w14:textId="77777777" w:rsidR="00B51F5B" w:rsidRDefault="00B51F5B" w:rsidP="0081707B">
      <w:pPr>
        <w:pStyle w:val="af5"/>
        <w:rPr>
          <w:rtl/>
        </w:rPr>
      </w:pPr>
      <w:r w:rsidRPr="00ED55BF">
        <w:rPr>
          <w:rFonts w:hint="eastAsia"/>
          <w:rtl/>
        </w:rPr>
        <w:t>על</w:t>
      </w:r>
      <w:r w:rsidRPr="00ED55BF">
        <w:rPr>
          <w:rtl/>
        </w:rPr>
        <w:t xml:space="preserve"> </w:t>
      </w:r>
      <w:r w:rsidRPr="00ED55BF">
        <w:rPr>
          <w:rFonts w:hint="eastAsia"/>
          <w:rtl/>
        </w:rPr>
        <w:t>קופות</w:t>
      </w:r>
      <w:r w:rsidRPr="00ED55BF">
        <w:rPr>
          <w:rtl/>
        </w:rPr>
        <w:t xml:space="preserve"> החולים </w:t>
      </w:r>
      <w:r w:rsidRPr="00ED55BF">
        <w:rPr>
          <w:rFonts w:hint="eastAsia"/>
          <w:rtl/>
        </w:rPr>
        <w:t>למלא</w:t>
      </w:r>
      <w:r w:rsidRPr="00ED55BF">
        <w:rPr>
          <w:rtl/>
        </w:rPr>
        <w:t xml:space="preserve"> את חובתן בהתאם להסכם הרפורמה </w:t>
      </w:r>
      <w:r w:rsidRPr="00ED55BF">
        <w:rPr>
          <w:rFonts w:hint="eastAsia"/>
          <w:rtl/>
        </w:rPr>
        <w:t>ולהסדיר</w:t>
      </w:r>
      <w:r w:rsidRPr="00ED55BF">
        <w:rPr>
          <w:rtl/>
        </w:rPr>
        <w:t xml:space="preserve"> את השירותים המיועדים להתערבות במ</w:t>
      </w:r>
      <w:r w:rsidRPr="00ED55BF">
        <w:rPr>
          <w:rFonts w:hint="eastAsia"/>
          <w:rtl/>
        </w:rPr>
        <w:t>צבי</w:t>
      </w:r>
      <w:r w:rsidRPr="00ED55BF">
        <w:rPr>
          <w:rtl/>
        </w:rPr>
        <w:t xml:space="preserve"> </w:t>
      </w:r>
      <w:r w:rsidRPr="00ED55BF">
        <w:rPr>
          <w:rFonts w:hint="eastAsia"/>
          <w:rtl/>
        </w:rPr>
        <w:t>מ</w:t>
      </w:r>
      <w:r w:rsidRPr="00ED55BF">
        <w:rPr>
          <w:rtl/>
        </w:rPr>
        <w:t xml:space="preserve">שבר. </w:t>
      </w:r>
      <w:r w:rsidRPr="00ED55BF">
        <w:rPr>
          <w:rFonts w:hint="eastAsia"/>
          <w:rtl/>
        </w:rPr>
        <w:t>על</w:t>
      </w:r>
      <w:r w:rsidRPr="00ED55BF">
        <w:rPr>
          <w:rtl/>
        </w:rPr>
        <w:t xml:space="preserve"> משרד הבריאות </w:t>
      </w:r>
      <w:r w:rsidRPr="00ED55BF">
        <w:rPr>
          <w:rFonts w:hint="eastAsia"/>
          <w:rtl/>
        </w:rPr>
        <w:t>להנחות</w:t>
      </w:r>
      <w:r w:rsidRPr="00ED55BF">
        <w:rPr>
          <w:rtl/>
        </w:rPr>
        <w:t xml:space="preserve"> </w:t>
      </w:r>
      <w:r w:rsidRPr="00ED55BF">
        <w:rPr>
          <w:rFonts w:hint="eastAsia"/>
          <w:rtl/>
        </w:rPr>
        <w:t>את</w:t>
      </w:r>
      <w:r w:rsidRPr="00ED55BF">
        <w:rPr>
          <w:rtl/>
        </w:rPr>
        <w:t xml:space="preserve"> הקופות </w:t>
      </w:r>
      <w:r w:rsidRPr="00ED55BF">
        <w:rPr>
          <w:rFonts w:hint="cs"/>
          <w:rtl/>
        </w:rPr>
        <w:t>בנושא ולבצע מעקב אחר יישום הנחיותיו</w:t>
      </w:r>
      <w:r w:rsidRPr="00ED55BF">
        <w:rPr>
          <w:rtl/>
        </w:rPr>
        <w:t>.</w:t>
      </w:r>
    </w:p>
    <w:p w14:paraId="60CB4E22" w14:textId="678F084B" w:rsidR="00B51F5B" w:rsidRDefault="00B51F5B" w:rsidP="0081707B">
      <w:pPr>
        <w:pStyle w:val="af5"/>
        <w:rPr>
          <w:rtl/>
        </w:rPr>
      </w:pPr>
      <w:r w:rsidRPr="002E4748">
        <w:rPr>
          <w:rFonts w:hint="cs"/>
          <w:rtl/>
        </w:rPr>
        <w:t>כיוון שבתים מאזנים מעניקים</w:t>
      </w:r>
      <w:r w:rsidRPr="002E4748" w:rsidDel="003C5439">
        <w:rPr>
          <w:rFonts w:hint="cs"/>
          <w:rtl/>
        </w:rPr>
        <w:t xml:space="preserve"> </w:t>
      </w:r>
      <w:r w:rsidRPr="002E4748">
        <w:rPr>
          <w:rtl/>
        </w:rPr>
        <w:t>מענה אנושי מכבד למטופלי</w:t>
      </w:r>
      <w:r w:rsidRPr="002E4748">
        <w:rPr>
          <w:rFonts w:hint="cs"/>
          <w:rtl/>
        </w:rPr>
        <w:t>ם,</w:t>
      </w:r>
      <w:r w:rsidRPr="002E4748">
        <w:rPr>
          <w:rtl/>
        </w:rPr>
        <w:t xml:space="preserve"> </w:t>
      </w:r>
      <w:r w:rsidRPr="002E4748">
        <w:rPr>
          <w:rFonts w:hint="cs"/>
          <w:rtl/>
        </w:rPr>
        <w:t xml:space="preserve">המסייע בייצובם הנפשי ומונע אשפוזים חוזרים שלהם, </w:t>
      </w:r>
      <w:r w:rsidRPr="002E4748">
        <w:rPr>
          <w:rtl/>
        </w:rPr>
        <w:t>ראוי כי משרד הבריאות</w:t>
      </w:r>
      <w:r w:rsidRPr="002E4748">
        <w:rPr>
          <w:rFonts w:hint="cs"/>
          <w:rtl/>
        </w:rPr>
        <w:t xml:space="preserve"> ישלים את בחינת השירות. אם בתום הבדיקה אכן יימצא כמענה איכותי ומתאים, כפי שציינו זאת גורמי המקצוע המומחים בתחום בארץ וכפי שעלה ממחקרים בעולם, ראוי שהמשרד יקבע את המקור לתקצובו, אם באמצעות הכנסתו לסל השירותים ואם בדרכים אחרות.</w:t>
      </w:r>
    </w:p>
    <w:p w14:paraId="728150A8" w14:textId="77777777" w:rsidR="00B51F5B" w:rsidRDefault="00B51F5B" w:rsidP="00491E9D">
      <w:pPr>
        <w:pStyle w:val="414"/>
        <w:rPr>
          <w:rtl/>
        </w:rPr>
      </w:pPr>
      <w:r>
        <w:rPr>
          <w:rFonts w:hint="cs"/>
          <w:rtl/>
        </w:rPr>
        <w:t>הנגשת מידע לציבור בנושא הרפורמה בבריאות הנפש</w:t>
      </w:r>
    </w:p>
    <w:p w14:paraId="2E462611" w14:textId="77777777" w:rsidR="00B51F5B" w:rsidRDefault="00B51F5B" w:rsidP="00491E9D">
      <w:pPr>
        <w:pStyle w:val="100"/>
        <w:rPr>
          <w:rtl/>
        </w:rPr>
      </w:pPr>
      <w:r>
        <w:rPr>
          <w:rFonts w:hint="cs"/>
          <w:rtl/>
        </w:rPr>
        <w:t xml:space="preserve">אחת ממטרות הרפורמה הייתה </w:t>
      </w:r>
      <w:r w:rsidRPr="009E6589">
        <w:rPr>
          <w:rFonts w:hint="cs"/>
          <w:rtl/>
        </w:rPr>
        <w:t>הנגשת</w:t>
      </w:r>
      <w:r>
        <w:rPr>
          <w:rFonts w:hint="cs"/>
          <w:rtl/>
        </w:rPr>
        <w:t xml:space="preserve"> הטיפול הנפשי </w:t>
      </w:r>
      <w:r w:rsidRPr="009E6589">
        <w:rPr>
          <w:rFonts w:hint="eastAsia"/>
          <w:rtl/>
        </w:rPr>
        <w:t>לציבור</w:t>
      </w:r>
      <w:r w:rsidRPr="009E6589">
        <w:rPr>
          <w:rFonts w:hint="cs"/>
          <w:rtl/>
        </w:rPr>
        <w:t xml:space="preserve"> </w:t>
      </w:r>
      <w:r>
        <w:rPr>
          <w:rFonts w:hint="cs"/>
          <w:rtl/>
        </w:rPr>
        <w:t>באמצעות טיפול אמבולטורי שיינתן בקהילה, במקום שבו ניתנים גם שירותי בריאות אחרים, דבר שעשוי ל</w:t>
      </w:r>
      <w:r w:rsidRPr="009E6589">
        <w:rPr>
          <w:rFonts w:hint="cs"/>
          <w:rtl/>
        </w:rPr>
        <w:t>הפחית את התווית השלילית המוצמדת למטופלים</w:t>
      </w:r>
      <w:r>
        <w:rPr>
          <w:rFonts w:hint="cs"/>
          <w:rtl/>
        </w:rPr>
        <w:t>. לצורך השגת מטרה זו נדרש היה להביא לידיעת הציבור את השינוי המהותי העומד בליבת הרפורמה בדבר העברת השירותים כך שהם ניתנים על ידי קופות החולים במרפאות הקהילה.</w:t>
      </w:r>
    </w:p>
    <w:p w14:paraId="31D1704A" w14:textId="77777777" w:rsidR="00B51F5B" w:rsidRPr="002459BC" w:rsidRDefault="00B51F5B" w:rsidP="00491E9D">
      <w:pPr>
        <w:pStyle w:val="100"/>
        <w:rPr>
          <w:rtl/>
        </w:rPr>
      </w:pPr>
      <w:r>
        <w:rPr>
          <w:rFonts w:hint="cs"/>
          <w:rtl/>
        </w:rPr>
        <w:t>בביקורת נמצא כי לפני כניסת הרפורמה לתוקף החליט משרד הבריאות, בהמלצת מינהלת הרפורמה,</w:t>
      </w:r>
      <w:r>
        <w:rPr>
          <w:rFonts w:hint="cs"/>
        </w:rPr>
        <w:t xml:space="preserve"> </w:t>
      </w:r>
      <w:r>
        <w:rPr>
          <w:rFonts w:hint="cs"/>
          <w:rtl/>
        </w:rPr>
        <w:t>להכין מערך תכנים לפרסום באמצעי התקשורת. לקראת הכניסה לתוקף של הרפורמה, ביולי 2015, נערכו כמה פעולות הסברה בנושא, למשל: המשרד מסר על כך מידע במסיבת עיתונאים ביוני 2015; ראש הממשלה וסגן שר הבריאות פרסמו בעניין הצהרה לתקשורת; המשרד ו</w:t>
      </w:r>
      <w:r w:rsidRPr="001C7708">
        <w:rPr>
          <w:rFonts w:hint="cs"/>
          <w:rtl/>
        </w:rPr>
        <w:t xml:space="preserve">קופות החולים </w:t>
      </w:r>
      <w:r>
        <w:rPr>
          <w:rFonts w:hint="cs"/>
          <w:rtl/>
        </w:rPr>
        <w:t>פרסמו על כך מידע באתרי האינטרנט שלהם; אתר "כל זכות"</w:t>
      </w:r>
      <w:r>
        <w:rPr>
          <w:rStyle w:val="FootnoteReference"/>
          <w:rtl/>
        </w:rPr>
        <w:footnoteReference w:id="68"/>
      </w:r>
      <w:r>
        <w:rPr>
          <w:rFonts w:hint="cs"/>
          <w:rtl/>
        </w:rPr>
        <w:t xml:space="preserve"> פרסם מידע רב על הזכויות המגיעות למטופלים ולבני משפחתם; עמותות וארגונים העוסקים בתחום פועלים להעלאת המודעות לרפורמה בקרב אוכלוסיית מתמודדי הנפש ומשפחותיהם. </w:t>
      </w:r>
    </w:p>
    <w:p w14:paraId="4D598DDA" w14:textId="77777777" w:rsidR="00B51F5B" w:rsidRPr="0062664B" w:rsidRDefault="00B51F5B" w:rsidP="00491E9D">
      <w:pPr>
        <w:pStyle w:val="100"/>
        <w:rPr>
          <w:rtl/>
        </w:rPr>
      </w:pPr>
      <w:r>
        <w:rPr>
          <w:rFonts w:hint="cs"/>
          <w:rtl/>
        </w:rPr>
        <w:t xml:space="preserve">בישיבת מועצת הבריאות בדצמבר 2017 עלה כי </w:t>
      </w:r>
      <w:r w:rsidRPr="0071455E">
        <w:rPr>
          <w:rtl/>
        </w:rPr>
        <w:t xml:space="preserve">מטופלים רבים אינם </w:t>
      </w:r>
      <w:r>
        <w:rPr>
          <w:rFonts w:hint="cs"/>
          <w:rtl/>
        </w:rPr>
        <w:t>מודעים ל</w:t>
      </w:r>
      <w:r>
        <w:rPr>
          <w:rtl/>
        </w:rPr>
        <w:t>זכויות העומדות לרשותם</w:t>
      </w:r>
      <w:r>
        <w:rPr>
          <w:rFonts w:hint="cs"/>
          <w:rtl/>
        </w:rPr>
        <w:t>,</w:t>
      </w:r>
      <w:r w:rsidRPr="0071455E">
        <w:rPr>
          <w:rtl/>
        </w:rPr>
        <w:t xml:space="preserve"> </w:t>
      </w:r>
      <w:r>
        <w:rPr>
          <w:rFonts w:hint="cs"/>
          <w:rtl/>
        </w:rPr>
        <w:t>ולכן המועצה הציעה שמשרד הבריאות יפעל לפרסום מידע על מכלול הזכויות. למרות פעולות ההסברה שנעשו לקראת כניסת הרפורמה לתוקף עלה כי הציבור, ובייחוד זה שיש לו צורך בקבלת שירותי בריאות הנפש, אינו מודע לשינויים שחלו בעקבות הרפורמה. כך, מסקר שנערך באוגוסט 2018</w:t>
      </w:r>
      <w:r>
        <w:rPr>
          <w:rStyle w:val="FootnoteReference"/>
          <w:rtl/>
        </w:rPr>
        <w:footnoteReference w:id="69"/>
      </w:r>
      <w:r>
        <w:rPr>
          <w:rFonts w:hint="cs"/>
          <w:rtl/>
        </w:rPr>
        <w:t xml:space="preserve"> עלה כי 62% מהנשאלים ואף 52% מהנשאלים שחוו משבר נפשי, לא היו מודעים לכך שבעקבות הרפורמה ניתן לפנות לקופות החולים, לרבות לרופא המשפחה, כדי לקבל הפניה לטיפול נפשי. עוד עלה כי 36% מקרב הנשאלים, שהיו מודעים לרפורמה, נהגו לפנות תחילה למטפל פרטי ולא לגורם ציבורי (לרבות לקופות); שיעור זה עולה ל-48% בקרב הנשאלים שלא היו מודעים לרפורמה. </w:t>
      </w:r>
      <w:r w:rsidRPr="009F4346">
        <w:rPr>
          <w:rFonts w:hint="cs"/>
          <w:rtl/>
        </w:rPr>
        <w:t xml:space="preserve">מסקר נוסף שנערך </w:t>
      </w:r>
      <w:r>
        <w:rPr>
          <w:rFonts w:hint="cs"/>
          <w:rtl/>
        </w:rPr>
        <w:t xml:space="preserve">בחודשים </w:t>
      </w:r>
      <w:r w:rsidRPr="009F4346">
        <w:rPr>
          <w:rFonts w:hint="cs"/>
          <w:rtl/>
        </w:rPr>
        <w:t>מאי-יוני 2019</w:t>
      </w:r>
      <w:r>
        <w:rPr>
          <w:rStyle w:val="FootnoteReference"/>
          <w:rtl/>
        </w:rPr>
        <w:footnoteReference w:id="70"/>
      </w:r>
      <w:r w:rsidRPr="009F4346">
        <w:rPr>
          <w:rFonts w:hint="cs"/>
          <w:rtl/>
        </w:rPr>
        <w:t xml:space="preserve"> בקרב הורים עלה כי מרביתם</w:t>
      </w:r>
      <w:r w:rsidRPr="009F4346">
        <w:rPr>
          <w:rtl/>
        </w:rPr>
        <w:t xml:space="preserve"> </w:t>
      </w:r>
      <w:r w:rsidRPr="009F4346">
        <w:rPr>
          <w:rFonts w:hint="cs"/>
          <w:rtl/>
        </w:rPr>
        <w:t xml:space="preserve">יעדיפו </w:t>
      </w:r>
      <w:r w:rsidRPr="009F4346">
        <w:rPr>
          <w:rtl/>
        </w:rPr>
        <w:t xml:space="preserve">טיפול במגזר הפרטי </w:t>
      </w:r>
      <w:r w:rsidRPr="009F4346">
        <w:rPr>
          <w:rFonts w:hint="cs"/>
          <w:rtl/>
        </w:rPr>
        <w:t>(59%)</w:t>
      </w:r>
      <w:r w:rsidRPr="009F4346">
        <w:rPr>
          <w:rtl/>
        </w:rPr>
        <w:t xml:space="preserve"> </w:t>
      </w:r>
      <w:r w:rsidRPr="009F4346">
        <w:rPr>
          <w:rFonts w:hint="cs"/>
          <w:rtl/>
        </w:rPr>
        <w:t>ו</w:t>
      </w:r>
      <w:r w:rsidRPr="009F4346">
        <w:rPr>
          <w:rtl/>
        </w:rPr>
        <w:t>כרבע מהם יפנו למערכת הציבורית</w:t>
      </w:r>
      <w:r w:rsidRPr="009F4346">
        <w:rPr>
          <w:rFonts w:hint="cs"/>
          <w:rtl/>
        </w:rPr>
        <w:t xml:space="preserve"> (23%).</w:t>
      </w:r>
    </w:p>
    <w:p w14:paraId="4A61B28D" w14:textId="77777777" w:rsidR="00B51F5B" w:rsidRDefault="00B51F5B" w:rsidP="00491E9D">
      <w:pPr>
        <w:pStyle w:val="af5"/>
        <w:rPr>
          <w:rtl/>
        </w:rPr>
      </w:pPr>
      <w:r>
        <w:rPr>
          <w:rFonts w:hint="cs"/>
          <w:rtl/>
        </w:rPr>
        <w:t>עולה מכך</w:t>
      </w:r>
      <w:r w:rsidRPr="00534653">
        <w:rPr>
          <w:rFonts w:hint="cs"/>
          <w:rtl/>
        </w:rPr>
        <w:t xml:space="preserve"> כי </w:t>
      </w:r>
      <w:r>
        <w:rPr>
          <w:rFonts w:hint="cs"/>
          <w:rtl/>
        </w:rPr>
        <w:t>פעולות ההסברה, שבוצעו עם כניסת הרפורמה לתוקף, לא הביאו לידיעת הציבור באופן מספק את האפשרות לקבלת טיפול נפשי בקופות החולים. היעדר מודעות מצד הציבור לשינויים שחלו לאחר כניסת הרפורמה לתוקף עלול לפגוע ביכולתו למצות את זכויותיו בתחום.</w:t>
      </w:r>
    </w:p>
    <w:p w14:paraId="5552794C" w14:textId="11E971C3" w:rsidR="00B51F5B" w:rsidRDefault="00B51F5B" w:rsidP="00491E9D">
      <w:pPr>
        <w:pStyle w:val="100"/>
        <w:rPr>
          <w:b/>
          <w:bCs/>
          <w:rtl/>
        </w:rPr>
      </w:pPr>
      <w:r>
        <w:rPr>
          <w:rFonts w:hint="cs"/>
          <w:rtl/>
        </w:rPr>
        <w:t xml:space="preserve">משרד הבריאות מסר בתשובתו כי </w:t>
      </w:r>
      <w:r>
        <w:rPr>
          <w:rtl/>
        </w:rPr>
        <w:t>במסגרת ועדת הפרסום של מועצת הבריאות</w:t>
      </w:r>
      <w:r w:rsidR="004D7B69">
        <w:rPr>
          <w:rFonts w:hint="cs"/>
          <w:rtl/>
        </w:rPr>
        <w:t>,</w:t>
      </w:r>
      <w:r>
        <w:rPr>
          <w:rtl/>
        </w:rPr>
        <w:t xml:space="preserve"> הו</w:t>
      </w:r>
      <w:r>
        <w:rPr>
          <w:rFonts w:hint="cs"/>
          <w:rtl/>
        </w:rPr>
        <w:t>א ה</w:t>
      </w:r>
      <w:r>
        <w:rPr>
          <w:rtl/>
        </w:rPr>
        <w:t xml:space="preserve">קצה </w:t>
      </w:r>
      <w:r>
        <w:rPr>
          <w:rFonts w:hint="cs"/>
          <w:rtl/>
        </w:rPr>
        <w:t xml:space="preserve">תקציב המיועד </w:t>
      </w:r>
      <w:r>
        <w:rPr>
          <w:rtl/>
        </w:rPr>
        <w:t>ל</w:t>
      </w:r>
      <w:r>
        <w:rPr>
          <w:rFonts w:hint="cs"/>
          <w:rtl/>
        </w:rPr>
        <w:t>פעולות תקשורתיות</w:t>
      </w:r>
      <w:r>
        <w:rPr>
          <w:rtl/>
        </w:rPr>
        <w:t xml:space="preserve"> בנושא הזכויות בבריאות הנפש</w:t>
      </w:r>
      <w:r>
        <w:rPr>
          <w:rFonts w:hint="cs"/>
          <w:rtl/>
        </w:rPr>
        <w:t xml:space="preserve"> וכי פרסומים</w:t>
      </w:r>
      <w:r>
        <w:rPr>
          <w:rtl/>
        </w:rPr>
        <w:t xml:space="preserve"> </w:t>
      </w:r>
      <w:r>
        <w:rPr>
          <w:rFonts w:hint="cs"/>
          <w:rtl/>
        </w:rPr>
        <w:t xml:space="preserve">נוספים </w:t>
      </w:r>
      <w:r>
        <w:rPr>
          <w:rtl/>
        </w:rPr>
        <w:t>עתיד</w:t>
      </w:r>
      <w:r>
        <w:rPr>
          <w:rFonts w:hint="cs"/>
          <w:rtl/>
        </w:rPr>
        <w:t>ים</w:t>
      </w:r>
      <w:r>
        <w:rPr>
          <w:rtl/>
        </w:rPr>
        <w:t xml:space="preserve"> </w:t>
      </w:r>
      <w:r>
        <w:rPr>
          <w:rFonts w:hint="cs"/>
          <w:rtl/>
        </w:rPr>
        <w:t>לצאת</w:t>
      </w:r>
      <w:r>
        <w:rPr>
          <w:rtl/>
        </w:rPr>
        <w:t xml:space="preserve"> באפיקים שונים</w:t>
      </w:r>
      <w:r>
        <w:rPr>
          <w:rFonts w:hint="cs"/>
          <w:rtl/>
        </w:rPr>
        <w:t>,</w:t>
      </w:r>
      <w:r>
        <w:rPr>
          <w:rtl/>
        </w:rPr>
        <w:t xml:space="preserve"> בעיקר ב</w:t>
      </w:r>
      <w:r>
        <w:rPr>
          <w:rFonts w:hint="cs"/>
          <w:rtl/>
        </w:rPr>
        <w:t xml:space="preserve">אמצעים </w:t>
      </w:r>
      <w:r>
        <w:rPr>
          <w:rtl/>
        </w:rPr>
        <w:t>דיגיטל</w:t>
      </w:r>
      <w:r>
        <w:rPr>
          <w:rFonts w:hint="cs"/>
          <w:rtl/>
        </w:rPr>
        <w:t>יים</w:t>
      </w:r>
      <w:r w:rsidDel="00AB7392">
        <w:rPr>
          <w:rtl/>
        </w:rPr>
        <w:t xml:space="preserve"> </w:t>
      </w:r>
      <w:r>
        <w:rPr>
          <w:rtl/>
        </w:rPr>
        <w:t xml:space="preserve">בחודשים הקרובים. </w:t>
      </w:r>
      <w:r>
        <w:rPr>
          <w:rFonts w:hint="cs"/>
          <w:rtl/>
        </w:rPr>
        <w:t>הכללית מסרה בתשובתה כי היא</w:t>
      </w:r>
      <w:r w:rsidRPr="003D6C44">
        <w:rPr>
          <w:rtl/>
        </w:rPr>
        <w:t xml:space="preserve"> פעלה לפרסום המידע באתר האינטרנט של</w:t>
      </w:r>
      <w:r>
        <w:rPr>
          <w:rFonts w:hint="cs"/>
          <w:rtl/>
        </w:rPr>
        <w:t>ה וב</w:t>
      </w:r>
      <w:r w:rsidRPr="003D6C44">
        <w:rPr>
          <w:rtl/>
        </w:rPr>
        <w:t>מרפאות</w:t>
      </w:r>
      <w:r>
        <w:rPr>
          <w:rFonts w:hint="cs"/>
          <w:rtl/>
        </w:rPr>
        <w:t>.</w:t>
      </w:r>
    </w:p>
    <w:p w14:paraId="169222CB" w14:textId="5BFEE8FD" w:rsidR="00B51F5B" w:rsidRPr="003A2050" w:rsidRDefault="00B51F5B" w:rsidP="003A2050">
      <w:pPr>
        <w:pStyle w:val="af5"/>
        <w:rPr>
          <w:rtl/>
        </w:rPr>
      </w:pPr>
      <w:r w:rsidRPr="00ED3253">
        <w:rPr>
          <w:rFonts w:hint="eastAsia"/>
          <w:rtl/>
        </w:rPr>
        <w:t>על</w:t>
      </w:r>
      <w:r w:rsidRPr="00ED3253">
        <w:rPr>
          <w:rtl/>
        </w:rPr>
        <w:t xml:space="preserve"> משרד הבריאות ועל קופות החולים </w:t>
      </w:r>
      <w:r w:rsidRPr="00ED3253">
        <w:rPr>
          <w:rFonts w:hint="cs"/>
          <w:rtl/>
        </w:rPr>
        <w:t>ל</w:t>
      </w:r>
      <w:r w:rsidRPr="00ED3253">
        <w:rPr>
          <w:rFonts w:hint="eastAsia"/>
          <w:rtl/>
        </w:rPr>
        <w:t>המשיך</w:t>
      </w:r>
      <w:r w:rsidRPr="00ED3253">
        <w:rPr>
          <w:rtl/>
        </w:rPr>
        <w:t xml:space="preserve"> ולקדם פעולות </w:t>
      </w:r>
      <w:r w:rsidRPr="00ED3253">
        <w:rPr>
          <w:rFonts w:hint="eastAsia"/>
          <w:rtl/>
        </w:rPr>
        <w:t>הסברה</w:t>
      </w:r>
      <w:r w:rsidRPr="00ED3253">
        <w:rPr>
          <w:rtl/>
        </w:rPr>
        <w:t xml:space="preserve"> באופן שוטף </w:t>
      </w:r>
      <w:r w:rsidRPr="00ED3253">
        <w:rPr>
          <w:rFonts w:hint="eastAsia"/>
          <w:rtl/>
        </w:rPr>
        <w:t>שיביאו</w:t>
      </w:r>
      <w:r w:rsidRPr="00ED3253">
        <w:rPr>
          <w:rtl/>
        </w:rPr>
        <w:t xml:space="preserve"> </w:t>
      </w:r>
      <w:r w:rsidRPr="00ED3253">
        <w:rPr>
          <w:rFonts w:hint="eastAsia"/>
          <w:rtl/>
        </w:rPr>
        <w:t>לידיעת</w:t>
      </w:r>
      <w:r w:rsidRPr="00ED3253">
        <w:rPr>
          <w:rtl/>
        </w:rPr>
        <w:t xml:space="preserve"> </w:t>
      </w:r>
      <w:r w:rsidRPr="00ED3253">
        <w:rPr>
          <w:rFonts w:hint="eastAsia"/>
          <w:rtl/>
        </w:rPr>
        <w:t>הציבור</w:t>
      </w:r>
      <w:r w:rsidRPr="00ED3253">
        <w:rPr>
          <w:rtl/>
        </w:rPr>
        <w:t xml:space="preserve"> </w:t>
      </w:r>
      <w:r w:rsidRPr="00ED3253">
        <w:rPr>
          <w:rFonts w:hint="eastAsia"/>
          <w:rtl/>
        </w:rPr>
        <w:t>את</w:t>
      </w:r>
      <w:r w:rsidRPr="00ED3253">
        <w:rPr>
          <w:rtl/>
        </w:rPr>
        <w:t xml:space="preserve"> </w:t>
      </w:r>
      <w:r w:rsidRPr="00082956">
        <w:rPr>
          <w:rFonts w:hint="cs"/>
          <w:rtl/>
        </w:rPr>
        <w:t xml:space="preserve">זכויותיו בתחום </w:t>
      </w:r>
      <w:r w:rsidRPr="00082956">
        <w:rPr>
          <w:rtl/>
        </w:rPr>
        <w:t>שירותי</w:t>
      </w:r>
      <w:r w:rsidRPr="00ED3253">
        <w:rPr>
          <w:rtl/>
        </w:rPr>
        <w:t xml:space="preserve"> בריאות הנפש. ראוי שמעת לעת הם יבחנו </w:t>
      </w:r>
      <w:r w:rsidRPr="00ED3253">
        <w:rPr>
          <w:rFonts w:hint="eastAsia"/>
          <w:rtl/>
        </w:rPr>
        <w:t>את</w:t>
      </w:r>
      <w:r w:rsidRPr="00ED3253">
        <w:rPr>
          <w:rtl/>
        </w:rPr>
        <w:t xml:space="preserve"> </w:t>
      </w:r>
      <w:r>
        <w:rPr>
          <w:rFonts w:hint="cs"/>
          <w:rtl/>
        </w:rPr>
        <w:t>התועלת העולה מ</w:t>
      </w:r>
      <w:r w:rsidRPr="00ED3253">
        <w:rPr>
          <w:rFonts w:hint="eastAsia"/>
          <w:rtl/>
        </w:rPr>
        <w:t>פעולות</w:t>
      </w:r>
      <w:r w:rsidRPr="00ED3253">
        <w:rPr>
          <w:rtl/>
        </w:rPr>
        <w:t xml:space="preserve"> </w:t>
      </w:r>
      <w:r w:rsidRPr="00ED3253">
        <w:rPr>
          <w:rFonts w:hint="eastAsia"/>
          <w:rtl/>
        </w:rPr>
        <w:t>ההסברה</w:t>
      </w:r>
      <w:r w:rsidRPr="00ED3253">
        <w:rPr>
          <w:rtl/>
        </w:rPr>
        <w:t>.</w:t>
      </w:r>
      <w:r w:rsidRPr="00ED3253">
        <w:rPr>
          <w:rFonts w:hint="cs"/>
          <w:rtl/>
        </w:rPr>
        <w:t xml:space="preserve"> עליהם גם לחדד</w:t>
      </w:r>
      <w:r>
        <w:rPr>
          <w:rFonts w:hint="cs"/>
          <w:rtl/>
        </w:rPr>
        <w:t xml:space="preserve"> לפני רופאי המשפחה, רשויות הרווחה והשירות הפסיכולוגי החינוכי שבמשרד החינוך את הצורך להביא לידיעת המטופלים מידע על אודות השירות.</w:t>
      </w:r>
    </w:p>
    <w:p w14:paraId="7F4D8AFA" w14:textId="77777777" w:rsidR="00B51F5B" w:rsidRPr="002D390C" w:rsidRDefault="00B51F5B" w:rsidP="002D390C">
      <w:pPr>
        <w:pStyle w:val="316"/>
      </w:pPr>
      <w:r w:rsidRPr="002D390C">
        <w:rPr>
          <w:rStyle w:val="Heading3Char"/>
          <w:rFonts w:hint="cs"/>
          <w:bCs w:val="0"/>
          <w:szCs w:val="32"/>
          <w:u w:val="none"/>
          <w:rtl/>
        </w:rPr>
        <w:t>היבטי תקצוב של מערך בריאות הנפש</w:t>
      </w:r>
      <w:r w:rsidRPr="002D390C">
        <w:rPr>
          <w:rFonts w:hint="cs"/>
          <w:rtl/>
        </w:rPr>
        <w:t xml:space="preserve"> </w:t>
      </w:r>
    </w:p>
    <w:p w14:paraId="21DED7CB" w14:textId="77777777" w:rsidR="00B51F5B" w:rsidRPr="003A2050" w:rsidRDefault="00B51F5B" w:rsidP="003A2050">
      <w:pPr>
        <w:pStyle w:val="100"/>
        <w:rPr>
          <w:rtl/>
        </w:rPr>
      </w:pPr>
      <w:r w:rsidRPr="003A2050">
        <w:rPr>
          <w:rFonts w:hint="cs"/>
          <w:rtl/>
        </w:rPr>
        <w:t>במסגרת הרפורמה שונתה גם הדרך לתקצוב שירותי בריאות הנפש:</w:t>
      </w:r>
    </w:p>
    <w:p w14:paraId="67280193" w14:textId="77777777" w:rsidR="00B51F5B" w:rsidRDefault="00B51F5B" w:rsidP="003A2050">
      <w:pPr>
        <w:pStyle w:val="100"/>
        <w:rPr>
          <w:rtl/>
        </w:rPr>
      </w:pPr>
      <w:r w:rsidRPr="003A2050">
        <w:rPr>
          <w:rStyle w:val="Heading7Char"/>
          <w:rFonts w:hint="eastAsia"/>
          <w:color w:val="004E6C"/>
          <w:spacing w:val="0"/>
          <w:rtl/>
        </w:rPr>
        <w:t>תקצוב</w:t>
      </w:r>
      <w:r w:rsidRPr="003A2050">
        <w:rPr>
          <w:rStyle w:val="Heading7Char"/>
          <w:color w:val="004E6C"/>
          <w:spacing w:val="0"/>
          <w:rtl/>
        </w:rPr>
        <w:t xml:space="preserve"> מערך בריאות הנפש </w:t>
      </w:r>
      <w:r w:rsidRPr="003A2050">
        <w:rPr>
          <w:rStyle w:val="Heading7Char"/>
          <w:rFonts w:hint="eastAsia"/>
          <w:color w:val="004E6C"/>
          <w:spacing w:val="0"/>
          <w:rtl/>
        </w:rPr>
        <w:t>לפני</w:t>
      </w:r>
      <w:r w:rsidRPr="003A2050">
        <w:rPr>
          <w:rStyle w:val="Heading7Char"/>
          <w:color w:val="004E6C"/>
          <w:spacing w:val="0"/>
          <w:rtl/>
        </w:rPr>
        <w:t xml:space="preserve"> </w:t>
      </w:r>
      <w:r w:rsidRPr="003A2050">
        <w:rPr>
          <w:rStyle w:val="Heading7Char"/>
          <w:rFonts w:hint="eastAsia"/>
          <w:color w:val="004E6C"/>
          <w:spacing w:val="0"/>
          <w:rtl/>
        </w:rPr>
        <w:t>הרפורמה</w:t>
      </w:r>
      <w:r w:rsidRPr="003A2050">
        <w:rPr>
          <w:rStyle w:val="Heading7Char"/>
          <w:color w:val="004E6C"/>
          <w:spacing w:val="0"/>
          <w:rtl/>
        </w:rPr>
        <w:t>:</w:t>
      </w:r>
      <w:r w:rsidRPr="003A2050">
        <w:rPr>
          <w:rFonts w:hint="cs"/>
          <w:color w:val="004E6C"/>
          <w:rtl/>
        </w:rPr>
        <w:t xml:space="preserve"> </w:t>
      </w:r>
      <w:r>
        <w:rPr>
          <w:rFonts w:hint="cs"/>
          <w:rtl/>
        </w:rPr>
        <w:t xml:space="preserve">מאז חקיקת חוק ביטוח בריאות בשנת 1994 ניתנו שירותי בריאות הנפש על ידי משרד הבריאות במסגרת התוספת השלישית לחוק, כלומר אספקת השירותים בתחום בריאות הנפש </w:t>
      </w:r>
      <w:r w:rsidRPr="00EA3F2E">
        <w:rPr>
          <w:rFonts w:hint="cs"/>
          <w:rtl/>
        </w:rPr>
        <w:t>הייתה באחריות</w:t>
      </w:r>
      <w:r>
        <w:rPr>
          <w:rFonts w:hint="cs"/>
          <w:rtl/>
        </w:rPr>
        <w:t xml:space="preserve"> המדינה. </w:t>
      </w:r>
      <w:r>
        <w:rPr>
          <w:rtl/>
        </w:rPr>
        <w:t>עד כניסת הרפורמה</w:t>
      </w:r>
      <w:r>
        <w:rPr>
          <w:rFonts w:hint="cs"/>
          <w:rtl/>
        </w:rPr>
        <w:t xml:space="preserve"> היו</w:t>
      </w:r>
      <w:r>
        <w:rPr>
          <w:rtl/>
        </w:rPr>
        <w:t xml:space="preserve"> בתי החולים הפסיכיאטריים הממשלתיים אחראיים למתן השירותים הרפואיים </w:t>
      </w:r>
      <w:r>
        <w:rPr>
          <w:rFonts w:hint="cs"/>
          <w:rtl/>
        </w:rPr>
        <w:t>ו</w:t>
      </w:r>
      <w:r>
        <w:rPr>
          <w:rtl/>
        </w:rPr>
        <w:t xml:space="preserve">העניקו אותם למטופלים </w:t>
      </w:r>
      <w:r>
        <w:rPr>
          <w:rFonts w:hint="cs"/>
          <w:rtl/>
        </w:rPr>
        <w:t>באמצעות תקצוב מלא של המשרד</w:t>
      </w:r>
      <w:r>
        <w:rPr>
          <w:rtl/>
        </w:rPr>
        <w:t xml:space="preserve">. </w:t>
      </w:r>
      <w:r>
        <w:rPr>
          <w:rFonts w:hint="cs"/>
          <w:rtl/>
        </w:rPr>
        <w:t>נוסף על כך,</w:t>
      </w:r>
      <w:r w:rsidRPr="00EF4BE9">
        <w:rPr>
          <w:rtl/>
        </w:rPr>
        <w:t xml:space="preserve"> חלק מקופות החולים סיפקו שירותי פסיכותרפיה </w:t>
      </w:r>
      <w:r>
        <w:rPr>
          <w:rFonts w:hint="cs"/>
          <w:rtl/>
        </w:rPr>
        <w:t>באמצעות</w:t>
      </w:r>
      <w:r w:rsidRPr="00EF4BE9">
        <w:rPr>
          <w:rtl/>
        </w:rPr>
        <w:t xml:space="preserve"> התוכניות לשירותי בריאות נוספים (שב"ן) או </w:t>
      </w:r>
      <w:r>
        <w:rPr>
          <w:rFonts w:hint="cs"/>
          <w:rtl/>
        </w:rPr>
        <w:t>באמצעות</w:t>
      </w:r>
      <w:r w:rsidRPr="00EF4BE9">
        <w:rPr>
          <w:rtl/>
        </w:rPr>
        <w:t xml:space="preserve"> סל הקופה. </w:t>
      </w:r>
    </w:p>
    <w:p w14:paraId="6C58CAA8" w14:textId="77777777" w:rsidR="00B51F5B" w:rsidRDefault="00B51F5B" w:rsidP="003A2050">
      <w:pPr>
        <w:pStyle w:val="100"/>
        <w:rPr>
          <w:rtl/>
        </w:rPr>
      </w:pPr>
      <w:r w:rsidRPr="003A2050">
        <w:rPr>
          <w:rStyle w:val="Heading7Char"/>
          <w:rFonts w:hint="eastAsia"/>
          <w:color w:val="004E6C"/>
          <w:spacing w:val="0"/>
          <w:rtl/>
        </w:rPr>
        <w:t>תקצוב</w:t>
      </w:r>
      <w:r w:rsidRPr="003A2050">
        <w:rPr>
          <w:rStyle w:val="Heading7Char"/>
          <w:color w:val="004E6C"/>
          <w:spacing w:val="0"/>
          <w:rtl/>
        </w:rPr>
        <w:t xml:space="preserve"> מערך בריאות הנפש לאחר הרפורמה:</w:t>
      </w:r>
      <w:r w:rsidRPr="003A2050">
        <w:rPr>
          <w:rFonts w:hint="cs"/>
          <w:color w:val="004E6C"/>
          <w:rtl/>
        </w:rPr>
        <w:t xml:space="preserve"> </w:t>
      </w:r>
      <w:r>
        <w:rPr>
          <w:rtl/>
        </w:rPr>
        <w:t>בעקבות הרפורמה השתנתה שיטת התקצוב</w:t>
      </w:r>
      <w:r>
        <w:rPr>
          <w:rFonts w:hint="cs"/>
          <w:rtl/>
        </w:rPr>
        <w:t xml:space="preserve"> של שירותי בריאות הנפש,</w:t>
      </w:r>
      <w:r>
        <w:rPr>
          <w:rtl/>
        </w:rPr>
        <w:t xml:space="preserve"> ובתי החולים הפסיכיאטריים הממשלתיים החלו לשמש כספקי שירות של קופות החולים. המשמעות היא שהכנסות בתי החולים החלו להיות תלויות בתקבולים מהקופות</w:t>
      </w:r>
      <w:r>
        <w:rPr>
          <w:rFonts w:hint="cs"/>
          <w:rtl/>
        </w:rPr>
        <w:t>.</w:t>
      </w:r>
      <w:r>
        <w:rPr>
          <w:rtl/>
        </w:rPr>
        <w:t xml:space="preserve"> </w:t>
      </w:r>
      <w:r>
        <w:rPr>
          <w:rFonts w:hint="cs"/>
          <w:rtl/>
        </w:rPr>
        <w:t>עובדה</w:t>
      </w:r>
      <w:r>
        <w:rPr>
          <w:rtl/>
        </w:rPr>
        <w:t xml:space="preserve"> </w:t>
      </w:r>
      <w:r>
        <w:rPr>
          <w:rFonts w:hint="cs"/>
          <w:rtl/>
        </w:rPr>
        <w:t xml:space="preserve">זו </w:t>
      </w:r>
      <w:r>
        <w:rPr>
          <w:rtl/>
        </w:rPr>
        <w:t>הביא</w:t>
      </w:r>
      <w:r>
        <w:rPr>
          <w:rFonts w:hint="cs"/>
          <w:rtl/>
        </w:rPr>
        <w:t>ה את בתי החולים</w:t>
      </w:r>
      <w:r>
        <w:rPr>
          <w:rtl/>
        </w:rPr>
        <w:t xml:space="preserve"> לשנו</w:t>
      </w:r>
      <w:r>
        <w:rPr>
          <w:rFonts w:hint="cs"/>
          <w:rtl/>
        </w:rPr>
        <w:t>ת</w:t>
      </w:r>
      <w:r>
        <w:rPr>
          <w:rtl/>
        </w:rPr>
        <w:t xml:space="preserve"> </w:t>
      </w:r>
      <w:r>
        <w:rPr>
          <w:rFonts w:hint="cs"/>
          <w:rtl/>
        </w:rPr>
        <w:t xml:space="preserve">את </w:t>
      </w:r>
      <w:r>
        <w:rPr>
          <w:rtl/>
        </w:rPr>
        <w:t xml:space="preserve">תפיסת הניהול הכלכלי שלהם, </w:t>
      </w:r>
      <w:r>
        <w:rPr>
          <w:rFonts w:hint="cs"/>
          <w:rtl/>
        </w:rPr>
        <w:t>והם החלו לבחון את</w:t>
      </w:r>
      <w:r>
        <w:rPr>
          <w:rtl/>
        </w:rPr>
        <w:t xml:space="preserve"> כדאיות</w:t>
      </w:r>
      <w:r>
        <w:rPr>
          <w:rFonts w:hint="cs"/>
          <w:rtl/>
        </w:rPr>
        <w:t>ן</w:t>
      </w:r>
      <w:r>
        <w:rPr>
          <w:rtl/>
        </w:rPr>
        <w:t xml:space="preserve"> הכלכלית של הפעולות שהם מבצעים ו</w:t>
      </w:r>
      <w:r>
        <w:rPr>
          <w:rFonts w:hint="cs"/>
          <w:rtl/>
        </w:rPr>
        <w:t>להקפיד</w:t>
      </w:r>
      <w:r>
        <w:rPr>
          <w:rtl/>
        </w:rPr>
        <w:t xml:space="preserve"> על גביית התשלומים מהקופות. מנגד</w:t>
      </w:r>
      <w:r>
        <w:rPr>
          <w:rFonts w:hint="cs"/>
          <w:rtl/>
        </w:rPr>
        <w:t xml:space="preserve"> החלו</w:t>
      </w:r>
      <w:r>
        <w:rPr>
          <w:rtl/>
        </w:rPr>
        <w:t xml:space="preserve"> </w:t>
      </w:r>
      <w:r>
        <w:rPr>
          <w:rFonts w:hint="cs"/>
          <w:rtl/>
        </w:rPr>
        <w:t xml:space="preserve">גם </w:t>
      </w:r>
      <w:r>
        <w:rPr>
          <w:rtl/>
        </w:rPr>
        <w:t>הקופות להפעיל מנגנוני בקרה על השירותים שהן מקבלות מבתי החולים הפסיכיאטריים הממשלתיים.</w:t>
      </w:r>
      <w:r>
        <w:rPr>
          <w:rFonts w:hint="cs"/>
          <w:rtl/>
        </w:rPr>
        <w:t xml:space="preserve"> </w:t>
      </w:r>
      <w:r w:rsidRPr="006952C9">
        <w:rPr>
          <w:rtl/>
        </w:rPr>
        <w:t>צו הרפורמה העביר את השירותים מהתוספת השלישית</w:t>
      </w:r>
      <w:r>
        <w:rPr>
          <w:rFonts w:hint="cs"/>
          <w:rtl/>
        </w:rPr>
        <w:t xml:space="preserve"> לחוק ביטוח בריאות אל התוספת השנייה</w:t>
      </w:r>
      <w:r w:rsidRPr="006952C9">
        <w:rPr>
          <w:rtl/>
        </w:rPr>
        <w:t xml:space="preserve"> </w:t>
      </w:r>
      <w:r>
        <w:rPr>
          <w:rFonts w:hint="cs"/>
          <w:rtl/>
        </w:rPr>
        <w:t>כחלק מ</w:t>
      </w:r>
      <w:r w:rsidRPr="006952C9">
        <w:rPr>
          <w:rtl/>
        </w:rPr>
        <w:t xml:space="preserve">סל שירותי הבריאות </w:t>
      </w:r>
      <w:r>
        <w:rPr>
          <w:rFonts w:hint="cs"/>
          <w:rtl/>
        </w:rPr>
        <w:t>ש</w:t>
      </w:r>
      <w:r w:rsidRPr="006952C9">
        <w:rPr>
          <w:rtl/>
        </w:rPr>
        <w:t xml:space="preserve">באחריות </w:t>
      </w:r>
      <w:r>
        <w:rPr>
          <w:rFonts w:hint="cs"/>
          <w:rtl/>
        </w:rPr>
        <w:t>ה</w:t>
      </w:r>
      <w:r w:rsidRPr="006952C9">
        <w:rPr>
          <w:rtl/>
        </w:rPr>
        <w:t>קופות. סכומים אלו מתעדכנים מעת לעת לפי קצב קידום הסל.</w:t>
      </w:r>
      <w:r>
        <w:rPr>
          <w:rFonts w:hint="cs"/>
          <w:rtl/>
        </w:rPr>
        <w:t xml:space="preserve"> </w:t>
      </w:r>
    </w:p>
    <w:p w14:paraId="743EE7C9" w14:textId="77777777" w:rsidR="00B51F5B" w:rsidRDefault="00B51F5B" w:rsidP="003A2050">
      <w:pPr>
        <w:pStyle w:val="100"/>
        <w:rPr>
          <w:rtl/>
        </w:rPr>
      </w:pPr>
      <w:r>
        <w:rPr>
          <w:rFonts w:hint="cs"/>
          <w:rtl/>
        </w:rPr>
        <w:t>הסכם הרפורמה קבע כי התקציב השנתי המתווסף לסל שירותי הבריאות עבור שירותים בתחום בריאות הנפש יעמוד על 1.64 מיליארד ש"ח: סל אשפוז בסך 1.08 מיליארד ש"ח וסל אמבולטורי בסך 0.56 מיליארד ש"ח. התקציב כולל תוספת בסכום של כ-300 מיליון ש"ח, ש</w:t>
      </w:r>
      <w:r w:rsidRPr="00F97802">
        <w:rPr>
          <w:rFonts w:hint="cs"/>
          <w:rtl/>
        </w:rPr>
        <w:t xml:space="preserve">נועדה בעיקרה להרחבת </w:t>
      </w:r>
      <w:r>
        <w:rPr>
          <w:rFonts w:hint="cs"/>
          <w:rtl/>
        </w:rPr>
        <w:t xml:space="preserve">מערך </w:t>
      </w:r>
      <w:r w:rsidRPr="00F97802">
        <w:rPr>
          <w:rFonts w:hint="cs"/>
          <w:rtl/>
        </w:rPr>
        <w:t>השירותים האמבולטוריים</w:t>
      </w:r>
      <w:r>
        <w:rPr>
          <w:rFonts w:hint="cs"/>
          <w:rtl/>
        </w:rPr>
        <w:t xml:space="preserve"> (בשנת 2018 גדלה התוספת לכ-400 מיליון ש"ח </w:t>
      </w:r>
      <w:r w:rsidRPr="00B73557">
        <w:rPr>
          <w:rtl/>
        </w:rPr>
        <w:t>עקב עדכונה בהתאם לקצב גידול הסל</w:t>
      </w:r>
      <w:r>
        <w:rPr>
          <w:rFonts w:hint="cs"/>
          <w:rtl/>
        </w:rPr>
        <w:t>)</w:t>
      </w:r>
      <w:r w:rsidRPr="00F97802">
        <w:rPr>
          <w:rFonts w:hint="cs"/>
          <w:rtl/>
        </w:rPr>
        <w:t xml:space="preserve">. </w:t>
      </w:r>
      <w:r>
        <w:rPr>
          <w:rFonts w:hint="cs"/>
          <w:rtl/>
        </w:rPr>
        <w:t xml:space="preserve">נוסף על כך, </w:t>
      </w:r>
      <w:r w:rsidRPr="00EF4BE9">
        <w:rPr>
          <w:rtl/>
        </w:rPr>
        <w:t>לאחר כניסת הרפורמה לתוקף בוטל</w:t>
      </w:r>
      <w:r>
        <w:rPr>
          <w:rFonts w:hint="cs"/>
          <w:rtl/>
        </w:rPr>
        <w:t>ו שירותי בריאות הנפש שסיפקו הקופות באמצעות השב"ן</w:t>
      </w:r>
      <w:r>
        <w:rPr>
          <w:rStyle w:val="FootnoteReference"/>
          <w:rtl/>
        </w:rPr>
        <w:footnoteReference w:id="71"/>
      </w:r>
      <w:r>
        <w:rPr>
          <w:rFonts w:hint="cs"/>
          <w:rtl/>
        </w:rPr>
        <w:t>.</w:t>
      </w:r>
    </w:p>
    <w:p w14:paraId="691D285A" w14:textId="720DD5FC" w:rsidR="00B51F5B" w:rsidRDefault="00B51F5B" w:rsidP="003A2050">
      <w:pPr>
        <w:pStyle w:val="100"/>
        <w:rPr>
          <w:rtl/>
        </w:rPr>
      </w:pPr>
      <w:r>
        <w:rPr>
          <w:rFonts w:hint="cs"/>
          <w:rtl/>
        </w:rPr>
        <w:t>מקורות המימון ל</w:t>
      </w:r>
      <w:r w:rsidRPr="00F97802">
        <w:rPr>
          <w:rFonts w:hint="cs"/>
          <w:rtl/>
        </w:rPr>
        <w:t>סל</w:t>
      </w:r>
      <w:r>
        <w:rPr>
          <w:rFonts w:hint="cs"/>
          <w:rtl/>
        </w:rPr>
        <w:t>, בסך כולל של כ-1.64 מיליארד ש"ח,</w:t>
      </w:r>
      <w:r w:rsidRPr="00F97802">
        <w:rPr>
          <w:rFonts w:hint="cs"/>
          <w:rtl/>
        </w:rPr>
        <w:t xml:space="preserve"> </w:t>
      </w:r>
      <w:r>
        <w:rPr>
          <w:rFonts w:hint="cs"/>
          <w:rtl/>
        </w:rPr>
        <w:t>מפורטים להלן בלוח 5, כפי שנקבעו בהסכם</w:t>
      </w:r>
      <w:r w:rsidRPr="00F97802">
        <w:rPr>
          <w:rFonts w:hint="cs"/>
          <w:rtl/>
        </w:rPr>
        <w:t>.</w:t>
      </w:r>
      <w:r>
        <w:rPr>
          <w:rFonts w:hint="cs"/>
          <w:rtl/>
        </w:rPr>
        <w:t xml:space="preserve"> יצוין כי בשנת 2018 היה הסכום המיועד לבריאות הנפש בסל שירותי הבריאות לאחר הצמדה ליוקר המחיה ולגידול הדמוגרפי 2.3 מיליארדי ש"ח.</w:t>
      </w:r>
    </w:p>
    <w:p w14:paraId="1EA205CD" w14:textId="51B57C43" w:rsidR="00B51F5B" w:rsidRDefault="00B51F5B" w:rsidP="003A2050">
      <w:pPr>
        <w:pStyle w:val="aa"/>
        <w:bidi w:val="0"/>
      </w:pPr>
      <w:r w:rsidRPr="00A61C7A">
        <w:rPr>
          <w:rFonts w:hint="cs"/>
          <w:rtl/>
        </w:rPr>
        <w:t xml:space="preserve">לוח </w:t>
      </w:r>
      <w:r>
        <w:rPr>
          <w:rFonts w:hint="cs"/>
          <w:rtl/>
        </w:rPr>
        <w:t>5</w:t>
      </w:r>
      <w:r w:rsidRPr="00A61C7A">
        <w:rPr>
          <w:rFonts w:hint="cs"/>
          <w:rtl/>
        </w:rPr>
        <w:t xml:space="preserve">: </w:t>
      </w:r>
      <w:r w:rsidRPr="003A2050">
        <w:rPr>
          <w:rFonts w:hint="cs"/>
          <w:b/>
          <w:bCs/>
          <w:rtl/>
        </w:rPr>
        <w:t>מקורות מימון סל שירותי בריאות הנפש (במחירי 2012, ב</w:t>
      </w:r>
      <w:r w:rsidR="00C1008B">
        <w:rPr>
          <w:rFonts w:hint="cs"/>
          <w:b/>
          <w:bCs/>
          <w:rtl/>
        </w:rPr>
        <w:t>מיליוני</w:t>
      </w:r>
      <w:r w:rsidRPr="003A2050">
        <w:rPr>
          <w:rFonts w:hint="cs"/>
          <w:b/>
          <w:bCs/>
          <w:rtl/>
        </w:rPr>
        <w:t xml:space="preserve"> ש"ח)</w:t>
      </w:r>
    </w:p>
    <w:tbl>
      <w:tblPr>
        <w:tblStyle w:val="TableGrid"/>
        <w:bidiVisual/>
        <w:tblW w:w="0" w:type="auto"/>
        <w:jc w:val="center"/>
        <w:tblLook w:val="04A0" w:firstRow="1" w:lastRow="0" w:firstColumn="1" w:lastColumn="0" w:noHBand="0" w:noVBand="1"/>
      </w:tblPr>
      <w:tblGrid>
        <w:gridCol w:w="4817"/>
        <w:gridCol w:w="1269"/>
      </w:tblGrid>
      <w:tr w:rsidR="00B51F5B" w14:paraId="7C50C686" w14:textId="77777777" w:rsidTr="003A2050">
        <w:trPr>
          <w:jc w:val="center"/>
        </w:trPr>
        <w:tc>
          <w:tcPr>
            <w:tcW w:w="4817" w:type="dxa"/>
          </w:tcPr>
          <w:p w14:paraId="48C53BAD" w14:textId="77777777" w:rsidR="00B51F5B" w:rsidRPr="000D6DD0" w:rsidRDefault="00B51F5B" w:rsidP="003A2050">
            <w:pPr>
              <w:pStyle w:val="R"/>
              <w:rPr>
                <w:rtl/>
              </w:rPr>
            </w:pPr>
            <w:r w:rsidRPr="000D6DD0">
              <w:rPr>
                <w:rFonts w:hint="eastAsia"/>
                <w:rtl/>
              </w:rPr>
              <w:t>תוספת</w:t>
            </w:r>
            <w:r w:rsidRPr="000D6DD0">
              <w:rPr>
                <w:rtl/>
              </w:rPr>
              <w:t xml:space="preserve"> </w:t>
            </w:r>
            <w:r w:rsidRPr="000D6DD0">
              <w:rPr>
                <w:rFonts w:hint="eastAsia"/>
                <w:rtl/>
              </w:rPr>
              <w:t>לעלות</w:t>
            </w:r>
            <w:r w:rsidRPr="000D6DD0">
              <w:rPr>
                <w:rtl/>
              </w:rPr>
              <w:t xml:space="preserve"> </w:t>
            </w:r>
            <w:r w:rsidRPr="000D6DD0">
              <w:rPr>
                <w:rFonts w:hint="eastAsia"/>
                <w:rtl/>
              </w:rPr>
              <w:t>סל</w:t>
            </w:r>
            <w:r w:rsidRPr="000D6DD0">
              <w:rPr>
                <w:rtl/>
              </w:rPr>
              <w:t xml:space="preserve"> </w:t>
            </w:r>
            <w:r w:rsidRPr="000D6DD0">
              <w:rPr>
                <w:rFonts w:hint="eastAsia"/>
                <w:rtl/>
              </w:rPr>
              <w:t>שירותי</w:t>
            </w:r>
            <w:r w:rsidRPr="000D6DD0">
              <w:rPr>
                <w:rtl/>
              </w:rPr>
              <w:t xml:space="preserve"> </w:t>
            </w:r>
            <w:r w:rsidRPr="000D6DD0">
              <w:rPr>
                <w:rFonts w:hint="eastAsia"/>
                <w:rtl/>
              </w:rPr>
              <w:t>הבריאות</w:t>
            </w:r>
            <w:r w:rsidRPr="000D6DD0">
              <w:rPr>
                <w:rtl/>
              </w:rPr>
              <w:t xml:space="preserve">, </w:t>
            </w:r>
            <w:r w:rsidRPr="000D6DD0">
              <w:rPr>
                <w:rFonts w:hint="eastAsia"/>
                <w:rtl/>
              </w:rPr>
              <w:t>נטו</w:t>
            </w:r>
          </w:p>
        </w:tc>
        <w:tc>
          <w:tcPr>
            <w:tcW w:w="1269" w:type="dxa"/>
          </w:tcPr>
          <w:p w14:paraId="518F2A26" w14:textId="71B8B7E2" w:rsidR="00B51F5B" w:rsidRPr="000D6DD0" w:rsidRDefault="00B51F5B" w:rsidP="003A2050">
            <w:pPr>
              <w:pStyle w:val="R"/>
              <w:rPr>
                <w:rtl/>
              </w:rPr>
            </w:pPr>
            <w:r w:rsidRPr="000D6DD0">
              <w:rPr>
                <w:rtl/>
              </w:rPr>
              <w:t>1,54</w:t>
            </w:r>
            <w:r w:rsidR="00283E86">
              <w:rPr>
                <w:rFonts w:hint="cs"/>
                <w:rtl/>
              </w:rPr>
              <w:t>1</w:t>
            </w:r>
          </w:p>
        </w:tc>
      </w:tr>
      <w:tr w:rsidR="00B51F5B" w14:paraId="661A446E" w14:textId="77777777" w:rsidTr="003A2050">
        <w:trPr>
          <w:jc w:val="center"/>
        </w:trPr>
        <w:tc>
          <w:tcPr>
            <w:tcW w:w="4817" w:type="dxa"/>
          </w:tcPr>
          <w:p w14:paraId="41DCF0E6" w14:textId="77777777" w:rsidR="00B51F5B" w:rsidRPr="000D6DD0" w:rsidRDefault="00B51F5B" w:rsidP="003A2050">
            <w:pPr>
              <w:pStyle w:val="R"/>
              <w:rPr>
                <w:rtl/>
              </w:rPr>
            </w:pPr>
            <w:r w:rsidRPr="000D6DD0">
              <w:rPr>
                <w:rFonts w:hint="eastAsia"/>
                <w:rtl/>
              </w:rPr>
              <w:t>קצבאות</w:t>
            </w:r>
            <w:r w:rsidRPr="000D6DD0">
              <w:rPr>
                <w:rtl/>
              </w:rPr>
              <w:t xml:space="preserve"> </w:t>
            </w:r>
            <w:r w:rsidRPr="000D6DD0">
              <w:rPr>
                <w:rFonts w:hint="eastAsia"/>
                <w:rtl/>
              </w:rPr>
              <w:t>ביטוח</w:t>
            </w:r>
            <w:r w:rsidRPr="000D6DD0">
              <w:rPr>
                <w:rtl/>
              </w:rPr>
              <w:t xml:space="preserve"> </w:t>
            </w:r>
            <w:r w:rsidRPr="000D6DD0">
              <w:rPr>
                <w:rFonts w:hint="eastAsia"/>
                <w:rtl/>
              </w:rPr>
              <w:t>לאומי</w:t>
            </w:r>
            <w:r w:rsidRPr="000D6DD0">
              <w:rPr>
                <w:rtl/>
              </w:rPr>
              <w:t xml:space="preserve"> </w:t>
            </w:r>
            <w:r w:rsidRPr="000D6DD0">
              <w:rPr>
                <w:rFonts w:hint="eastAsia"/>
                <w:rtl/>
              </w:rPr>
              <w:t>למאושפזים</w:t>
            </w:r>
            <w:r w:rsidRPr="000D6DD0">
              <w:rPr>
                <w:rtl/>
              </w:rPr>
              <w:t xml:space="preserve"> </w:t>
            </w:r>
            <w:r w:rsidRPr="000D6DD0">
              <w:rPr>
                <w:rFonts w:hint="eastAsia"/>
                <w:rtl/>
              </w:rPr>
              <w:t>ממושכים</w:t>
            </w:r>
          </w:p>
        </w:tc>
        <w:tc>
          <w:tcPr>
            <w:tcW w:w="1269" w:type="dxa"/>
          </w:tcPr>
          <w:p w14:paraId="541288E3" w14:textId="77777777" w:rsidR="00B51F5B" w:rsidRPr="000D6DD0" w:rsidRDefault="00B51F5B" w:rsidP="003A2050">
            <w:pPr>
              <w:pStyle w:val="R"/>
              <w:rPr>
                <w:rtl/>
              </w:rPr>
            </w:pPr>
            <w:r w:rsidRPr="000D6DD0">
              <w:rPr>
                <w:rtl/>
              </w:rPr>
              <w:t>24</w:t>
            </w:r>
          </w:p>
        </w:tc>
      </w:tr>
      <w:tr w:rsidR="00B51F5B" w14:paraId="2373B60E" w14:textId="77777777" w:rsidTr="003A2050">
        <w:trPr>
          <w:jc w:val="center"/>
        </w:trPr>
        <w:tc>
          <w:tcPr>
            <w:tcW w:w="4817" w:type="dxa"/>
          </w:tcPr>
          <w:p w14:paraId="18C0133E" w14:textId="77777777" w:rsidR="00B51F5B" w:rsidRPr="000D6DD0" w:rsidRDefault="00B51F5B" w:rsidP="003A2050">
            <w:pPr>
              <w:pStyle w:val="R"/>
              <w:rPr>
                <w:rtl/>
              </w:rPr>
            </w:pPr>
            <w:r w:rsidRPr="000D6DD0">
              <w:rPr>
                <w:rFonts w:hint="eastAsia"/>
                <w:rtl/>
              </w:rPr>
              <w:t>השתתפות</w:t>
            </w:r>
            <w:r w:rsidRPr="000D6DD0">
              <w:rPr>
                <w:rtl/>
              </w:rPr>
              <w:t xml:space="preserve"> </w:t>
            </w:r>
            <w:r w:rsidRPr="000D6DD0">
              <w:rPr>
                <w:rFonts w:hint="eastAsia"/>
                <w:rtl/>
              </w:rPr>
              <w:t>עצמית</w:t>
            </w:r>
            <w:r w:rsidRPr="000D6DD0">
              <w:rPr>
                <w:rtl/>
              </w:rPr>
              <w:t xml:space="preserve"> </w:t>
            </w:r>
            <w:r w:rsidRPr="000D6DD0">
              <w:rPr>
                <w:rFonts w:hint="eastAsia"/>
                <w:rtl/>
              </w:rPr>
              <w:t>נורמטיבית</w:t>
            </w:r>
            <w:r>
              <w:rPr>
                <w:rFonts w:hint="cs"/>
                <w:rtl/>
              </w:rPr>
              <w:t>*</w:t>
            </w:r>
            <w:r w:rsidRPr="000D6DD0">
              <w:rPr>
                <w:rtl/>
              </w:rPr>
              <w:t xml:space="preserve"> - 1.5%</w:t>
            </w:r>
          </w:p>
        </w:tc>
        <w:tc>
          <w:tcPr>
            <w:tcW w:w="1269" w:type="dxa"/>
          </w:tcPr>
          <w:p w14:paraId="1BAEFEDA" w14:textId="77777777" w:rsidR="00B51F5B" w:rsidRPr="000D6DD0" w:rsidRDefault="00B51F5B" w:rsidP="003A2050">
            <w:pPr>
              <w:pStyle w:val="R"/>
              <w:rPr>
                <w:rtl/>
              </w:rPr>
            </w:pPr>
            <w:r w:rsidRPr="000D6DD0">
              <w:rPr>
                <w:rtl/>
              </w:rPr>
              <w:t>25</w:t>
            </w:r>
          </w:p>
        </w:tc>
      </w:tr>
      <w:tr w:rsidR="00B51F5B" w14:paraId="27028201" w14:textId="77777777" w:rsidTr="003A2050">
        <w:trPr>
          <w:jc w:val="center"/>
        </w:trPr>
        <w:tc>
          <w:tcPr>
            <w:tcW w:w="4817" w:type="dxa"/>
          </w:tcPr>
          <w:p w14:paraId="291C0E28" w14:textId="77777777" w:rsidR="00B51F5B" w:rsidRPr="000D6DD0" w:rsidRDefault="00B51F5B" w:rsidP="003A2050">
            <w:pPr>
              <w:pStyle w:val="R"/>
              <w:rPr>
                <w:rtl/>
              </w:rPr>
            </w:pPr>
            <w:r w:rsidRPr="000D6DD0">
              <w:rPr>
                <w:rFonts w:hint="eastAsia"/>
                <w:rtl/>
              </w:rPr>
              <w:t>קופות</w:t>
            </w:r>
            <w:r w:rsidRPr="000D6DD0">
              <w:rPr>
                <w:rtl/>
              </w:rPr>
              <w:t xml:space="preserve"> </w:t>
            </w:r>
            <w:r w:rsidRPr="000D6DD0">
              <w:rPr>
                <w:rFonts w:hint="eastAsia"/>
                <w:rtl/>
              </w:rPr>
              <w:t>החולים</w:t>
            </w:r>
            <w:r w:rsidRPr="000D6DD0">
              <w:rPr>
                <w:rtl/>
              </w:rPr>
              <w:t xml:space="preserve"> - </w:t>
            </w:r>
            <w:r w:rsidRPr="000D6DD0">
              <w:rPr>
                <w:rFonts w:hint="eastAsia"/>
                <w:rtl/>
              </w:rPr>
              <w:t>מתוך</w:t>
            </w:r>
            <w:r w:rsidRPr="000D6DD0">
              <w:rPr>
                <w:rtl/>
              </w:rPr>
              <w:t xml:space="preserve"> </w:t>
            </w:r>
            <w:r w:rsidRPr="000D6DD0">
              <w:rPr>
                <w:rFonts w:hint="eastAsia"/>
                <w:rtl/>
              </w:rPr>
              <w:t>מקורות</w:t>
            </w:r>
            <w:r w:rsidRPr="000D6DD0">
              <w:rPr>
                <w:rtl/>
              </w:rPr>
              <w:t xml:space="preserve"> </w:t>
            </w:r>
            <w:r w:rsidRPr="000D6DD0">
              <w:rPr>
                <w:rFonts w:hint="eastAsia"/>
                <w:rtl/>
              </w:rPr>
              <w:t>קיימים</w:t>
            </w:r>
            <w:r w:rsidRPr="000D6DD0">
              <w:rPr>
                <w:rtl/>
              </w:rPr>
              <w:t xml:space="preserve"> </w:t>
            </w:r>
            <w:r w:rsidRPr="000D6DD0">
              <w:rPr>
                <w:rFonts w:hint="eastAsia"/>
                <w:rtl/>
              </w:rPr>
              <w:t>בבסיס</w:t>
            </w:r>
            <w:r w:rsidRPr="000D6DD0">
              <w:rPr>
                <w:rtl/>
              </w:rPr>
              <w:t xml:space="preserve"> </w:t>
            </w:r>
            <w:r w:rsidRPr="000D6DD0">
              <w:rPr>
                <w:rFonts w:hint="eastAsia"/>
                <w:rtl/>
              </w:rPr>
              <w:t>הסל</w:t>
            </w:r>
          </w:p>
        </w:tc>
        <w:tc>
          <w:tcPr>
            <w:tcW w:w="1269" w:type="dxa"/>
          </w:tcPr>
          <w:p w14:paraId="3457CA8E" w14:textId="77777777" w:rsidR="00B51F5B" w:rsidRPr="000D6DD0" w:rsidRDefault="00B51F5B" w:rsidP="003A2050">
            <w:pPr>
              <w:pStyle w:val="R"/>
              <w:rPr>
                <w:rtl/>
              </w:rPr>
            </w:pPr>
            <w:r w:rsidRPr="000D6DD0">
              <w:rPr>
                <w:rtl/>
              </w:rPr>
              <w:t>50</w:t>
            </w:r>
          </w:p>
        </w:tc>
      </w:tr>
      <w:tr w:rsidR="00B51F5B" w14:paraId="401400E0" w14:textId="77777777" w:rsidTr="003A2050">
        <w:trPr>
          <w:jc w:val="center"/>
        </w:trPr>
        <w:tc>
          <w:tcPr>
            <w:tcW w:w="4817" w:type="dxa"/>
            <w:shd w:val="clear" w:color="auto" w:fill="C6D9F1"/>
          </w:tcPr>
          <w:p w14:paraId="264220BB" w14:textId="77777777" w:rsidR="00B51F5B" w:rsidRPr="000D6DD0" w:rsidRDefault="00B51F5B" w:rsidP="003A2050">
            <w:pPr>
              <w:pStyle w:val="B"/>
              <w:rPr>
                <w:rtl/>
              </w:rPr>
            </w:pPr>
            <w:r w:rsidRPr="000D6DD0">
              <w:rPr>
                <w:rFonts w:hint="eastAsia"/>
                <w:rtl/>
              </w:rPr>
              <w:t>סך</w:t>
            </w:r>
            <w:r w:rsidRPr="000D6DD0">
              <w:rPr>
                <w:rtl/>
              </w:rPr>
              <w:t xml:space="preserve"> </w:t>
            </w:r>
            <w:r w:rsidRPr="00F26DB8">
              <w:rPr>
                <w:rFonts w:hint="eastAsia"/>
                <w:rtl/>
              </w:rPr>
              <w:t>הכ</w:t>
            </w:r>
            <w:r w:rsidRPr="00F26DB8">
              <w:rPr>
                <w:rFonts w:hint="cs"/>
                <w:rtl/>
              </w:rPr>
              <w:t>ו</w:t>
            </w:r>
            <w:r w:rsidRPr="00F26DB8">
              <w:rPr>
                <w:rFonts w:hint="eastAsia"/>
                <w:rtl/>
              </w:rPr>
              <w:t>ל</w:t>
            </w:r>
          </w:p>
        </w:tc>
        <w:tc>
          <w:tcPr>
            <w:tcW w:w="1269" w:type="dxa"/>
            <w:shd w:val="clear" w:color="auto" w:fill="C6D9F1"/>
          </w:tcPr>
          <w:p w14:paraId="51EE5A88" w14:textId="77777777" w:rsidR="00B51F5B" w:rsidRPr="000D6DD0" w:rsidRDefault="00B51F5B" w:rsidP="003A2050">
            <w:pPr>
              <w:pStyle w:val="B"/>
              <w:rPr>
                <w:rtl/>
              </w:rPr>
            </w:pPr>
            <w:r w:rsidRPr="000D6DD0">
              <w:rPr>
                <w:rtl/>
              </w:rPr>
              <w:t>1,640</w:t>
            </w:r>
          </w:p>
        </w:tc>
      </w:tr>
    </w:tbl>
    <w:p w14:paraId="5A7279AD" w14:textId="77777777" w:rsidR="00B51F5B" w:rsidRPr="00701C49" w:rsidRDefault="00B51F5B" w:rsidP="003A2050">
      <w:pPr>
        <w:pStyle w:val="aff3"/>
        <w:rPr>
          <w:rtl/>
        </w:rPr>
      </w:pPr>
      <w:r w:rsidRPr="00701C49">
        <w:rPr>
          <w:rFonts w:hint="eastAsia"/>
          <w:rtl/>
        </w:rPr>
        <w:t>המקור</w:t>
      </w:r>
      <w:r w:rsidRPr="00701C49">
        <w:rPr>
          <w:rtl/>
        </w:rPr>
        <w:t xml:space="preserve">: </w:t>
      </w:r>
      <w:r w:rsidRPr="00701C49">
        <w:rPr>
          <w:rFonts w:hint="eastAsia"/>
          <w:rtl/>
        </w:rPr>
        <w:t>הסכם</w:t>
      </w:r>
      <w:r w:rsidRPr="00701C49">
        <w:rPr>
          <w:rtl/>
        </w:rPr>
        <w:t xml:space="preserve"> </w:t>
      </w:r>
      <w:r w:rsidRPr="00701C49">
        <w:rPr>
          <w:rFonts w:hint="eastAsia"/>
          <w:rtl/>
        </w:rPr>
        <w:t>הרפורמה</w:t>
      </w:r>
      <w:r w:rsidRPr="00701C49">
        <w:rPr>
          <w:rFonts w:hint="cs"/>
          <w:rtl/>
        </w:rPr>
        <w:t>.</w:t>
      </w:r>
    </w:p>
    <w:p w14:paraId="6D09C2F5" w14:textId="7A847409" w:rsidR="00B51F5B" w:rsidRDefault="00B51F5B" w:rsidP="003A2050">
      <w:pPr>
        <w:pStyle w:val="aff3"/>
        <w:rPr>
          <w:rtl/>
        </w:rPr>
      </w:pPr>
      <w:r w:rsidRPr="00701C49">
        <w:rPr>
          <w:rFonts w:hint="cs"/>
          <w:rtl/>
        </w:rPr>
        <w:t>*</w:t>
      </w:r>
      <w:r w:rsidR="001F3150">
        <w:rPr>
          <w:rtl/>
        </w:rPr>
        <w:tab/>
      </w:r>
      <w:r w:rsidRPr="00701C49">
        <w:rPr>
          <w:rtl/>
        </w:rPr>
        <w:t xml:space="preserve">השתתפות עצמית נורמטיבית </w:t>
      </w:r>
      <w:r w:rsidRPr="00701C49">
        <w:rPr>
          <w:rFonts w:hint="cs"/>
          <w:rtl/>
        </w:rPr>
        <w:t xml:space="preserve">- </w:t>
      </w:r>
      <w:r w:rsidRPr="00701C49">
        <w:rPr>
          <w:rtl/>
        </w:rPr>
        <w:t xml:space="preserve">סכום ההכנסות מהשתתפות עצמית שעל פי החוק יש להביא בחשבון כאחד ממקורות המימון של סל שירותי הבריאות לצורך קביעת שיעור השתתפות תקציב המדינה במימון עלות הסל. </w:t>
      </w:r>
    </w:p>
    <w:p w14:paraId="2A89158F" w14:textId="77777777" w:rsidR="00B51F5B" w:rsidRPr="004B3769" w:rsidRDefault="00B51F5B" w:rsidP="003A2050">
      <w:pPr>
        <w:pStyle w:val="414"/>
        <w:rPr>
          <w:rtl/>
        </w:rPr>
      </w:pPr>
      <w:r>
        <w:rPr>
          <w:rFonts w:hint="cs"/>
          <w:rtl/>
        </w:rPr>
        <w:t xml:space="preserve">אי-מתן </w:t>
      </w:r>
      <w:r w:rsidRPr="004B3769">
        <w:rPr>
          <w:rtl/>
        </w:rPr>
        <w:t>שירותים מספיקים בהתאם לתק</w:t>
      </w:r>
      <w:r>
        <w:rPr>
          <w:rtl/>
        </w:rPr>
        <w:t>ציב</w:t>
      </w:r>
      <w:r w:rsidRPr="004B3769">
        <w:rPr>
          <w:rtl/>
        </w:rPr>
        <w:t xml:space="preserve"> הרפורמה</w:t>
      </w:r>
    </w:p>
    <w:p w14:paraId="50F26E93" w14:textId="77777777" w:rsidR="00B51F5B" w:rsidRPr="00377611" w:rsidRDefault="00B51F5B" w:rsidP="003A2050">
      <w:pPr>
        <w:pStyle w:val="100"/>
        <w:rPr>
          <w:rtl/>
        </w:rPr>
      </w:pPr>
      <w:r>
        <w:rPr>
          <w:rFonts w:hint="cs"/>
          <w:rtl/>
        </w:rPr>
        <w:t xml:space="preserve">תקציב סל השירותים האמבולטוריים בתחום בריאות הנפש התווסף לסל הבריאות המועבר לקופות החולים בהתאם לנקבע בהסכם הרפורמה. התקציב חושב על בסיס הנחה כי 4% מהמבוגרים (מעל גיל 18) ו-2% מהילדים (עד גיל 18 כולל) יידרשו לטיפול, וכי יידרשו בממוצע 9 מגעים למבוגר לשנה ו-12 מגעים לילד. יצוין כי בין משרד הבריאות לבין הכללית התגלעה מחלוקת, בין היתר, אם יש לכלול בחישוב השימושים שנעשו בתקציב </w:t>
      </w:r>
      <w:r w:rsidRPr="009A2A0C">
        <w:rPr>
          <w:rFonts w:hint="cs"/>
          <w:rtl/>
        </w:rPr>
        <w:t xml:space="preserve">גם את המגעים שניתנו למטופלים על ידי </w:t>
      </w:r>
      <w:r w:rsidRPr="00377611">
        <w:rPr>
          <w:rFonts w:hint="cs"/>
          <w:rtl/>
        </w:rPr>
        <w:t xml:space="preserve">רופאי משפחה ורופאי ילדים, במסגרת הרפואה הראשונית (ראו להלן את פירוט נקודות המחלוקת). </w:t>
      </w:r>
    </w:p>
    <w:p w14:paraId="3F03FF37" w14:textId="18A2AF61" w:rsidR="00B51F5B" w:rsidRDefault="00B51F5B" w:rsidP="003A2050">
      <w:pPr>
        <w:pStyle w:val="100"/>
        <w:rPr>
          <w:rtl/>
        </w:rPr>
      </w:pPr>
      <w:r w:rsidRPr="003A2050">
        <w:rPr>
          <w:rStyle w:val="Heading7Char"/>
          <w:rFonts w:hint="eastAsia"/>
          <w:color w:val="004E6C"/>
          <w:spacing w:val="0"/>
          <w:rtl/>
        </w:rPr>
        <w:t>שיעור</w:t>
      </w:r>
      <w:r w:rsidRPr="003A2050">
        <w:rPr>
          <w:rStyle w:val="Heading7Char"/>
          <w:color w:val="004E6C"/>
          <w:spacing w:val="0"/>
          <w:rtl/>
        </w:rPr>
        <w:t xml:space="preserve"> </w:t>
      </w:r>
      <w:r w:rsidRPr="003A2050">
        <w:rPr>
          <w:rStyle w:val="Heading7Char"/>
          <w:rFonts w:hint="eastAsia"/>
          <w:color w:val="004E6C"/>
          <w:spacing w:val="0"/>
          <w:rtl/>
        </w:rPr>
        <w:t>המטופלים</w:t>
      </w:r>
      <w:r w:rsidRPr="003A2050">
        <w:rPr>
          <w:rStyle w:val="Heading7Char"/>
          <w:color w:val="004E6C"/>
          <w:spacing w:val="0"/>
          <w:rtl/>
        </w:rPr>
        <w:t xml:space="preserve"> </w:t>
      </w:r>
      <w:r w:rsidRPr="003A2050">
        <w:rPr>
          <w:rStyle w:val="Heading7Char"/>
          <w:rFonts w:hint="eastAsia"/>
          <w:color w:val="004E6C"/>
          <w:spacing w:val="0"/>
          <w:rtl/>
        </w:rPr>
        <w:t>והמגעים</w:t>
      </w:r>
      <w:r w:rsidRPr="003A2050">
        <w:rPr>
          <w:rStyle w:val="Heading7Char"/>
          <w:color w:val="004E6C"/>
          <w:spacing w:val="0"/>
          <w:rtl/>
        </w:rPr>
        <w:t xml:space="preserve"> </w:t>
      </w:r>
      <w:r w:rsidRPr="003A2050">
        <w:rPr>
          <w:rStyle w:val="Heading7Char"/>
          <w:rFonts w:hint="eastAsia"/>
          <w:color w:val="004E6C"/>
          <w:spacing w:val="0"/>
          <w:rtl/>
        </w:rPr>
        <w:t>בשנת</w:t>
      </w:r>
      <w:r w:rsidRPr="003A2050">
        <w:rPr>
          <w:rStyle w:val="Heading7Char"/>
          <w:color w:val="004E6C"/>
          <w:spacing w:val="0"/>
          <w:rtl/>
        </w:rPr>
        <w:t xml:space="preserve"> 2017</w:t>
      </w:r>
      <w:r w:rsidRPr="003A2050">
        <w:rPr>
          <w:rStyle w:val="Heading7Char"/>
          <w:rFonts w:hint="cs"/>
          <w:color w:val="004E6C"/>
          <w:spacing w:val="0"/>
          <w:rtl/>
        </w:rPr>
        <w:t>:</w:t>
      </w:r>
      <w:r w:rsidRPr="003A2050">
        <w:rPr>
          <w:rStyle w:val="Heading7Char"/>
          <w:rFonts w:hint="cs"/>
          <w:color w:val="004E6C"/>
          <w:rtl/>
        </w:rPr>
        <w:t xml:space="preserve"> </w:t>
      </w:r>
      <w:r>
        <w:rPr>
          <w:rFonts w:hint="cs"/>
          <w:rtl/>
        </w:rPr>
        <w:t>תרשים 2 שלהלן מציג את נתוני קופות החולים על שיעור המבוגרים והילדים שטופלו; תרשים 3 מציג את המספר הממוצע של המגעים שקיבלו (הנתונים אינם כוללים את המטופלים שקיבלו מענה על ידי רופאי משפחה וילדים ולא המשיכו לטיפול במערך בריאות הנפש)</w:t>
      </w:r>
      <w:r>
        <w:rPr>
          <w:rStyle w:val="FootnoteReference"/>
          <w:rtl/>
        </w:rPr>
        <w:footnoteReference w:id="72"/>
      </w:r>
      <w:r>
        <w:rPr>
          <w:rFonts w:hint="cs"/>
          <w:rtl/>
        </w:rPr>
        <w:t>:</w:t>
      </w:r>
    </w:p>
    <w:p w14:paraId="4BD1C8F4" w14:textId="510A1B89" w:rsidR="001C5353" w:rsidRDefault="00B37E36" w:rsidP="00AC04C6">
      <w:pPr>
        <w:pStyle w:val="aff3"/>
        <w:rPr>
          <w:rtl/>
        </w:rPr>
      </w:pPr>
      <w:r>
        <w:rPr>
          <w:noProof/>
          <w:rtl/>
          <w:lang w:val="he-IL"/>
        </w:rPr>
        <w:drawing>
          <wp:inline distT="0" distB="0" distL="0" distR="0" wp14:anchorId="59CE4841" wp14:editId="5304929E">
            <wp:extent cx="2470391" cy="1881996"/>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2 מעודכן.jpg"/>
                    <pic:cNvPicPr/>
                  </pic:nvPicPr>
                  <pic:blipFill rotWithShape="1">
                    <a:blip r:embed="rId30" cstate="print">
                      <a:extLst>
                        <a:ext uri="{28A0092B-C50C-407E-A947-70E740481C1C}">
                          <a14:useLocalDpi xmlns:a14="http://schemas.microsoft.com/office/drawing/2010/main" val="0"/>
                        </a:ext>
                      </a:extLst>
                    </a:blip>
                    <a:srcRect l="2914" t="2766" b="3655"/>
                    <a:stretch/>
                  </pic:blipFill>
                  <pic:spPr bwMode="auto">
                    <a:xfrm>
                      <a:off x="0" y="0"/>
                      <a:ext cx="2513223" cy="1914627"/>
                    </a:xfrm>
                    <a:prstGeom prst="rect">
                      <a:avLst/>
                    </a:prstGeom>
                    <a:ln>
                      <a:noFill/>
                    </a:ln>
                    <a:extLst>
                      <a:ext uri="{53640926-AAD7-44D8-BBD7-CCE9431645EC}">
                        <a14:shadowObscured xmlns:a14="http://schemas.microsoft.com/office/drawing/2010/main"/>
                      </a:ext>
                    </a:extLst>
                  </pic:spPr>
                </pic:pic>
              </a:graphicData>
            </a:graphic>
          </wp:inline>
        </w:drawing>
      </w:r>
      <w:r>
        <w:rPr>
          <w:noProof/>
          <w:rtl/>
          <w:lang w:val="he-IL"/>
        </w:rPr>
        <w:drawing>
          <wp:inline distT="0" distB="0" distL="0" distR="0" wp14:anchorId="0BCF266C" wp14:editId="247C474F">
            <wp:extent cx="2501265" cy="190289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רשים 3 מעודכן.jpg"/>
                    <pic:cNvPicPr/>
                  </pic:nvPicPr>
                  <pic:blipFill rotWithShape="1">
                    <a:blip r:embed="rId31" cstate="print">
                      <a:extLst>
                        <a:ext uri="{28A0092B-C50C-407E-A947-70E740481C1C}">
                          <a14:useLocalDpi xmlns:a14="http://schemas.microsoft.com/office/drawing/2010/main" val="0"/>
                        </a:ext>
                      </a:extLst>
                    </a:blip>
                    <a:srcRect l="2302" t="2915" b="2981"/>
                    <a:stretch/>
                  </pic:blipFill>
                  <pic:spPr bwMode="auto">
                    <a:xfrm>
                      <a:off x="0" y="0"/>
                      <a:ext cx="2501265" cy="1902892"/>
                    </a:xfrm>
                    <a:prstGeom prst="rect">
                      <a:avLst/>
                    </a:prstGeom>
                    <a:ln>
                      <a:noFill/>
                    </a:ln>
                    <a:extLst>
                      <a:ext uri="{53640926-AAD7-44D8-BBD7-CCE9431645EC}">
                        <a14:shadowObscured xmlns:a14="http://schemas.microsoft.com/office/drawing/2010/main"/>
                      </a:ext>
                    </a:extLst>
                  </pic:spPr>
                </pic:pic>
              </a:graphicData>
            </a:graphic>
          </wp:inline>
        </w:drawing>
      </w:r>
    </w:p>
    <w:p w14:paraId="3FA0733D" w14:textId="60021AFA" w:rsidR="00B51F5B" w:rsidRDefault="00B51F5B" w:rsidP="00AC04C6">
      <w:pPr>
        <w:pStyle w:val="aff3"/>
        <w:rPr>
          <w:rtl/>
        </w:rPr>
      </w:pPr>
      <w:r>
        <w:rPr>
          <w:rFonts w:hint="cs"/>
          <w:rtl/>
        </w:rPr>
        <w:t>*</w:t>
      </w:r>
      <w:r w:rsidR="00BE1F41">
        <w:rPr>
          <w:rtl/>
        </w:rPr>
        <w:tab/>
      </w:r>
      <w:r w:rsidRPr="00E64FA3">
        <w:rPr>
          <w:rFonts w:hint="eastAsia"/>
          <w:rtl/>
        </w:rPr>
        <w:t>על</w:t>
      </w:r>
      <w:r w:rsidRPr="00E64FA3">
        <w:rPr>
          <w:rtl/>
        </w:rPr>
        <w:t xml:space="preserve"> </w:t>
      </w:r>
      <w:r w:rsidRPr="00E64FA3">
        <w:rPr>
          <w:rFonts w:hint="eastAsia"/>
          <w:rtl/>
        </w:rPr>
        <w:t>פי</w:t>
      </w:r>
      <w:r w:rsidRPr="00E64FA3">
        <w:rPr>
          <w:rtl/>
        </w:rPr>
        <w:t xml:space="preserve"> </w:t>
      </w:r>
      <w:r w:rsidRPr="00E64FA3">
        <w:rPr>
          <w:rFonts w:hint="eastAsia"/>
          <w:rtl/>
        </w:rPr>
        <w:t>נתונים</w:t>
      </w:r>
      <w:r w:rsidRPr="00E64FA3">
        <w:rPr>
          <w:rtl/>
        </w:rPr>
        <w:t xml:space="preserve"> </w:t>
      </w:r>
      <w:r w:rsidRPr="00E64FA3">
        <w:rPr>
          <w:rFonts w:hint="eastAsia"/>
          <w:rtl/>
        </w:rPr>
        <w:t>שדיווחו</w:t>
      </w:r>
      <w:r w:rsidRPr="00E64FA3">
        <w:rPr>
          <w:rtl/>
        </w:rPr>
        <w:t xml:space="preserve"> </w:t>
      </w:r>
      <w:r w:rsidRPr="00E64FA3">
        <w:rPr>
          <w:rFonts w:hint="eastAsia"/>
          <w:rtl/>
        </w:rPr>
        <w:t>הכללית</w:t>
      </w:r>
      <w:r w:rsidRPr="00E64FA3">
        <w:rPr>
          <w:rtl/>
        </w:rPr>
        <w:t xml:space="preserve">, </w:t>
      </w:r>
      <w:r w:rsidRPr="00E64FA3">
        <w:rPr>
          <w:rFonts w:hint="eastAsia"/>
          <w:rtl/>
        </w:rPr>
        <w:t>מכבי</w:t>
      </w:r>
      <w:r w:rsidRPr="00E64FA3">
        <w:rPr>
          <w:rtl/>
        </w:rPr>
        <w:t xml:space="preserve"> </w:t>
      </w:r>
      <w:r w:rsidRPr="00E64FA3">
        <w:rPr>
          <w:rFonts w:hint="eastAsia"/>
          <w:rtl/>
        </w:rPr>
        <w:t>ולאומית</w:t>
      </w:r>
      <w:r w:rsidRPr="00E64FA3">
        <w:rPr>
          <w:rtl/>
        </w:rPr>
        <w:t xml:space="preserve"> </w:t>
      </w:r>
      <w:r w:rsidRPr="00E64FA3">
        <w:rPr>
          <w:rFonts w:hint="eastAsia"/>
          <w:rtl/>
        </w:rPr>
        <w:t>למשרד</w:t>
      </w:r>
      <w:r w:rsidRPr="00E64FA3">
        <w:rPr>
          <w:rtl/>
        </w:rPr>
        <w:t xml:space="preserve"> </w:t>
      </w:r>
      <w:r w:rsidRPr="00E64FA3">
        <w:rPr>
          <w:rFonts w:hint="eastAsia"/>
          <w:rtl/>
        </w:rPr>
        <w:t>הבריאות</w:t>
      </w:r>
      <w:r w:rsidRPr="00E64FA3">
        <w:rPr>
          <w:rtl/>
        </w:rPr>
        <w:t xml:space="preserve"> </w:t>
      </w:r>
      <w:r w:rsidRPr="00E64FA3">
        <w:rPr>
          <w:rFonts w:hint="eastAsia"/>
          <w:rtl/>
        </w:rPr>
        <w:t>ונתונים</w:t>
      </w:r>
      <w:r w:rsidRPr="00E64FA3">
        <w:rPr>
          <w:rtl/>
        </w:rPr>
        <w:t xml:space="preserve"> </w:t>
      </w:r>
      <w:r w:rsidRPr="00E64FA3">
        <w:rPr>
          <w:rFonts w:hint="eastAsia"/>
          <w:rtl/>
        </w:rPr>
        <w:t>שהציגה</w:t>
      </w:r>
      <w:r w:rsidRPr="00E64FA3">
        <w:rPr>
          <w:rtl/>
        </w:rPr>
        <w:t xml:space="preserve"> </w:t>
      </w:r>
      <w:r w:rsidRPr="00E64FA3">
        <w:rPr>
          <w:rFonts w:hint="eastAsia"/>
          <w:rtl/>
        </w:rPr>
        <w:t>מאוחדת</w:t>
      </w:r>
      <w:r w:rsidRPr="00E64FA3">
        <w:rPr>
          <w:rtl/>
        </w:rPr>
        <w:t xml:space="preserve"> </w:t>
      </w:r>
      <w:r w:rsidRPr="00E64FA3">
        <w:rPr>
          <w:rFonts w:hint="eastAsia"/>
          <w:rtl/>
        </w:rPr>
        <w:t>בדוח</w:t>
      </w:r>
      <w:r w:rsidRPr="00E64FA3">
        <w:rPr>
          <w:rtl/>
        </w:rPr>
        <w:t xml:space="preserve"> </w:t>
      </w:r>
      <w:r w:rsidRPr="00E64FA3">
        <w:rPr>
          <w:rFonts w:hint="eastAsia"/>
          <w:rtl/>
        </w:rPr>
        <w:t>פנימי</w:t>
      </w:r>
      <w:r w:rsidRPr="00E64FA3">
        <w:rPr>
          <w:rtl/>
        </w:rPr>
        <w:t xml:space="preserve"> </w:t>
      </w:r>
      <w:r w:rsidRPr="00E64FA3">
        <w:rPr>
          <w:rFonts w:hint="eastAsia"/>
          <w:rtl/>
        </w:rPr>
        <w:t>שלה</w:t>
      </w:r>
      <w:r w:rsidRPr="00E64FA3">
        <w:rPr>
          <w:rtl/>
        </w:rPr>
        <w:t xml:space="preserve"> (דוח </w:t>
      </w:r>
      <w:r w:rsidRPr="00E64FA3">
        <w:rPr>
          <w:rFonts w:hint="eastAsia"/>
          <w:rtl/>
        </w:rPr>
        <w:t>מגמות</w:t>
      </w:r>
      <w:r w:rsidRPr="00E64FA3">
        <w:rPr>
          <w:rtl/>
        </w:rPr>
        <w:t xml:space="preserve">) </w:t>
      </w:r>
      <w:r w:rsidRPr="00E64FA3">
        <w:rPr>
          <w:rFonts w:hint="eastAsia"/>
          <w:rtl/>
        </w:rPr>
        <w:t>לשנת</w:t>
      </w:r>
      <w:r w:rsidRPr="00E64FA3">
        <w:rPr>
          <w:rtl/>
        </w:rPr>
        <w:t xml:space="preserve"> 2017</w:t>
      </w:r>
      <w:r>
        <w:rPr>
          <w:rStyle w:val="FootnoteReference"/>
          <w:szCs w:val="20"/>
          <w:rtl/>
        </w:rPr>
        <w:footnoteReference w:id="73"/>
      </w:r>
      <w:r>
        <w:rPr>
          <w:rFonts w:hint="cs"/>
          <w:rtl/>
        </w:rPr>
        <w:t>.</w:t>
      </w:r>
    </w:p>
    <w:p w14:paraId="0971D171" w14:textId="79C71360" w:rsidR="00B51F5B" w:rsidRDefault="00B51F5B" w:rsidP="00AC04C6">
      <w:pPr>
        <w:pStyle w:val="aff3"/>
        <w:rPr>
          <w:rtl/>
        </w:rPr>
      </w:pPr>
      <w:r w:rsidRPr="009735EF">
        <w:rPr>
          <w:rFonts w:hint="cs"/>
          <w:rtl/>
        </w:rPr>
        <w:t>**</w:t>
      </w:r>
      <w:r w:rsidRPr="00BB6221">
        <w:rPr>
          <w:rFonts w:hint="cs"/>
          <w:sz w:val="22"/>
          <w:szCs w:val="22"/>
          <w:rtl/>
        </w:rPr>
        <w:t xml:space="preserve"> </w:t>
      </w:r>
      <w:r w:rsidR="00B96FC4">
        <w:rPr>
          <w:rtl/>
        </w:rPr>
        <w:tab/>
      </w:r>
      <w:r>
        <w:rPr>
          <w:rFonts w:hint="cs"/>
          <w:rtl/>
        </w:rPr>
        <w:t>מספר</w:t>
      </w:r>
      <w:r w:rsidRPr="00BB6221">
        <w:rPr>
          <w:rFonts w:hint="cs"/>
          <w:rtl/>
        </w:rPr>
        <w:t xml:space="preserve"> המגעים ללא </w:t>
      </w:r>
      <w:r>
        <w:rPr>
          <w:rFonts w:hint="cs"/>
          <w:rtl/>
        </w:rPr>
        <w:t>כאלו</w:t>
      </w:r>
      <w:r w:rsidRPr="00BB6221">
        <w:rPr>
          <w:rFonts w:hint="cs"/>
          <w:rtl/>
        </w:rPr>
        <w:t xml:space="preserve"> </w:t>
      </w:r>
      <w:r>
        <w:rPr>
          <w:rFonts w:hint="cs"/>
          <w:rtl/>
        </w:rPr>
        <w:t xml:space="preserve">שבוצעו על ידי </w:t>
      </w:r>
      <w:r w:rsidRPr="00BB6221">
        <w:rPr>
          <w:rFonts w:hint="cs"/>
          <w:rtl/>
        </w:rPr>
        <w:t>רופאי משפחה ורופאי ילדים.</w:t>
      </w:r>
    </w:p>
    <w:p w14:paraId="745E0DEF" w14:textId="77777777" w:rsidR="009735EF" w:rsidRDefault="009735EF" w:rsidP="00AC04C6">
      <w:pPr>
        <w:pStyle w:val="aff3"/>
        <w:rPr>
          <w:sz w:val="22"/>
          <w:szCs w:val="22"/>
          <w:rtl/>
        </w:rPr>
      </w:pPr>
    </w:p>
    <w:p w14:paraId="3B41E3B9" w14:textId="77777777" w:rsidR="00B51F5B" w:rsidRPr="00AE3145" w:rsidRDefault="00B51F5B" w:rsidP="009751EC">
      <w:pPr>
        <w:pStyle w:val="af5"/>
        <w:rPr>
          <w:rtl/>
        </w:rPr>
      </w:pPr>
      <w:r w:rsidRPr="00AE3145">
        <w:rPr>
          <w:rtl/>
        </w:rPr>
        <w:t>מתרשימים</w:t>
      </w:r>
      <w:r>
        <w:rPr>
          <w:rFonts w:hint="cs"/>
          <w:rtl/>
        </w:rPr>
        <w:t xml:space="preserve"> 2</w:t>
      </w:r>
      <w:r w:rsidRPr="00AE3145">
        <w:rPr>
          <w:rtl/>
        </w:rPr>
        <w:t xml:space="preserve"> </w:t>
      </w:r>
      <w:r>
        <w:rPr>
          <w:rFonts w:hint="cs"/>
          <w:rtl/>
        </w:rPr>
        <w:t xml:space="preserve">ו-3 </w:t>
      </w:r>
      <w:r w:rsidRPr="00AE3145">
        <w:rPr>
          <w:rtl/>
        </w:rPr>
        <w:t xml:space="preserve">עולה כי </w:t>
      </w:r>
      <w:r>
        <w:rPr>
          <w:rFonts w:hint="cs"/>
          <w:rtl/>
        </w:rPr>
        <w:t xml:space="preserve">הציבור לא קיבל את מלוא השירותים שאותם נדרשו קופות החולים לספק: בעוד מכבי, מאוחדת ולאומית </w:t>
      </w:r>
      <w:r w:rsidRPr="00AE3145">
        <w:rPr>
          <w:rtl/>
        </w:rPr>
        <w:t>סיפקו שירותי בריאות נפש ליותר</w:t>
      </w:r>
      <w:r>
        <w:rPr>
          <w:rFonts w:hint="cs"/>
          <w:rtl/>
        </w:rPr>
        <w:t xml:space="preserve"> מטופלים</w:t>
      </w:r>
      <w:r w:rsidRPr="00AE3145">
        <w:rPr>
          <w:rtl/>
        </w:rPr>
        <w:t xml:space="preserve"> מ</w:t>
      </w:r>
      <w:r>
        <w:rPr>
          <w:rFonts w:hint="cs"/>
          <w:rtl/>
        </w:rPr>
        <w:t>ש</w:t>
      </w:r>
      <w:r w:rsidRPr="00AE3145">
        <w:rPr>
          <w:rtl/>
        </w:rPr>
        <w:t>נקבע בהסכם</w:t>
      </w:r>
      <w:r>
        <w:rPr>
          <w:rFonts w:hint="cs"/>
          <w:rtl/>
        </w:rPr>
        <w:t>, ה</w:t>
      </w:r>
      <w:r w:rsidRPr="00AE3145">
        <w:rPr>
          <w:rtl/>
        </w:rPr>
        <w:t xml:space="preserve">כללית סיפקה פחות </w:t>
      </w:r>
      <w:r>
        <w:rPr>
          <w:rFonts w:hint="cs"/>
          <w:rtl/>
        </w:rPr>
        <w:t>מהנקבע</w:t>
      </w:r>
      <w:r w:rsidRPr="00AE3145">
        <w:rPr>
          <w:rtl/>
        </w:rPr>
        <w:t xml:space="preserve">: רק 3.1% מהמבוגרים ו-1.6% מהילדים קיבלו טיפול במקום 4% </w:t>
      </w:r>
      <w:r>
        <w:rPr>
          <w:rFonts w:hint="cs"/>
          <w:rtl/>
        </w:rPr>
        <w:t xml:space="preserve">מבוגרים </w:t>
      </w:r>
      <w:r w:rsidRPr="00AE3145">
        <w:rPr>
          <w:rtl/>
        </w:rPr>
        <w:t xml:space="preserve">ו-2% </w:t>
      </w:r>
      <w:r>
        <w:rPr>
          <w:rFonts w:hint="cs"/>
          <w:rtl/>
        </w:rPr>
        <w:t>ילדים. לגבי מספר</w:t>
      </w:r>
      <w:r w:rsidRPr="00AE3145">
        <w:rPr>
          <w:rtl/>
        </w:rPr>
        <w:t xml:space="preserve"> </w:t>
      </w:r>
      <w:r>
        <w:rPr>
          <w:rFonts w:hint="cs"/>
          <w:rtl/>
        </w:rPr>
        <w:t>ה</w:t>
      </w:r>
      <w:r w:rsidRPr="00AE3145">
        <w:rPr>
          <w:rtl/>
        </w:rPr>
        <w:t>מגעים</w:t>
      </w:r>
      <w:r>
        <w:rPr>
          <w:rFonts w:hint="cs"/>
          <w:rtl/>
        </w:rPr>
        <w:t xml:space="preserve"> שניתנו, עולה שכל הקופות סיפקו פחות מגעים</w:t>
      </w:r>
      <w:r w:rsidRPr="00AE3145">
        <w:rPr>
          <w:rtl/>
        </w:rPr>
        <w:t xml:space="preserve"> מזה שעל בסיסו חושב התקציב</w:t>
      </w:r>
      <w:r>
        <w:rPr>
          <w:rFonts w:hint="cs"/>
          <w:rtl/>
        </w:rPr>
        <w:t>:</w:t>
      </w:r>
      <w:r>
        <w:rPr>
          <w:rtl/>
        </w:rPr>
        <w:t xml:space="preserve"> </w:t>
      </w:r>
      <w:r w:rsidRPr="00AE3145">
        <w:rPr>
          <w:rtl/>
        </w:rPr>
        <w:t>פער גדול נמצא בנוגע למבוגרים במכבי ובלאומית שסיפקו רק קצת יותר מ</w:t>
      </w:r>
      <w:r>
        <w:rPr>
          <w:rFonts w:hint="cs"/>
          <w:rtl/>
        </w:rPr>
        <w:t>-6</w:t>
      </w:r>
      <w:r w:rsidRPr="00AE3145">
        <w:rPr>
          <w:rtl/>
        </w:rPr>
        <w:t xml:space="preserve"> מגעים בשנה</w:t>
      </w:r>
      <w:r>
        <w:rPr>
          <w:rFonts w:hint="cs"/>
          <w:rtl/>
        </w:rPr>
        <w:t xml:space="preserve"> במקום 9 מגעים;</w:t>
      </w:r>
      <w:r w:rsidRPr="00AE3145">
        <w:rPr>
          <w:rtl/>
        </w:rPr>
        <w:t xml:space="preserve"> פער גדול במיוחד נמצא אצל כל הקופות בנוגע לילדים</w:t>
      </w:r>
      <w:r>
        <w:t>:</w:t>
      </w:r>
      <w:r w:rsidRPr="00AE3145">
        <w:rPr>
          <w:rtl/>
        </w:rPr>
        <w:t xml:space="preserve"> אף </w:t>
      </w:r>
      <w:r>
        <w:rPr>
          <w:rFonts w:hint="cs"/>
          <w:rtl/>
        </w:rPr>
        <w:t xml:space="preserve">לא </w:t>
      </w:r>
      <w:r w:rsidRPr="00AE3145">
        <w:rPr>
          <w:rtl/>
        </w:rPr>
        <w:t>קופה</w:t>
      </w:r>
      <w:r>
        <w:rPr>
          <w:rFonts w:hint="cs"/>
          <w:rtl/>
        </w:rPr>
        <w:t xml:space="preserve"> אחת </w:t>
      </w:r>
      <w:r w:rsidRPr="00AE3145">
        <w:rPr>
          <w:rtl/>
        </w:rPr>
        <w:t>התקרבה למתן 12 מגעים בשנ</w:t>
      </w:r>
      <w:r>
        <w:rPr>
          <w:rFonts w:hint="cs"/>
          <w:rtl/>
        </w:rPr>
        <w:t>ה</w:t>
      </w:r>
      <w:r w:rsidRPr="00AE3145">
        <w:rPr>
          <w:rtl/>
        </w:rPr>
        <w:t>, וה</w:t>
      </w:r>
      <w:r>
        <w:rPr>
          <w:rFonts w:hint="cs"/>
          <w:rtl/>
        </w:rPr>
        <w:t>ן</w:t>
      </w:r>
      <w:r w:rsidRPr="00AE3145">
        <w:rPr>
          <w:rtl/>
        </w:rPr>
        <w:t xml:space="preserve"> הסתפקו ב-</w:t>
      </w:r>
      <w:r>
        <w:rPr>
          <w:rFonts w:hint="cs"/>
          <w:rtl/>
        </w:rPr>
        <w:t>8-7</w:t>
      </w:r>
      <w:r w:rsidRPr="00AE3145">
        <w:rPr>
          <w:rtl/>
        </w:rPr>
        <w:t xml:space="preserve"> מגעים בשנה בלבד.</w:t>
      </w:r>
      <w:r>
        <w:rPr>
          <w:rFonts w:hint="cs"/>
          <w:rtl/>
        </w:rPr>
        <w:t xml:space="preserve"> </w:t>
      </w:r>
    </w:p>
    <w:p w14:paraId="3631FAA3" w14:textId="77777777" w:rsidR="00B635C8" w:rsidRDefault="00B635C8" w:rsidP="009742CF">
      <w:pPr>
        <w:pStyle w:val="100"/>
        <w:rPr>
          <w:rtl/>
        </w:rPr>
      </w:pPr>
    </w:p>
    <w:p w14:paraId="36691C6D" w14:textId="77777777" w:rsidR="00B635C8" w:rsidRDefault="00B635C8" w:rsidP="009742CF">
      <w:pPr>
        <w:pStyle w:val="100"/>
        <w:rPr>
          <w:rtl/>
        </w:rPr>
      </w:pPr>
    </w:p>
    <w:p w14:paraId="797459EF" w14:textId="77777777" w:rsidR="00B635C8" w:rsidRDefault="00B635C8" w:rsidP="009742CF">
      <w:pPr>
        <w:pStyle w:val="100"/>
        <w:rPr>
          <w:rtl/>
        </w:rPr>
      </w:pPr>
    </w:p>
    <w:p w14:paraId="7FAB2BF1" w14:textId="77777777" w:rsidR="00B635C8" w:rsidRDefault="00B635C8" w:rsidP="009742CF">
      <w:pPr>
        <w:pStyle w:val="100"/>
        <w:rPr>
          <w:rtl/>
        </w:rPr>
      </w:pPr>
    </w:p>
    <w:p w14:paraId="41E866AB" w14:textId="77777777" w:rsidR="00B96FC4" w:rsidRDefault="00B96FC4">
      <w:pPr>
        <w:bidi w:val="0"/>
        <w:spacing w:after="200" w:line="276" w:lineRule="auto"/>
        <w:rPr>
          <w:rFonts w:ascii="Tahoma" w:hAnsi="Tahoma" w:cs="Tahoma"/>
          <w:szCs w:val="20"/>
          <w:rtl/>
        </w:rPr>
      </w:pPr>
      <w:r>
        <w:rPr>
          <w:rtl/>
        </w:rPr>
        <w:br w:type="page"/>
      </w:r>
    </w:p>
    <w:p w14:paraId="08C7AAD3" w14:textId="7A058C68" w:rsidR="00B51F5B" w:rsidRPr="009742CF" w:rsidRDefault="00B51F5B" w:rsidP="009742CF">
      <w:pPr>
        <w:pStyle w:val="100"/>
        <w:rPr>
          <w:rtl/>
        </w:rPr>
      </w:pPr>
      <w:r>
        <w:rPr>
          <w:rFonts w:hint="cs"/>
          <w:rtl/>
        </w:rPr>
        <w:t xml:space="preserve">כדי להעריך אם מספר המגעים שנתנו קופות החולים בפועל תואם את מספר המגעים שעל בסיסו חושב התקציב לשירותים האמבולטוריים ברפורמה, השווה משרד מבקר המדינה את </w:t>
      </w:r>
      <w:r w:rsidR="009742CF">
        <w:rPr>
          <w:rtl/>
        </w:rPr>
        <w:br/>
      </w:r>
      <w:r>
        <w:rPr>
          <w:rFonts w:hint="cs"/>
          <w:rtl/>
        </w:rPr>
        <w:t>הנתונים המטויבים</w:t>
      </w:r>
      <w:r>
        <w:rPr>
          <w:rStyle w:val="FootnoteReference"/>
          <w:rtl/>
        </w:rPr>
        <w:footnoteReference w:id="74"/>
      </w:r>
      <w:r>
        <w:rPr>
          <w:rFonts w:hint="cs"/>
          <w:rtl/>
        </w:rPr>
        <w:t xml:space="preserve"> שהעביר המשרד לביקורת לכמות המגעים שהיה על הקופות לתת בהתאם לתקציב הרפורמה וכן את כמות המגעים שהיה על הקופות לתת בהתאם למספר מבוטחיהן (מספר המגעים שמוצג להלן אינו כולל מגעים שהעניקו רופאי משפחה ורופאי ילדים)</w:t>
      </w:r>
      <w:r>
        <w:rPr>
          <w:rStyle w:val="FootnoteReference"/>
          <w:rtl/>
        </w:rPr>
        <w:footnoteReference w:id="75"/>
      </w:r>
      <w:r w:rsidRPr="00DC4875">
        <w:rPr>
          <w:rtl/>
        </w:rPr>
        <w:t>.</w:t>
      </w:r>
      <w:r>
        <w:rPr>
          <w:rFonts w:hint="cs"/>
          <w:rtl/>
        </w:rPr>
        <w:t xml:space="preserve"> ההשוואות מובאות בלוחות 6 ו-7 שלהלן:</w:t>
      </w:r>
    </w:p>
    <w:p w14:paraId="6EDB4F02" w14:textId="16790800" w:rsidR="00B51F5B" w:rsidRPr="009751EC" w:rsidRDefault="00B51F5B" w:rsidP="009751EC">
      <w:pPr>
        <w:pStyle w:val="aa"/>
        <w:rPr>
          <w:rtl/>
        </w:rPr>
      </w:pPr>
      <w:r w:rsidRPr="0047143C">
        <w:rPr>
          <w:rFonts w:hint="eastAsia"/>
          <w:rtl/>
        </w:rPr>
        <w:t>לוח</w:t>
      </w:r>
      <w:r w:rsidRPr="0047143C">
        <w:rPr>
          <w:rtl/>
        </w:rPr>
        <w:t xml:space="preserve"> </w:t>
      </w:r>
      <w:r>
        <w:rPr>
          <w:rFonts w:hint="cs"/>
          <w:rtl/>
        </w:rPr>
        <w:t>6</w:t>
      </w:r>
      <w:r w:rsidRPr="0047143C">
        <w:rPr>
          <w:rtl/>
        </w:rPr>
        <w:t xml:space="preserve">: </w:t>
      </w:r>
      <w:r w:rsidRPr="009751EC">
        <w:rPr>
          <w:rFonts w:hint="eastAsia"/>
          <w:b/>
          <w:bCs/>
          <w:rtl/>
        </w:rPr>
        <w:t>הפער</w:t>
      </w:r>
      <w:r w:rsidRPr="009751EC">
        <w:rPr>
          <w:b/>
          <w:bCs/>
          <w:rtl/>
        </w:rPr>
        <w:t xml:space="preserve"> בין </w:t>
      </w:r>
      <w:r w:rsidRPr="009751EC">
        <w:rPr>
          <w:rFonts w:hint="eastAsia"/>
          <w:b/>
          <w:bCs/>
          <w:rtl/>
        </w:rPr>
        <w:t>מספר</w:t>
      </w:r>
      <w:r w:rsidRPr="009751EC">
        <w:rPr>
          <w:b/>
          <w:bCs/>
          <w:rtl/>
        </w:rPr>
        <w:t xml:space="preserve"> </w:t>
      </w:r>
      <w:r w:rsidRPr="009751EC">
        <w:rPr>
          <w:rFonts w:hint="eastAsia"/>
          <w:b/>
          <w:bCs/>
          <w:rtl/>
        </w:rPr>
        <w:t>המגעים</w:t>
      </w:r>
      <w:r w:rsidRPr="009751EC">
        <w:rPr>
          <w:b/>
          <w:bCs/>
          <w:rtl/>
        </w:rPr>
        <w:t xml:space="preserve"> שהיו צריכים להינתן בהתאם לתקציב </w:t>
      </w:r>
      <w:r w:rsidRPr="009751EC">
        <w:rPr>
          <w:rFonts w:hint="eastAsia"/>
          <w:b/>
          <w:bCs/>
          <w:rtl/>
        </w:rPr>
        <w:t>הרפורמה</w:t>
      </w:r>
      <w:r w:rsidRPr="009751EC">
        <w:rPr>
          <w:b/>
          <w:bCs/>
          <w:rtl/>
        </w:rPr>
        <w:t xml:space="preserve"> </w:t>
      </w:r>
      <w:r w:rsidRPr="009751EC">
        <w:rPr>
          <w:rFonts w:hint="eastAsia"/>
          <w:b/>
          <w:bCs/>
          <w:rtl/>
        </w:rPr>
        <w:t>ל</w:t>
      </w:r>
      <w:r w:rsidRPr="009751EC">
        <w:rPr>
          <w:rFonts w:hint="cs"/>
          <w:b/>
          <w:bCs/>
          <w:rtl/>
        </w:rPr>
        <w:t xml:space="preserve">בין </w:t>
      </w:r>
      <w:r w:rsidRPr="009751EC">
        <w:rPr>
          <w:rFonts w:hint="eastAsia"/>
          <w:b/>
          <w:bCs/>
          <w:rtl/>
        </w:rPr>
        <w:t>אלו</w:t>
      </w:r>
      <w:r w:rsidRPr="009751EC">
        <w:rPr>
          <w:b/>
          <w:bCs/>
          <w:rtl/>
        </w:rPr>
        <w:t xml:space="preserve"> </w:t>
      </w:r>
      <w:r w:rsidRPr="009751EC">
        <w:rPr>
          <w:rFonts w:hint="eastAsia"/>
          <w:b/>
          <w:bCs/>
          <w:rtl/>
        </w:rPr>
        <w:t>שניתנו</w:t>
      </w:r>
      <w:r w:rsidRPr="009751EC">
        <w:rPr>
          <w:b/>
          <w:bCs/>
          <w:rtl/>
        </w:rPr>
        <w:t xml:space="preserve"> </w:t>
      </w:r>
      <w:r w:rsidRPr="009751EC">
        <w:rPr>
          <w:rFonts w:hint="eastAsia"/>
          <w:b/>
          <w:bCs/>
          <w:rtl/>
        </w:rPr>
        <w:t>בפועל</w:t>
      </w:r>
      <w:r w:rsidRPr="009751EC">
        <w:rPr>
          <w:b/>
          <w:bCs/>
          <w:rtl/>
        </w:rPr>
        <w:t xml:space="preserve"> </w:t>
      </w:r>
      <w:r w:rsidRPr="009751EC">
        <w:rPr>
          <w:rFonts w:hint="cs"/>
          <w:b/>
          <w:bCs/>
          <w:rtl/>
        </w:rPr>
        <w:t>(מעוגל לאלפי ש"ח), 2017</w:t>
      </w:r>
    </w:p>
    <w:tbl>
      <w:tblPr>
        <w:tblStyle w:val="TableGrid"/>
        <w:bidiVisual/>
        <w:tblW w:w="8232" w:type="dxa"/>
        <w:jc w:val="center"/>
        <w:tblLook w:val="04A0" w:firstRow="1" w:lastRow="0" w:firstColumn="1" w:lastColumn="0" w:noHBand="0" w:noVBand="1"/>
      </w:tblPr>
      <w:tblGrid>
        <w:gridCol w:w="1004"/>
        <w:gridCol w:w="1477"/>
        <w:gridCol w:w="1912"/>
        <w:gridCol w:w="1598"/>
        <w:gridCol w:w="1260"/>
        <w:gridCol w:w="1030"/>
      </w:tblGrid>
      <w:tr w:rsidR="00B51F5B" w14:paraId="0182E04E" w14:textId="77777777" w:rsidTr="009751EC">
        <w:trPr>
          <w:trHeight w:val="536"/>
          <w:tblHeader/>
          <w:jc w:val="center"/>
        </w:trPr>
        <w:tc>
          <w:tcPr>
            <w:tcW w:w="1004" w:type="dxa"/>
            <w:shd w:val="clear" w:color="auto" w:fill="C6D9F1"/>
            <w:noWrap/>
            <w:hideMark/>
          </w:tcPr>
          <w:p w14:paraId="6E72EEC5" w14:textId="77777777" w:rsidR="00B51F5B" w:rsidRPr="00AE3BB9" w:rsidRDefault="00B51F5B" w:rsidP="009751EC">
            <w:pPr>
              <w:pStyle w:val="af1"/>
              <w:rPr>
                <w:rtl/>
              </w:rPr>
            </w:pPr>
            <w:r w:rsidRPr="00AE3BB9">
              <w:rPr>
                <w:rtl/>
              </w:rPr>
              <w:t>קופה</w:t>
            </w:r>
          </w:p>
        </w:tc>
        <w:tc>
          <w:tcPr>
            <w:tcW w:w="1477" w:type="dxa"/>
            <w:shd w:val="clear" w:color="auto" w:fill="C6D9F1"/>
            <w:hideMark/>
          </w:tcPr>
          <w:p w14:paraId="4A3EDCE6" w14:textId="77777777" w:rsidR="00B51F5B" w:rsidRPr="00AE3BB9" w:rsidRDefault="00B51F5B" w:rsidP="009751EC">
            <w:pPr>
              <w:pStyle w:val="af1"/>
              <w:rPr>
                <w:rtl/>
              </w:rPr>
            </w:pPr>
            <w:r w:rsidRPr="00AE3BB9">
              <w:rPr>
                <w:rtl/>
              </w:rPr>
              <w:t>תקציב אמבולטורי 2017 במיליוני ש"ח</w:t>
            </w:r>
          </w:p>
        </w:tc>
        <w:tc>
          <w:tcPr>
            <w:tcW w:w="1912" w:type="dxa"/>
            <w:shd w:val="clear" w:color="auto" w:fill="C6D9F1"/>
            <w:hideMark/>
          </w:tcPr>
          <w:p w14:paraId="68AD3B98" w14:textId="77777777" w:rsidR="00B51F5B" w:rsidRPr="00AE3BB9" w:rsidRDefault="00B51F5B" w:rsidP="009751EC">
            <w:pPr>
              <w:pStyle w:val="af1"/>
              <w:rPr>
                <w:rtl/>
              </w:rPr>
            </w:pPr>
            <w:r w:rsidRPr="00AE3BB9">
              <w:rPr>
                <w:rtl/>
              </w:rPr>
              <w:t xml:space="preserve">כמות מגעים </w:t>
            </w:r>
            <w:r w:rsidRPr="00AE3BB9">
              <w:rPr>
                <w:rFonts w:hint="eastAsia"/>
                <w:rtl/>
              </w:rPr>
              <w:t>מחושבת</w:t>
            </w:r>
            <w:r w:rsidRPr="00AE3BB9">
              <w:rPr>
                <w:rtl/>
              </w:rPr>
              <w:t xml:space="preserve"> לפי תקציב ו</w:t>
            </w:r>
            <w:r w:rsidRPr="00AE3BB9">
              <w:rPr>
                <w:rFonts w:hint="eastAsia"/>
                <w:rtl/>
              </w:rPr>
              <w:t>תעריף</w:t>
            </w:r>
            <w:r w:rsidRPr="00AE3BB9">
              <w:rPr>
                <w:rtl/>
              </w:rPr>
              <w:t xml:space="preserve"> 265 ש"ח לטיפול (כולל תקורה)*</w:t>
            </w:r>
          </w:p>
        </w:tc>
        <w:tc>
          <w:tcPr>
            <w:tcW w:w="1598" w:type="dxa"/>
            <w:shd w:val="clear" w:color="auto" w:fill="C6D9F1"/>
            <w:hideMark/>
          </w:tcPr>
          <w:p w14:paraId="58D42077" w14:textId="77777777" w:rsidR="00B51F5B" w:rsidRPr="00C50973" w:rsidRDefault="00B51F5B" w:rsidP="009751EC">
            <w:pPr>
              <w:pStyle w:val="af1"/>
              <w:rPr>
                <w:rtl/>
              </w:rPr>
            </w:pPr>
            <w:r w:rsidRPr="00AE3BB9">
              <w:rPr>
                <w:rtl/>
              </w:rPr>
              <w:t>כמות מגעים</w:t>
            </w:r>
            <w:r>
              <w:rPr>
                <w:rFonts w:hint="cs"/>
                <w:rtl/>
              </w:rPr>
              <w:t xml:space="preserve"> בפועל</w:t>
            </w:r>
            <w:r w:rsidRPr="00C50973">
              <w:rPr>
                <w:rtl/>
              </w:rPr>
              <w:t>**</w:t>
            </w:r>
          </w:p>
        </w:tc>
        <w:tc>
          <w:tcPr>
            <w:tcW w:w="1260" w:type="dxa"/>
            <w:shd w:val="clear" w:color="auto" w:fill="C6D9F1"/>
            <w:noWrap/>
            <w:hideMark/>
          </w:tcPr>
          <w:p w14:paraId="5CEE64CC" w14:textId="77777777" w:rsidR="00B51F5B" w:rsidRPr="00C50973" w:rsidRDefault="00B51F5B" w:rsidP="009751EC">
            <w:pPr>
              <w:pStyle w:val="af1"/>
              <w:rPr>
                <w:rtl/>
              </w:rPr>
            </w:pPr>
            <w:r w:rsidRPr="00C50973">
              <w:rPr>
                <w:rtl/>
              </w:rPr>
              <w:t>הפרש</w:t>
            </w:r>
          </w:p>
        </w:tc>
        <w:tc>
          <w:tcPr>
            <w:tcW w:w="981" w:type="dxa"/>
            <w:shd w:val="clear" w:color="auto" w:fill="C6D9F1"/>
            <w:noWrap/>
            <w:hideMark/>
          </w:tcPr>
          <w:p w14:paraId="409DD1B5" w14:textId="77777777" w:rsidR="00B51F5B" w:rsidRPr="00C50973" w:rsidRDefault="00B51F5B" w:rsidP="009751EC">
            <w:pPr>
              <w:pStyle w:val="af1"/>
              <w:rPr>
                <w:rtl/>
              </w:rPr>
            </w:pPr>
            <w:r w:rsidRPr="00C50973">
              <w:rPr>
                <w:rtl/>
              </w:rPr>
              <w:t>באחוזים</w:t>
            </w:r>
          </w:p>
        </w:tc>
      </w:tr>
      <w:tr w:rsidR="00B51F5B" w14:paraId="1CC88D94" w14:textId="77777777" w:rsidTr="001D0A16">
        <w:trPr>
          <w:trHeight w:val="300"/>
          <w:jc w:val="center"/>
        </w:trPr>
        <w:tc>
          <w:tcPr>
            <w:tcW w:w="1004" w:type="dxa"/>
            <w:noWrap/>
            <w:hideMark/>
          </w:tcPr>
          <w:p w14:paraId="14E3B1C2" w14:textId="77777777" w:rsidR="00B51F5B" w:rsidRPr="00AE3BB9" w:rsidRDefault="00B51F5B" w:rsidP="009751EC">
            <w:pPr>
              <w:pStyle w:val="R"/>
              <w:rPr>
                <w:rFonts w:ascii="David" w:hAnsi="David"/>
                <w:rtl/>
              </w:rPr>
            </w:pPr>
            <w:r w:rsidRPr="00AE3BB9">
              <w:rPr>
                <w:rFonts w:ascii="David" w:hAnsi="David"/>
                <w:rtl/>
              </w:rPr>
              <w:t>הכללית</w:t>
            </w:r>
          </w:p>
        </w:tc>
        <w:tc>
          <w:tcPr>
            <w:tcW w:w="1477" w:type="dxa"/>
            <w:noWrap/>
            <w:hideMark/>
          </w:tcPr>
          <w:p w14:paraId="7E271366" w14:textId="77777777" w:rsidR="00B51F5B" w:rsidRPr="003C1366" w:rsidRDefault="00B51F5B" w:rsidP="003C1366">
            <w:pPr>
              <w:pStyle w:val="R"/>
            </w:pPr>
            <w:r w:rsidRPr="003C1366">
              <w:t>401</w:t>
            </w:r>
          </w:p>
        </w:tc>
        <w:tc>
          <w:tcPr>
            <w:tcW w:w="1912" w:type="dxa"/>
            <w:noWrap/>
            <w:hideMark/>
          </w:tcPr>
          <w:p w14:paraId="3C20370A" w14:textId="77777777" w:rsidR="00B51F5B" w:rsidRPr="003C1366" w:rsidRDefault="00B51F5B" w:rsidP="003C1366">
            <w:pPr>
              <w:pStyle w:val="R"/>
            </w:pPr>
            <w:r w:rsidRPr="003C1366">
              <w:t>1,513,000</w:t>
            </w:r>
          </w:p>
        </w:tc>
        <w:tc>
          <w:tcPr>
            <w:tcW w:w="1598" w:type="dxa"/>
            <w:noWrap/>
            <w:hideMark/>
          </w:tcPr>
          <w:p w14:paraId="3AEC49FC" w14:textId="77777777" w:rsidR="00B51F5B" w:rsidRPr="003C1366" w:rsidRDefault="00B51F5B" w:rsidP="003C1366">
            <w:pPr>
              <w:pStyle w:val="R"/>
            </w:pPr>
            <w:r w:rsidRPr="003C1366">
              <w:t>912,000</w:t>
            </w:r>
          </w:p>
        </w:tc>
        <w:tc>
          <w:tcPr>
            <w:tcW w:w="1260" w:type="dxa"/>
            <w:noWrap/>
            <w:hideMark/>
          </w:tcPr>
          <w:p w14:paraId="15DF09BD" w14:textId="77777777" w:rsidR="00B51F5B" w:rsidRPr="003C1366" w:rsidRDefault="00B51F5B" w:rsidP="003C1366">
            <w:pPr>
              <w:pStyle w:val="R"/>
            </w:pPr>
            <w:r w:rsidRPr="003C1366">
              <w:t>-601,000</w:t>
            </w:r>
          </w:p>
        </w:tc>
        <w:tc>
          <w:tcPr>
            <w:tcW w:w="981" w:type="dxa"/>
            <w:noWrap/>
            <w:hideMark/>
          </w:tcPr>
          <w:p w14:paraId="28854C30" w14:textId="77777777" w:rsidR="00B51F5B" w:rsidRPr="003C1366" w:rsidRDefault="00B51F5B" w:rsidP="003C1366">
            <w:pPr>
              <w:pStyle w:val="R"/>
            </w:pPr>
            <w:r w:rsidRPr="003C1366">
              <w:t>-40%</w:t>
            </w:r>
          </w:p>
        </w:tc>
      </w:tr>
      <w:tr w:rsidR="00B51F5B" w14:paraId="12841E9C" w14:textId="77777777" w:rsidTr="001D0A16">
        <w:trPr>
          <w:trHeight w:val="285"/>
          <w:jc w:val="center"/>
        </w:trPr>
        <w:tc>
          <w:tcPr>
            <w:tcW w:w="1004" w:type="dxa"/>
            <w:noWrap/>
            <w:hideMark/>
          </w:tcPr>
          <w:p w14:paraId="54EC2CD3" w14:textId="77777777" w:rsidR="00B51F5B" w:rsidRPr="00AE3BB9" w:rsidRDefault="00B51F5B" w:rsidP="009751EC">
            <w:pPr>
              <w:pStyle w:val="R"/>
              <w:rPr>
                <w:rFonts w:ascii="David" w:hAnsi="David"/>
              </w:rPr>
            </w:pPr>
            <w:r w:rsidRPr="00AE3BB9">
              <w:rPr>
                <w:rFonts w:ascii="David" w:hAnsi="David"/>
                <w:rtl/>
              </w:rPr>
              <w:t>מכבי</w:t>
            </w:r>
          </w:p>
        </w:tc>
        <w:tc>
          <w:tcPr>
            <w:tcW w:w="1477" w:type="dxa"/>
            <w:noWrap/>
            <w:hideMark/>
          </w:tcPr>
          <w:p w14:paraId="03806E20" w14:textId="77777777" w:rsidR="00B51F5B" w:rsidRPr="003C1366" w:rsidRDefault="00B51F5B" w:rsidP="003C1366">
            <w:pPr>
              <w:pStyle w:val="R"/>
              <w:rPr>
                <w:rtl/>
              </w:rPr>
            </w:pPr>
            <w:r w:rsidRPr="003C1366">
              <w:t>182</w:t>
            </w:r>
          </w:p>
        </w:tc>
        <w:tc>
          <w:tcPr>
            <w:tcW w:w="1912" w:type="dxa"/>
            <w:noWrap/>
            <w:hideMark/>
          </w:tcPr>
          <w:p w14:paraId="710D826F" w14:textId="77777777" w:rsidR="00B51F5B" w:rsidRPr="003C1366" w:rsidRDefault="00B51F5B" w:rsidP="003C1366">
            <w:pPr>
              <w:pStyle w:val="R"/>
            </w:pPr>
            <w:r w:rsidRPr="003C1366">
              <w:t>688,000</w:t>
            </w:r>
          </w:p>
        </w:tc>
        <w:tc>
          <w:tcPr>
            <w:tcW w:w="1598" w:type="dxa"/>
            <w:noWrap/>
            <w:hideMark/>
          </w:tcPr>
          <w:p w14:paraId="2E51E119" w14:textId="77777777" w:rsidR="00B51F5B" w:rsidRPr="003C1366" w:rsidRDefault="00B51F5B" w:rsidP="003C1366">
            <w:pPr>
              <w:pStyle w:val="R"/>
              <w:rPr>
                <w:rtl/>
              </w:rPr>
            </w:pPr>
            <w:r w:rsidRPr="003C1366">
              <w:rPr>
                <w:rtl/>
              </w:rPr>
              <w:t>596,000</w:t>
            </w:r>
          </w:p>
        </w:tc>
        <w:tc>
          <w:tcPr>
            <w:tcW w:w="1260" w:type="dxa"/>
            <w:noWrap/>
            <w:hideMark/>
          </w:tcPr>
          <w:p w14:paraId="163550D4" w14:textId="77777777" w:rsidR="00B51F5B" w:rsidRPr="003C1366" w:rsidRDefault="00B51F5B" w:rsidP="003C1366">
            <w:pPr>
              <w:pStyle w:val="R"/>
            </w:pPr>
            <w:r w:rsidRPr="003C1366">
              <w:t>-92,000</w:t>
            </w:r>
          </w:p>
        </w:tc>
        <w:tc>
          <w:tcPr>
            <w:tcW w:w="981" w:type="dxa"/>
            <w:noWrap/>
            <w:hideMark/>
          </w:tcPr>
          <w:p w14:paraId="166A9934" w14:textId="77777777" w:rsidR="00B51F5B" w:rsidRPr="003C1366" w:rsidRDefault="00B51F5B" w:rsidP="003C1366">
            <w:pPr>
              <w:pStyle w:val="R"/>
            </w:pPr>
            <w:r w:rsidRPr="003C1366">
              <w:t>-13%</w:t>
            </w:r>
          </w:p>
        </w:tc>
      </w:tr>
      <w:tr w:rsidR="00B51F5B" w14:paraId="5F8FEFF3" w14:textId="77777777" w:rsidTr="001D0A16">
        <w:trPr>
          <w:trHeight w:val="285"/>
          <w:jc w:val="center"/>
        </w:trPr>
        <w:tc>
          <w:tcPr>
            <w:tcW w:w="1004" w:type="dxa"/>
            <w:noWrap/>
            <w:hideMark/>
          </w:tcPr>
          <w:p w14:paraId="7196FB6B" w14:textId="77777777" w:rsidR="00B51F5B" w:rsidRPr="00C50973" w:rsidRDefault="00B51F5B" w:rsidP="009751EC">
            <w:pPr>
              <w:pStyle w:val="R"/>
              <w:rPr>
                <w:rFonts w:ascii="David" w:hAnsi="David"/>
              </w:rPr>
            </w:pPr>
            <w:r w:rsidRPr="00C50973">
              <w:rPr>
                <w:rFonts w:ascii="David" w:hAnsi="David"/>
                <w:rtl/>
              </w:rPr>
              <w:t>מאוחדת</w:t>
            </w:r>
          </w:p>
        </w:tc>
        <w:tc>
          <w:tcPr>
            <w:tcW w:w="1477" w:type="dxa"/>
            <w:noWrap/>
            <w:hideMark/>
          </w:tcPr>
          <w:p w14:paraId="48383347" w14:textId="77777777" w:rsidR="00B51F5B" w:rsidRPr="003C1366" w:rsidRDefault="00B51F5B" w:rsidP="003C1366">
            <w:pPr>
              <w:pStyle w:val="R"/>
              <w:rPr>
                <w:rtl/>
              </w:rPr>
            </w:pPr>
            <w:r w:rsidRPr="003C1366">
              <w:t>89</w:t>
            </w:r>
          </w:p>
        </w:tc>
        <w:tc>
          <w:tcPr>
            <w:tcW w:w="1912" w:type="dxa"/>
            <w:noWrap/>
            <w:hideMark/>
          </w:tcPr>
          <w:p w14:paraId="2F140AED" w14:textId="77777777" w:rsidR="00B51F5B" w:rsidRPr="003C1366" w:rsidRDefault="00B51F5B" w:rsidP="003C1366">
            <w:pPr>
              <w:pStyle w:val="R"/>
            </w:pPr>
            <w:r w:rsidRPr="003C1366">
              <w:t>336,000</w:t>
            </w:r>
          </w:p>
        </w:tc>
        <w:tc>
          <w:tcPr>
            <w:tcW w:w="1598" w:type="dxa"/>
            <w:noWrap/>
            <w:hideMark/>
          </w:tcPr>
          <w:p w14:paraId="2EF401A9" w14:textId="77777777" w:rsidR="00B51F5B" w:rsidRPr="003C1366" w:rsidRDefault="00B51F5B" w:rsidP="003C1366">
            <w:pPr>
              <w:pStyle w:val="R"/>
            </w:pPr>
            <w:r w:rsidRPr="003C1366">
              <w:t>321,000</w:t>
            </w:r>
          </w:p>
        </w:tc>
        <w:tc>
          <w:tcPr>
            <w:tcW w:w="1260" w:type="dxa"/>
            <w:noWrap/>
            <w:hideMark/>
          </w:tcPr>
          <w:p w14:paraId="61F088E2" w14:textId="77777777" w:rsidR="00B51F5B" w:rsidRPr="003C1366" w:rsidRDefault="00B51F5B" w:rsidP="003C1366">
            <w:pPr>
              <w:pStyle w:val="R"/>
            </w:pPr>
            <w:r w:rsidRPr="003C1366">
              <w:t>-15,000</w:t>
            </w:r>
          </w:p>
        </w:tc>
        <w:tc>
          <w:tcPr>
            <w:tcW w:w="981" w:type="dxa"/>
            <w:noWrap/>
            <w:hideMark/>
          </w:tcPr>
          <w:p w14:paraId="63C033CB" w14:textId="77777777" w:rsidR="00B51F5B" w:rsidRPr="003C1366" w:rsidRDefault="00B51F5B" w:rsidP="003C1366">
            <w:pPr>
              <w:pStyle w:val="R"/>
            </w:pPr>
            <w:r w:rsidRPr="003C1366">
              <w:t>-4%</w:t>
            </w:r>
          </w:p>
        </w:tc>
      </w:tr>
      <w:tr w:rsidR="00B51F5B" w14:paraId="46C5136A" w14:textId="77777777" w:rsidTr="001D0A16">
        <w:trPr>
          <w:trHeight w:val="285"/>
          <w:jc w:val="center"/>
        </w:trPr>
        <w:tc>
          <w:tcPr>
            <w:tcW w:w="1004" w:type="dxa"/>
            <w:noWrap/>
            <w:hideMark/>
          </w:tcPr>
          <w:p w14:paraId="2FF52B20" w14:textId="77777777" w:rsidR="00B51F5B" w:rsidRPr="00C50973" w:rsidRDefault="00B51F5B" w:rsidP="009751EC">
            <w:pPr>
              <w:pStyle w:val="R"/>
              <w:rPr>
                <w:rFonts w:ascii="David" w:hAnsi="David"/>
              </w:rPr>
            </w:pPr>
            <w:r w:rsidRPr="00C50973">
              <w:rPr>
                <w:rFonts w:ascii="David" w:hAnsi="David"/>
                <w:rtl/>
              </w:rPr>
              <w:t>לאומית</w:t>
            </w:r>
          </w:p>
        </w:tc>
        <w:tc>
          <w:tcPr>
            <w:tcW w:w="1477" w:type="dxa"/>
            <w:noWrap/>
            <w:hideMark/>
          </w:tcPr>
          <w:p w14:paraId="6B84290A" w14:textId="77777777" w:rsidR="00B51F5B" w:rsidRPr="003C1366" w:rsidRDefault="00B51F5B" w:rsidP="003C1366">
            <w:pPr>
              <w:pStyle w:val="R"/>
            </w:pPr>
            <w:r w:rsidRPr="003C1366">
              <w:t>59</w:t>
            </w:r>
          </w:p>
        </w:tc>
        <w:tc>
          <w:tcPr>
            <w:tcW w:w="1912" w:type="dxa"/>
            <w:noWrap/>
            <w:hideMark/>
          </w:tcPr>
          <w:p w14:paraId="48274A3C" w14:textId="77777777" w:rsidR="00B51F5B" w:rsidRPr="003C1366" w:rsidRDefault="00B51F5B" w:rsidP="003C1366">
            <w:pPr>
              <w:pStyle w:val="R"/>
            </w:pPr>
            <w:r w:rsidRPr="003C1366">
              <w:t>221,000</w:t>
            </w:r>
          </w:p>
        </w:tc>
        <w:tc>
          <w:tcPr>
            <w:tcW w:w="1598" w:type="dxa"/>
            <w:noWrap/>
            <w:hideMark/>
          </w:tcPr>
          <w:p w14:paraId="2657C554" w14:textId="77777777" w:rsidR="00B51F5B" w:rsidRPr="003C1366" w:rsidRDefault="00B51F5B" w:rsidP="003C1366">
            <w:pPr>
              <w:pStyle w:val="R"/>
              <w:rPr>
                <w:rtl/>
              </w:rPr>
            </w:pPr>
            <w:r w:rsidRPr="003C1366">
              <w:t>181,000</w:t>
            </w:r>
          </w:p>
        </w:tc>
        <w:tc>
          <w:tcPr>
            <w:tcW w:w="1260" w:type="dxa"/>
            <w:noWrap/>
            <w:hideMark/>
          </w:tcPr>
          <w:p w14:paraId="1039DFB7" w14:textId="77777777" w:rsidR="00B51F5B" w:rsidRPr="003C1366" w:rsidRDefault="00B51F5B" w:rsidP="003C1366">
            <w:pPr>
              <w:pStyle w:val="R"/>
              <w:rPr>
                <w:rtl/>
              </w:rPr>
            </w:pPr>
            <w:r w:rsidRPr="003C1366">
              <w:t>-40,000</w:t>
            </w:r>
          </w:p>
        </w:tc>
        <w:tc>
          <w:tcPr>
            <w:tcW w:w="981" w:type="dxa"/>
            <w:noWrap/>
            <w:hideMark/>
          </w:tcPr>
          <w:p w14:paraId="17482BCD" w14:textId="77777777" w:rsidR="00B51F5B" w:rsidRPr="003C1366" w:rsidRDefault="00B51F5B" w:rsidP="003C1366">
            <w:pPr>
              <w:pStyle w:val="R"/>
            </w:pPr>
            <w:r w:rsidRPr="003C1366">
              <w:t>-18%</w:t>
            </w:r>
          </w:p>
        </w:tc>
      </w:tr>
      <w:tr w:rsidR="00B51F5B" w14:paraId="0032B4DB" w14:textId="77777777" w:rsidTr="009751EC">
        <w:trPr>
          <w:trHeight w:val="285"/>
          <w:jc w:val="center"/>
        </w:trPr>
        <w:tc>
          <w:tcPr>
            <w:tcW w:w="1004" w:type="dxa"/>
            <w:shd w:val="clear" w:color="auto" w:fill="C6D9F1"/>
            <w:noWrap/>
            <w:hideMark/>
          </w:tcPr>
          <w:p w14:paraId="1186AF57" w14:textId="77777777" w:rsidR="00B51F5B" w:rsidRPr="00C50973" w:rsidRDefault="00B51F5B" w:rsidP="009751EC">
            <w:pPr>
              <w:pStyle w:val="B"/>
            </w:pPr>
            <w:r w:rsidRPr="00C50973">
              <w:rPr>
                <w:rtl/>
              </w:rPr>
              <w:t>סה"כ</w:t>
            </w:r>
          </w:p>
        </w:tc>
        <w:tc>
          <w:tcPr>
            <w:tcW w:w="1477" w:type="dxa"/>
            <w:shd w:val="clear" w:color="auto" w:fill="C6D9F1"/>
            <w:noWrap/>
            <w:hideMark/>
          </w:tcPr>
          <w:p w14:paraId="77014A4F" w14:textId="77777777" w:rsidR="00B51F5B" w:rsidRPr="00AE3BB9" w:rsidRDefault="00B51F5B" w:rsidP="009751EC">
            <w:pPr>
              <w:pStyle w:val="B"/>
              <w:rPr>
                <w:rtl/>
              </w:rPr>
            </w:pPr>
            <w:r w:rsidRPr="00AE3BB9">
              <w:t>731</w:t>
            </w:r>
          </w:p>
        </w:tc>
        <w:tc>
          <w:tcPr>
            <w:tcW w:w="1912" w:type="dxa"/>
            <w:shd w:val="clear" w:color="auto" w:fill="C6D9F1"/>
            <w:noWrap/>
            <w:hideMark/>
          </w:tcPr>
          <w:p w14:paraId="078CB143" w14:textId="77777777" w:rsidR="00B51F5B" w:rsidRPr="00C50973" w:rsidRDefault="00B51F5B" w:rsidP="009751EC">
            <w:pPr>
              <w:pStyle w:val="B"/>
            </w:pPr>
            <w:r w:rsidRPr="00C50973">
              <w:t>2,758,000</w:t>
            </w:r>
          </w:p>
        </w:tc>
        <w:tc>
          <w:tcPr>
            <w:tcW w:w="1598" w:type="dxa"/>
            <w:shd w:val="clear" w:color="auto" w:fill="C6D9F1"/>
            <w:noWrap/>
            <w:hideMark/>
          </w:tcPr>
          <w:p w14:paraId="3B7914DB" w14:textId="77777777" w:rsidR="00B51F5B" w:rsidRPr="00217DBF" w:rsidRDefault="00B51F5B" w:rsidP="009751EC">
            <w:pPr>
              <w:pStyle w:val="B"/>
              <w:rPr>
                <w:rFonts w:asciiTheme="minorHAnsi" w:hAnsiTheme="minorHAnsi"/>
              </w:rPr>
            </w:pPr>
            <w:r w:rsidRPr="00AE3BB9">
              <w:t>2,010,000</w:t>
            </w:r>
          </w:p>
        </w:tc>
        <w:tc>
          <w:tcPr>
            <w:tcW w:w="1260" w:type="dxa"/>
            <w:shd w:val="clear" w:color="auto" w:fill="C6D9F1"/>
            <w:noWrap/>
            <w:hideMark/>
          </w:tcPr>
          <w:p w14:paraId="2F21F445" w14:textId="77777777" w:rsidR="00B51F5B" w:rsidRPr="00AE3BB9" w:rsidRDefault="00B51F5B" w:rsidP="009751EC">
            <w:pPr>
              <w:pStyle w:val="B"/>
            </w:pPr>
            <w:r w:rsidRPr="00AE3BB9">
              <w:t>-748,000</w:t>
            </w:r>
          </w:p>
        </w:tc>
        <w:tc>
          <w:tcPr>
            <w:tcW w:w="981" w:type="dxa"/>
            <w:shd w:val="clear" w:color="auto" w:fill="C6D9F1"/>
            <w:noWrap/>
            <w:hideMark/>
          </w:tcPr>
          <w:p w14:paraId="44A4C552" w14:textId="77777777" w:rsidR="00B51F5B" w:rsidRPr="00AE3BB9" w:rsidRDefault="00B51F5B" w:rsidP="009751EC">
            <w:pPr>
              <w:pStyle w:val="B"/>
            </w:pPr>
            <w:r w:rsidRPr="00AE3BB9">
              <w:t>-27%</w:t>
            </w:r>
          </w:p>
        </w:tc>
      </w:tr>
    </w:tbl>
    <w:p w14:paraId="20F179F6" w14:textId="44428D6E" w:rsidR="00B51F5B" w:rsidRPr="00AC04C6" w:rsidRDefault="00B51F5B" w:rsidP="00AC04C6">
      <w:pPr>
        <w:pStyle w:val="aff3"/>
        <w:rPr>
          <w:rtl/>
        </w:rPr>
      </w:pPr>
      <w:r w:rsidRPr="00AC04C6">
        <w:rPr>
          <w:rFonts w:hint="cs"/>
          <w:rtl/>
        </w:rPr>
        <w:t xml:space="preserve">*   </w:t>
      </w:r>
      <w:r w:rsidR="00AC04C6">
        <w:rPr>
          <w:rtl/>
        </w:rPr>
        <w:tab/>
      </w:r>
      <w:r w:rsidRPr="00AC04C6">
        <w:rPr>
          <w:rFonts w:hint="cs"/>
          <w:rtl/>
        </w:rPr>
        <w:t>עלות המגע מבוססת על הנתונים כפי שמובאים בהסכם הרפורמה וכוללת תקורות.</w:t>
      </w:r>
    </w:p>
    <w:p w14:paraId="6AE089BD" w14:textId="3119C25F" w:rsidR="00B51F5B" w:rsidRPr="00AC04C6" w:rsidRDefault="00B51F5B" w:rsidP="00AC04C6">
      <w:pPr>
        <w:pStyle w:val="aff3"/>
        <w:rPr>
          <w:rtl/>
        </w:rPr>
      </w:pPr>
      <w:r w:rsidRPr="00AC04C6">
        <w:rPr>
          <w:rFonts w:hint="cs"/>
          <w:rtl/>
        </w:rPr>
        <w:t xml:space="preserve">** </w:t>
      </w:r>
      <w:r w:rsidR="00AC04C6">
        <w:rPr>
          <w:rtl/>
        </w:rPr>
        <w:tab/>
      </w:r>
      <w:r w:rsidRPr="00AC04C6">
        <w:rPr>
          <w:rFonts w:hint="cs"/>
          <w:rtl/>
        </w:rPr>
        <w:t>כמות המגעים (ללא מגעים שנתנו רופאי משפחה ורופאי ילדים) כפי שדיווחו הכללית, מכבי ולאומית למשרד הבריאות וכפי</w:t>
      </w:r>
      <w:r w:rsidR="00B635C8" w:rsidRPr="00AC04C6">
        <w:rPr>
          <w:rFonts w:hint="cs"/>
          <w:rtl/>
        </w:rPr>
        <w:t xml:space="preserve"> </w:t>
      </w:r>
      <w:r w:rsidRPr="00AC04C6">
        <w:rPr>
          <w:rFonts w:hint="cs"/>
          <w:rtl/>
        </w:rPr>
        <w:t xml:space="preserve">שדיווחה מאוחדת בדוח המגמות. </w:t>
      </w:r>
    </w:p>
    <w:p w14:paraId="783C40CE" w14:textId="77777777" w:rsidR="00B635C8" w:rsidRDefault="00B635C8">
      <w:pPr>
        <w:bidi w:val="0"/>
        <w:spacing w:after="200" w:line="276" w:lineRule="auto"/>
        <w:rPr>
          <w:rFonts w:ascii="Tahoma" w:eastAsiaTheme="minorEastAsia" w:hAnsi="Tahoma" w:cs="Tahoma"/>
          <w:color w:val="365F91" w:themeColor="accent1" w:themeShade="BF"/>
          <w:szCs w:val="20"/>
          <w:rtl/>
        </w:rPr>
      </w:pPr>
      <w:r>
        <w:rPr>
          <w:rtl/>
        </w:rPr>
        <w:br w:type="page"/>
      </w:r>
    </w:p>
    <w:p w14:paraId="7D639DEE" w14:textId="64C1C1FF" w:rsidR="00B51F5B" w:rsidRPr="0047143C" w:rsidRDefault="00B51F5B" w:rsidP="009751EC">
      <w:pPr>
        <w:pStyle w:val="aa"/>
        <w:rPr>
          <w:rtl/>
        </w:rPr>
      </w:pPr>
      <w:r w:rsidRPr="0047143C">
        <w:rPr>
          <w:rFonts w:hint="eastAsia"/>
          <w:rtl/>
        </w:rPr>
        <w:t>לוח</w:t>
      </w:r>
      <w:r w:rsidRPr="0047143C">
        <w:rPr>
          <w:rtl/>
        </w:rPr>
        <w:t xml:space="preserve"> </w:t>
      </w:r>
      <w:r>
        <w:rPr>
          <w:rFonts w:hint="cs"/>
          <w:rtl/>
        </w:rPr>
        <w:t>7</w:t>
      </w:r>
      <w:r w:rsidRPr="0047143C">
        <w:rPr>
          <w:rtl/>
        </w:rPr>
        <w:t xml:space="preserve">: </w:t>
      </w:r>
      <w:r w:rsidRPr="009751EC">
        <w:rPr>
          <w:rFonts w:hint="eastAsia"/>
          <w:b/>
          <w:bCs/>
          <w:rtl/>
        </w:rPr>
        <w:t>חישוב</w:t>
      </w:r>
      <w:r w:rsidRPr="009751EC">
        <w:rPr>
          <w:b/>
          <w:bCs/>
          <w:rtl/>
        </w:rPr>
        <w:t xml:space="preserve"> </w:t>
      </w:r>
      <w:r w:rsidRPr="009751EC">
        <w:rPr>
          <w:rFonts w:hint="eastAsia"/>
          <w:b/>
          <w:bCs/>
          <w:rtl/>
        </w:rPr>
        <w:t>הפער</w:t>
      </w:r>
      <w:r w:rsidRPr="009751EC">
        <w:rPr>
          <w:b/>
          <w:bCs/>
          <w:rtl/>
        </w:rPr>
        <w:t xml:space="preserve"> </w:t>
      </w:r>
      <w:r w:rsidRPr="009751EC">
        <w:rPr>
          <w:rFonts w:hint="eastAsia"/>
          <w:b/>
          <w:bCs/>
          <w:rtl/>
        </w:rPr>
        <w:t>בין</w:t>
      </w:r>
      <w:r w:rsidRPr="009751EC">
        <w:rPr>
          <w:b/>
          <w:bCs/>
          <w:rtl/>
        </w:rPr>
        <w:t xml:space="preserve"> </w:t>
      </w:r>
      <w:r w:rsidRPr="009751EC">
        <w:rPr>
          <w:rFonts w:hint="eastAsia"/>
          <w:b/>
          <w:bCs/>
          <w:rtl/>
        </w:rPr>
        <w:t>מספר</w:t>
      </w:r>
      <w:r w:rsidRPr="009751EC">
        <w:rPr>
          <w:b/>
          <w:bCs/>
          <w:rtl/>
        </w:rPr>
        <w:t xml:space="preserve"> </w:t>
      </w:r>
      <w:r w:rsidRPr="009751EC">
        <w:rPr>
          <w:rFonts w:hint="eastAsia"/>
          <w:b/>
          <w:bCs/>
          <w:rtl/>
        </w:rPr>
        <w:t>המגעים</w:t>
      </w:r>
      <w:r w:rsidRPr="009751EC">
        <w:rPr>
          <w:b/>
          <w:bCs/>
          <w:rtl/>
        </w:rPr>
        <w:t xml:space="preserve"> שהיו צריכים להינתן בהתבסס על </w:t>
      </w:r>
      <w:r w:rsidRPr="009751EC">
        <w:rPr>
          <w:rFonts w:hint="eastAsia"/>
          <w:b/>
          <w:bCs/>
          <w:rtl/>
        </w:rPr>
        <w:t>מספר</w:t>
      </w:r>
      <w:r w:rsidRPr="009751EC">
        <w:rPr>
          <w:b/>
          <w:bCs/>
          <w:rtl/>
        </w:rPr>
        <w:t xml:space="preserve"> </w:t>
      </w:r>
      <w:r w:rsidRPr="009751EC">
        <w:rPr>
          <w:rFonts w:hint="cs"/>
          <w:b/>
          <w:bCs/>
          <w:rtl/>
        </w:rPr>
        <w:t xml:space="preserve">חברי קופות החולים </w:t>
      </w:r>
      <w:r w:rsidRPr="009751EC">
        <w:rPr>
          <w:b/>
          <w:bCs/>
          <w:rtl/>
        </w:rPr>
        <w:t xml:space="preserve">לאלו שניתנו בפועל </w:t>
      </w:r>
      <w:r w:rsidRPr="009751EC">
        <w:rPr>
          <w:rFonts w:hint="cs"/>
          <w:b/>
          <w:bCs/>
          <w:rtl/>
        </w:rPr>
        <w:t>(מעוגל לאלפים), 2017</w:t>
      </w:r>
    </w:p>
    <w:tbl>
      <w:tblPr>
        <w:tblStyle w:val="TableGrid"/>
        <w:bidiVisual/>
        <w:tblW w:w="8281" w:type="dxa"/>
        <w:jc w:val="center"/>
        <w:tblLook w:val="04A0" w:firstRow="1" w:lastRow="0" w:firstColumn="1" w:lastColumn="0" w:noHBand="0" w:noVBand="1"/>
      </w:tblPr>
      <w:tblGrid>
        <w:gridCol w:w="1004"/>
        <w:gridCol w:w="1477"/>
        <w:gridCol w:w="1942"/>
        <w:gridCol w:w="1568"/>
        <w:gridCol w:w="1260"/>
        <w:gridCol w:w="1030"/>
      </w:tblGrid>
      <w:tr w:rsidR="00B51F5B" w14:paraId="5DB22EE4" w14:textId="77777777" w:rsidTr="009742CF">
        <w:trPr>
          <w:trHeight w:val="536"/>
          <w:jc w:val="center"/>
        </w:trPr>
        <w:tc>
          <w:tcPr>
            <w:tcW w:w="1004" w:type="dxa"/>
            <w:shd w:val="clear" w:color="auto" w:fill="C6D9F1"/>
            <w:noWrap/>
            <w:hideMark/>
          </w:tcPr>
          <w:p w14:paraId="71AEA31A" w14:textId="77777777" w:rsidR="00B51F5B" w:rsidRPr="00C50973" w:rsidRDefault="00B51F5B" w:rsidP="009751EC">
            <w:pPr>
              <w:pStyle w:val="af1"/>
              <w:rPr>
                <w:rtl/>
              </w:rPr>
            </w:pPr>
            <w:r w:rsidRPr="00C50973">
              <w:rPr>
                <w:rtl/>
              </w:rPr>
              <w:t>קופה</w:t>
            </w:r>
          </w:p>
        </w:tc>
        <w:tc>
          <w:tcPr>
            <w:tcW w:w="1477" w:type="dxa"/>
            <w:shd w:val="clear" w:color="auto" w:fill="C6D9F1"/>
            <w:hideMark/>
          </w:tcPr>
          <w:p w14:paraId="53B40F29" w14:textId="77777777" w:rsidR="00B51F5B" w:rsidRPr="00C50973" w:rsidRDefault="00B51F5B" w:rsidP="009751EC">
            <w:pPr>
              <w:pStyle w:val="af1"/>
              <w:rPr>
                <w:rtl/>
              </w:rPr>
            </w:pPr>
            <w:r w:rsidRPr="00C50973">
              <w:rPr>
                <w:rFonts w:hint="eastAsia"/>
                <w:rtl/>
              </w:rPr>
              <w:t>מספר</w:t>
            </w:r>
            <w:r>
              <w:rPr>
                <w:rtl/>
              </w:rPr>
              <w:t xml:space="preserve"> </w:t>
            </w:r>
            <w:r>
              <w:rPr>
                <w:rFonts w:hint="cs"/>
                <w:rtl/>
              </w:rPr>
              <w:t>חברי קופת חולים</w:t>
            </w:r>
          </w:p>
        </w:tc>
        <w:tc>
          <w:tcPr>
            <w:tcW w:w="1942" w:type="dxa"/>
            <w:shd w:val="clear" w:color="auto" w:fill="C6D9F1"/>
            <w:hideMark/>
          </w:tcPr>
          <w:p w14:paraId="3DB67555" w14:textId="77777777" w:rsidR="00B51F5B" w:rsidRPr="00C50973" w:rsidRDefault="00B51F5B" w:rsidP="009751EC">
            <w:pPr>
              <w:pStyle w:val="af1"/>
              <w:rPr>
                <w:rtl/>
              </w:rPr>
            </w:pPr>
            <w:r w:rsidRPr="00C50973">
              <w:rPr>
                <w:rtl/>
              </w:rPr>
              <w:t>כמות מגעים לפי תקצוב הרפורמה*</w:t>
            </w:r>
          </w:p>
        </w:tc>
        <w:tc>
          <w:tcPr>
            <w:tcW w:w="1568" w:type="dxa"/>
            <w:shd w:val="clear" w:color="auto" w:fill="C6D9F1"/>
            <w:hideMark/>
          </w:tcPr>
          <w:p w14:paraId="1BC004C3" w14:textId="77777777" w:rsidR="00B51F5B" w:rsidRPr="00C50973" w:rsidRDefault="00B51F5B" w:rsidP="009751EC">
            <w:pPr>
              <w:pStyle w:val="af1"/>
              <w:rPr>
                <w:rtl/>
              </w:rPr>
            </w:pPr>
            <w:r w:rsidRPr="00C50973">
              <w:rPr>
                <w:rtl/>
              </w:rPr>
              <w:t>כמות מגעים</w:t>
            </w:r>
            <w:r>
              <w:rPr>
                <w:rFonts w:hint="cs"/>
                <w:rtl/>
              </w:rPr>
              <w:t xml:space="preserve"> בפועל</w:t>
            </w:r>
            <w:r w:rsidRPr="00C50973">
              <w:rPr>
                <w:rtl/>
              </w:rPr>
              <w:t>**</w:t>
            </w:r>
          </w:p>
        </w:tc>
        <w:tc>
          <w:tcPr>
            <w:tcW w:w="1260" w:type="dxa"/>
            <w:shd w:val="clear" w:color="auto" w:fill="C6D9F1"/>
            <w:noWrap/>
            <w:hideMark/>
          </w:tcPr>
          <w:p w14:paraId="3083803C" w14:textId="77777777" w:rsidR="00B51F5B" w:rsidRPr="00C50973" w:rsidRDefault="00B51F5B" w:rsidP="009751EC">
            <w:pPr>
              <w:pStyle w:val="af1"/>
              <w:rPr>
                <w:rtl/>
              </w:rPr>
            </w:pPr>
            <w:r w:rsidRPr="00C50973">
              <w:rPr>
                <w:rtl/>
              </w:rPr>
              <w:t>הפרש</w:t>
            </w:r>
          </w:p>
        </w:tc>
        <w:tc>
          <w:tcPr>
            <w:tcW w:w="1030" w:type="dxa"/>
            <w:shd w:val="clear" w:color="auto" w:fill="C6D9F1"/>
            <w:noWrap/>
            <w:hideMark/>
          </w:tcPr>
          <w:p w14:paraId="3FDB5E01" w14:textId="77777777" w:rsidR="00B51F5B" w:rsidRPr="00C50973" w:rsidRDefault="00B51F5B" w:rsidP="009751EC">
            <w:pPr>
              <w:pStyle w:val="af1"/>
              <w:rPr>
                <w:rtl/>
              </w:rPr>
            </w:pPr>
            <w:r w:rsidRPr="00C50973">
              <w:rPr>
                <w:rtl/>
              </w:rPr>
              <w:t>באחוזים</w:t>
            </w:r>
          </w:p>
        </w:tc>
      </w:tr>
      <w:tr w:rsidR="00B51F5B" w14:paraId="7471B6C0" w14:textId="77777777" w:rsidTr="009742CF">
        <w:trPr>
          <w:trHeight w:val="300"/>
          <w:jc w:val="center"/>
        </w:trPr>
        <w:tc>
          <w:tcPr>
            <w:tcW w:w="1004" w:type="dxa"/>
            <w:noWrap/>
            <w:hideMark/>
          </w:tcPr>
          <w:p w14:paraId="17BDDB90" w14:textId="77777777" w:rsidR="00B51F5B" w:rsidRPr="00C50973" w:rsidRDefault="00B51F5B" w:rsidP="009751EC">
            <w:pPr>
              <w:pStyle w:val="R"/>
              <w:rPr>
                <w:rtl/>
              </w:rPr>
            </w:pPr>
            <w:r w:rsidRPr="00C50973">
              <w:rPr>
                <w:rtl/>
              </w:rPr>
              <w:t>הכללית</w:t>
            </w:r>
          </w:p>
        </w:tc>
        <w:tc>
          <w:tcPr>
            <w:tcW w:w="1477" w:type="dxa"/>
            <w:noWrap/>
            <w:hideMark/>
          </w:tcPr>
          <w:p w14:paraId="699CEB04" w14:textId="77777777" w:rsidR="00B51F5B" w:rsidRPr="00217DBF" w:rsidRDefault="00B51F5B" w:rsidP="009751EC">
            <w:pPr>
              <w:pStyle w:val="R"/>
              <w:rPr>
                <w:rFonts w:asciiTheme="minorHAnsi" w:hAnsiTheme="minorHAnsi"/>
                <w:rtl/>
              </w:rPr>
            </w:pPr>
            <w:r w:rsidRPr="00C50973">
              <w:t xml:space="preserve"> 4,500,000</w:t>
            </w:r>
          </w:p>
        </w:tc>
        <w:tc>
          <w:tcPr>
            <w:tcW w:w="1942" w:type="dxa"/>
            <w:noWrap/>
            <w:hideMark/>
          </w:tcPr>
          <w:p w14:paraId="43F0F223" w14:textId="77777777" w:rsidR="00B51F5B" w:rsidRPr="0062664B" w:rsidRDefault="00B51F5B" w:rsidP="009751EC">
            <w:pPr>
              <w:pStyle w:val="R"/>
              <w:rPr>
                <w:rFonts w:asciiTheme="minorHAnsi" w:hAnsiTheme="minorHAnsi"/>
                <w:rtl/>
              </w:rPr>
            </w:pPr>
            <w:r w:rsidRPr="00C50973">
              <w:t>1,442,000</w:t>
            </w:r>
          </w:p>
        </w:tc>
        <w:tc>
          <w:tcPr>
            <w:tcW w:w="1568" w:type="dxa"/>
            <w:noWrap/>
            <w:hideMark/>
          </w:tcPr>
          <w:p w14:paraId="0D8601F5" w14:textId="77777777" w:rsidR="00B51F5B" w:rsidRPr="00BC76B4" w:rsidRDefault="00B51F5B" w:rsidP="009751EC">
            <w:pPr>
              <w:pStyle w:val="R"/>
              <w:rPr>
                <w:rFonts w:asciiTheme="minorHAnsi" w:hAnsiTheme="minorHAnsi"/>
              </w:rPr>
            </w:pPr>
            <w:r w:rsidRPr="00C50973">
              <w:t>912,000</w:t>
            </w:r>
          </w:p>
        </w:tc>
        <w:tc>
          <w:tcPr>
            <w:tcW w:w="1260" w:type="dxa"/>
            <w:noWrap/>
            <w:hideMark/>
          </w:tcPr>
          <w:p w14:paraId="6905D44A" w14:textId="77777777" w:rsidR="00B51F5B" w:rsidRPr="0062664B" w:rsidRDefault="00B51F5B" w:rsidP="009751EC">
            <w:pPr>
              <w:pStyle w:val="R"/>
              <w:rPr>
                <w:rFonts w:asciiTheme="minorHAnsi" w:hAnsiTheme="minorHAnsi"/>
              </w:rPr>
            </w:pPr>
            <w:r w:rsidRPr="00C50973">
              <w:t>-530,000</w:t>
            </w:r>
          </w:p>
        </w:tc>
        <w:tc>
          <w:tcPr>
            <w:tcW w:w="1030" w:type="dxa"/>
            <w:noWrap/>
            <w:hideMark/>
          </w:tcPr>
          <w:p w14:paraId="1FAE153E" w14:textId="77777777" w:rsidR="00B51F5B" w:rsidRPr="00C50973" w:rsidRDefault="00B51F5B" w:rsidP="009751EC">
            <w:pPr>
              <w:pStyle w:val="R"/>
            </w:pPr>
            <w:r w:rsidRPr="00C50973">
              <w:t>-37%</w:t>
            </w:r>
          </w:p>
        </w:tc>
      </w:tr>
      <w:tr w:rsidR="00B51F5B" w14:paraId="3597F41B" w14:textId="77777777" w:rsidTr="009742CF">
        <w:trPr>
          <w:trHeight w:val="285"/>
          <w:jc w:val="center"/>
        </w:trPr>
        <w:tc>
          <w:tcPr>
            <w:tcW w:w="1004" w:type="dxa"/>
            <w:noWrap/>
            <w:hideMark/>
          </w:tcPr>
          <w:p w14:paraId="497CCBAD" w14:textId="77777777" w:rsidR="00B51F5B" w:rsidRPr="00C50973" w:rsidRDefault="00B51F5B" w:rsidP="009751EC">
            <w:pPr>
              <w:pStyle w:val="R"/>
            </w:pPr>
            <w:r w:rsidRPr="00C50973">
              <w:rPr>
                <w:rtl/>
              </w:rPr>
              <w:t>מכבי</w:t>
            </w:r>
          </w:p>
        </w:tc>
        <w:tc>
          <w:tcPr>
            <w:tcW w:w="1477" w:type="dxa"/>
            <w:noWrap/>
            <w:hideMark/>
          </w:tcPr>
          <w:p w14:paraId="539E834A" w14:textId="77777777" w:rsidR="00B51F5B" w:rsidRPr="00C50973" w:rsidRDefault="00B51F5B" w:rsidP="009751EC">
            <w:pPr>
              <w:pStyle w:val="R"/>
              <w:rPr>
                <w:rtl/>
              </w:rPr>
            </w:pPr>
            <w:r w:rsidRPr="00C50973">
              <w:t>2,222,000</w:t>
            </w:r>
          </w:p>
        </w:tc>
        <w:tc>
          <w:tcPr>
            <w:tcW w:w="1942" w:type="dxa"/>
            <w:noWrap/>
            <w:hideMark/>
          </w:tcPr>
          <w:p w14:paraId="031F86C0" w14:textId="77777777" w:rsidR="00B51F5B" w:rsidRPr="00C50973" w:rsidRDefault="00B51F5B" w:rsidP="009751EC">
            <w:pPr>
              <w:pStyle w:val="R"/>
            </w:pPr>
            <w:r w:rsidRPr="00C50973">
              <w:t>714,000</w:t>
            </w:r>
          </w:p>
        </w:tc>
        <w:tc>
          <w:tcPr>
            <w:tcW w:w="1568" w:type="dxa"/>
            <w:noWrap/>
            <w:hideMark/>
          </w:tcPr>
          <w:p w14:paraId="6B81378F" w14:textId="77777777" w:rsidR="00B51F5B" w:rsidRPr="00C50973" w:rsidRDefault="00B51F5B" w:rsidP="009751EC">
            <w:pPr>
              <w:pStyle w:val="R"/>
            </w:pPr>
            <w:r w:rsidRPr="00C50973">
              <w:t>596,000</w:t>
            </w:r>
          </w:p>
        </w:tc>
        <w:tc>
          <w:tcPr>
            <w:tcW w:w="1260" w:type="dxa"/>
            <w:noWrap/>
            <w:hideMark/>
          </w:tcPr>
          <w:p w14:paraId="573D518D" w14:textId="77777777" w:rsidR="00B51F5B" w:rsidRPr="00C50973" w:rsidRDefault="00B51F5B" w:rsidP="009751EC">
            <w:pPr>
              <w:pStyle w:val="R"/>
              <w:rPr>
                <w:rtl/>
              </w:rPr>
            </w:pPr>
            <w:r w:rsidRPr="00C50973">
              <w:t xml:space="preserve"> -118,000</w:t>
            </w:r>
          </w:p>
        </w:tc>
        <w:tc>
          <w:tcPr>
            <w:tcW w:w="1030" w:type="dxa"/>
            <w:noWrap/>
            <w:hideMark/>
          </w:tcPr>
          <w:p w14:paraId="666E6EA7" w14:textId="77777777" w:rsidR="00B51F5B" w:rsidRPr="00C50973" w:rsidRDefault="00B51F5B" w:rsidP="009751EC">
            <w:pPr>
              <w:pStyle w:val="R"/>
            </w:pPr>
            <w:r w:rsidRPr="00C50973">
              <w:t>-17%</w:t>
            </w:r>
          </w:p>
        </w:tc>
      </w:tr>
      <w:tr w:rsidR="00B51F5B" w14:paraId="5B566859" w14:textId="77777777" w:rsidTr="009742CF">
        <w:trPr>
          <w:trHeight w:val="285"/>
          <w:jc w:val="center"/>
        </w:trPr>
        <w:tc>
          <w:tcPr>
            <w:tcW w:w="1004" w:type="dxa"/>
            <w:noWrap/>
            <w:hideMark/>
          </w:tcPr>
          <w:p w14:paraId="217C77D1" w14:textId="77777777" w:rsidR="00B51F5B" w:rsidRPr="00C50973" w:rsidRDefault="00B51F5B" w:rsidP="009751EC">
            <w:pPr>
              <w:pStyle w:val="R"/>
            </w:pPr>
            <w:r w:rsidRPr="00C50973">
              <w:rPr>
                <w:rtl/>
              </w:rPr>
              <w:t>מאוחדת</w:t>
            </w:r>
          </w:p>
        </w:tc>
        <w:tc>
          <w:tcPr>
            <w:tcW w:w="1477" w:type="dxa"/>
            <w:noWrap/>
            <w:hideMark/>
          </w:tcPr>
          <w:p w14:paraId="3F0D55C2" w14:textId="77777777" w:rsidR="00B51F5B" w:rsidRPr="00C50973" w:rsidRDefault="00B51F5B" w:rsidP="009751EC">
            <w:pPr>
              <w:pStyle w:val="R"/>
              <w:rPr>
                <w:rtl/>
              </w:rPr>
            </w:pPr>
            <w:r w:rsidRPr="00C50973">
              <w:t xml:space="preserve"> 1,198,000</w:t>
            </w:r>
          </w:p>
        </w:tc>
        <w:tc>
          <w:tcPr>
            <w:tcW w:w="1942" w:type="dxa"/>
            <w:noWrap/>
            <w:hideMark/>
          </w:tcPr>
          <w:p w14:paraId="7D9FBC3A" w14:textId="2E646DDC" w:rsidR="00B51F5B" w:rsidRPr="00C50973" w:rsidRDefault="00B51F5B" w:rsidP="009751EC">
            <w:pPr>
              <w:pStyle w:val="R"/>
            </w:pPr>
            <w:r w:rsidRPr="00C50973">
              <w:t xml:space="preserve"> </w:t>
            </w:r>
            <w:r>
              <w:t>375</w:t>
            </w:r>
            <w:r w:rsidRPr="00C50973">
              <w:t>,000</w:t>
            </w:r>
          </w:p>
        </w:tc>
        <w:tc>
          <w:tcPr>
            <w:tcW w:w="1568" w:type="dxa"/>
            <w:noWrap/>
            <w:hideMark/>
          </w:tcPr>
          <w:p w14:paraId="74050B95" w14:textId="52A84921" w:rsidR="00B51F5B" w:rsidRPr="00C50973" w:rsidRDefault="00B51F5B" w:rsidP="009751EC">
            <w:pPr>
              <w:pStyle w:val="R"/>
            </w:pPr>
            <w:r w:rsidRPr="00C50973">
              <w:t xml:space="preserve"> 321,000</w:t>
            </w:r>
          </w:p>
        </w:tc>
        <w:tc>
          <w:tcPr>
            <w:tcW w:w="1260" w:type="dxa"/>
            <w:noWrap/>
            <w:hideMark/>
          </w:tcPr>
          <w:p w14:paraId="009A3F8E" w14:textId="2853072D" w:rsidR="00B51F5B" w:rsidRPr="00C50973" w:rsidRDefault="00B51F5B" w:rsidP="009751EC">
            <w:pPr>
              <w:pStyle w:val="R"/>
            </w:pPr>
            <w:r w:rsidRPr="00C50973">
              <w:t xml:space="preserve"> -5</w:t>
            </w:r>
            <w:r>
              <w:t>4</w:t>
            </w:r>
            <w:r w:rsidRPr="00C50973">
              <w:t>,000</w:t>
            </w:r>
          </w:p>
        </w:tc>
        <w:tc>
          <w:tcPr>
            <w:tcW w:w="1030" w:type="dxa"/>
            <w:noWrap/>
            <w:hideMark/>
          </w:tcPr>
          <w:p w14:paraId="3884D7C5" w14:textId="77777777" w:rsidR="00B51F5B" w:rsidRPr="00C50973" w:rsidRDefault="00B51F5B" w:rsidP="009751EC">
            <w:pPr>
              <w:pStyle w:val="R"/>
            </w:pPr>
            <w:r w:rsidRPr="00C50973">
              <w:t>-14%</w:t>
            </w:r>
          </w:p>
        </w:tc>
      </w:tr>
      <w:tr w:rsidR="00B51F5B" w14:paraId="49791CD8" w14:textId="77777777" w:rsidTr="009742CF">
        <w:trPr>
          <w:trHeight w:val="285"/>
          <w:jc w:val="center"/>
        </w:trPr>
        <w:tc>
          <w:tcPr>
            <w:tcW w:w="1004" w:type="dxa"/>
            <w:noWrap/>
            <w:hideMark/>
          </w:tcPr>
          <w:p w14:paraId="1CEE0416" w14:textId="77777777" w:rsidR="00B51F5B" w:rsidRPr="00C50973" w:rsidRDefault="00B51F5B" w:rsidP="009751EC">
            <w:pPr>
              <w:pStyle w:val="R"/>
            </w:pPr>
            <w:r w:rsidRPr="00C50973">
              <w:rPr>
                <w:rtl/>
              </w:rPr>
              <w:t>לאומית</w:t>
            </w:r>
          </w:p>
        </w:tc>
        <w:tc>
          <w:tcPr>
            <w:tcW w:w="1477" w:type="dxa"/>
            <w:noWrap/>
            <w:hideMark/>
          </w:tcPr>
          <w:p w14:paraId="721F8D17" w14:textId="77777777" w:rsidR="00B51F5B" w:rsidRPr="00C50973" w:rsidRDefault="00B51F5B" w:rsidP="009751EC">
            <w:pPr>
              <w:pStyle w:val="R"/>
              <w:rPr>
                <w:rtl/>
              </w:rPr>
            </w:pPr>
            <w:r w:rsidRPr="00C50973">
              <w:t xml:space="preserve"> 713,000</w:t>
            </w:r>
          </w:p>
        </w:tc>
        <w:tc>
          <w:tcPr>
            <w:tcW w:w="1942" w:type="dxa"/>
            <w:noWrap/>
            <w:hideMark/>
          </w:tcPr>
          <w:p w14:paraId="3F74A809" w14:textId="5DD74B4A" w:rsidR="00B51F5B" w:rsidRPr="00C50973" w:rsidRDefault="00B51F5B" w:rsidP="009751EC">
            <w:pPr>
              <w:pStyle w:val="R"/>
            </w:pPr>
            <w:r w:rsidRPr="00C50973">
              <w:t xml:space="preserve"> 227,000</w:t>
            </w:r>
          </w:p>
        </w:tc>
        <w:tc>
          <w:tcPr>
            <w:tcW w:w="1568" w:type="dxa"/>
            <w:noWrap/>
            <w:hideMark/>
          </w:tcPr>
          <w:p w14:paraId="795F44B2" w14:textId="1D0A4777" w:rsidR="00B51F5B" w:rsidRPr="00C50973" w:rsidRDefault="00B51F5B" w:rsidP="009751EC">
            <w:pPr>
              <w:pStyle w:val="R"/>
              <w:rPr>
                <w:rtl/>
              </w:rPr>
            </w:pPr>
            <w:r w:rsidRPr="00C50973">
              <w:t xml:space="preserve"> 181,000</w:t>
            </w:r>
          </w:p>
        </w:tc>
        <w:tc>
          <w:tcPr>
            <w:tcW w:w="1260" w:type="dxa"/>
            <w:noWrap/>
            <w:hideMark/>
          </w:tcPr>
          <w:p w14:paraId="56DB624A" w14:textId="023F54E3" w:rsidR="00B51F5B" w:rsidRPr="00C50973" w:rsidRDefault="00B51F5B" w:rsidP="009751EC">
            <w:pPr>
              <w:pStyle w:val="R"/>
            </w:pPr>
            <w:r w:rsidRPr="00C50973">
              <w:t>-4</w:t>
            </w:r>
            <w:r>
              <w:t>6</w:t>
            </w:r>
            <w:r w:rsidRPr="00C50973">
              <w:t>,000</w:t>
            </w:r>
          </w:p>
        </w:tc>
        <w:tc>
          <w:tcPr>
            <w:tcW w:w="1030" w:type="dxa"/>
            <w:noWrap/>
            <w:hideMark/>
          </w:tcPr>
          <w:p w14:paraId="39569404" w14:textId="77777777" w:rsidR="00B51F5B" w:rsidRPr="00C50973" w:rsidRDefault="00B51F5B" w:rsidP="009751EC">
            <w:pPr>
              <w:pStyle w:val="R"/>
            </w:pPr>
            <w:r w:rsidRPr="00C50973">
              <w:t>-20%</w:t>
            </w:r>
          </w:p>
        </w:tc>
      </w:tr>
      <w:tr w:rsidR="00B51F5B" w14:paraId="7446E1FF" w14:textId="77777777" w:rsidTr="002B22CD">
        <w:trPr>
          <w:trHeight w:val="285"/>
          <w:jc w:val="center"/>
        </w:trPr>
        <w:tc>
          <w:tcPr>
            <w:tcW w:w="1004" w:type="dxa"/>
            <w:shd w:val="clear" w:color="auto" w:fill="C6D9F1"/>
            <w:noWrap/>
            <w:hideMark/>
          </w:tcPr>
          <w:p w14:paraId="46545792" w14:textId="77777777" w:rsidR="00B51F5B" w:rsidRPr="002B22CD" w:rsidRDefault="00B51F5B" w:rsidP="002B22CD">
            <w:pPr>
              <w:pStyle w:val="B"/>
            </w:pPr>
            <w:r w:rsidRPr="002B22CD">
              <w:rPr>
                <w:szCs w:val="20"/>
                <w:rtl/>
              </w:rPr>
              <w:t>סה"כ</w:t>
            </w:r>
          </w:p>
        </w:tc>
        <w:tc>
          <w:tcPr>
            <w:tcW w:w="1477" w:type="dxa"/>
            <w:shd w:val="clear" w:color="auto" w:fill="C6D9F1"/>
            <w:noWrap/>
            <w:hideMark/>
          </w:tcPr>
          <w:p w14:paraId="2CB0525C" w14:textId="277042D5" w:rsidR="00B51F5B" w:rsidRPr="002B22CD" w:rsidRDefault="00B51F5B" w:rsidP="002B22CD">
            <w:pPr>
              <w:pStyle w:val="B"/>
              <w:rPr>
                <w:szCs w:val="20"/>
                <w:rtl/>
              </w:rPr>
            </w:pPr>
            <w:r w:rsidRPr="002B22CD">
              <w:t xml:space="preserve"> 8,633,000</w:t>
            </w:r>
          </w:p>
        </w:tc>
        <w:tc>
          <w:tcPr>
            <w:tcW w:w="1942" w:type="dxa"/>
            <w:shd w:val="clear" w:color="auto" w:fill="C6D9F1"/>
            <w:noWrap/>
            <w:hideMark/>
          </w:tcPr>
          <w:p w14:paraId="0354507E" w14:textId="18C09CE7" w:rsidR="00B51F5B" w:rsidRPr="002B22CD" w:rsidRDefault="00B51F5B" w:rsidP="002B22CD">
            <w:pPr>
              <w:pStyle w:val="B"/>
            </w:pPr>
            <w:r w:rsidRPr="002B22CD">
              <w:t xml:space="preserve"> 2,758,000</w:t>
            </w:r>
          </w:p>
        </w:tc>
        <w:tc>
          <w:tcPr>
            <w:tcW w:w="1568" w:type="dxa"/>
            <w:shd w:val="clear" w:color="auto" w:fill="C6D9F1"/>
            <w:noWrap/>
            <w:hideMark/>
          </w:tcPr>
          <w:p w14:paraId="54A0A6AC" w14:textId="30501440" w:rsidR="00B51F5B" w:rsidRPr="002B22CD" w:rsidRDefault="00B51F5B" w:rsidP="002B22CD">
            <w:pPr>
              <w:pStyle w:val="B"/>
            </w:pPr>
            <w:r w:rsidRPr="002B22CD">
              <w:t xml:space="preserve"> 2,010,000</w:t>
            </w:r>
          </w:p>
        </w:tc>
        <w:tc>
          <w:tcPr>
            <w:tcW w:w="1260" w:type="dxa"/>
            <w:shd w:val="clear" w:color="auto" w:fill="C6D9F1"/>
            <w:noWrap/>
            <w:hideMark/>
          </w:tcPr>
          <w:p w14:paraId="3226F778" w14:textId="0B2595EC" w:rsidR="00B51F5B" w:rsidRPr="002B22CD" w:rsidRDefault="00B51F5B" w:rsidP="002B22CD">
            <w:pPr>
              <w:pStyle w:val="B"/>
            </w:pPr>
            <w:r w:rsidRPr="002B22CD">
              <w:t xml:space="preserve"> -748,000</w:t>
            </w:r>
          </w:p>
        </w:tc>
        <w:tc>
          <w:tcPr>
            <w:tcW w:w="1030" w:type="dxa"/>
            <w:shd w:val="clear" w:color="auto" w:fill="C6D9F1"/>
            <w:noWrap/>
            <w:hideMark/>
          </w:tcPr>
          <w:p w14:paraId="1BF07F0D" w14:textId="77777777" w:rsidR="00B51F5B" w:rsidRPr="002B22CD" w:rsidRDefault="00B51F5B" w:rsidP="002B22CD">
            <w:pPr>
              <w:pStyle w:val="B"/>
            </w:pPr>
            <w:r w:rsidRPr="002B22CD">
              <w:t>-27%</w:t>
            </w:r>
          </w:p>
        </w:tc>
      </w:tr>
    </w:tbl>
    <w:p w14:paraId="5E58F064" w14:textId="6FCEA59E" w:rsidR="00B51F5B" w:rsidRPr="0091467A" w:rsidRDefault="00B51F5B" w:rsidP="00B635C8">
      <w:pPr>
        <w:pStyle w:val="aff3"/>
        <w:rPr>
          <w:rtl/>
        </w:rPr>
      </w:pPr>
      <w:r w:rsidRPr="0091467A">
        <w:rPr>
          <w:rFonts w:hint="cs"/>
          <w:rtl/>
        </w:rPr>
        <w:t>*</w:t>
      </w:r>
      <w:r>
        <w:rPr>
          <w:rFonts w:hint="cs"/>
          <w:rtl/>
        </w:rPr>
        <w:t xml:space="preserve"> </w:t>
      </w:r>
      <w:r w:rsidR="004005F0">
        <w:rPr>
          <w:rtl/>
        </w:rPr>
        <w:tab/>
      </w:r>
      <w:r>
        <w:rPr>
          <w:rFonts w:hint="cs"/>
          <w:rtl/>
        </w:rPr>
        <w:t xml:space="preserve">כמות המגעים בהסכם חושבה לפי 2% מהילדים * 12 מגעים ו-4% מהמבוגרים * 9 </w:t>
      </w:r>
      <w:r w:rsidRPr="007122AD">
        <w:rPr>
          <w:rFonts w:hint="cs"/>
          <w:rtl/>
        </w:rPr>
        <w:t>מגעים</w:t>
      </w:r>
      <w:r w:rsidRPr="002460B6">
        <w:rPr>
          <w:rFonts w:hint="cs"/>
          <w:rtl/>
        </w:rPr>
        <w:t>.</w:t>
      </w:r>
    </w:p>
    <w:p w14:paraId="150B16CE" w14:textId="65B49828" w:rsidR="00B51F5B" w:rsidRDefault="00B51F5B" w:rsidP="00B635C8">
      <w:pPr>
        <w:pStyle w:val="aff3"/>
        <w:rPr>
          <w:rtl/>
        </w:rPr>
      </w:pPr>
      <w:r w:rsidRPr="0091467A">
        <w:rPr>
          <w:rFonts w:hint="cs"/>
          <w:rtl/>
        </w:rPr>
        <w:t xml:space="preserve">** </w:t>
      </w:r>
      <w:r w:rsidR="004005F0">
        <w:rPr>
          <w:rtl/>
        </w:rPr>
        <w:tab/>
      </w:r>
      <w:r w:rsidRPr="0091467A">
        <w:rPr>
          <w:rFonts w:hint="cs"/>
          <w:rtl/>
        </w:rPr>
        <w:t xml:space="preserve">כמות המגעים </w:t>
      </w:r>
      <w:r>
        <w:rPr>
          <w:rFonts w:hint="cs"/>
          <w:rtl/>
        </w:rPr>
        <w:t xml:space="preserve">(ללא מגעים שנתנו רופאי משפחה ורופאי ילדים), </w:t>
      </w:r>
      <w:r w:rsidRPr="0091467A">
        <w:rPr>
          <w:rFonts w:hint="cs"/>
          <w:rtl/>
        </w:rPr>
        <w:t>כפי שד</w:t>
      </w:r>
      <w:r>
        <w:rPr>
          <w:rFonts w:hint="cs"/>
          <w:rtl/>
        </w:rPr>
        <w:t>י</w:t>
      </w:r>
      <w:r w:rsidRPr="0091467A">
        <w:rPr>
          <w:rFonts w:hint="cs"/>
          <w:rtl/>
        </w:rPr>
        <w:t>ווח</w:t>
      </w:r>
      <w:r>
        <w:rPr>
          <w:rFonts w:hint="cs"/>
          <w:rtl/>
        </w:rPr>
        <w:t>ו</w:t>
      </w:r>
      <w:r w:rsidRPr="0091467A">
        <w:rPr>
          <w:rFonts w:hint="cs"/>
          <w:rtl/>
        </w:rPr>
        <w:t xml:space="preserve"> </w:t>
      </w:r>
      <w:r>
        <w:rPr>
          <w:rFonts w:hint="cs"/>
          <w:rtl/>
        </w:rPr>
        <w:t>ה</w:t>
      </w:r>
      <w:r w:rsidRPr="0091467A">
        <w:rPr>
          <w:rFonts w:hint="cs"/>
          <w:rtl/>
        </w:rPr>
        <w:t>כללית, מכבי ולאומית למשרד הבריאות</w:t>
      </w:r>
      <w:r w:rsidRPr="00A041EF">
        <w:rPr>
          <w:rFonts w:hint="cs"/>
          <w:rtl/>
        </w:rPr>
        <w:t xml:space="preserve"> </w:t>
      </w:r>
      <w:r>
        <w:rPr>
          <w:rFonts w:hint="cs"/>
          <w:rtl/>
        </w:rPr>
        <w:t>וכפי שדיווחה מאוחדת בדוח המגמות.</w:t>
      </w:r>
    </w:p>
    <w:p w14:paraId="7EEFF1E9" w14:textId="77777777" w:rsidR="009742CF" w:rsidRDefault="009742CF" w:rsidP="00B51F5B">
      <w:pPr>
        <w:spacing w:line="269" w:lineRule="auto"/>
        <w:rPr>
          <w:sz w:val="18"/>
          <w:szCs w:val="18"/>
          <w:rtl/>
        </w:rPr>
      </w:pPr>
    </w:p>
    <w:p w14:paraId="112EF75E" w14:textId="77777777" w:rsidR="00B51F5B" w:rsidRPr="00F25229" w:rsidRDefault="00B51F5B" w:rsidP="009751EC">
      <w:pPr>
        <w:pStyle w:val="af5"/>
        <w:rPr>
          <w:sz w:val="18"/>
          <w:szCs w:val="18"/>
          <w:rtl/>
        </w:rPr>
      </w:pPr>
      <w:r w:rsidRPr="00BB279F">
        <w:rPr>
          <w:rFonts w:hint="cs"/>
          <w:rtl/>
        </w:rPr>
        <w:t>כמות המגעים הכוללת שנתנו קופות החולים בשנת 2017</w:t>
      </w:r>
      <w:r>
        <w:rPr>
          <w:rFonts w:hint="cs"/>
          <w:rtl/>
        </w:rPr>
        <w:t xml:space="preserve"> גדלה ב</w:t>
      </w:r>
      <w:r w:rsidRPr="00BB279F">
        <w:rPr>
          <w:rFonts w:hint="cs"/>
          <w:rtl/>
        </w:rPr>
        <w:t xml:space="preserve">כ-20% </w:t>
      </w:r>
      <w:r>
        <w:rPr>
          <w:rFonts w:hint="cs"/>
          <w:rtl/>
        </w:rPr>
        <w:t>בהשוואה לזו שניתנה ב</w:t>
      </w:r>
      <w:r w:rsidRPr="00BB279F">
        <w:rPr>
          <w:rFonts w:hint="cs"/>
          <w:rtl/>
        </w:rPr>
        <w:t>שנת 2016</w:t>
      </w:r>
      <w:r>
        <w:rPr>
          <w:vertAlign w:val="superscript"/>
          <w:rtl/>
        </w:rPr>
        <w:footnoteReference w:id="76"/>
      </w:r>
      <w:r w:rsidRPr="00BB279F">
        <w:rPr>
          <w:rFonts w:hint="cs"/>
          <w:rtl/>
        </w:rPr>
        <w:t xml:space="preserve"> </w:t>
      </w:r>
      <w:r>
        <w:rPr>
          <w:rFonts w:hint="cs"/>
          <w:rtl/>
        </w:rPr>
        <w:t>(</w:t>
      </w:r>
      <w:r w:rsidRPr="00BB279F">
        <w:rPr>
          <w:rFonts w:hint="cs"/>
          <w:rtl/>
        </w:rPr>
        <w:t xml:space="preserve">כ-2,010,000 מגעים </w:t>
      </w:r>
      <w:r>
        <w:rPr>
          <w:rFonts w:hint="cs"/>
          <w:rtl/>
        </w:rPr>
        <w:t xml:space="preserve">לעומת </w:t>
      </w:r>
      <w:r w:rsidRPr="00BB279F">
        <w:rPr>
          <w:rFonts w:hint="cs"/>
          <w:rtl/>
        </w:rPr>
        <w:t>כ-1,676,000</w:t>
      </w:r>
      <w:r>
        <w:rPr>
          <w:rFonts w:hint="cs"/>
          <w:rtl/>
        </w:rPr>
        <w:t xml:space="preserve"> בהתאמה),</w:t>
      </w:r>
      <w:r w:rsidRPr="00BB279F">
        <w:rPr>
          <w:rFonts w:hint="cs"/>
          <w:rtl/>
        </w:rPr>
        <w:t xml:space="preserve"> </w:t>
      </w:r>
      <w:r>
        <w:rPr>
          <w:rFonts w:hint="cs"/>
          <w:rtl/>
        </w:rPr>
        <w:t xml:space="preserve">עובדה </w:t>
      </w:r>
      <w:r w:rsidRPr="00BB279F">
        <w:rPr>
          <w:rFonts w:hint="cs"/>
          <w:rtl/>
        </w:rPr>
        <w:t>המעיד</w:t>
      </w:r>
      <w:r>
        <w:rPr>
          <w:rFonts w:hint="cs"/>
          <w:rtl/>
        </w:rPr>
        <w:t>ה</w:t>
      </w:r>
      <w:r w:rsidRPr="00BB279F">
        <w:rPr>
          <w:rFonts w:hint="cs"/>
          <w:rtl/>
        </w:rPr>
        <w:t xml:space="preserve"> על פיתוח התחום בשנים אלו. עם זאת, </w:t>
      </w:r>
      <w:r>
        <w:rPr>
          <w:rFonts w:hint="cs"/>
          <w:rtl/>
        </w:rPr>
        <w:t xml:space="preserve">מלוחות 6 ו-7, </w:t>
      </w:r>
      <w:r w:rsidRPr="007122AD">
        <w:rPr>
          <w:rtl/>
        </w:rPr>
        <w:t xml:space="preserve">עולה </w:t>
      </w:r>
      <w:r w:rsidRPr="007122AD">
        <w:rPr>
          <w:rFonts w:hint="eastAsia"/>
          <w:rtl/>
        </w:rPr>
        <w:t>כי</w:t>
      </w:r>
      <w:r w:rsidRPr="007122AD">
        <w:rPr>
          <w:rtl/>
        </w:rPr>
        <w:t xml:space="preserve"> </w:t>
      </w:r>
      <w:r>
        <w:rPr>
          <w:rFonts w:hint="cs"/>
          <w:rtl/>
        </w:rPr>
        <w:t xml:space="preserve">בהתבסס על דיווחי כללית, מכבי ולאומית למשרד הבריאות ובהתבסס על דוח פנימי של מאוחדת, </w:t>
      </w:r>
      <w:r w:rsidRPr="007122AD">
        <w:rPr>
          <w:rFonts w:hint="eastAsia"/>
          <w:rtl/>
        </w:rPr>
        <w:t>כמות</w:t>
      </w:r>
      <w:r w:rsidRPr="007122AD">
        <w:rPr>
          <w:rtl/>
        </w:rPr>
        <w:t xml:space="preserve"> </w:t>
      </w:r>
      <w:r w:rsidRPr="007122AD">
        <w:rPr>
          <w:rFonts w:hint="eastAsia"/>
          <w:rtl/>
        </w:rPr>
        <w:t>המגעים</w:t>
      </w:r>
      <w:r w:rsidRPr="007122AD">
        <w:rPr>
          <w:rtl/>
        </w:rPr>
        <w:t xml:space="preserve"> </w:t>
      </w:r>
      <w:r w:rsidRPr="007122AD">
        <w:rPr>
          <w:rFonts w:hint="eastAsia"/>
          <w:rtl/>
        </w:rPr>
        <w:t>הכוללת</w:t>
      </w:r>
      <w:r w:rsidRPr="007122AD">
        <w:rPr>
          <w:rtl/>
        </w:rPr>
        <w:t xml:space="preserve"> </w:t>
      </w:r>
      <w:r w:rsidRPr="007122AD">
        <w:rPr>
          <w:rFonts w:hint="eastAsia"/>
          <w:rtl/>
        </w:rPr>
        <w:t>שנתנו</w:t>
      </w:r>
      <w:r w:rsidRPr="007122AD">
        <w:rPr>
          <w:rtl/>
        </w:rPr>
        <w:t xml:space="preserve"> </w:t>
      </w:r>
      <w:r w:rsidRPr="007122AD">
        <w:rPr>
          <w:rFonts w:hint="eastAsia"/>
          <w:rtl/>
        </w:rPr>
        <w:t>הקופות</w:t>
      </w:r>
      <w:r>
        <w:rPr>
          <w:rFonts w:hint="cs"/>
          <w:rtl/>
        </w:rPr>
        <w:t xml:space="preserve"> בשנת 2017 </w:t>
      </w:r>
      <w:r w:rsidRPr="007122AD">
        <w:rPr>
          <w:rFonts w:hint="eastAsia"/>
          <w:rtl/>
        </w:rPr>
        <w:t>נמוכה</w:t>
      </w:r>
      <w:r w:rsidRPr="007122AD">
        <w:rPr>
          <w:rtl/>
        </w:rPr>
        <w:t xml:space="preserve"> </w:t>
      </w:r>
      <w:r>
        <w:rPr>
          <w:rFonts w:hint="cs"/>
          <w:rtl/>
        </w:rPr>
        <w:t>עדיין</w:t>
      </w:r>
      <w:r w:rsidRPr="007122AD">
        <w:rPr>
          <w:rtl/>
        </w:rPr>
        <w:t xml:space="preserve"> </w:t>
      </w:r>
      <w:r w:rsidRPr="007122AD">
        <w:rPr>
          <w:rFonts w:hint="eastAsia"/>
          <w:rtl/>
        </w:rPr>
        <w:t>בכ</w:t>
      </w:r>
      <w:r w:rsidRPr="007122AD">
        <w:rPr>
          <w:rtl/>
        </w:rPr>
        <w:t xml:space="preserve">-750,000 </w:t>
      </w:r>
      <w:r w:rsidRPr="007122AD">
        <w:rPr>
          <w:rFonts w:hint="eastAsia"/>
          <w:rtl/>
        </w:rPr>
        <w:t>מזו</w:t>
      </w:r>
      <w:r w:rsidRPr="007122AD">
        <w:rPr>
          <w:rtl/>
        </w:rPr>
        <w:t xml:space="preserve"> </w:t>
      </w:r>
      <w:r w:rsidRPr="007122AD">
        <w:rPr>
          <w:rFonts w:hint="eastAsia"/>
          <w:rtl/>
        </w:rPr>
        <w:t>שתוקצבה</w:t>
      </w:r>
      <w:r w:rsidRPr="007122AD">
        <w:rPr>
          <w:rtl/>
        </w:rPr>
        <w:t xml:space="preserve">. </w:t>
      </w:r>
      <w:r w:rsidRPr="007122AD">
        <w:rPr>
          <w:rFonts w:hint="eastAsia"/>
          <w:rtl/>
        </w:rPr>
        <w:t>מדובר</w:t>
      </w:r>
      <w:r w:rsidRPr="007122AD">
        <w:rPr>
          <w:rtl/>
        </w:rPr>
        <w:t xml:space="preserve"> </w:t>
      </w:r>
      <w:r w:rsidRPr="007122AD">
        <w:rPr>
          <w:rFonts w:hint="eastAsia"/>
          <w:rtl/>
        </w:rPr>
        <w:t>בכ</w:t>
      </w:r>
      <w:r w:rsidRPr="007122AD">
        <w:rPr>
          <w:rtl/>
        </w:rPr>
        <w:t xml:space="preserve">-27% </w:t>
      </w:r>
      <w:r w:rsidRPr="007122AD">
        <w:rPr>
          <w:rFonts w:hint="eastAsia"/>
          <w:rtl/>
        </w:rPr>
        <w:t>ממספר</w:t>
      </w:r>
      <w:r w:rsidRPr="007122AD">
        <w:rPr>
          <w:rtl/>
        </w:rPr>
        <w:t xml:space="preserve"> </w:t>
      </w:r>
      <w:r w:rsidRPr="007122AD">
        <w:rPr>
          <w:rFonts w:hint="eastAsia"/>
          <w:rtl/>
        </w:rPr>
        <w:t>המגעים</w:t>
      </w:r>
      <w:r w:rsidRPr="007122AD">
        <w:rPr>
          <w:rtl/>
        </w:rPr>
        <w:t xml:space="preserve"> שתוקצבו אך לא ניתנו בפועל. </w:t>
      </w:r>
      <w:r w:rsidRPr="007122AD">
        <w:rPr>
          <w:rFonts w:hint="eastAsia"/>
          <w:rtl/>
        </w:rPr>
        <w:t>בולטת</w:t>
      </w:r>
      <w:r w:rsidRPr="007122AD">
        <w:rPr>
          <w:rtl/>
        </w:rPr>
        <w:t xml:space="preserve"> </w:t>
      </w:r>
      <w:r w:rsidRPr="007122AD">
        <w:rPr>
          <w:rFonts w:hint="eastAsia"/>
          <w:rtl/>
        </w:rPr>
        <w:t>במיוחד</w:t>
      </w:r>
      <w:r w:rsidRPr="007122AD">
        <w:rPr>
          <w:rtl/>
        </w:rPr>
        <w:t xml:space="preserve"> </w:t>
      </w:r>
      <w:r w:rsidRPr="007122AD">
        <w:rPr>
          <w:rFonts w:hint="eastAsia"/>
          <w:rtl/>
        </w:rPr>
        <w:t>העובדה</w:t>
      </w:r>
      <w:r w:rsidRPr="007122AD">
        <w:rPr>
          <w:rtl/>
        </w:rPr>
        <w:t xml:space="preserve"> </w:t>
      </w:r>
      <w:r w:rsidRPr="007122AD">
        <w:rPr>
          <w:rFonts w:hint="eastAsia"/>
          <w:rtl/>
        </w:rPr>
        <w:t>שכמות</w:t>
      </w:r>
      <w:r w:rsidRPr="007122AD">
        <w:rPr>
          <w:rtl/>
        </w:rPr>
        <w:t xml:space="preserve"> המגעים </w:t>
      </w:r>
      <w:r w:rsidRPr="007122AD">
        <w:rPr>
          <w:rFonts w:hint="eastAsia"/>
          <w:rtl/>
        </w:rPr>
        <w:t>ש</w:t>
      </w:r>
      <w:r>
        <w:rPr>
          <w:rFonts w:hint="cs"/>
          <w:rtl/>
        </w:rPr>
        <w:t>נתנה</w:t>
      </w:r>
      <w:r w:rsidRPr="007122AD">
        <w:rPr>
          <w:rtl/>
        </w:rPr>
        <w:t xml:space="preserve"> הכללית </w:t>
      </w:r>
      <w:r w:rsidRPr="007122AD">
        <w:rPr>
          <w:rFonts w:hint="eastAsia"/>
          <w:rtl/>
        </w:rPr>
        <w:t>נמוכה</w:t>
      </w:r>
      <w:r w:rsidRPr="007122AD">
        <w:rPr>
          <w:rtl/>
        </w:rPr>
        <w:t xml:space="preserve"> </w:t>
      </w:r>
      <w:r>
        <w:rPr>
          <w:rFonts w:hint="cs"/>
          <w:rtl/>
        </w:rPr>
        <w:t>בהרבה</w:t>
      </w:r>
      <w:r w:rsidRPr="007122AD">
        <w:rPr>
          <w:rtl/>
        </w:rPr>
        <w:t xml:space="preserve">, </w:t>
      </w:r>
      <w:r w:rsidRPr="007122AD">
        <w:rPr>
          <w:rFonts w:hint="eastAsia"/>
          <w:rtl/>
        </w:rPr>
        <w:t>בכ</w:t>
      </w:r>
      <w:r w:rsidRPr="007122AD">
        <w:rPr>
          <w:rtl/>
        </w:rPr>
        <w:t>-600,</w:t>
      </w:r>
      <w:r w:rsidRPr="00762C90">
        <w:rPr>
          <w:rtl/>
        </w:rPr>
        <w:t>000</w:t>
      </w:r>
      <w:r w:rsidRPr="00762C90">
        <w:rPr>
          <w:rFonts w:hint="cs"/>
          <w:rtl/>
        </w:rPr>
        <w:t xml:space="preserve">-530,000 </w:t>
      </w:r>
      <w:r w:rsidRPr="00762C90">
        <w:rPr>
          <w:rFonts w:hint="eastAsia"/>
          <w:rtl/>
        </w:rPr>
        <w:t>מגעים</w:t>
      </w:r>
      <w:r w:rsidRPr="007122AD">
        <w:rPr>
          <w:rtl/>
        </w:rPr>
        <w:t xml:space="preserve"> </w:t>
      </w:r>
      <w:r w:rsidRPr="007122AD">
        <w:rPr>
          <w:rFonts w:hint="eastAsia"/>
          <w:rtl/>
        </w:rPr>
        <w:t>מזו</w:t>
      </w:r>
      <w:r w:rsidRPr="007122AD">
        <w:rPr>
          <w:rtl/>
        </w:rPr>
        <w:t xml:space="preserve"> </w:t>
      </w:r>
      <w:r w:rsidRPr="007122AD">
        <w:rPr>
          <w:rFonts w:hint="eastAsia"/>
          <w:rtl/>
        </w:rPr>
        <w:t>שתוקצבה</w:t>
      </w:r>
      <w:r w:rsidRPr="007122AD">
        <w:rPr>
          <w:rtl/>
        </w:rPr>
        <w:t xml:space="preserve">, </w:t>
      </w:r>
      <w:r w:rsidRPr="007122AD">
        <w:rPr>
          <w:rFonts w:hint="eastAsia"/>
          <w:rtl/>
        </w:rPr>
        <w:t>מדובר</w:t>
      </w:r>
      <w:r w:rsidRPr="007122AD">
        <w:rPr>
          <w:rtl/>
        </w:rPr>
        <w:t xml:space="preserve"> בפער של </w:t>
      </w:r>
      <w:r w:rsidRPr="005A77C4">
        <w:rPr>
          <w:rtl/>
        </w:rPr>
        <w:t>40%</w:t>
      </w:r>
      <w:r>
        <w:rPr>
          <w:rFonts w:hint="cs"/>
          <w:rtl/>
        </w:rPr>
        <w:t xml:space="preserve"> בקירוב</w:t>
      </w:r>
      <w:r w:rsidRPr="005A77C4">
        <w:rPr>
          <w:rtl/>
        </w:rPr>
        <w:t>.</w:t>
      </w:r>
    </w:p>
    <w:p w14:paraId="602A68B8" w14:textId="77777777" w:rsidR="00B51F5B" w:rsidRDefault="00B51F5B" w:rsidP="00B635C8">
      <w:pPr>
        <w:pStyle w:val="100"/>
        <w:rPr>
          <w:rtl/>
        </w:rPr>
      </w:pPr>
      <w:r>
        <w:rPr>
          <w:rFonts w:hint="cs"/>
          <w:rtl/>
        </w:rPr>
        <w:t xml:space="preserve">בנושא אופן החישוב הנדרש לספירת המגעים התגלעו שתי מחלוקות עקרוניות בין משרד הבריאות לבין חלק מקופות החולים, אשר יכולות להסביר חלק מהפערים: </w:t>
      </w:r>
    </w:p>
    <w:p w14:paraId="479C8735" w14:textId="77777777" w:rsidR="006B2E90" w:rsidRDefault="00B51F5B" w:rsidP="00C51F94">
      <w:pPr>
        <w:pStyle w:val="a1"/>
        <w:rPr>
          <w:rtl/>
        </w:rPr>
      </w:pPr>
      <w:r w:rsidRPr="00FF1F56">
        <w:rPr>
          <w:rFonts w:hint="cs"/>
          <w:rtl/>
        </w:rPr>
        <w:t>האם לכלול בספירת המגעים גם את אלה שמבצעים הרופאים הראשוניים - רופאי</w:t>
      </w:r>
      <w:r>
        <w:rPr>
          <w:rFonts w:hint="cs"/>
          <w:rtl/>
        </w:rPr>
        <w:t xml:space="preserve"> משפחה ורופאי ילדים. לטענת קופות החולים, הרופאים הראשוניים מספקים חלק משירותי בריאות הנפש (לרבות אבחון בסיסי, הפניות למרפאות בריאות הנפש ולאנשי מקצוע,</w:t>
      </w:r>
      <w:r w:rsidR="006B2E90">
        <w:rPr>
          <w:rtl/>
        </w:rPr>
        <w:br/>
      </w:r>
      <w:r>
        <w:rPr>
          <w:rFonts w:hint="cs"/>
          <w:rtl/>
        </w:rPr>
        <w:t>הנפקת מרשמים לתרופות פסיכיאטריות ומעקב שוטף), וכמות הביקורים של מטופלים</w:t>
      </w:r>
      <w:r w:rsidR="006B2E90">
        <w:rPr>
          <w:rtl/>
        </w:rPr>
        <w:br/>
      </w:r>
    </w:p>
    <w:p w14:paraId="0CA70D7F" w14:textId="77777777" w:rsidR="006B2E90" w:rsidRDefault="006B2E90">
      <w:pPr>
        <w:bidi w:val="0"/>
        <w:spacing w:after="200" w:line="276" w:lineRule="auto"/>
        <w:rPr>
          <w:rFonts w:ascii="Tahoma" w:hAnsi="Tahoma" w:cs="Tahoma"/>
          <w:szCs w:val="20"/>
          <w:rtl/>
        </w:rPr>
      </w:pPr>
      <w:r>
        <w:rPr>
          <w:rtl/>
        </w:rPr>
        <w:br w:type="page"/>
      </w:r>
    </w:p>
    <w:p w14:paraId="633F34BC" w14:textId="7FBD66F9" w:rsidR="00B51F5B" w:rsidRDefault="00B51F5B" w:rsidP="006B2E90">
      <w:pPr>
        <w:pStyle w:val="af4"/>
        <w:rPr>
          <w:rtl/>
        </w:rPr>
      </w:pPr>
      <w:r>
        <w:rPr>
          <w:rFonts w:hint="cs"/>
          <w:rtl/>
        </w:rPr>
        <w:t>בבריאות הנפש אצל הרופאים הראשוניים גדולה יותר בהשוואה לכלל האוכלוסייה</w:t>
      </w:r>
      <w:r>
        <w:rPr>
          <w:rStyle w:val="FootnoteReference"/>
          <w:rtl/>
          <w:lang w:eastAsia="he-IL"/>
        </w:rPr>
        <w:footnoteReference w:id="77"/>
      </w:r>
      <w:r>
        <w:rPr>
          <w:rFonts w:hint="cs"/>
          <w:rtl/>
        </w:rPr>
        <w:t xml:space="preserve">. מנגד, עמדת משרד הבריאות היא שהרופאים הראשוניים ביצעו מגעים בתחום בריאות הנפש גם טרם הרפורמה והם נכללו עוד קודם לכן בסל שירותי הבריאות; לכן, אף כי ייתכן שמספר המגעים עם הרופאים הראשוניים עלה בעקבות הרפורמה, אין מקום להעמיס את ההוצאה בגינם במסגרת תקציב הרפורמה (ראו גם בפרק בנושא </w:t>
      </w:r>
      <w:r w:rsidRPr="006102CF">
        <w:rPr>
          <w:rtl/>
        </w:rPr>
        <w:t>הכשרת הרופאים הראשוניים למתן מענה בתחום בריאות הנפש</w:t>
      </w:r>
      <w:r>
        <w:rPr>
          <w:rFonts w:hint="cs"/>
          <w:rtl/>
        </w:rPr>
        <w:t xml:space="preserve">). </w:t>
      </w:r>
    </w:p>
    <w:p w14:paraId="71B03495" w14:textId="77777777" w:rsidR="00B51F5B" w:rsidRDefault="00B51F5B" w:rsidP="00B635C8">
      <w:pPr>
        <w:pStyle w:val="af4"/>
        <w:rPr>
          <w:rtl/>
        </w:rPr>
      </w:pPr>
      <w:r>
        <w:rPr>
          <w:rFonts w:hint="cs"/>
          <w:rtl/>
        </w:rPr>
        <w:t xml:space="preserve">יצוין כי על פי בדיקת משרד מבקר המדינה בכללית יוחסו כ-11% מתקציב הרפורמה בשנת 2018 להוצאות על ביקורים אצל רופאים ראשוניים; במאוחדת יוחסו כ-18% מהתקציב </w:t>
      </w:r>
      <w:r w:rsidRPr="00B014C3">
        <w:rPr>
          <w:rtl/>
        </w:rPr>
        <w:t>בגין רופאי משפחה ש</w:t>
      </w:r>
      <w:r>
        <w:rPr>
          <w:rFonts w:hint="cs"/>
          <w:rtl/>
        </w:rPr>
        <w:t xml:space="preserve">פגשו </w:t>
      </w:r>
      <w:r w:rsidRPr="00B014C3">
        <w:rPr>
          <w:rtl/>
        </w:rPr>
        <w:t xml:space="preserve">מטופלי נפש </w:t>
      </w:r>
      <w:r>
        <w:rPr>
          <w:rFonts w:hint="cs"/>
          <w:rtl/>
        </w:rPr>
        <w:t xml:space="preserve">(רק </w:t>
      </w:r>
      <w:r w:rsidRPr="00B014C3">
        <w:rPr>
          <w:rtl/>
        </w:rPr>
        <w:t>לצורך חידוש מרש</w:t>
      </w:r>
      <w:r>
        <w:rPr>
          <w:rFonts w:hint="cs"/>
          <w:rtl/>
        </w:rPr>
        <w:t>מים</w:t>
      </w:r>
      <w:r w:rsidRPr="00B014C3">
        <w:rPr>
          <w:rtl/>
        </w:rPr>
        <w:t xml:space="preserve"> לתרופות פסיכיאטריות</w:t>
      </w:r>
      <w:r>
        <w:rPr>
          <w:rFonts w:hint="cs"/>
          <w:rtl/>
        </w:rPr>
        <w:t>); במכבי ובלאומית יוחסו פחות מ-3%.</w:t>
      </w:r>
      <w:r w:rsidRPr="002A591F">
        <w:rPr>
          <w:rFonts w:hint="cs"/>
          <w:rtl/>
        </w:rPr>
        <w:t xml:space="preserve"> </w:t>
      </w:r>
    </w:p>
    <w:p w14:paraId="5A12D2D6" w14:textId="77777777" w:rsidR="00B51F5B" w:rsidRDefault="00B51F5B" w:rsidP="00B635C8">
      <w:pPr>
        <w:pStyle w:val="a1"/>
        <w:rPr>
          <w:rtl/>
        </w:rPr>
      </w:pPr>
      <w:r>
        <w:rPr>
          <w:rFonts w:hint="cs"/>
          <w:rtl/>
        </w:rPr>
        <w:t xml:space="preserve">מחלוקת שנייה היא בשאלה אילו רכיבים לא ישירים ניתן להעמיס על תקציב בריאות הנפש האמבולטורי (731 מיליון ש"ח) ומהו שיעורם. למשל: שיעור הוצאות הנהלה וכלליות; חלק יחסי של שכר בעלי תפקידים ואנשי מקצוע התומכים בשירות נוסף על תפקידם השוטף (כגון: מנהלים, אחיות וצוות מינהלי); פחת; וביטוח אחריות מקצועית. </w:t>
      </w:r>
    </w:p>
    <w:p w14:paraId="7243F9FF" w14:textId="77777777" w:rsidR="00B51F5B" w:rsidRDefault="00B51F5B" w:rsidP="0043298C">
      <w:pPr>
        <w:pStyle w:val="af5"/>
        <w:rPr>
          <w:rtl/>
        </w:rPr>
      </w:pPr>
      <w:r>
        <w:rPr>
          <w:rFonts w:hint="cs"/>
          <w:rtl/>
        </w:rPr>
        <w:t xml:space="preserve">בשל העובדה שלמשרד הבריאות אין נתונים מלאים ומטויבים מכל קופות החולים ובשל המחלוקות בין המשרד לקופות בשאלת העמסת עלויות הרפואה הראשונית וגובה התקורות, המשרד לא יכול היה במהלך ארבע השנים שחלפו מתחילת הרפורמה, להסיק מסקנות בדבר מידת ניצול התקציב על ידי הקופות לטובת תחום בריאות הנפש בהתאם להסכם הרפורמה. כך נבצר מן המשרד לבחון את מידת היעילות של הרפורמה. </w:t>
      </w:r>
      <w:r w:rsidRPr="00A91C08">
        <w:rPr>
          <w:rFonts w:hint="eastAsia"/>
          <w:rtl/>
        </w:rPr>
        <w:t>משרד</w:t>
      </w:r>
      <w:r w:rsidRPr="00A91C08">
        <w:rPr>
          <w:rtl/>
        </w:rPr>
        <w:t xml:space="preserve"> מבקר המדינה מעיר למשרד שלא הסדיר את סוגיית השימושים שייכללו בתקציב הרפורמה מאז תחילת תקופת ההיערכות לרפורמה. </w:t>
      </w:r>
    </w:p>
    <w:p w14:paraId="4047B396" w14:textId="77777777" w:rsidR="00B51F5B" w:rsidRDefault="00B51F5B" w:rsidP="0043298C">
      <w:pPr>
        <w:pStyle w:val="100"/>
        <w:rPr>
          <w:rtl/>
        </w:rPr>
      </w:pPr>
      <w:r>
        <w:rPr>
          <w:rFonts w:hint="cs"/>
          <w:rtl/>
        </w:rPr>
        <w:t xml:space="preserve">משרד הבריאות מסר בתשובתו כי </w:t>
      </w:r>
      <w:r>
        <w:rPr>
          <w:rtl/>
        </w:rPr>
        <w:t xml:space="preserve">בתקופה הקרובה עתידים להתקבל נתונים עדכניים </w:t>
      </w:r>
      <w:r>
        <w:rPr>
          <w:rFonts w:hint="cs"/>
          <w:rtl/>
        </w:rPr>
        <w:t>בדבר</w:t>
      </w:r>
      <w:r>
        <w:rPr>
          <w:rtl/>
        </w:rPr>
        <w:t xml:space="preserve"> היקפי המגעים</w:t>
      </w:r>
      <w:r>
        <w:rPr>
          <w:rFonts w:hint="cs"/>
          <w:rtl/>
        </w:rPr>
        <w:t xml:space="preserve"> והשירותים (מספר המטופלים ומספר המגעים למטופל)</w:t>
      </w:r>
      <w:r>
        <w:rPr>
          <w:rtl/>
        </w:rPr>
        <w:t>.</w:t>
      </w:r>
      <w:r>
        <w:rPr>
          <w:rFonts w:hint="cs"/>
          <w:rtl/>
        </w:rPr>
        <w:t xml:space="preserve"> לדעת המשרד, כאמור, ה</w:t>
      </w:r>
      <w:r>
        <w:rPr>
          <w:rtl/>
        </w:rPr>
        <w:t xml:space="preserve">מפגשים עם </w:t>
      </w:r>
      <w:r>
        <w:rPr>
          <w:rFonts w:hint="cs"/>
          <w:rtl/>
        </w:rPr>
        <w:t>ה</w:t>
      </w:r>
      <w:r>
        <w:rPr>
          <w:rtl/>
        </w:rPr>
        <w:t xml:space="preserve">רופא </w:t>
      </w:r>
      <w:r>
        <w:rPr>
          <w:rFonts w:hint="cs"/>
          <w:rtl/>
        </w:rPr>
        <w:t>ה</w:t>
      </w:r>
      <w:r>
        <w:rPr>
          <w:rtl/>
        </w:rPr>
        <w:t>ראשוני אינם נחשבים מגעים לצורך הרפורמה</w:t>
      </w:r>
      <w:r>
        <w:rPr>
          <w:rFonts w:hint="cs"/>
          <w:rtl/>
        </w:rPr>
        <w:t>. עם זאת, כיוון ש</w:t>
      </w:r>
      <w:r>
        <w:rPr>
          <w:rtl/>
        </w:rPr>
        <w:t xml:space="preserve">בכללית כל מבוטח </w:t>
      </w:r>
      <w:r>
        <w:rPr>
          <w:rFonts w:hint="cs"/>
          <w:rtl/>
        </w:rPr>
        <w:t>נדרש לפנות</w:t>
      </w:r>
      <w:r>
        <w:rPr>
          <w:rtl/>
        </w:rPr>
        <w:t xml:space="preserve"> לרופא משפחה טרם התחלת הטיפול, </w:t>
      </w:r>
      <w:r>
        <w:rPr>
          <w:rFonts w:hint="cs"/>
          <w:rtl/>
        </w:rPr>
        <w:t>ייתכן שח</w:t>
      </w:r>
      <w:r>
        <w:rPr>
          <w:rtl/>
        </w:rPr>
        <w:t>לק מה</w:t>
      </w:r>
      <w:r>
        <w:rPr>
          <w:rFonts w:hint="cs"/>
          <w:rtl/>
        </w:rPr>
        <w:t>מטופלים</w:t>
      </w:r>
      <w:r>
        <w:rPr>
          <w:rtl/>
        </w:rPr>
        <w:t xml:space="preserve"> </w:t>
      </w:r>
      <w:r>
        <w:rPr>
          <w:rFonts w:hint="cs"/>
          <w:rtl/>
        </w:rPr>
        <w:t>טופלו</w:t>
      </w:r>
      <w:r>
        <w:rPr>
          <w:rtl/>
        </w:rPr>
        <w:t xml:space="preserve"> שלא במסגרת בריאות הנפש</w:t>
      </w:r>
      <w:r>
        <w:rPr>
          <w:rFonts w:hint="cs"/>
          <w:rtl/>
        </w:rPr>
        <w:t xml:space="preserve"> אלא במסגרת הרפואה הראשונית</w:t>
      </w:r>
      <w:r>
        <w:rPr>
          <w:rtl/>
        </w:rPr>
        <w:t>.</w:t>
      </w:r>
      <w:r>
        <w:rPr>
          <w:rFonts w:hint="cs"/>
          <w:rtl/>
        </w:rPr>
        <w:t xml:space="preserve"> לגבי שאר</w:t>
      </w:r>
      <w:r>
        <w:rPr>
          <w:rtl/>
        </w:rPr>
        <w:t xml:space="preserve"> הקופות</w:t>
      </w:r>
      <w:r>
        <w:rPr>
          <w:rFonts w:hint="cs"/>
          <w:rtl/>
        </w:rPr>
        <w:t xml:space="preserve">, קיימת אפשרות שמנגנוני </w:t>
      </w:r>
      <w:r>
        <w:rPr>
          <w:rtl/>
        </w:rPr>
        <w:t>הבקר</w:t>
      </w:r>
      <w:r>
        <w:rPr>
          <w:rFonts w:hint="cs"/>
          <w:rtl/>
        </w:rPr>
        <w:t xml:space="preserve">ה שהן הפעילו </w:t>
      </w:r>
      <w:r>
        <w:rPr>
          <w:rtl/>
        </w:rPr>
        <w:t>מנע</w:t>
      </w:r>
      <w:r>
        <w:rPr>
          <w:rFonts w:hint="cs"/>
          <w:rtl/>
        </w:rPr>
        <w:t>ו</w:t>
      </w:r>
      <w:r>
        <w:rPr>
          <w:rtl/>
        </w:rPr>
        <w:t xml:space="preserve"> טיפולים שאינם לצורך</w:t>
      </w:r>
      <w:r>
        <w:rPr>
          <w:rFonts w:hint="cs"/>
          <w:rtl/>
        </w:rPr>
        <w:t>,</w:t>
      </w:r>
      <w:r>
        <w:rPr>
          <w:rtl/>
        </w:rPr>
        <w:t xml:space="preserve"> </w:t>
      </w:r>
      <w:r>
        <w:rPr>
          <w:rFonts w:hint="cs"/>
          <w:rtl/>
        </w:rPr>
        <w:t>ובכך איפשרו מתן טיפול למטופלים רבים יותר, בכמות טיפולים פחותה. המשרד גם ציין כי ה</w:t>
      </w:r>
      <w:r>
        <w:rPr>
          <w:rtl/>
        </w:rPr>
        <w:t xml:space="preserve">אגף </w:t>
      </w:r>
      <w:r>
        <w:rPr>
          <w:rFonts w:hint="cs"/>
          <w:rtl/>
        </w:rPr>
        <w:t>ל</w:t>
      </w:r>
      <w:r>
        <w:rPr>
          <w:rtl/>
        </w:rPr>
        <w:t xml:space="preserve">פיקוח על </w:t>
      </w:r>
      <w:r>
        <w:rPr>
          <w:rFonts w:hint="cs"/>
          <w:rtl/>
        </w:rPr>
        <w:t>קופות החולים</w:t>
      </w:r>
      <w:r>
        <w:rPr>
          <w:rtl/>
        </w:rPr>
        <w:t xml:space="preserve"> </w:t>
      </w:r>
      <w:r w:rsidRPr="00E13CD8">
        <w:rPr>
          <w:rtl/>
        </w:rPr>
        <w:t>וש</w:t>
      </w:r>
      <w:r w:rsidRPr="00E13CD8">
        <w:rPr>
          <w:rFonts w:hint="cs"/>
          <w:rtl/>
        </w:rPr>
        <w:t>י</w:t>
      </w:r>
      <w:r w:rsidRPr="00E13CD8">
        <w:rPr>
          <w:rtl/>
        </w:rPr>
        <w:t>רותי בריאות</w:t>
      </w:r>
      <w:r w:rsidRPr="002F7D40">
        <w:rPr>
          <w:rtl/>
        </w:rPr>
        <w:t xml:space="preserve"> נוספים</w:t>
      </w:r>
      <w:r w:rsidRPr="002F7D40">
        <w:rPr>
          <w:rFonts w:hint="cs"/>
          <w:rtl/>
        </w:rPr>
        <w:t xml:space="preserve"> </w:t>
      </w:r>
      <w:r>
        <w:rPr>
          <w:rtl/>
        </w:rPr>
        <w:t>עורך, בסיוע משרד רו</w:t>
      </w:r>
      <w:r>
        <w:rPr>
          <w:rFonts w:hint="cs"/>
          <w:rtl/>
        </w:rPr>
        <w:t xml:space="preserve">אה </w:t>
      </w:r>
      <w:r>
        <w:rPr>
          <w:rtl/>
        </w:rPr>
        <w:t>ח</w:t>
      </w:r>
      <w:r>
        <w:rPr>
          <w:rFonts w:hint="cs"/>
          <w:rtl/>
        </w:rPr>
        <w:t>שבון</w:t>
      </w:r>
      <w:r>
        <w:rPr>
          <w:rtl/>
        </w:rPr>
        <w:t xml:space="preserve"> חיצוני, בקרה על </w:t>
      </w:r>
      <w:r>
        <w:rPr>
          <w:rFonts w:hint="cs"/>
          <w:rtl/>
        </w:rPr>
        <w:t xml:space="preserve">ניצול </w:t>
      </w:r>
      <w:r>
        <w:rPr>
          <w:rtl/>
        </w:rPr>
        <w:t>תקציבי הרפורמה</w:t>
      </w:r>
      <w:r>
        <w:rPr>
          <w:rFonts w:hint="cs"/>
          <w:rtl/>
        </w:rPr>
        <w:t xml:space="preserve"> ומתייחס אגב כך גם </w:t>
      </w:r>
      <w:r>
        <w:rPr>
          <w:rtl/>
        </w:rPr>
        <w:t>ל</w:t>
      </w:r>
      <w:r>
        <w:rPr>
          <w:rFonts w:hint="cs"/>
          <w:rtl/>
        </w:rPr>
        <w:t>אופן ה</w:t>
      </w:r>
      <w:r>
        <w:rPr>
          <w:rtl/>
        </w:rPr>
        <w:t>חישוב</w:t>
      </w:r>
      <w:r>
        <w:rPr>
          <w:rFonts w:hint="cs"/>
          <w:rtl/>
        </w:rPr>
        <w:t xml:space="preserve"> של</w:t>
      </w:r>
      <w:r>
        <w:rPr>
          <w:rtl/>
        </w:rPr>
        <w:t xml:space="preserve"> רכיבי </w:t>
      </w:r>
      <w:r>
        <w:rPr>
          <w:rFonts w:hint="cs"/>
          <w:rtl/>
        </w:rPr>
        <w:t>ה</w:t>
      </w:r>
      <w:r>
        <w:rPr>
          <w:rtl/>
        </w:rPr>
        <w:t>הוצאה.</w:t>
      </w:r>
      <w:r>
        <w:rPr>
          <w:rFonts w:hint="cs"/>
          <w:rtl/>
        </w:rPr>
        <w:t xml:space="preserve"> המשרד ציין כי הנושא נמצא על סדר יומו.</w:t>
      </w:r>
    </w:p>
    <w:p w14:paraId="273BDBAF" w14:textId="77777777" w:rsidR="00B51F5B" w:rsidRPr="00E01F67" w:rsidRDefault="00B51F5B" w:rsidP="00F204BE">
      <w:pPr>
        <w:pStyle w:val="100"/>
      </w:pPr>
      <w:r w:rsidRPr="00E01F67">
        <w:rPr>
          <w:rtl/>
        </w:rPr>
        <w:t>ב</w:t>
      </w:r>
      <w:r>
        <w:rPr>
          <w:rtl/>
        </w:rPr>
        <w:t xml:space="preserve">תשובותיהן לממצאי הביקורת הציגו </w:t>
      </w:r>
      <w:r w:rsidRPr="00E01F67">
        <w:rPr>
          <w:rtl/>
        </w:rPr>
        <w:t>קופות</w:t>
      </w:r>
      <w:r>
        <w:rPr>
          <w:rFonts w:hint="cs"/>
          <w:rtl/>
        </w:rPr>
        <w:t xml:space="preserve"> החולים</w:t>
      </w:r>
      <w:r>
        <w:rPr>
          <w:rtl/>
        </w:rPr>
        <w:t xml:space="preserve"> נתונים השונים מאלו שהציג </w:t>
      </w:r>
      <w:r w:rsidRPr="00E01F67">
        <w:rPr>
          <w:rtl/>
        </w:rPr>
        <w:t>משרד</w:t>
      </w:r>
      <w:r>
        <w:rPr>
          <w:rFonts w:hint="cs"/>
          <w:rtl/>
        </w:rPr>
        <w:t xml:space="preserve"> הבריאות (המבוססים על נתונים שהעבירו אליו הקופות ועברו בחלקם טיוב במשרד)</w:t>
      </w:r>
      <w:r w:rsidRPr="00E01F67">
        <w:rPr>
          <w:rtl/>
        </w:rPr>
        <w:t xml:space="preserve">. הפערים בין הנתונים הם תוצאה, בין היתר, מהמחלוקת בנוגע לאופן החישוב של כמות המגעים ובשל העובדה שלמשרד אין נתונים מלאים ומטויבים מכל </w:t>
      </w:r>
      <w:r>
        <w:rPr>
          <w:rFonts w:hint="cs"/>
          <w:rtl/>
        </w:rPr>
        <w:t>ה</w:t>
      </w:r>
      <w:r w:rsidRPr="00E01F67">
        <w:rPr>
          <w:rtl/>
        </w:rPr>
        <w:t>קופות</w:t>
      </w:r>
      <w:r>
        <w:rPr>
          <w:rFonts w:hint="cs"/>
          <w:rtl/>
        </w:rPr>
        <w:t>. להלן תשובותיהן:</w:t>
      </w:r>
    </w:p>
    <w:p w14:paraId="28E86D04" w14:textId="77777777" w:rsidR="00B51F5B" w:rsidRPr="009760AE" w:rsidRDefault="00B51F5B" w:rsidP="00F204BE">
      <w:pPr>
        <w:pStyle w:val="100"/>
        <w:rPr>
          <w:rtl/>
        </w:rPr>
      </w:pPr>
      <w:r w:rsidRPr="009760AE">
        <w:rPr>
          <w:rFonts w:hint="eastAsia"/>
          <w:rtl/>
        </w:rPr>
        <w:t>הכללית</w:t>
      </w:r>
      <w:r w:rsidRPr="009760AE">
        <w:rPr>
          <w:rtl/>
        </w:rPr>
        <w:t xml:space="preserve"> </w:t>
      </w:r>
      <w:r w:rsidRPr="009760AE">
        <w:rPr>
          <w:rFonts w:hint="eastAsia"/>
          <w:rtl/>
        </w:rPr>
        <w:t>מסרה</w:t>
      </w:r>
      <w:r w:rsidRPr="009760AE">
        <w:rPr>
          <w:rtl/>
        </w:rPr>
        <w:t xml:space="preserve"> </w:t>
      </w:r>
      <w:r w:rsidRPr="009760AE">
        <w:rPr>
          <w:rFonts w:hint="eastAsia"/>
          <w:rtl/>
        </w:rPr>
        <w:t>בתשובתה</w:t>
      </w:r>
      <w:r w:rsidRPr="009760AE">
        <w:rPr>
          <w:rtl/>
        </w:rPr>
        <w:t xml:space="preserve"> </w:t>
      </w:r>
      <w:r w:rsidRPr="009760AE">
        <w:rPr>
          <w:rFonts w:hint="eastAsia"/>
          <w:rtl/>
        </w:rPr>
        <w:t>כי</w:t>
      </w:r>
      <w:r w:rsidRPr="009760AE">
        <w:rPr>
          <w:rtl/>
        </w:rPr>
        <w:t xml:space="preserve"> </w:t>
      </w:r>
      <w:r w:rsidRPr="009760AE">
        <w:rPr>
          <w:rFonts w:hint="eastAsia"/>
          <w:rtl/>
        </w:rPr>
        <w:t>ה</w:t>
      </w:r>
      <w:r w:rsidRPr="009760AE">
        <w:rPr>
          <w:rtl/>
        </w:rPr>
        <w:t xml:space="preserve">פער הקיים בין שיעור המטופלים לבין השיעור שנקבע במסגרת הסכם הרפורמה (כפי שמוצג בתרשים </w:t>
      </w:r>
      <w:r>
        <w:rPr>
          <w:rFonts w:hint="cs"/>
          <w:rtl/>
        </w:rPr>
        <w:t>2</w:t>
      </w:r>
      <w:r w:rsidRPr="009760AE">
        <w:rPr>
          <w:rtl/>
        </w:rPr>
        <w:t xml:space="preserve">) סביר ביחס </w:t>
      </w:r>
      <w:r>
        <w:rPr>
          <w:rFonts w:hint="cs"/>
          <w:rtl/>
        </w:rPr>
        <w:t>למספר</w:t>
      </w:r>
      <w:r w:rsidRPr="009760AE">
        <w:rPr>
          <w:rtl/>
        </w:rPr>
        <w:t xml:space="preserve"> המטופלים </w:t>
      </w:r>
      <w:r w:rsidRPr="009760AE">
        <w:rPr>
          <w:rFonts w:hint="eastAsia"/>
          <w:rtl/>
        </w:rPr>
        <w:t>שלה</w:t>
      </w:r>
      <w:r>
        <w:rPr>
          <w:rFonts w:hint="cs"/>
          <w:rtl/>
        </w:rPr>
        <w:t>,</w:t>
      </w:r>
      <w:r w:rsidRPr="009760AE">
        <w:rPr>
          <w:rtl/>
        </w:rPr>
        <w:t xml:space="preserve"> וכי ניתן לראות (כפי שמוצג בתרשים </w:t>
      </w:r>
      <w:r>
        <w:rPr>
          <w:rFonts w:hint="cs"/>
          <w:rtl/>
        </w:rPr>
        <w:t>3</w:t>
      </w:r>
      <w:r w:rsidRPr="009760AE">
        <w:rPr>
          <w:rtl/>
        </w:rPr>
        <w:t>) שה</w:t>
      </w:r>
      <w:r w:rsidRPr="009760AE">
        <w:rPr>
          <w:rFonts w:hint="eastAsia"/>
          <w:rtl/>
        </w:rPr>
        <w:t>יא</w:t>
      </w:r>
      <w:r w:rsidRPr="009760AE">
        <w:rPr>
          <w:rtl/>
        </w:rPr>
        <w:t xml:space="preserve"> </w:t>
      </w:r>
      <w:r>
        <w:rPr>
          <w:rFonts w:hint="cs"/>
          <w:rtl/>
        </w:rPr>
        <w:t>מעניקה</w:t>
      </w:r>
      <w:r w:rsidRPr="009760AE">
        <w:rPr>
          <w:rtl/>
        </w:rPr>
        <w:t xml:space="preserve"> טיפול עמוק ומקיף יותר למבוגרים </w:t>
      </w:r>
      <w:r>
        <w:rPr>
          <w:rFonts w:hint="cs"/>
          <w:rtl/>
        </w:rPr>
        <w:t>בהשוואה ל</w:t>
      </w:r>
      <w:r w:rsidRPr="009760AE">
        <w:rPr>
          <w:rtl/>
        </w:rPr>
        <w:t>יתר הק</w:t>
      </w:r>
      <w:r w:rsidRPr="009760AE">
        <w:rPr>
          <w:rFonts w:hint="eastAsia"/>
          <w:rtl/>
        </w:rPr>
        <w:t>ופות</w:t>
      </w:r>
      <w:r w:rsidRPr="009760AE">
        <w:rPr>
          <w:rtl/>
        </w:rPr>
        <w:t xml:space="preserve">. עוד מסרה, כי </w:t>
      </w:r>
      <w:r>
        <w:rPr>
          <w:rFonts w:hint="cs"/>
          <w:rtl/>
        </w:rPr>
        <w:t xml:space="preserve">בהתאם לאופן היערכותה לרפורמה ויישומה, יש לכלול בחישוב </w:t>
      </w:r>
      <w:r w:rsidRPr="009760AE">
        <w:rPr>
          <w:rtl/>
        </w:rPr>
        <w:t xml:space="preserve">כמות המגעים </w:t>
      </w:r>
      <w:r>
        <w:rPr>
          <w:rFonts w:hint="cs"/>
          <w:rtl/>
        </w:rPr>
        <w:t xml:space="preserve">גם את אלה שניתנו במסגרת </w:t>
      </w:r>
      <w:r w:rsidRPr="009760AE">
        <w:rPr>
          <w:rtl/>
        </w:rPr>
        <w:t>הרפואה הראשונית</w:t>
      </w:r>
      <w:r>
        <w:rPr>
          <w:rFonts w:hint="cs"/>
          <w:rtl/>
        </w:rPr>
        <w:t xml:space="preserve">. על פי החישוב שלה, כמות המגעים </w:t>
      </w:r>
      <w:r w:rsidRPr="009760AE">
        <w:rPr>
          <w:rtl/>
        </w:rPr>
        <w:t>בשנת 2017 עומדת על</w:t>
      </w:r>
      <w:r>
        <w:rPr>
          <w:rFonts w:hint="cs"/>
          <w:rtl/>
        </w:rPr>
        <w:t xml:space="preserve"> </w:t>
      </w:r>
      <w:r w:rsidRPr="009760AE">
        <w:rPr>
          <w:rtl/>
        </w:rPr>
        <w:t xml:space="preserve">שלושה </w:t>
      </w:r>
      <w:r w:rsidRPr="009760AE">
        <w:rPr>
          <w:rFonts w:hint="eastAsia"/>
          <w:rtl/>
        </w:rPr>
        <w:t>מ</w:t>
      </w:r>
      <w:r>
        <w:rPr>
          <w:rFonts w:hint="cs"/>
          <w:rtl/>
        </w:rPr>
        <w:t>י</w:t>
      </w:r>
      <w:r w:rsidRPr="009760AE">
        <w:rPr>
          <w:rFonts w:hint="eastAsia"/>
          <w:rtl/>
        </w:rPr>
        <w:t>ליון</w:t>
      </w:r>
      <w:r w:rsidRPr="009760AE">
        <w:rPr>
          <w:rtl/>
        </w:rPr>
        <w:t xml:space="preserve"> </w:t>
      </w:r>
      <w:r>
        <w:rPr>
          <w:rFonts w:hint="cs"/>
          <w:rtl/>
        </w:rPr>
        <w:t xml:space="preserve">בקירוב </w:t>
      </w:r>
      <w:r w:rsidRPr="009760AE">
        <w:rPr>
          <w:rFonts w:hint="eastAsia"/>
          <w:rtl/>
        </w:rPr>
        <w:t>ולא</w:t>
      </w:r>
      <w:r w:rsidRPr="009760AE">
        <w:rPr>
          <w:rtl/>
        </w:rPr>
        <w:t xml:space="preserve"> כפי שמו</w:t>
      </w:r>
      <w:r w:rsidRPr="009760AE">
        <w:rPr>
          <w:rFonts w:hint="eastAsia"/>
          <w:rtl/>
        </w:rPr>
        <w:t>צג</w:t>
      </w:r>
      <w:r w:rsidRPr="009760AE">
        <w:rPr>
          <w:rtl/>
        </w:rPr>
        <w:t xml:space="preserve"> ב</w:t>
      </w:r>
      <w:r w:rsidRPr="009760AE">
        <w:rPr>
          <w:rFonts w:hint="eastAsia"/>
          <w:rtl/>
        </w:rPr>
        <w:t>לוח</w:t>
      </w:r>
      <w:r w:rsidRPr="009760AE">
        <w:rPr>
          <w:rtl/>
        </w:rPr>
        <w:t xml:space="preserve"> </w:t>
      </w:r>
      <w:r>
        <w:rPr>
          <w:rFonts w:hint="cs"/>
          <w:rtl/>
        </w:rPr>
        <w:t>6</w:t>
      </w:r>
      <w:r w:rsidRPr="009760AE">
        <w:rPr>
          <w:rtl/>
        </w:rPr>
        <w:t>.</w:t>
      </w:r>
    </w:p>
    <w:p w14:paraId="7823097E" w14:textId="77777777" w:rsidR="00B51F5B" w:rsidRPr="00EA1790" w:rsidRDefault="00B51F5B" w:rsidP="00F204BE">
      <w:pPr>
        <w:pStyle w:val="100"/>
        <w:rPr>
          <w:rtl/>
        </w:rPr>
      </w:pPr>
      <w:r w:rsidRPr="00EA1790">
        <w:rPr>
          <w:rFonts w:hint="eastAsia"/>
          <w:rtl/>
        </w:rPr>
        <w:t>מכבי</w:t>
      </w:r>
      <w:r w:rsidRPr="00EA1790">
        <w:rPr>
          <w:rtl/>
        </w:rPr>
        <w:t xml:space="preserve"> </w:t>
      </w:r>
      <w:r w:rsidRPr="00EA1790">
        <w:rPr>
          <w:rFonts w:hint="eastAsia"/>
          <w:rtl/>
        </w:rPr>
        <w:t>מסרה</w:t>
      </w:r>
      <w:r w:rsidRPr="00EA1790">
        <w:rPr>
          <w:rtl/>
        </w:rPr>
        <w:t xml:space="preserve"> </w:t>
      </w:r>
      <w:r w:rsidRPr="00EA1790">
        <w:rPr>
          <w:rFonts w:hint="eastAsia"/>
          <w:rtl/>
        </w:rPr>
        <w:t>בתשובתה</w:t>
      </w:r>
      <w:r w:rsidRPr="00EA1790">
        <w:rPr>
          <w:rtl/>
        </w:rPr>
        <w:t xml:space="preserve"> </w:t>
      </w:r>
      <w:r w:rsidRPr="00EA1790">
        <w:rPr>
          <w:rFonts w:hint="eastAsia"/>
          <w:rtl/>
        </w:rPr>
        <w:t>כי</w:t>
      </w:r>
      <w:r w:rsidRPr="00EA1790">
        <w:rPr>
          <w:rtl/>
        </w:rPr>
        <w:t xml:space="preserve"> כמות המגעים בפועל שהעבירה הקופה למ</w:t>
      </w:r>
      <w:r w:rsidRPr="00EA1790">
        <w:rPr>
          <w:rFonts w:hint="eastAsia"/>
          <w:rtl/>
        </w:rPr>
        <w:t>שרד</w:t>
      </w:r>
      <w:r w:rsidRPr="00EA1790">
        <w:rPr>
          <w:rtl/>
        </w:rPr>
        <w:t xml:space="preserve"> </w:t>
      </w:r>
      <w:r w:rsidRPr="00EA1790">
        <w:rPr>
          <w:rFonts w:hint="eastAsia"/>
          <w:rtl/>
        </w:rPr>
        <w:t>הבריאות</w:t>
      </w:r>
      <w:r w:rsidRPr="00EA1790">
        <w:rPr>
          <w:rtl/>
        </w:rPr>
        <w:t xml:space="preserve"> גבוה </w:t>
      </w:r>
      <w:r w:rsidRPr="00EA1790">
        <w:rPr>
          <w:rFonts w:hint="eastAsia"/>
          <w:rtl/>
        </w:rPr>
        <w:t>מזה</w:t>
      </w:r>
      <w:r w:rsidRPr="00EA1790">
        <w:rPr>
          <w:rtl/>
        </w:rPr>
        <w:t xml:space="preserve"> שבלוח </w:t>
      </w:r>
      <w:r>
        <w:rPr>
          <w:rFonts w:hint="cs"/>
          <w:rtl/>
        </w:rPr>
        <w:t>6,</w:t>
      </w:r>
      <w:r w:rsidRPr="00EA1790">
        <w:rPr>
          <w:rtl/>
        </w:rPr>
        <w:t xml:space="preserve"> וכי בעיבוד שערך </w:t>
      </w:r>
      <w:r w:rsidRPr="00EA1790">
        <w:rPr>
          <w:rFonts w:hint="eastAsia"/>
          <w:rtl/>
        </w:rPr>
        <w:t>המשרד</w:t>
      </w:r>
      <w:r w:rsidRPr="00EA1790">
        <w:rPr>
          <w:rtl/>
        </w:rPr>
        <w:t xml:space="preserve"> הוא </w:t>
      </w:r>
      <w:r w:rsidRPr="00EA1790">
        <w:rPr>
          <w:rFonts w:hint="eastAsia"/>
          <w:rtl/>
        </w:rPr>
        <w:t>הפחית</w:t>
      </w:r>
      <w:r w:rsidRPr="00EA1790">
        <w:rPr>
          <w:rtl/>
        </w:rPr>
        <w:t xml:space="preserve"> את </w:t>
      </w:r>
      <w:r w:rsidRPr="00EA1790">
        <w:rPr>
          <w:rFonts w:hint="eastAsia"/>
          <w:rtl/>
        </w:rPr>
        <w:t>כמות</w:t>
      </w:r>
      <w:r w:rsidRPr="00EA1790">
        <w:rPr>
          <w:rtl/>
        </w:rPr>
        <w:t xml:space="preserve"> </w:t>
      </w:r>
      <w:r w:rsidRPr="00EA1790">
        <w:rPr>
          <w:rFonts w:hint="eastAsia"/>
          <w:rtl/>
        </w:rPr>
        <w:t>המגעים</w:t>
      </w:r>
      <w:r w:rsidRPr="00EA1790">
        <w:rPr>
          <w:rtl/>
        </w:rPr>
        <w:t xml:space="preserve"> </w:t>
      </w:r>
      <w:r w:rsidRPr="00EA1790">
        <w:rPr>
          <w:rFonts w:hint="eastAsia"/>
          <w:rtl/>
        </w:rPr>
        <w:t>שמכבי</w:t>
      </w:r>
      <w:r w:rsidRPr="00EA1790">
        <w:rPr>
          <w:rtl/>
        </w:rPr>
        <w:t xml:space="preserve"> </w:t>
      </w:r>
      <w:r w:rsidRPr="00EA1790">
        <w:rPr>
          <w:rFonts w:hint="eastAsia"/>
          <w:rtl/>
        </w:rPr>
        <w:t>ד</w:t>
      </w:r>
      <w:r>
        <w:rPr>
          <w:rFonts w:hint="cs"/>
          <w:rtl/>
        </w:rPr>
        <w:t>י</w:t>
      </w:r>
      <w:r w:rsidRPr="00EA1790">
        <w:rPr>
          <w:rFonts w:hint="eastAsia"/>
          <w:rtl/>
        </w:rPr>
        <w:t>ווחה</w:t>
      </w:r>
      <w:r w:rsidRPr="00EA1790">
        <w:rPr>
          <w:rtl/>
        </w:rPr>
        <w:t xml:space="preserve"> על</w:t>
      </w:r>
      <w:r w:rsidRPr="00EA1790">
        <w:rPr>
          <w:rFonts w:hint="eastAsia"/>
          <w:rtl/>
        </w:rPr>
        <w:t>יהם</w:t>
      </w:r>
      <w:r>
        <w:rPr>
          <w:rFonts w:hint="cs"/>
          <w:rtl/>
        </w:rPr>
        <w:t>,</w:t>
      </w:r>
      <w:r w:rsidRPr="00EA1790">
        <w:rPr>
          <w:rtl/>
        </w:rPr>
        <w:t xml:space="preserve"> ומכאן שה</w:t>
      </w:r>
      <w:r w:rsidRPr="00EA1790">
        <w:rPr>
          <w:rFonts w:hint="eastAsia"/>
          <w:rtl/>
        </w:rPr>
        <w:t>פער</w:t>
      </w:r>
      <w:r w:rsidRPr="00EA1790">
        <w:rPr>
          <w:rtl/>
        </w:rPr>
        <w:t xml:space="preserve"> המוצג אינ</w:t>
      </w:r>
      <w:r w:rsidRPr="00EA1790">
        <w:rPr>
          <w:rFonts w:hint="eastAsia"/>
          <w:rtl/>
        </w:rPr>
        <w:t>ו</w:t>
      </w:r>
      <w:r w:rsidRPr="00EA1790">
        <w:rPr>
          <w:rtl/>
        </w:rPr>
        <w:t xml:space="preserve"> </w:t>
      </w:r>
      <w:r w:rsidRPr="00EA1790">
        <w:rPr>
          <w:rFonts w:hint="eastAsia"/>
          <w:rtl/>
        </w:rPr>
        <w:t>מדויק</w:t>
      </w:r>
      <w:r w:rsidRPr="00EA1790">
        <w:rPr>
          <w:rtl/>
        </w:rPr>
        <w:t xml:space="preserve">. </w:t>
      </w:r>
      <w:r w:rsidRPr="00EA1790">
        <w:rPr>
          <w:rFonts w:hint="eastAsia"/>
          <w:rtl/>
        </w:rPr>
        <w:t>מתשובת</w:t>
      </w:r>
      <w:r w:rsidRPr="00EA1790">
        <w:rPr>
          <w:rtl/>
        </w:rPr>
        <w:t xml:space="preserve"> מכבי גם עולה כי לדעתה הת</w:t>
      </w:r>
      <w:r w:rsidRPr="00EA1790">
        <w:rPr>
          <w:rFonts w:hint="eastAsia"/>
          <w:rtl/>
        </w:rPr>
        <w:t>עריף</w:t>
      </w:r>
      <w:r w:rsidRPr="00EA1790">
        <w:rPr>
          <w:rtl/>
        </w:rPr>
        <w:t xml:space="preserve"> </w:t>
      </w:r>
      <w:r>
        <w:rPr>
          <w:rFonts w:hint="cs"/>
          <w:rtl/>
        </w:rPr>
        <w:t>בסך</w:t>
      </w:r>
      <w:r w:rsidRPr="00EA1790">
        <w:rPr>
          <w:rtl/>
        </w:rPr>
        <w:t xml:space="preserve"> 265 ש"ח למגע </w:t>
      </w:r>
      <w:r>
        <w:rPr>
          <w:rFonts w:hint="cs"/>
          <w:rtl/>
        </w:rPr>
        <w:t>ש</w:t>
      </w:r>
      <w:r w:rsidRPr="00EA1790">
        <w:rPr>
          <w:rtl/>
        </w:rPr>
        <w:t xml:space="preserve">עליו </w:t>
      </w:r>
      <w:r w:rsidRPr="001E3FA2">
        <w:rPr>
          <w:rtl/>
        </w:rPr>
        <w:t xml:space="preserve">מבוסס התחשיב בלוח 6 </w:t>
      </w:r>
      <w:r w:rsidRPr="001E3FA2">
        <w:rPr>
          <w:rFonts w:hint="eastAsia"/>
          <w:rtl/>
        </w:rPr>
        <w:t>נמוך</w:t>
      </w:r>
      <w:r w:rsidRPr="001E3FA2">
        <w:rPr>
          <w:rtl/>
        </w:rPr>
        <w:t xml:space="preserve"> </w:t>
      </w:r>
      <w:r w:rsidRPr="001E3FA2">
        <w:rPr>
          <w:rFonts w:hint="eastAsia"/>
          <w:rtl/>
        </w:rPr>
        <w:t>מהתעריף</w:t>
      </w:r>
      <w:r w:rsidRPr="001E3FA2">
        <w:rPr>
          <w:rtl/>
        </w:rPr>
        <w:t xml:space="preserve"> </w:t>
      </w:r>
      <w:r w:rsidRPr="001E3FA2">
        <w:rPr>
          <w:rFonts w:hint="eastAsia"/>
          <w:rtl/>
        </w:rPr>
        <w:t>בפועל</w:t>
      </w:r>
      <w:r>
        <w:rPr>
          <w:rFonts w:hint="cs"/>
          <w:rtl/>
        </w:rPr>
        <w:t>,</w:t>
      </w:r>
      <w:r w:rsidRPr="001E3FA2">
        <w:rPr>
          <w:rFonts w:hint="cs"/>
          <w:rtl/>
        </w:rPr>
        <w:t xml:space="preserve"> שכן</w:t>
      </w:r>
      <w:r w:rsidRPr="00EA1790">
        <w:rPr>
          <w:rFonts w:hint="cs"/>
          <w:rtl/>
        </w:rPr>
        <w:t xml:space="preserve"> הוא </w:t>
      </w:r>
      <w:r>
        <w:rPr>
          <w:rFonts w:hint="cs"/>
          <w:rtl/>
        </w:rPr>
        <w:t xml:space="preserve">אינו מביא </w:t>
      </w:r>
      <w:r w:rsidRPr="00EA1790">
        <w:rPr>
          <w:rtl/>
        </w:rPr>
        <w:t xml:space="preserve">בחשבון </w:t>
      </w:r>
      <w:r w:rsidRPr="00EA1790">
        <w:rPr>
          <w:rFonts w:hint="cs"/>
          <w:rtl/>
        </w:rPr>
        <w:t>את כלל ה</w:t>
      </w:r>
      <w:r w:rsidRPr="00EA1790">
        <w:rPr>
          <w:rtl/>
        </w:rPr>
        <w:t xml:space="preserve">עלויות </w:t>
      </w:r>
      <w:r w:rsidRPr="00EA1790">
        <w:rPr>
          <w:rFonts w:hint="cs"/>
          <w:rtl/>
        </w:rPr>
        <w:t>ה</w:t>
      </w:r>
      <w:r w:rsidRPr="00EA1790">
        <w:rPr>
          <w:rtl/>
        </w:rPr>
        <w:t>עקיפות</w:t>
      </w:r>
      <w:r>
        <w:rPr>
          <w:rFonts w:hint="cs"/>
          <w:rtl/>
        </w:rPr>
        <w:t>,</w:t>
      </w:r>
      <w:r w:rsidRPr="00EA1790">
        <w:rPr>
          <w:rtl/>
        </w:rPr>
        <w:t xml:space="preserve"> ולכן </w:t>
      </w:r>
      <w:r w:rsidRPr="00EA1790">
        <w:rPr>
          <w:rFonts w:hint="eastAsia"/>
          <w:rtl/>
        </w:rPr>
        <w:t>מספר</w:t>
      </w:r>
      <w:r w:rsidRPr="00EA1790">
        <w:rPr>
          <w:rtl/>
        </w:rPr>
        <w:t xml:space="preserve"> המגעים </w:t>
      </w:r>
      <w:r>
        <w:rPr>
          <w:rFonts w:hint="cs"/>
          <w:rtl/>
        </w:rPr>
        <w:t>ש</w:t>
      </w:r>
      <w:r w:rsidRPr="00EA1790">
        <w:rPr>
          <w:rtl/>
        </w:rPr>
        <w:t xml:space="preserve">צריכה הקופה </w:t>
      </w:r>
      <w:r w:rsidRPr="00EA1790">
        <w:rPr>
          <w:rFonts w:hint="eastAsia"/>
          <w:rtl/>
        </w:rPr>
        <w:t>לספק</w:t>
      </w:r>
      <w:r w:rsidRPr="00EA1790">
        <w:rPr>
          <w:rtl/>
        </w:rPr>
        <w:t xml:space="preserve"> נמוך יותר.</w:t>
      </w:r>
    </w:p>
    <w:p w14:paraId="3E92FEBB" w14:textId="77777777" w:rsidR="00B51F5B" w:rsidRDefault="00B51F5B" w:rsidP="00F204BE">
      <w:pPr>
        <w:pStyle w:val="100"/>
        <w:rPr>
          <w:rtl/>
        </w:rPr>
      </w:pPr>
      <w:r w:rsidRPr="00AF3A17">
        <w:rPr>
          <w:rFonts w:hint="cs"/>
          <w:rtl/>
        </w:rPr>
        <w:t xml:space="preserve">מאוחדת מסרה בתשובתה כי </w:t>
      </w:r>
      <w:r w:rsidRPr="00F913A5">
        <w:rPr>
          <w:rFonts w:hint="cs"/>
          <w:rtl/>
        </w:rPr>
        <w:t xml:space="preserve">היא הכשירה צוותים לביצוע טיפולים קצרי מועד שיעילותם </w:t>
      </w:r>
      <w:r>
        <w:rPr>
          <w:rFonts w:hint="cs"/>
          <w:rtl/>
        </w:rPr>
        <w:t xml:space="preserve">צמצמה את מספר המגעים הנדרש. </w:t>
      </w:r>
    </w:p>
    <w:p w14:paraId="342981CD" w14:textId="77777777" w:rsidR="00B51F5B" w:rsidRPr="002B0DB3" w:rsidRDefault="00B51F5B" w:rsidP="00F204BE">
      <w:pPr>
        <w:pStyle w:val="100"/>
        <w:rPr>
          <w:b/>
          <w:bCs/>
          <w:rtl/>
        </w:rPr>
      </w:pPr>
      <w:r>
        <w:rPr>
          <w:rFonts w:hint="cs"/>
          <w:rtl/>
        </w:rPr>
        <w:t>לאומית מסרה בתשובתה כי כמות המגעים שהיא סיפקה בשנת 2017 עמד על כ-194,000 ולא על 181,000 כמוצג לעיל בלוחות 6 ו-7.</w:t>
      </w:r>
    </w:p>
    <w:p w14:paraId="3F4C18E1" w14:textId="71CD6131" w:rsidR="00B51F5B" w:rsidRPr="00A91C08" w:rsidRDefault="00B51F5B" w:rsidP="00F204BE">
      <w:pPr>
        <w:pStyle w:val="af5"/>
        <w:rPr>
          <w:rtl/>
        </w:rPr>
      </w:pPr>
      <w:r>
        <w:rPr>
          <w:rFonts w:hint="cs"/>
          <w:rtl/>
        </w:rPr>
        <w:t xml:space="preserve">פערי העמדות בין </w:t>
      </w:r>
      <w:r w:rsidRPr="00A91C08">
        <w:rPr>
          <w:rFonts w:hint="eastAsia"/>
          <w:rtl/>
        </w:rPr>
        <w:t>משרד</w:t>
      </w:r>
      <w:r w:rsidRPr="00A91C08">
        <w:rPr>
          <w:rtl/>
        </w:rPr>
        <w:t xml:space="preserve"> </w:t>
      </w:r>
      <w:r w:rsidRPr="00A91C08">
        <w:rPr>
          <w:rFonts w:hint="eastAsia"/>
          <w:rtl/>
        </w:rPr>
        <w:t>הבריאות</w:t>
      </w:r>
      <w:r w:rsidRPr="00A91C08">
        <w:rPr>
          <w:rtl/>
        </w:rPr>
        <w:t xml:space="preserve"> </w:t>
      </w:r>
      <w:r>
        <w:rPr>
          <w:rFonts w:hint="cs"/>
          <w:rtl/>
        </w:rPr>
        <w:t xml:space="preserve">לבין </w:t>
      </w:r>
      <w:r w:rsidRPr="00A91C08">
        <w:rPr>
          <w:rFonts w:hint="eastAsia"/>
          <w:rtl/>
        </w:rPr>
        <w:t>קופות</w:t>
      </w:r>
      <w:r w:rsidRPr="00A91C08">
        <w:rPr>
          <w:rtl/>
        </w:rPr>
        <w:t xml:space="preserve"> </w:t>
      </w:r>
      <w:r w:rsidRPr="00A91C08">
        <w:rPr>
          <w:rFonts w:hint="eastAsia"/>
          <w:rtl/>
        </w:rPr>
        <w:t>החולים</w:t>
      </w:r>
      <w:r w:rsidRPr="00A91C08">
        <w:rPr>
          <w:rtl/>
        </w:rPr>
        <w:t xml:space="preserve"> </w:t>
      </w:r>
      <w:r>
        <w:rPr>
          <w:rFonts w:hint="cs"/>
          <w:rtl/>
        </w:rPr>
        <w:t>בדבר ה</w:t>
      </w:r>
      <w:r w:rsidRPr="00A91C08">
        <w:rPr>
          <w:rFonts w:hint="eastAsia"/>
          <w:rtl/>
        </w:rPr>
        <w:t>שירותים</w:t>
      </w:r>
      <w:r w:rsidRPr="00A91C08">
        <w:rPr>
          <w:rtl/>
        </w:rPr>
        <w:t xml:space="preserve"> </w:t>
      </w:r>
      <w:r w:rsidRPr="00A91C08">
        <w:rPr>
          <w:rFonts w:hint="eastAsia"/>
          <w:rtl/>
        </w:rPr>
        <w:t>שיש</w:t>
      </w:r>
      <w:r w:rsidRPr="00A91C08">
        <w:rPr>
          <w:rtl/>
        </w:rPr>
        <w:t xml:space="preserve"> </w:t>
      </w:r>
      <w:r w:rsidRPr="00A91C08">
        <w:rPr>
          <w:rFonts w:hint="eastAsia"/>
          <w:rtl/>
        </w:rPr>
        <w:t>לכלול</w:t>
      </w:r>
      <w:r w:rsidRPr="00A91C08">
        <w:rPr>
          <w:rtl/>
        </w:rPr>
        <w:t xml:space="preserve"> </w:t>
      </w:r>
      <w:r w:rsidRPr="00A91C08">
        <w:rPr>
          <w:rFonts w:hint="eastAsia"/>
          <w:rtl/>
        </w:rPr>
        <w:t>בתחשיב</w:t>
      </w:r>
      <w:r w:rsidRPr="00A91C08">
        <w:rPr>
          <w:rtl/>
        </w:rPr>
        <w:t xml:space="preserve"> </w:t>
      </w:r>
      <w:r w:rsidRPr="00A91C08">
        <w:rPr>
          <w:rFonts w:hint="eastAsia"/>
          <w:rtl/>
        </w:rPr>
        <w:t>השימושים</w:t>
      </w:r>
      <w:r w:rsidRPr="00A91C08">
        <w:rPr>
          <w:rtl/>
        </w:rPr>
        <w:t xml:space="preserve"> </w:t>
      </w:r>
      <w:r w:rsidRPr="00A91C08">
        <w:rPr>
          <w:rFonts w:hint="eastAsia"/>
          <w:rtl/>
        </w:rPr>
        <w:t>של</w:t>
      </w:r>
      <w:r w:rsidRPr="00A91C08">
        <w:rPr>
          <w:rtl/>
        </w:rPr>
        <w:t xml:space="preserve"> </w:t>
      </w:r>
      <w:r w:rsidRPr="00A91C08">
        <w:rPr>
          <w:rFonts w:hint="eastAsia"/>
          <w:rtl/>
        </w:rPr>
        <w:t>תקציב</w:t>
      </w:r>
      <w:r w:rsidRPr="00A91C08">
        <w:rPr>
          <w:rtl/>
        </w:rPr>
        <w:t xml:space="preserve"> </w:t>
      </w:r>
      <w:r w:rsidRPr="00A91C08">
        <w:rPr>
          <w:rFonts w:hint="eastAsia"/>
          <w:rtl/>
        </w:rPr>
        <w:t>הרפורמה</w:t>
      </w:r>
      <w:r>
        <w:rPr>
          <w:rFonts w:hint="cs"/>
          <w:rtl/>
        </w:rPr>
        <w:t xml:space="preserve"> ואופן החישוב </w:t>
      </w:r>
      <w:r w:rsidRPr="00ED3253">
        <w:rPr>
          <w:rFonts w:hint="cs"/>
          <w:rtl/>
        </w:rPr>
        <w:t xml:space="preserve">שלהם </w:t>
      </w:r>
      <w:r w:rsidRPr="00ED3253">
        <w:rPr>
          <w:rFonts w:hint="eastAsia"/>
          <w:rtl/>
        </w:rPr>
        <w:t>הבאים</w:t>
      </w:r>
      <w:r w:rsidRPr="00ED3253">
        <w:rPr>
          <w:rtl/>
        </w:rPr>
        <w:t xml:space="preserve"> </w:t>
      </w:r>
      <w:r w:rsidRPr="00ED3253">
        <w:rPr>
          <w:rFonts w:hint="eastAsia"/>
          <w:rtl/>
        </w:rPr>
        <w:t>לידי</w:t>
      </w:r>
      <w:r w:rsidRPr="00ED3253">
        <w:rPr>
          <w:rtl/>
        </w:rPr>
        <w:t xml:space="preserve"> </w:t>
      </w:r>
      <w:r w:rsidRPr="00ED3253">
        <w:rPr>
          <w:rFonts w:hint="eastAsia"/>
          <w:rtl/>
        </w:rPr>
        <w:t>ביטוי</w:t>
      </w:r>
      <w:r w:rsidRPr="00ED3253">
        <w:rPr>
          <w:rtl/>
        </w:rPr>
        <w:t xml:space="preserve">, </w:t>
      </w:r>
      <w:r w:rsidRPr="00ED3253">
        <w:rPr>
          <w:rFonts w:hint="eastAsia"/>
          <w:rtl/>
        </w:rPr>
        <w:t>בין</w:t>
      </w:r>
      <w:r w:rsidRPr="00ED3253">
        <w:rPr>
          <w:rtl/>
        </w:rPr>
        <w:t xml:space="preserve"> </w:t>
      </w:r>
      <w:r w:rsidRPr="00ED3253">
        <w:rPr>
          <w:rFonts w:hint="eastAsia"/>
          <w:rtl/>
        </w:rPr>
        <w:t>היתר</w:t>
      </w:r>
      <w:r w:rsidRPr="00ED3253">
        <w:rPr>
          <w:rtl/>
        </w:rPr>
        <w:t xml:space="preserve">, </w:t>
      </w:r>
      <w:r w:rsidRPr="00ED3253">
        <w:rPr>
          <w:rFonts w:hint="eastAsia"/>
          <w:rtl/>
        </w:rPr>
        <w:t>בתגובות</w:t>
      </w:r>
      <w:r w:rsidRPr="00ED3253">
        <w:rPr>
          <w:rtl/>
        </w:rPr>
        <w:t xml:space="preserve"> </w:t>
      </w:r>
      <w:r w:rsidRPr="00ED3253">
        <w:rPr>
          <w:rFonts w:hint="eastAsia"/>
          <w:rtl/>
        </w:rPr>
        <w:t>הקופות</w:t>
      </w:r>
      <w:r w:rsidRPr="00ED3253">
        <w:rPr>
          <w:rtl/>
        </w:rPr>
        <w:t xml:space="preserve"> </w:t>
      </w:r>
      <w:r w:rsidRPr="00ED3253">
        <w:rPr>
          <w:rFonts w:hint="eastAsia"/>
          <w:rtl/>
        </w:rPr>
        <w:t>למול</w:t>
      </w:r>
      <w:r w:rsidRPr="00ED3253">
        <w:rPr>
          <w:rtl/>
        </w:rPr>
        <w:t xml:space="preserve"> </w:t>
      </w:r>
      <w:r w:rsidRPr="00ED3253">
        <w:rPr>
          <w:rFonts w:hint="eastAsia"/>
          <w:rtl/>
        </w:rPr>
        <w:t>הנתונים</w:t>
      </w:r>
      <w:r w:rsidRPr="00ED3253">
        <w:rPr>
          <w:rtl/>
        </w:rPr>
        <w:t xml:space="preserve"> </w:t>
      </w:r>
      <w:r w:rsidRPr="00ED3253">
        <w:rPr>
          <w:rFonts w:hint="eastAsia"/>
          <w:rtl/>
        </w:rPr>
        <w:t>המוצגים</w:t>
      </w:r>
      <w:r w:rsidRPr="00ED3253">
        <w:rPr>
          <w:rtl/>
        </w:rPr>
        <w:t xml:space="preserve"> </w:t>
      </w:r>
      <w:r w:rsidRPr="00ED3253">
        <w:rPr>
          <w:rFonts w:hint="eastAsia"/>
          <w:rtl/>
        </w:rPr>
        <w:t>בלוחות</w:t>
      </w:r>
      <w:r w:rsidRPr="00ED3253">
        <w:rPr>
          <w:rtl/>
        </w:rPr>
        <w:t xml:space="preserve"> 6 </w:t>
      </w:r>
      <w:r w:rsidRPr="00ED3253">
        <w:rPr>
          <w:rFonts w:hint="eastAsia"/>
          <w:rtl/>
        </w:rPr>
        <w:t>ו</w:t>
      </w:r>
      <w:r w:rsidRPr="00ED3253">
        <w:rPr>
          <w:rtl/>
        </w:rPr>
        <w:t xml:space="preserve">-7 </w:t>
      </w:r>
      <w:r w:rsidRPr="00ED3253">
        <w:rPr>
          <w:rFonts w:hint="eastAsia"/>
          <w:rtl/>
        </w:rPr>
        <w:t>לעיל</w:t>
      </w:r>
      <w:r w:rsidRPr="00ED3253">
        <w:rPr>
          <w:rtl/>
        </w:rPr>
        <w:t>,</w:t>
      </w:r>
      <w:r>
        <w:rPr>
          <w:rFonts w:hint="cs"/>
          <w:rtl/>
        </w:rPr>
        <w:t xml:space="preserve"> מחייבים את הצדדים לעמוד על מכלול השיקולים הקובעים את אופן ביצוע התחשיב ולגבש בהתאם</w:t>
      </w:r>
      <w:r w:rsidRPr="00A91C08">
        <w:rPr>
          <w:rtl/>
        </w:rPr>
        <w:t xml:space="preserve"> </w:t>
      </w:r>
      <w:r w:rsidRPr="00A91C08">
        <w:rPr>
          <w:rFonts w:hint="eastAsia"/>
          <w:rtl/>
        </w:rPr>
        <w:t>מתווה</w:t>
      </w:r>
      <w:r w:rsidRPr="00A91C08">
        <w:rPr>
          <w:rtl/>
        </w:rPr>
        <w:t xml:space="preserve"> </w:t>
      </w:r>
      <w:r>
        <w:rPr>
          <w:rFonts w:hint="cs"/>
          <w:rtl/>
        </w:rPr>
        <w:t>מוסכם לחישוב.</w:t>
      </w:r>
      <w:r w:rsidRPr="00A91C08">
        <w:rPr>
          <w:rtl/>
        </w:rPr>
        <w:t xml:space="preserve"> כך יוכל </w:t>
      </w:r>
      <w:r>
        <w:rPr>
          <w:rFonts w:hint="cs"/>
          <w:rtl/>
        </w:rPr>
        <w:t>ה</w:t>
      </w:r>
      <w:r w:rsidRPr="00A91C08">
        <w:rPr>
          <w:rtl/>
        </w:rPr>
        <w:t>משרד ל</w:t>
      </w:r>
      <w:r>
        <w:rPr>
          <w:rFonts w:hint="cs"/>
          <w:rtl/>
        </w:rPr>
        <w:t>קיים את תפקידו כגורם בקרה ול</w:t>
      </w:r>
      <w:r w:rsidRPr="00A91C08">
        <w:rPr>
          <w:rtl/>
        </w:rPr>
        <w:t>וודא כי אכן התקציב שהועבר לקופות לטובת הרפורמה מנוצל במלואו לי</w:t>
      </w:r>
      <w:r>
        <w:rPr>
          <w:rFonts w:hint="cs"/>
          <w:rtl/>
        </w:rPr>
        <w:t>י</w:t>
      </w:r>
      <w:r w:rsidRPr="00A91C08">
        <w:rPr>
          <w:rtl/>
        </w:rPr>
        <w:t>עוד</w:t>
      </w:r>
      <w:r>
        <w:rPr>
          <w:rFonts w:hint="cs"/>
          <w:rtl/>
        </w:rPr>
        <w:t>ו המוגדר ומאפשר עמידה ביעדי</w:t>
      </w:r>
      <w:r w:rsidRPr="0062664B">
        <w:rPr>
          <w:rtl/>
        </w:rPr>
        <w:t xml:space="preserve"> הרפורמה</w:t>
      </w:r>
      <w:r w:rsidRPr="00A91C08">
        <w:rPr>
          <w:rtl/>
        </w:rPr>
        <w:t>.</w:t>
      </w:r>
    </w:p>
    <w:p w14:paraId="6563350C" w14:textId="77777777" w:rsidR="00B51F5B" w:rsidRPr="009E463A" w:rsidRDefault="00B51F5B" w:rsidP="00F204BE">
      <w:pPr>
        <w:pStyle w:val="414"/>
        <w:rPr>
          <w:rtl/>
        </w:rPr>
      </w:pPr>
      <w:r w:rsidRPr="009E463A">
        <w:rPr>
          <w:rFonts w:hint="eastAsia"/>
          <w:rtl/>
        </w:rPr>
        <w:t>השתתפות</w:t>
      </w:r>
      <w:r w:rsidRPr="009E463A">
        <w:rPr>
          <w:rFonts w:hint="cs"/>
          <w:rtl/>
        </w:rPr>
        <w:t xml:space="preserve"> עצמית </w:t>
      </w:r>
      <w:r>
        <w:rPr>
          <w:rFonts w:hint="cs"/>
          <w:rtl/>
        </w:rPr>
        <w:t>במימון טיפולים נפשיים</w:t>
      </w:r>
    </w:p>
    <w:p w14:paraId="002A400A" w14:textId="77777777" w:rsidR="00B51F5B" w:rsidRDefault="00B51F5B" w:rsidP="00F204BE">
      <w:pPr>
        <w:pStyle w:val="100"/>
        <w:rPr>
          <w:rtl/>
        </w:rPr>
      </w:pPr>
      <w:r>
        <w:rPr>
          <w:rFonts w:hint="cs"/>
          <w:rtl/>
        </w:rPr>
        <w:t>טיפול פסיכותרפי יכול להיעשות באחת משלוש דרכים: 1.</w:t>
      </w:r>
      <w:r>
        <w:rPr>
          <w:rFonts w:hint="cs"/>
        </w:rPr>
        <w:t xml:space="preserve"> </w:t>
      </w:r>
      <w:r>
        <w:rPr>
          <w:rFonts w:hint="cs"/>
          <w:rtl/>
        </w:rPr>
        <w:t xml:space="preserve">במרפאות קופות החולים - ללא תשלום מצד המטופל; 2. אצל ספקי שירותים ובמרפאות הממשלתיות - באמצעות התחייבות הקופות (טופס 17); 3. אצל מטפלים עצמאיים שעובדים עם הקופות - תמורת תשלום דמי השתתפות עצמית של המטופל. </w:t>
      </w:r>
      <w:r>
        <w:rPr>
          <w:rFonts w:hint="cs"/>
          <w:sz w:val="24"/>
          <w:rtl/>
        </w:rPr>
        <w:t xml:space="preserve">בהתאם לכך, </w:t>
      </w:r>
      <w:r w:rsidRPr="00A91C08">
        <w:rPr>
          <w:rFonts w:hint="eastAsia"/>
          <w:sz w:val="24"/>
          <w:rtl/>
        </w:rPr>
        <w:t>ייתכנו</w:t>
      </w:r>
      <w:r w:rsidRPr="00A91C08">
        <w:rPr>
          <w:sz w:val="24"/>
          <w:rtl/>
        </w:rPr>
        <w:t xml:space="preserve"> </w:t>
      </w:r>
      <w:r>
        <w:rPr>
          <w:rFonts w:hint="cs"/>
          <w:sz w:val="24"/>
          <w:rtl/>
        </w:rPr>
        <w:t xml:space="preserve">שלוש </w:t>
      </w:r>
      <w:r w:rsidRPr="00A91C08">
        <w:rPr>
          <w:sz w:val="24"/>
          <w:rtl/>
        </w:rPr>
        <w:t xml:space="preserve">צורות </w:t>
      </w:r>
      <w:r>
        <w:rPr>
          <w:rFonts w:hint="cs"/>
          <w:sz w:val="24"/>
          <w:rtl/>
        </w:rPr>
        <w:t>אפשריות ל</w:t>
      </w:r>
      <w:r w:rsidRPr="00A91C08">
        <w:rPr>
          <w:rFonts w:hint="eastAsia"/>
          <w:sz w:val="24"/>
          <w:rtl/>
        </w:rPr>
        <w:t>התקשרות</w:t>
      </w:r>
      <w:r w:rsidRPr="00A91C08">
        <w:rPr>
          <w:sz w:val="24"/>
          <w:rtl/>
        </w:rPr>
        <w:t xml:space="preserve"> </w:t>
      </w:r>
      <w:r w:rsidRPr="00A91C08">
        <w:rPr>
          <w:rFonts w:hint="eastAsia"/>
          <w:sz w:val="24"/>
          <w:rtl/>
        </w:rPr>
        <w:t>של</w:t>
      </w:r>
      <w:r w:rsidRPr="00A91C08">
        <w:rPr>
          <w:sz w:val="24"/>
          <w:rtl/>
        </w:rPr>
        <w:t xml:space="preserve"> </w:t>
      </w:r>
      <w:r w:rsidRPr="00A91C08">
        <w:rPr>
          <w:rFonts w:hint="eastAsia"/>
          <w:sz w:val="24"/>
          <w:rtl/>
        </w:rPr>
        <w:t>הקופה</w:t>
      </w:r>
      <w:r w:rsidRPr="00A91C08">
        <w:rPr>
          <w:sz w:val="24"/>
          <w:rtl/>
        </w:rPr>
        <w:t xml:space="preserve"> </w:t>
      </w:r>
      <w:r w:rsidRPr="00A91C08">
        <w:rPr>
          <w:rFonts w:hint="eastAsia"/>
          <w:sz w:val="24"/>
          <w:rtl/>
        </w:rPr>
        <w:t>מול</w:t>
      </w:r>
      <w:r w:rsidRPr="00A91C08">
        <w:rPr>
          <w:sz w:val="24"/>
          <w:rtl/>
        </w:rPr>
        <w:t xml:space="preserve"> מטפל</w:t>
      </w:r>
      <w:r w:rsidRPr="00A91C08">
        <w:rPr>
          <w:sz w:val="22"/>
          <w:szCs w:val="22"/>
          <w:rtl/>
        </w:rPr>
        <w:t>:</w:t>
      </w:r>
    </w:p>
    <w:p w14:paraId="1D57696D" w14:textId="77777777" w:rsidR="00B51F5B" w:rsidRPr="005A62BA" w:rsidRDefault="00B51F5B" w:rsidP="00F204BE">
      <w:pPr>
        <w:pStyle w:val="100"/>
        <w:rPr>
          <w:rtl/>
        </w:rPr>
      </w:pPr>
      <w:r w:rsidRPr="00F204BE">
        <w:rPr>
          <w:rStyle w:val="Heading7Char"/>
          <w:rFonts w:hint="eastAsia"/>
          <w:color w:val="004E6C"/>
          <w:spacing w:val="0"/>
          <w:rtl/>
        </w:rPr>
        <w:t>העסקת</w:t>
      </w:r>
      <w:r w:rsidRPr="00F204BE">
        <w:rPr>
          <w:rStyle w:val="Heading7Char"/>
          <w:color w:val="004E6C"/>
          <w:spacing w:val="0"/>
          <w:rtl/>
        </w:rPr>
        <w:t xml:space="preserve"> </w:t>
      </w:r>
      <w:r w:rsidRPr="00F204BE">
        <w:rPr>
          <w:rStyle w:val="Heading7Char"/>
          <w:rFonts w:hint="eastAsia"/>
          <w:color w:val="004E6C"/>
          <w:spacing w:val="0"/>
          <w:rtl/>
        </w:rPr>
        <w:t>המטפל</w:t>
      </w:r>
      <w:r w:rsidRPr="00F204BE">
        <w:rPr>
          <w:rStyle w:val="Heading7Char"/>
          <w:color w:val="004E6C"/>
          <w:spacing w:val="0"/>
          <w:rtl/>
        </w:rPr>
        <w:t xml:space="preserve"> </w:t>
      </w:r>
      <w:r w:rsidRPr="00F204BE">
        <w:rPr>
          <w:rStyle w:val="Heading7Char"/>
          <w:rFonts w:hint="eastAsia"/>
          <w:color w:val="004E6C"/>
          <w:spacing w:val="0"/>
          <w:rtl/>
        </w:rPr>
        <w:t>כשכיר</w:t>
      </w:r>
      <w:r w:rsidRPr="00F204BE">
        <w:rPr>
          <w:rStyle w:val="Heading7Char"/>
          <w:color w:val="004E6C"/>
          <w:spacing w:val="0"/>
          <w:rtl/>
        </w:rPr>
        <w:t xml:space="preserve"> </w:t>
      </w:r>
      <w:r w:rsidRPr="00F204BE">
        <w:rPr>
          <w:rStyle w:val="Heading7Char"/>
          <w:rFonts w:hint="eastAsia"/>
          <w:color w:val="004E6C"/>
          <w:spacing w:val="0"/>
          <w:rtl/>
        </w:rPr>
        <w:t>בקופה</w:t>
      </w:r>
      <w:r w:rsidRPr="00F204BE">
        <w:rPr>
          <w:rStyle w:val="Heading7Char"/>
          <w:rFonts w:hint="cs"/>
          <w:color w:val="004E6C"/>
          <w:spacing w:val="0"/>
          <w:rtl/>
        </w:rPr>
        <w:t>:</w:t>
      </w:r>
      <w:r w:rsidRPr="00F204BE">
        <w:rPr>
          <w:rStyle w:val="Heading7Char"/>
          <w:rFonts w:hint="cs"/>
          <w:color w:val="004E6C"/>
          <w:rtl/>
        </w:rPr>
        <w:t xml:space="preserve"> </w:t>
      </w:r>
      <w:r>
        <w:rPr>
          <w:rFonts w:hint="cs"/>
          <w:rtl/>
        </w:rPr>
        <w:t xml:space="preserve">שכר המטפל משולם בהתאם להיקף משרתו. המטפל מספק את הטיפולים במסגרת שעות עבודתו, וקופות החולים נושאות בתקורות הנלוות ובהן: שכירות, תחזוקת המבנה ואדמיניסטרציה. </w:t>
      </w:r>
      <w:r w:rsidRPr="005A62BA">
        <w:rPr>
          <w:rFonts w:hint="cs"/>
          <w:rtl/>
        </w:rPr>
        <w:t>במקרה זה המ</w:t>
      </w:r>
      <w:r>
        <w:rPr>
          <w:rFonts w:hint="cs"/>
          <w:rtl/>
        </w:rPr>
        <w:t>טופל</w:t>
      </w:r>
      <w:r w:rsidRPr="005A62BA">
        <w:rPr>
          <w:rFonts w:hint="cs"/>
          <w:rtl/>
        </w:rPr>
        <w:t xml:space="preserve"> אינו נדרש לשלם עבור הביקור</w:t>
      </w:r>
      <w:r>
        <w:rPr>
          <w:rFonts w:hint="cs"/>
          <w:rtl/>
        </w:rPr>
        <w:t>,</w:t>
      </w:r>
      <w:r w:rsidRPr="005A62BA">
        <w:rPr>
          <w:rFonts w:hint="cs"/>
          <w:rtl/>
        </w:rPr>
        <w:t xml:space="preserve"> והטיפול ניתן במרפאות </w:t>
      </w:r>
      <w:r>
        <w:rPr>
          <w:rFonts w:hint="cs"/>
          <w:rtl/>
        </w:rPr>
        <w:t>ה</w:t>
      </w:r>
      <w:r w:rsidRPr="005A62BA">
        <w:rPr>
          <w:rFonts w:hint="cs"/>
          <w:rtl/>
        </w:rPr>
        <w:t>קופות.</w:t>
      </w:r>
    </w:p>
    <w:p w14:paraId="2E26946B" w14:textId="77777777" w:rsidR="00B51F5B" w:rsidRDefault="00B51F5B" w:rsidP="00F204BE">
      <w:pPr>
        <w:pStyle w:val="100"/>
        <w:rPr>
          <w:rtl/>
        </w:rPr>
      </w:pPr>
      <w:r w:rsidRPr="00F204BE">
        <w:rPr>
          <w:rStyle w:val="Heading7Char"/>
          <w:rFonts w:hint="eastAsia"/>
          <w:color w:val="004E6C"/>
          <w:spacing w:val="0"/>
          <w:rtl/>
        </w:rPr>
        <w:t>התקשרות</w:t>
      </w:r>
      <w:r w:rsidRPr="00F204BE">
        <w:rPr>
          <w:rStyle w:val="Heading7Char"/>
          <w:color w:val="004E6C"/>
          <w:spacing w:val="0"/>
          <w:rtl/>
        </w:rPr>
        <w:t xml:space="preserve"> מול ספק </w:t>
      </w:r>
      <w:r w:rsidRPr="00F204BE">
        <w:rPr>
          <w:rStyle w:val="Heading7Char"/>
          <w:rFonts w:hint="eastAsia"/>
          <w:color w:val="004E6C"/>
          <w:spacing w:val="0"/>
          <w:rtl/>
        </w:rPr>
        <w:t>שירות</w:t>
      </w:r>
      <w:r w:rsidRPr="00F204BE">
        <w:rPr>
          <w:rStyle w:val="Heading7Char"/>
          <w:rFonts w:hint="cs"/>
          <w:color w:val="004E6C"/>
          <w:spacing w:val="0"/>
          <w:rtl/>
        </w:rPr>
        <w:t>:</w:t>
      </w:r>
      <w:r w:rsidRPr="00C50973">
        <w:rPr>
          <w:rStyle w:val="Heading7Char"/>
          <w:rtl/>
        </w:rPr>
        <w:t xml:space="preserve"> </w:t>
      </w:r>
      <w:r>
        <w:rPr>
          <w:rFonts w:hint="cs"/>
          <w:rtl/>
        </w:rPr>
        <w:t xml:space="preserve">קופות החולים מעניקות טיפול ללא תשלום של המטופל באמצעות ספקי שירות שיכולים להיות אחד מאלו: 1. מטפלים הקשורים בהסכם כספק שירות ומעניקים טיפול במתקני הקופה. נכון למועד עריכת הביקורת המטפל מקבל תשלום של כ-230 ש"ח עבור כל טיפול, ומסכום זה גובה הקופה כ-10% עבור תקורות. 2. עמותות הקשורות בהסכם כספק שירות, והקופה משלמת לספק בהתאם להסכם ביניהם סכום דומה כאמור. 3. מרפאות בבתי החולים לבריאות </w:t>
      </w:r>
      <w:r w:rsidRPr="005A62BA">
        <w:rPr>
          <w:rFonts w:hint="cs"/>
          <w:rtl/>
        </w:rPr>
        <w:t xml:space="preserve">הנפש בהתאם להסכם ביניהם. השירות למטופלים ניתן אצל ספקי שירותים ובמרפאות הממשלתיות באמצעות התחייבות הקופות (טופס 17). </w:t>
      </w:r>
    </w:p>
    <w:p w14:paraId="611F6D08" w14:textId="77777777" w:rsidR="00B51F5B" w:rsidRPr="005A62BA" w:rsidRDefault="00B51F5B" w:rsidP="00F204BE">
      <w:pPr>
        <w:pStyle w:val="100"/>
        <w:rPr>
          <w:rtl/>
        </w:rPr>
      </w:pPr>
      <w:r w:rsidRPr="00F204BE">
        <w:rPr>
          <w:rStyle w:val="Heading7Char"/>
          <w:rFonts w:hint="eastAsia"/>
          <w:color w:val="004E6C"/>
          <w:spacing w:val="0"/>
          <w:rtl/>
        </w:rPr>
        <w:t>מטפל</w:t>
      </w:r>
      <w:r w:rsidRPr="00F204BE">
        <w:rPr>
          <w:rStyle w:val="Heading7Char"/>
          <w:color w:val="004E6C"/>
          <w:spacing w:val="0"/>
          <w:rtl/>
        </w:rPr>
        <w:t xml:space="preserve"> </w:t>
      </w:r>
      <w:r w:rsidRPr="00F204BE">
        <w:rPr>
          <w:rStyle w:val="Heading7Char"/>
          <w:rFonts w:hint="eastAsia"/>
          <w:color w:val="004E6C"/>
          <w:spacing w:val="0"/>
          <w:rtl/>
        </w:rPr>
        <w:t>עצמאי</w:t>
      </w:r>
      <w:r w:rsidRPr="00F204BE">
        <w:rPr>
          <w:rStyle w:val="Heading7Char"/>
          <w:rFonts w:hint="cs"/>
          <w:color w:val="004E6C"/>
          <w:spacing w:val="0"/>
          <w:rtl/>
        </w:rPr>
        <w:t>:</w:t>
      </w:r>
      <w:r w:rsidRPr="00C50973">
        <w:rPr>
          <w:rStyle w:val="Heading7Char"/>
          <w:rtl/>
        </w:rPr>
        <w:t xml:space="preserve"> </w:t>
      </w:r>
      <w:r>
        <w:rPr>
          <w:rFonts w:hint="cs"/>
          <w:rtl/>
        </w:rPr>
        <w:t>המטפל מבצע את הטיפולים בקליניקה הפרטית שלו. בחלק מקופות החולים מקבל המטפל מהקופה כ-100 ש"ח לטיפול, ונוסף על כך את דמי ההשתתפות העצמית שמשלם המטופל, ובחלקן הקופה מעבירה למטפל העצמאי את מלוא עלות הטיפול וגובה את דמי ההשתתפות העצמית מהמטופל</w:t>
      </w:r>
      <w:r w:rsidRPr="005A62BA">
        <w:rPr>
          <w:rFonts w:hint="cs"/>
          <w:rtl/>
        </w:rPr>
        <w:t xml:space="preserve">. גובה </w:t>
      </w:r>
      <w:r w:rsidRPr="005A62BA">
        <w:rPr>
          <w:rFonts w:hint="eastAsia"/>
          <w:rtl/>
        </w:rPr>
        <w:t>ההשתתפות</w:t>
      </w:r>
      <w:r w:rsidRPr="005A62BA">
        <w:rPr>
          <w:rtl/>
        </w:rPr>
        <w:t xml:space="preserve"> </w:t>
      </w:r>
      <w:r w:rsidRPr="005A62BA">
        <w:rPr>
          <w:rFonts w:hint="eastAsia"/>
          <w:rtl/>
        </w:rPr>
        <w:t>העצמית</w:t>
      </w:r>
      <w:r w:rsidRPr="005A62BA">
        <w:rPr>
          <w:rFonts w:hint="cs"/>
          <w:rtl/>
        </w:rPr>
        <w:t>, המעודכן לאוגוסט 2019, הוא 59 ש"ח לאבחון ו-</w:t>
      </w:r>
      <w:r w:rsidRPr="005A62BA">
        <w:rPr>
          <w:rtl/>
        </w:rPr>
        <w:t xml:space="preserve">142 ש"ח </w:t>
      </w:r>
      <w:r w:rsidRPr="005A62BA">
        <w:rPr>
          <w:rFonts w:hint="cs"/>
          <w:rtl/>
        </w:rPr>
        <w:t xml:space="preserve">לכל </w:t>
      </w:r>
      <w:r>
        <w:rPr>
          <w:rFonts w:hint="cs"/>
          <w:rtl/>
        </w:rPr>
        <w:t>מפגש ש</w:t>
      </w:r>
      <w:r w:rsidRPr="005A62BA">
        <w:rPr>
          <w:rFonts w:hint="eastAsia"/>
          <w:rtl/>
        </w:rPr>
        <w:t>ל</w:t>
      </w:r>
      <w:r>
        <w:rPr>
          <w:rFonts w:hint="cs"/>
          <w:rtl/>
        </w:rPr>
        <w:t xml:space="preserve"> </w:t>
      </w:r>
      <w:r w:rsidRPr="005A62BA">
        <w:rPr>
          <w:rFonts w:hint="eastAsia"/>
          <w:rtl/>
        </w:rPr>
        <w:t>טיפול</w:t>
      </w:r>
      <w:r w:rsidRPr="005A62BA">
        <w:rPr>
          <w:rFonts w:hint="cs"/>
          <w:rtl/>
        </w:rPr>
        <w:t xml:space="preserve"> פסיכותרפי (כ-570 ש"ח לחודש)</w:t>
      </w:r>
      <w:r>
        <w:rPr>
          <w:rStyle w:val="FootnoteReference"/>
          <w:rtl/>
        </w:rPr>
        <w:footnoteReference w:id="78"/>
      </w:r>
      <w:r w:rsidRPr="005A62BA">
        <w:rPr>
          <w:rFonts w:hint="cs"/>
          <w:rtl/>
        </w:rPr>
        <w:t>.</w:t>
      </w:r>
      <w:r w:rsidRPr="005A62BA">
        <w:rPr>
          <w:rtl/>
        </w:rPr>
        <w:t xml:space="preserve"> </w:t>
      </w:r>
      <w:r w:rsidRPr="00C44772">
        <w:rPr>
          <w:rtl/>
        </w:rPr>
        <w:t xml:space="preserve">קבלת טיפול ממטפלים עצמאיים אומנם נדרש למימון עצמי של המטופל, אך הדבר מאפשר לרוב לקבל טיפול מוקדם יותר מזה הזמין במרפאות הקופה או אצל ספקי השירות, הדבר גם </w:t>
      </w:r>
      <w:r>
        <w:rPr>
          <w:rFonts w:hint="cs"/>
          <w:rtl/>
        </w:rPr>
        <w:t xml:space="preserve">מאפשר </w:t>
      </w:r>
      <w:r w:rsidRPr="00C44772">
        <w:rPr>
          <w:rtl/>
        </w:rPr>
        <w:t>למטופל לבחור את זהות המטפל, את מיקום הטיפול ואת שעות הטיפול.</w:t>
      </w:r>
    </w:p>
    <w:p w14:paraId="4D3721CD" w14:textId="77777777" w:rsidR="00B51F5B" w:rsidRDefault="00B51F5B" w:rsidP="00F204BE">
      <w:pPr>
        <w:pStyle w:val="100"/>
        <w:rPr>
          <w:rtl/>
        </w:rPr>
      </w:pPr>
      <w:r>
        <w:rPr>
          <w:rFonts w:hint="cs"/>
          <w:rtl/>
        </w:rPr>
        <w:t xml:space="preserve">הסכם הרפורמה קבע כי ההשתתפות העצמית הנורמטיבית לכלל השירותים המיועדים לעבור לקופות החולים בתחום בריאות הנפש תהיה 1.5% מעלות השירותים </w:t>
      </w:r>
      <w:r w:rsidRPr="00EA2D0B">
        <w:rPr>
          <w:rFonts w:hint="cs"/>
          <w:rtl/>
        </w:rPr>
        <w:t xml:space="preserve">(להלן - השתתפות נורמטיבית) </w:t>
      </w:r>
      <w:r>
        <w:rPr>
          <w:rFonts w:hint="cs"/>
          <w:rtl/>
        </w:rPr>
        <w:t xml:space="preserve">ולא 6.45% כמקובל בכלל שירותי הבריאות, בין היתר כדי להפחית </w:t>
      </w:r>
      <w:r w:rsidRPr="00D355B8">
        <w:rPr>
          <w:rFonts w:hint="cs"/>
          <w:rtl/>
        </w:rPr>
        <w:t xml:space="preserve">את ההוצאה הפרטית של </w:t>
      </w:r>
      <w:r w:rsidRPr="00D355B8">
        <w:rPr>
          <w:rFonts w:hint="eastAsia"/>
          <w:rtl/>
        </w:rPr>
        <w:t>הציבור</w:t>
      </w:r>
      <w:r w:rsidRPr="00D355B8">
        <w:rPr>
          <w:rtl/>
        </w:rPr>
        <w:t xml:space="preserve"> </w:t>
      </w:r>
      <w:r w:rsidRPr="00D355B8">
        <w:rPr>
          <w:rFonts w:hint="cs"/>
          <w:rtl/>
        </w:rPr>
        <w:t>על</w:t>
      </w:r>
      <w:r w:rsidRPr="00D355B8">
        <w:rPr>
          <w:rtl/>
        </w:rPr>
        <w:t xml:space="preserve"> השירותים הללו.</w:t>
      </w:r>
    </w:p>
    <w:p w14:paraId="19FA30A5" w14:textId="77777777" w:rsidR="00B51F5B" w:rsidRPr="009B1613" w:rsidRDefault="00B51F5B" w:rsidP="00F204BE">
      <w:pPr>
        <w:pStyle w:val="af5"/>
        <w:rPr>
          <w:rtl/>
        </w:rPr>
      </w:pPr>
      <w:r>
        <w:rPr>
          <w:rFonts w:hint="cs"/>
          <w:rtl/>
        </w:rPr>
        <w:t xml:space="preserve">מבין שלוש האפשרויות להעסקת מטפל, החלופה הכדאית מן הבחינה הכלכלית </w:t>
      </w:r>
      <w:r w:rsidRPr="009B1613">
        <w:rPr>
          <w:rtl/>
        </w:rPr>
        <w:t>לקופות</w:t>
      </w:r>
      <w:r>
        <w:rPr>
          <w:rFonts w:hint="cs"/>
          <w:rtl/>
        </w:rPr>
        <w:t xml:space="preserve"> החולים</w:t>
      </w:r>
      <w:r w:rsidRPr="009B1613">
        <w:rPr>
          <w:rtl/>
        </w:rPr>
        <w:t xml:space="preserve"> </w:t>
      </w:r>
      <w:r w:rsidRPr="009B1613">
        <w:rPr>
          <w:rFonts w:hint="eastAsia"/>
          <w:rtl/>
        </w:rPr>
        <w:t>ל</w:t>
      </w:r>
      <w:r>
        <w:rPr>
          <w:rFonts w:hint="cs"/>
          <w:rtl/>
        </w:rPr>
        <w:t xml:space="preserve">מתן </w:t>
      </w:r>
      <w:r w:rsidRPr="009B1613">
        <w:rPr>
          <w:rFonts w:hint="eastAsia"/>
          <w:rtl/>
        </w:rPr>
        <w:t>הטיפול</w:t>
      </w:r>
      <w:r w:rsidRPr="009B1613">
        <w:rPr>
          <w:rtl/>
        </w:rPr>
        <w:t xml:space="preserve"> </w:t>
      </w:r>
      <w:r w:rsidRPr="009B1613">
        <w:rPr>
          <w:rFonts w:hint="eastAsia"/>
          <w:rtl/>
        </w:rPr>
        <w:t>הפסיכותרפי</w:t>
      </w:r>
      <w:r>
        <w:rPr>
          <w:rFonts w:hint="cs"/>
          <w:rtl/>
        </w:rPr>
        <w:t>,</w:t>
      </w:r>
      <w:r w:rsidRPr="009B1613">
        <w:rPr>
          <w:rtl/>
        </w:rPr>
        <w:t xml:space="preserve"> </w:t>
      </w:r>
      <w:r>
        <w:rPr>
          <w:rFonts w:hint="cs"/>
          <w:rtl/>
        </w:rPr>
        <w:t xml:space="preserve">היא </w:t>
      </w:r>
      <w:r w:rsidRPr="009B1613">
        <w:rPr>
          <w:rFonts w:hint="eastAsia"/>
          <w:rtl/>
        </w:rPr>
        <w:t>באמצעות</w:t>
      </w:r>
      <w:r w:rsidRPr="009B1613">
        <w:rPr>
          <w:rtl/>
        </w:rPr>
        <w:t xml:space="preserve"> </w:t>
      </w:r>
      <w:r w:rsidRPr="009B1613">
        <w:rPr>
          <w:rFonts w:hint="eastAsia"/>
          <w:rtl/>
        </w:rPr>
        <w:t>מטפלים</w:t>
      </w:r>
      <w:r w:rsidRPr="009B1613">
        <w:rPr>
          <w:rtl/>
        </w:rPr>
        <w:t xml:space="preserve"> </w:t>
      </w:r>
      <w:r w:rsidRPr="009B1613">
        <w:rPr>
          <w:rFonts w:hint="eastAsia"/>
          <w:rtl/>
        </w:rPr>
        <w:t>עצמאיים</w:t>
      </w:r>
      <w:r>
        <w:rPr>
          <w:rFonts w:hint="cs"/>
          <w:rtl/>
        </w:rPr>
        <w:t xml:space="preserve"> בעלות של 100 ש"ח בלבד </w:t>
      </w:r>
      <w:r w:rsidRPr="003B2AE7">
        <w:rPr>
          <w:rtl/>
        </w:rPr>
        <w:t xml:space="preserve">לקופה ואף </w:t>
      </w:r>
      <w:r>
        <w:rPr>
          <w:rFonts w:hint="cs"/>
          <w:rtl/>
        </w:rPr>
        <w:t>ללא נשיאה בעלות התקורות העקיפות. ואולם, במקרה זה המטופל הוא זה הנושא בנטל</w:t>
      </w:r>
      <w:r w:rsidRPr="003B2AE7">
        <w:rPr>
          <w:rtl/>
        </w:rPr>
        <w:t xml:space="preserve"> ההשתתפות העצמית</w:t>
      </w:r>
      <w:r w:rsidRPr="003B2AE7">
        <w:rPr>
          <w:rFonts w:hint="cs"/>
          <w:rtl/>
        </w:rPr>
        <w:t xml:space="preserve"> </w:t>
      </w:r>
      <w:r>
        <w:rPr>
          <w:rFonts w:hint="cs"/>
          <w:rtl/>
        </w:rPr>
        <w:t xml:space="preserve">ונדרש לשלם עבור טיפול, שהוא חלק מסל הבריאות שלו הוא זכאי ללא תשלום. </w:t>
      </w:r>
    </w:p>
    <w:p w14:paraId="726110EB" w14:textId="77777777" w:rsidR="00B51F5B" w:rsidRDefault="00B51F5B" w:rsidP="00F204BE">
      <w:pPr>
        <w:pStyle w:val="100"/>
        <w:rPr>
          <w:rtl/>
        </w:rPr>
      </w:pPr>
      <w:r>
        <w:rPr>
          <w:rFonts w:hint="cs"/>
          <w:rtl/>
        </w:rPr>
        <w:t>בתרשים 4 להלן מובאים נתונים שהציג האגף לבריאות הנפש למועצת הבריאות באוקטובר 2018 בדבר שיעור המגעים שניתנו למבוגרים במסלול המטפלים העצמאיים מכלל המגעים (לרבות: אבחון, טיפול פסיכיאטרי וטיפול יום) בבריאות הנפש בכללית, במכבי ובלאומית. מאוחדת לא העבירה נתונים למשרד הבריאות עד מועד הדיון במועצת הבריאות באוקטובר 2018, ובתרשים מוצגים נתונים שהיא העבירה למשרד מבקר המדינה</w:t>
      </w:r>
      <w:r>
        <w:rPr>
          <w:rStyle w:val="FootnoteReference"/>
          <w:rtl/>
        </w:rPr>
        <w:footnoteReference w:id="79"/>
      </w:r>
      <w:r>
        <w:rPr>
          <w:rFonts w:hint="cs"/>
          <w:rtl/>
        </w:rPr>
        <w:t xml:space="preserve">. יצוין כי שיעור הטיפולים במאוחדת שניתנו במסלול המטפלים העצמאיים מתוך טיפולי הפסיכותרפיה בלבד, עמד במחוז דרום של מאוחדת על כ-54% מטיפולי הפסיכותרפיה בשנת 2018, כלומר, יותר ממחצית מטיפולי הפסיכותרפיה במחוז זה בוצעו על ידי מטפלים עצמאיים. </w:t>
      </w:r>
    </w:p>
    <w:p w14:paraId="10D2F525" w14:textId="77777777" w:rsidR="00B51F5B" w:rsidRDefault="00B51F5B" w:rsidP="00B51F5B">
      <w:pPr>
        <w:spacing w:line="269" w:lineRule="auto"/>
        <w:rPr>
          <w:rtl/>
        </w:rPr>
      </w:pPr>
      <w:r>
        <w:rPr>
          <w:rFonts w:hint="cs"/>
          <w:rtl/>
        </w:rPr>
        <w:t xml:space="preserve"> </w:t>
      </w:r>
    </w:p>
    <w:p w14:paraId="081343F8" w14:textId="51D453E8" w:rsidR="00B51F5B" w:rsidRPr="00F204BE" w:rsidRDefault="00B51F5B" w:rsidP="00F204BE">
      <w:pPr>
        <w:pStyle w:val="aa"/>
        <w:rPr>
          <w:b/>
          <w:bCs/>
        </w:rPr>
      </w:pPr>
      <w:r w:rsidRPr="00480FEA">
        <w:rPr>
          <w:rtl/>
        </w:rPr>
        <w:t xml:space="preserve">תרשים </w:t>
      </w:r>
      <w:r>
        <w:rPr>
          <w:rFonts w:hint="cs"/>
          <w:rtl/>
        </w:rPr>
        <w:t>4</w:t>
      </w:r>
      <w:r w:rsidRPr="00480FEA">
        <w:rPr>
          <w:rtl/>
        </w:rPr>
        <w:t xml:space="preserve">: </w:t>
      </w:r>
      <w:r w:rsidRPr="00F204BE">
        <w:rPr>
          <w:b/>
          <w:bCs/>
          <w:rtl/>
        </w:rPr>
        <w:t>שיעור המגעים למבוגרים במסלול המטפלים העצמאיים</w:t>
      </w:r>
      <w:r w:rsidR="00C1008B">
        <w:rPr>
          <w:b/>
          <w:bCs/>
          <w:rtl/>
        </w:rPr>
        <w:br/>
      </w:r>
      <w:r w:rsidRPr="00F204BE">
        <w:rPr>
          <w:b/>
          <w:bCs/>
          <w:rtl/>
        </w:rPr>
        <w:t>מכלל המגעים</w:t>
      </w:r>
      <w:r w:rsidRPr="00F204BE">
        <w:rPr>
          <w:rFonts w:hint="cs"/>
          <w:b/>
          <w:bCs/>
          <w:rtl/>
        </w:rPr>
        <w:t>,</w:t>
      </w:r>
      <w:r w:rsidRPr="00F204BE">
        <w:rPr>
          <w:b/>
          <w:bCs/>
          <w:rtl/>
        </w:rPr>
        <w:t xml:space="preserve"> 2017</w:t>
      </w:r>
    </w:p>
    <w:p w14:paraId="6623250F" w14:textId="77777777" w:rsidR="00B51F5B" w:rsidRDefault="00B51F5B" w:rsidP="00B51F5B">
      <w:pPr>
        <w:spacing w:line="269" w:lineRule="auto"/>
        <w:jc w:val="center"/>
        <w:rPr>
          <w:rtl/>
        </w:rPr>
      </w:pPr>
      <w:r>
        <w:rPr>
          <w:noProof/>
          <w:rtl/>
        </w:rPr>
        <w:drawing>
          <wp:inline distT="0" distB="0" distL="0" distR="0" wp14:anchorId="4F13A319" wp14:editId="3F64DFE2">
            <wp:extent cx="3562314" cy="2061210"/>
            <wp:effectExtent l="0" t="0" r="635" b="15240"/>
            <wp:docPr id="226"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51917B" w14:textId="18CD322C" w:rsidR="00B51F5B" w:rsidRDefault="00B51F5B" w:rsidP="00B7439E">
      <w:pPr>
        <w:pStyle w:val="ac"/>
        <w:spacing w:before="0" w:after="240"/>
        <w:rPr>
          <w:rtl/>
        </w:rPr>
      </w:pPr>
      <w:r w:rsidRPr="0089699D">
        <w:rPr>
          <w:rFonts w:hint="eastAsia"/>
          <w:rtl/>
        </w:rPr>
        <w:t>על</w:t>
      </w:r>
      <w:r w:rsidRPr="0089699D">
        <w:rPr>
          <w:rtl/>
        </w:rPr>
        <w:t xml:space="preserve"> </w:t>
      </w:r>
      <w:r w:rsidRPr="0089699D">
        <w:rPr>
          <w:rFonts w:hint="eastAsia"/>
          <w:rtl/>
        </w:rPr>
        <w:t>פי</w:t>
      </w:r>
      <w:r w:rsidRPr="0089699D">
        <w:rPr>
          <w:rtl/>
        </w:rPr>
        <w:t xml:space="preserve"> </w:t>
      </w:r>
      <w:r w:rsidRPr="0089699D">
        <w:rPr>
          <w:rFonts w:hint="eastAsia"/>
          <w:rtl/>
        </w:rPr>
        <w:t>נתוני</w:t>
      </w:r>
      <w:r w:rsidRPr="0089699D">
        <w:rPr>
          <w:rtl/>
        </w:rPr>
        <w:t xml:space="preserve"> </w:t>
      </w:r>
      <w:r w:rsidRPr="0089699D">
        <w:rPr>
          <w:rFonts w:hint="eastAsia"/>
          <w:rtl/>
        </w:rPr>
        <w:t>משרד</w:t>
      </w:r>
      <w:r w:rsidRPr="0089699D">
        <w:rPr>
          <w:rtl/>
        </w:rPr>
        <w:t xml:space="preserve"> </w:t>
      </w:r>
      <w:r w:rsidRPr="0089699D">
        <w:rPr>
          <w:rFonts w:hint="eastAsia"/>
          <w:rtl/>
        </w:rPr>
        <w:t>הבריאות</w:t>
      </w:r>
      <w:r w:rsidRPr="0089699D">
        <w:rPr>
          <w:rtl/>
        </w:rPr>
        <w:t xml:space="preserve"> </w:t>
      </w:r>
      <w:r w:rsidRPr="0089699D">
        <w:rPr>
          <w:rFonts w:hint="eastAsia"/>
          <w:rtl/>
        </w:rPr>
        <w:t>ומאוחדת</w:t>
      </w:r>
      <w:r w:rsidRPr="0089699D">
        <w:rPr>
          <w:rtl/>
        </w:rPr>
        <w:t>.</w:t>
      </w:r>
    </w:p>
    <w:p w14:paraId="579078A1" w14:textId="610882EF" w:rsidR="00B51F5B" w:rsidRPr="006B0635" w:rsidRDefault="006B0635" w:rsidP="00F204BE">
      <w:pPr>
        <w:pStyle w:val="100"/>
        <w:rPr>
          <w:rtl/>
        </w:rPr>
      </w:pPr>
      <w:r>
        <w:rPr>
          <w:noProof/>
        </w:rPr>
        <w:drawing>
          <wp:anchor distT="0" distB="0" distL="114300" distR="114300" simplePos="0" relativeHeight="251659264" behindDoc="0" locked="0" layoutInCell="1" allowOverlap="1" wp14:anchorId="1BEDA6DD" wp14:editId="62DEF0B6">
            <wp:simplePos x="0" y="0"/>
            <wp:positionH relativeFrom="column">
              <wp:posOffset>-48260</wp:posOffset>
            </wp:positionH>
            <wp:positionV relativeFrom="paragraph">
              <wp:posOffset>940435</wp:posOffset>
            </wp:positionV>
            <wp:extent cx="2599690" cy="2175510"/>
            <wp:effectExtent l="0" t="0" r="10160" b="15240"/>
            <wp:wrapTopAndBottom/>
            <wp:docPr id="227"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03986667" wp14:editId="473F7F09">
            <wp:simplePos x="0" y="0"/>
            <wp:positionH relativeFrom="column">
              <wp:posOffset>2567305</wp:posOffset>
            </wp:positionH>
            <wp:positionV relativeFrom="paragraph">
              <wp:posOffset>930910</wp:posOffset>
            </wp:positionV>
            <wp:extent cx="2635885" cy="2185670"/>
            <wp:effectExtent l="0" t="0" r="12065" b="5080"/>
            <wp:wrapTopAndBottom/>
            <wp:docPr id="228"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B51F5B">
        <w:rPr>
          <w:rFonts w:hint="cs"/>
          <w:rtl/>
        </w:rPr>
        <w:t xml:space="preserve">משרד מבקר המדינה אסף מקופות החולים נתונים על הטיפולים האמבולטוריים שניתנו למבוטחי הקופות בשנת 2018, ובחן את שיעור המטופלים אצל מטפלים עצמאיים מתוך כלל המטופלים בבריאות הנפש ובהתאם לאשכול חברתי-כלכלי של היישובים שבהם הם גרים. להלן </w:t>
      </w:r>
      <w:r w:rsidR="00B51F5B" w:rsidRPr="009631C5">
        <w:rPr>
          <w:rFonts w:hint="cs"/>
          <w:rtl/>
        </w:rPr>
        <w:t>ריכוז התוצאות:</w:t>
      </w:r>
    </w:p>
    <w:p w14:paraId="56EB74D3" w14:textId="00B91385" w:rsidR="00B51F5B" w:rsidRDefault="00B51F5B" w:rsidP="00F204BE">
      <w:pPr>
        <w:pStyle w:val="aff8"/>
        <w:spacing w:line="269" w:lineRule="auto"/>
        <w:ind w:left="0"/>
        <w:rPr>
          <w:rtl/>
        </w:rPr>
      </w:pPr>
    </w:p>
    <w:p w14:paraId="21EDB73E" w14:textId="78171CC1" w:rsidR="00B51F5B" w:rsidRDefault="00B51F5B" w:rsidP="00B51F5B">
      <w:pPr>
        <w:pStyle w:val="aff8"/>
        <w:spacing w:line="269" w:lineRule="auto"/>
        <w:rPr>
          <w:rtl/>
        </w:rPr>
      </w:pPr>
    </w:p>
    <w:p w14:paraId="379B9147" w14:textId="77777777" w:rsidR="00B51F5B" w:rsidRDefault="00B51F5B" w:rsidP="00F204BE">
      <w:pPr>
        <w:pStyle w:val="af5"/>
        <w:rPr>
          <w:rtl/>
        </w:rPr>
      </w:pPr>
      <w:r w:rsidRPr="0014156C">
        <w:rPr>
          <w:rFonts w:hint="cs"/>
          <w:rtl/>
        </w:rPr>
        <w:t>מתרשימים</w:t>
      </w:r>
      <w:r>
        <w:rPr>
          <w:rFonts w:hint="cs"/>
          <w:rtl/>
        </w:rPr>
        <w:t xml:space="preserve"> 4, 5 ו-6 </w:t>
      </w:r>
      <w:r w:rsidRPr="0014156C">
        <w:rPr>
          <w:rtl/>
        </w:rPr>
        <w:t xml:space="preserve">עולה כי </w:t>
      </w:r>
      <w:r>
        <w:rPr>
          <w:rFonts w:hint="cs"/>
          <w:rtl/>
        </w:rPr>
        <w:t xml:space="preserve">יותר מרבע מהמטופלים של מכבי ומאוחדת שקיבלו טיפול נפשי, קיבלו אותו ממטפלים עצמאיים. </w:t>
      </w:r>
      <w:r w:rsidRPr="0014156C">
        <w:rPr>
          <w:rFonts w:hint="eastAsia"/>
          <w:rtl/>
        </w:rPr>
        <w:t>לרוב</w:t>
      </w:r>
      <w:r w:rsidRPr="0014156C">
        <w:rPr>
          <w:rtl/>
        </w:rPr>
        <w:t xml:space="preserve"> </w:t>
      </w:r>
      <w:r w:rsidRPr="0014156C">
        <w:rPr>
          <w:rFonts w:hint="eastAsia"/>
          <w:rtl/>
        </w:rPr>
        <w:t>שיעור</w:t>
      </w:r>
      <w:r w:rsidRPr="0014156C">
        <w:rPr>
          <w:rtl/>
        </w:rPr>
        <w:t xml:space="preserve"> </w:t>
      </w:r>
      <w:r w:rsidRPr="0014156C">
        <w:rPr>
          <w:rFonts w:hint="eastAsia"/>
          <w:rtl/>
        </w:rPr>
        <w:t>המטופלים</w:t>
      </w:r>
      <w:r w:rsidRPr="0014156C">
        <w:rPr>
          <w:rtl/>
        </w:rPr>
        <w:t xml:space="preserve"> </w:t>
      </w:r>
      <w:r w:rsidRPr="0014156C">
        <w:rPr>
          <w:rFonts w:hint="eastAsia"/>
          <w:rtl/>
        </w:rPr>
        <w:t>הפונים</w:t>
      </w:r>
      <w:r w:rsidRPr="0014156C">
        <w:rPr>
          <w:rtl/>
        </w:rPr>
        <w:t xml:space="preserve"> </w:t>
      </w:r>
      <w:r w:rsidRPr="0014156C">
        <w:rPr>
          <w:rFonts w:hint="eastAsia"/>
          <w:rtl/>
        </w:rPr>
        <w:t>למטפלים</w:t>
      </w:r>
      <w:r w:rsidRPr="0014156C">
        <w:rPr>
          <w:rtl/>
        </w:rPr>
        <w:t xml:space="preserve"> </w:t>
      </w:r>
      <w:r w:rsidRPr="0014156C">
        <w:rPr>
          <w:rFonts w:hint="eastAsia"/>
          <w:rtl/>
        </w:rPr>
        <w:t>עצמאיים</w:t>
      </w:r>
      <w:r w:rsidRPr="0014156C">
        <w:rPr>
          <w:rtl/>
        </w:rPr>
        <w:t xml:space="preserve"> הוא גבוה יותר בי</w:t>
      </w:r>
      <w:r w:rsidRPr="0014156C">
        <w:rPr>
          <w:rFonts w:hint="cs"/>
          <w:rtl/>
        </w:rPr>
        <w:t>י</w:t>
      </w:r>
      <w:r w:rsidRPr="0014156C">
        <w:rPr>
          <w:rtl/>
        </w:rPr>
        <w:t>ש</w:t>
      </w:r>
      <w:r w:rsidRPr="0014156C">
        <w:rPr>
          <w:rFonts w:hint="eastAsia"/>
          <w:rtl/>
        </w:rPr>
        <w:t>ו</w:t>
      </w:r>
      <w:r w:rsidRPr="0014156C">
        <w:rPr>
          <w:rtl/>
        </w:rPr>
        <w:t>בים המשתייכים לאשכול חברתי</w:t>
      </w:r>
      <w:r w:rsidRPr="0014156C">
        <w:rPr>
          <w:rFonts w:hint="cs"/>
          <w:rtl/>
        </w:rPr>
        <w:t xml:space="preserve">-כלכלי </w:t>
      </w:r>
      <w:r w:rsidRPr="0014156C">
        <w:rPr>
          <w:rtl/>
        </w:rPr>
        <w:t xml:space="preserve">גבוה יותר. מסקנה זו </w:t>
      </w:r>
      <w:r w:rsidRPr="0014156C">
        <w:rPr>
          <w:rFonts w:hint="cs"/>
          <w:rtl/>
        </w:rPr>
        <w:t>משקפת</w:t>
      </w:r>
      <w:r w:rsidRPr="0014156C">
        <w:rPr>
          <w:rtl/>
        </w:rPr>
        <w:t xml:space="preserve"> את </w:t>
      </w:r>
      <w:r w:rsidRPr="0014156C">
        <w:rPr>
          <w:rFonts w:hint="cs"/>
          <w:rtl/>
        </w:rPr>
        <w:t>העובדה</w:t>
      </w:r>
      <w:r w:rsidRPr="0014156C">
        <w:rPr>
          <w:rtl/>
        </w:rPr>
        <w:t xml:space="preserve"> </w:t>
      </w:r>
      <w:r w:rsidRPr="0014156C">
        <w:rPr>
          <w:rFonts w:hint="cs"/>
          <w:rtl/>
        </w:rPr>
        <w:t>שפנייה</w:t>
      </w:r>
      <w:r w:rsidRPr="0014156C">
        <w:rPr>
          <w:rtl/>
        </w:rPr>
        <w:t xml:space="preserve"> </w:t>
      </w:r>
      <w:r w:rsidRPr="0014156C">
        <w:rPr>
          <w:rFonts w:hint="eastAsia"/>
          <w:rtl/>
        </w:rPr>
        <w:t>למטפלים</w:t>
      </w:r>
      <w:r w:rsidRPr="0014156C">
        <w:rPr>
          <w:rtl/>
        </w:rPr>
        <w:t xml:space="preserve"> עצמאיים </w:t>
      </w:r>
      <w:r w:rsidRPr="0014156C">
        <w:rPr>
          <w:rFonts w:hint="cs"/>
          <w:rtl/>
        </w:rPr>
        <w:t>כרוכה</w:t>
      </w:r>
      <w:r w:rsidRPr="0014156C">
        <w:rPr>
          <w:rtl/>
        </w:rPr>
        <w:t xml:space="preserve"> </w:t>
      </w:r>
      <w:r w:rsidRPr="0014156C">
        <w:rPr>
          <w:rFonts w:hint="cs"/>
          <w:rtl/>
        </w:rPr>
        <w:t>בנטל כלכלי</w:t>
      </w:r>
      <w:r w:rsidRPr="0014156C">
        <w:rPr>
          <w:rtl/>
        </w:rPr>
        <w:t>.</w:t>
      </w:r>
      <w:r w:rsidRPr="0014156C">
        <w:rPr>
          <w:rFonts w:hint="cs"/>
          <w:rtl/>
        </w:rPr>
        <w:t xml:space="preserve"> עולה אפוא כי שירותי בריאות הנפש זמינים </w:t>
      </w:r>
      <w:r>
        <w:rPr>
          <w:rFonts w:hint="cs"/>
          <w:rtl/>
        </w:rPr>
        <w:t xml:space="preserve">יהיו אפשריים </w:t>
      </w:r>
      <w:r w:rsidRPr="0014156C">
        <w:rPr>
          <w:rFonts w:hint="cs"/>
          <w:rtl/>
        </w:rPr>
        <w:t>יותר למי שיכול לשאת במימון השירות.</w:t>
      </w:r>
      <w:r>
        <w:rPr>
          <w:rFonts w:hint="cs"/>
          <w:rtl/>
        </w:rPr>
        <w:t xml:space="preserve"> </w:t>
      </w:r>
    </w:p>
    <w:p w14:paraId="1F599273" w14:textId="77777777" w:rsidR="00B51F5B" w:rsidRPr="00AE3145" w:rsidRDefault="00B51F5B" w:rsidP="00F204BE">
      <w:pPr>
        <w:pStyle w:val="100"/>
        <w:rPr>
          <w:b/>
          <w:bCs/>
        </w:rPr>
      </w:pPr>
      <w:r w:rsidRPr="0014156C">
        <w:rPr>
          <w:rtl/>
        </w:rPr>
        <w:t xml:space="preserve">מחקרים מראים כי מתקיים קשר הפוך בין מעמד </w:t>
      </w:r>
      <w:r w:rsidRPr="0014156C">
        <w:rPr>
          <w:rFonts w:hint="cs"/>
          <w:rtl/>
        </w:rPr>
        <w:t>חברתי-כלכלי</w:t>
      </w:r>
      <w:r w:rsidRPr="0014156C">
        <w:rPr>
          <w:rtl/>
        </w:rPr>
        <w:t xml:space="preserve"> לבין שכיחות של הפרעות</w:t>
      </w:r>
      <w:r w:rsidRPr="00BF2668">
        <w:rPr>
          <w:rtl/>
        </w:rPr>
        <w:t xml:space="preserve"> נפשיות</w:t>
      </w:r>
      <w:r>
        <w:rPr>
          <w:rFonts w:hint="cs"/>
          <w:rtl/>
        </w:rPr>
        <w:t>.</w:t>
      </w:r>
      <w:r w:rsidRPr="00BF2668">
        <w:rPr>
          <w:rtl/>
        </w:rPr>
        <w:t xml:space="preserve"> נמצא כי אנשים עם הכנסה שנתית נמוכה למשק בית הם בעלי סיכויים גבוהים</w:t>
      </w:r>
      <w:r>
        <w:rPr>
          <w:rFonts w:hint="cs"/>
          <w:rtl/>
        </w:rPr>
        <w:t xml:space="preserve"> בהרבה</w:t>
      </w:r>
      <w:r w:rsidRPr="00BF2668">
        <w:rPr>
          <w:rtl/>
        </w:rPr>
        <w:t xml:space="preserve"> לסבול </w:t>
      </w:r>
      <w:r w:rsidRPr="0014156C">
        <w:rPr>
          <w:rtl/>
        </w:rPr>
        <w:t xml:space="preserve">מדיכאון </w:t>
      </w:r>
      <w:r w:rsidRPr="0014156C">
        <w:rPr>
          <w:rFonts w:hint="cs"/>
          <w:rtl/>
        </w:rPr>
        <w:t>קליני עמוק (</w:t>
      </w:r>
      <w:r w:rsidRPr="0014156C">
        <w:rPr>
          <w:rtl/>
        </w:rPr>
        <w:t>מג'ורי</w:t>
      </w:r>
      <w:r w:rsidRPr="0014156C">
        <w:rPr>
          <w:rFonts w:hint="cs"/>
          <w:rtl/>
        </w:rPr>
        <w:t>)</w:t>
      </w:r>
      <w:r>
        <w:rPr>
          <w:rFonts w:hint="cs"/>
          <w:rtl/>
        </w:rPr>
        <w:t>,</w:t>
      </w:r>
      <w:r w:rsidRPr="0014156C">
        <w:rPr>
          <w:rtl/>
        </w:rPr>
        <w:t xml:space="preserve"> וכי שיעור הפרעות החרדה בקרב מעוט</w:t>
      </w:r>
      <w:r w:rsidRPr="00BF2668">
        <w:rPr>
          <w:rtl/>
        </w:rPr>
        <w:t xml:space="preserve">י הכנסה </w:t>
      </w:r>
      <w:r>
        <w:rPr>
          <w:rFonts w:hint="cs"/>
          <w:rtl/>
        </w:rPr>
        <w:t xml:space="preserve">הוא </w:t>
      </w:r>
      <w:r w:rsidRPr="00BF2668">
        <w:rPr>
          <w:rtl/>
        </w:rPr>
        <w:t>בערך פי שלושה</w:t>
      </w:r>
      <w:r>
        <w:rPr>
          <w:rStyle w:val="FootnoteReference"/>
          <w:rtl/>
        </w:rPr>
        <w:footnoteReference w:id="80"/>
      </w:r>
      <w:r>
        <w:rPr>
          <w:rFonts w:hint="cs"/>
          <w:rtl/>
        </w:rPr>
        <w:t>. ואולם, כפי שעלה בביקורת דווקא מטופלים המתגוררים ביישובים</w:t>
      </w:r>
      <w:r w:rsidDel="00F913A5">
        <w:rPr>
          <w:rFonts w:hint="cs"/>
          <w:rtl/>
        </w:rPr>
        <w:t xml:space="preserve"> </w:t>
      </w:r>
      <w:r>
        <w:rPr>
          <w:rFonts w:hint="cs"/>
          <w:rtl/>
        </w:rPr>
        <w:t>שבאשכול חברתי-כלכלי נמוך, פונים פחות לקבלת טיפול אצל מטפלים עצמאיים, ונאלצים להסתמך על מערך השירותי</w:t>
      </w:r>
      <w:r>
        <w:rPr>
          <w:rFonts w:hint="eastAsia"/>
          <w:rtl/>
        </w:rPr>
        <w:t>ם</w:t>
      </w:r>
      <w:r>
        <w:rPr>
          <w:rFonts w:hint="cs"/>
          <w:rtl/>
        </w:rPr>
        <w:t xml:space="preserve"> הניתן ללא תשלום והכרוך, כאמור, בהמתנה ארוכה או בנסיעה למרחק רב. מגבלה זו עלולה להובילם לוויתור על קבלת השירות. </w:t>
      </w:r>
    </w:p>
    <w:p w14:paraId="6493A7B1" w14:textId="29B701FD" w:rsidR="00B51F5B" w:rsidRDefault="00B51F5B" w:rsidP="00F204BE">
      <w:pPr>
        <w:pStyle w:val="100"/>
        <w:rPr>
          <w:rtl/>
        </w:rPr>
      </w:pPr>
      <w:r>
        <w:rPr>
          <w:rFonts w:hint="cs"/>
          <w:rtl/>
        </w:rPr>
        <w:t>תרשים 7 להלן מציג את שיעור ההשתתפות העצמית בפועל המהווה את תשלומי המבוטחים בבריאות הנפש מתוך סך מקורות הקופה בתחום בכל אחת מקופות החולים בהתבסס על נתונים שהן העבירו וכפי שחושב על ידי משרד מבקר המדינה</w:t>
      </w:r>
      <w:r>
        <w:rPr>
          <w:rStyle w:val="FootnoteReference"/>
          <w:rtl/>
        </w:rPr>
        <w:footnoteReference w:id="81"/>
      </w:r>
      <w:r>
        <w:rPr>
          <w:rFonts w:hint="cs"/>
          <w:rtl/>
        </w:rPr>
        <w:t>. ככל ששיעור זה גבוה יותר כך מטופלים רבים בחרו בחלופה היקרה יותר של פנייה למטפלים עצמאיים:</w:t>
      </w:r>
    </w:p>
    <w:p w14:paraId="63DEF57D" w14:textId="1F050DED" w:rsidR="00B51F5B" w:rsidRDefault="00B51F5B" w:rsidP="00F204BE">
      <w:pPr>
        <w:pStyle w:val="aa"/>
        <w:rPr>
          <w:rtl/>
        </w:rPr>
      </w:pPr>
      <w:r w:rsidRPr="00CB5A42">
        <w:rPr>
          <w:rtl/>
        </w:rPr>
        <w:t xml:space="preserve">תרשים </w:t>
      </w:r>
      <w:r>
        <w:rPr>
          <w:rFonts w:hint="cs"/>
          <w:rtl/>
        </w:rPr>
        <w:t>7</w:t>
      </w:r>
      <w:r w:rsidRPr="00CB5A42">
        <w:rPr>
          <w:rtl/>
        </w:rPr>
        <w:t xml:space="preserve">: </w:t>
      </w:r>
      <w:r w:rsidRPr="00F204BE">
        <w:rPr>
          <w:rFonts w:hint="cs"/>
          <w:b/>
          <w:bCs/>
          <w:rtl/>
        </w:rPr>
        <w:t>שיעור ה</w:t>
      </w:r>
      <w:r w:rsidRPr="00F204BE">
        <w:rPr>
          <w:b/>
          <w:bCs/>
          <w:rtl/>
        </w:rPr>
        <w:t xml:space="preserve">השתתפות </w:t>
      </w:r>
      <w:r w:rsidRPr="00F204BE">
        <w:rPr>
          <w:rFonts w:hint="cs"/>
          <w:b/>
          <w:bCs/>
          <w:rtl/>
        </w:rPr>
        <w:t>ה</w:t>
      </w:r>
      <w:r w:rsidRPr="00F204BE">
        <w:rPr>
          <w:b/>
          <w:bCs/>
          <w:rtl/>
        </w:rPr>
        <w:t xml:space="preserve">עצמית </w:t>
      </w:r>
      <w:r w:rsidRPr="00F204BE">
        <w:rPr>
          <w:rFonts w:hint="eastAsia"/>
          <w:b/>
          <w:bCs/>
          <w:rtl/>
        </w:rPr>
        <w:t>מ</w:t>
      </w:r>
      <w:r w:rsidRPr="00F204BE">
        <w:rPr>
          <w:rFonts w:hint="cs"/>
          <w:b/>
          <w:bCs/>
          <w:rtl/>
        </w:rPr>
        <w:t>עלות שירותי בריאות הנפש בכל אחת</w:t>
      </w:r>
      <w:r w:rsidRPr="00F204BE">
        <w:rPr>
          <w:b/>
          <w:bCs/>
          <w:rtl/>
        </w:rPr>
        <w:t xml:space="preserve"> </w:t>
      </w:r>
      <w:r w:rsidRPr="00F204BE">
        <w:rPr>
          <w:rFonts w:hint="cs"/>
          <w:b/>
          <w:bCs/>
          <w:rtl/>
        </w:rPr>
        <w:t>מקופות החולים, 2018-2016</w:t>
      </w:r>
    </w:p>
    <w:p w14:paraId="7B7CB3EB" w14:textId="1FF40AA7" w:rsidR="00B51F5B" w:rsidRPr="00AE3145" w:rsidRDefault="00B51F5B" w:rsidP="00F204BE">
      <w:pPr>
        <w:pStyle w:val="aff8"/>
        <w:spacing w:line="269" w:lineRule="auto"/>
        <w:rPr>
          <w:rtl/>
        </w:rPr>
      </w:pPr>
      <w:r>
        <w:rPr>
          <w:noProof/>
        </w:rPr>
        <w:drawing>
          <wp:anchor distT="0" distB="0" distL="114300" distR="114300" simplePos="0" relativeHeight="251653632" behindDoc="0" locked="0" layoutInCell="1" allowOverlap="1" wp14:anchorId="11DF6D90" wp14:editId="437AF731">
            <wp:simplePos x="0" y="0"/>
            <wp:positionH relativeFrom="column">
              <wp:posOffset>647065</wp:posOffset>
            </wp:positionH>
            <wp:positionV relativeFrom="paragraph">
              <wp:posOffset>0</wp:posOffset>
            </wp:positionV>
            <wp:extent cx="3914775" cy="1924050"/>
            <wp:effectExtent l="0" t="0" r="9525" b="0"/>
            <wp:wrapTopAndBottom/>
            <wp:docPr id="229"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noProof/>
          <w:rtl/>
        </w:rPr>
        <mc:AlternateContent>
          <mc:Choice Requires="wps">
            <w:drawing>
              <wp:anchor distT="0" distB="0" distL="114300" distR="114300" simplePos="0" relativeHeight="251652608" behindDoc="0" locked="0" layoutInCell="1" allowOverlap="1" wp14:anchorId="5F69F062" wp14:editId="7E37DAC8">
                <wp:simplePos x="0" y="0"/>
                <wp:positionH relativeFrom="column">
                  <wp:posOffset>1580515</wp:posOffset>
                </wp:positionH>
                <wp:positionV relativeFrom="paragraph">
                  <wp:posOffset>1310640</wp:posOffset>
                </wp:positionV>
                <wp:extent cx="2616597" cy="6415"/>
                <wp:effectExtent l="0" t="0" r="12700" b="31750"/>
                <wp:wrapTopAndBottom/>
                <wp:docPr id="219" name="מחבר ישר 13"/>
                <wp:cNvGraphicFramePr/>
                <a:graphic xmlns:a="http://schemas.openxmlformats.org/drawingml/2006/main">
                  <a:graphicData uri="http://schemas.microsoft.com/office/word/2010/wordprocessingShape">
                    <wps:wsp>
                      <wps:cNvCnPr/>
                      <wps:spPr>
                        <a:xfrm flipH="1">
                          <a:off x="0" y="0"/>
                          <a:ext cx="2616597" cy="6415"/>
                        </a:xfrm>
                        <a:prstGeom prst="line">
                          <a:avLst/>
                        </a:prstGeom>
                        <a:noFill/>
                        <a:ln w="9525">
                          <a:solidFill>
                            <a:sysClr val="windowText" lastClr="000000">
                              <a:shade val="95000"/>
                              <a:satMod val="105000"/>
                            </a:sysClr>
                          </a:solidFill>
                          <a:prstDash val="sysDot"/>
                        </a:ln>
                        <a:effectLst/>
                      </wps:spPr>
                      <wps:bodyPr/>
                    </wps:wsp>
                  </a:graphicData>
                </a:graphic>
              </wp:anchor>
            </w:drawing>
          </mc:Choice>
          <mc:Fallback>
            <w:pict>
              <v:line w14:anchorId="77BD030D" id="מחבר ישר 13" o:spid="_x0000_s1026" style="position:absolute;left:0;text-align:left;flip:x;z-index:251652608;visibility:visible;mso-wrap-style:square;mso-wrap-distance-left:9pt;mso-wrap-distance-top:0;mso-wrap-distance-right:9pt;mso-wrap-distance-bottom:0;mso-position-horizontal:absolute;mso-position-horizontal-relative:text;mso-position-vertical:absolute;mso-position-vertical-relative:text" from="124.45pt,103.2pt" to="33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">
                <v:stroke dashstyle="1 1"/>
                <w10:wrap type="topAndBottom"/>
              </v:line>
            </w:pict>
          </mc:Fallback>
        </mc:AlternateContent>
      </w:r>
    </w:p>
    <w:p w14:paraId="7A0F33B5" w14:textId="77777777" w:rsidR="00B51F5B" w:rsidRPr="00F40517" w:rsidRDefault="00B51F5B" w:rsidP="00F204BE">
      <w:pPr>
        <w:pStyle w:val="100"/>
        <w:rPr>
          <w:rtl/>
        </w:rPr>
      </w:pPr>
      <w:r w:rsidRPr="00684622">
        <w:rPr>
          <w:rFonts w:hint="eastAsia"/>
          <w:rtl/>
        </w:rPr>
        <w:t>מהנתונים</w:t>
      </w:r>
      <w:r w:rsidRPr="00684622">
        <w:rPr>
          <w:rtl/>
        </w:rPr>
        <w:t xml:space="preserve"> </w:t>
      </w:r>
      <w:r w:rsidRPr="00684622">
        <w:rPr>
          <w:rFonts w:hint="eastAsia"/>
          <w:rtl/>
        </w:rPr>
        <w:t>שבתרשים</w:t>
      </w:r>
      <w:r w:rsidRPr="00684622">
        <w:rPr>
          <w:rtl/>
        </w:rPr>
        <w:t xml:space="preserve"> </w:t>
      </w:r>
      <w:r>
        <w:rPr>
          <w:rFonts w:hint="cs"/>
          <w:rtl/>
        </w:rPr>
        <w:t>7</w:t>
      </w:r>
      <w:r w:rsidRPr="00684622">
        <w:rPr>
          <w:rtl/>
        </w:rPr>
        <w:t xml:space="preserve"> עולה </w:t>
      </w:r>
      <w:r>
        <w:rPr>
          <w:rFonts w:hint="cs"/>
          <w:rtl/>
        </w:rPr>
        <w:t xml:space="preserve">פער גדול ביותר בין </w:t>
      </w:r>
      <w:r w:rsidRPr="00684622">
        <w:rPr>
          <w:rFonts w:hint="eastAsia"/>
          <w:rtl/>
        </w:rPr>
        <w:t>מכבי</w:t>
      </w:r>
      <w:r w:rsidRPr="00684622">
        <w:rPr>
          <w:rtl/>
        </w:rPr>
        <w:t xml:space="preserve"> </w:t>
      </w:r>
      <w:r w:rsidRPr="00684622">
        <w:rPr>
          <w:rFonts w:hint="eastAsia"/>
          <w:rtl/>
        </w:rPr>
        <w:t>ומאוחדת</w:t>
      </w:r>
      <w:r>
        <w:rPr>
          <w:rFonts w:hint="cs"/>
          <w:rtl/>
        </w:rPr>
        <w:t xml:space="preserve"> לבין כללית ולאומית בכל הנוגע לשיעור </w:t>
      </w:r>
      <w:r>
        <w:rPr>
          <w:rFonts w:hint="eastAsia"/>
          <w:rtl/>
        </w:rPr>
        <w:t>ההשתתפות</w:t>
      </w:r>
      <w:r>
        <w:rPr>
          <w:rtl/>
        </w:rPr>
        <w:t xml:space="preserve"> העצמית </w:t>
      </w:r>
      <w:r w:rsidRPr="00684622">
        <w:rPr>
          <w:rFonts w:hint="eastAsia"/>
          <w:rtl/>
        </w:rPr>
        <w:t>בשנים</w:t>
      </w:r>
      <w:r>
        <w:rPr>
          <w:rFonts w:hint="cs"/>
          <w:rtl/>
        </w:rPr>
        <w:t xml:space="preserve"> </w:t>
      </w:r>
      <w:r w:rsidRPr="00684622">
        <w:rPr>
          <w:rtl/>
        </w:rPr>
        <w:t>2018-2016</w:t>
      </w:r>
      <w:r>
        <w:rPr>
          <w:rFonts w:hint="cs"/>
          <w:rtl/>
        </w:rPr>
        <w:t xml:space="preserve">. כך, </w:t>
      </w:r>
      <w:r>
        <w:rPr>
          <w:rFonts w:hint="eastAsia"/>
          <w:rtl/>
        </w:rPr>
        <w:t>במכבי</w:t>
      </w:r>
      <w:r>
        <w:rPr>
          <w:rtl/>
        </w:rPr>
        <w:t xml:space="preserve"> ובמאוחדת </w:t>
      </w:r>
      <w:r>
        <w:rPr>
          <w:rFonts w:hint="cs"/>
          <w:rtl/>
        </w:rPr>
        <w:t>הגיע שיעור זה</w:t>
      </w:r>
      <w:r w:rsidRPr="00684622">
        <w:rPr>
          <w:rtl/>
        </w:rPr>
        <w:t xml:space="preserve"> לכדי </w:t>
      </w:r>
      <w:r w:rsidRPr="00684622">
        <w:rPr>
          <w:rFonts w:hint="eastAsia"/>
          <w:rtl/>
        </w:rPr>
        <w:t>כ</w:t>
      </w:r>
      <w:r w:rsidRPr="00684622">
        <w:rPr>
          <w:rtl/>
        </w:rPr>
        <w:t xml:space="preserve">-5% </w:t>
      </w:r>
      <w:r w:rsidRPr="00684622">
        <w:rPr>
          <w:rFonts w:hint="eastAsia"/>
          <w:rtl/>
        </w:rPr>
        <w:t>לפחות</w:t>
      </w:r>
      <w:r w:rsidRPr="00684622">
        <w:rPr>
          <w:rtl/>
        </w:rPr>
        <w:t xml:space="preserve">, </w:t>
      </w:r>
      <w:r w:rsidRPr="00684622">
        <w:rPr>
          <w:rFonts w:hint="eastAsia"/>
          <w:rtl/>
        </w:rPr>
        <w:t>גבוה</w:t>
      </w:r>
      <w:r w:rsidRPr="00684622">
        <w:rPr>
          <w:rtl/>
        </w:rPr>
        <w:t xml:space="preserve"> </w:t>
      </w:r>
      <w:r w:rsidRPr="00684622">
        <w:rPr>
          <w:rFonts w:hint="eastAsia"/>
          <w:rtl/>
        </w:rPr>
        <w:t>בהרבה</w:t>
      </w:r>
      <w:r w:rsidRPr="00684622">
        <w:rPr>
          <w:rtl/>
        </w:rPr>
        <w:t xml:space="preserve"> </w:t>
      </w:r>
      <w:r w:rsidRPr="00684622">
        <w:rPr>
          <w:rFonts w:hint="eastAsia"/>
          <w:rtl/>
        </w:rPr>
        <w:t>מזה</w:t>
      </w:r>
      <w:r w:rsidRPr="00684622">
        <w:rPr>
          <w:rtl/>
        </w:rPr>
        <w:t xml:space="preserve"> </w:t>
      </w:r>
      <w:r w:rsidRPr="00684622">
        <w:rPr>
          <w:rFonts w:hint="eastAsia"/>
          <w:rtl/>
        </w:rPr>
        <w:t>שנקבע</w:t>
      </w:r>
      <w:r w:rsidRPr="00684622">
        <w:rPr>
          <w:rtl/>
        </w:rPr>
        <w:t xml:space="preserve"> </w:t>
      </w:r>
      <w:r w:rsidRPr="00684622">
        <w:rPr>
          <w:rFonts w:hint="eastAsia"/>
          <w:rtl/>
        </w:rPr>
        <w:t>בהסכם</w:t>
      </w:r>
      <w:r>
        <w:rPr>
          <w:rFonts w:hint="cs"/>
          <w:rtl/>
        </w:rPr>
        <w:t>.</w:t>
      </w:r>
      <w:r w:rsidRPr="00684622">
        <w:rPr>
          <w:rtl/>
        </w:rPr>
        <w:t xml:space="preserve"> </w:t>
      </w:r>
      <w:r>
        <w:rPr>
          <w:rFonts w:hint="cs"/>
          <w:rtl/>
        </w:rPr>
        <w:t xml:space="preserve">עם זאת, עולה גם כי </w:t>
      </w:r>
      <w:r w:rsidRPr="006D6837">
        <w:rPr>
          <w:rtl/>
        </w:rPr>
        <w:t xml:space="preserve">בכללית </w:t>
      </w:r>
      <w:r>
        <w:rPr>
          <w:rFonts w:hint="cs"/>
          <w:rtl/>
        </w:rPr>
        <w:t>אומנם</w:t>
      </w:r>
      <w:r>
        <w:rPr>
          <w:rtl/>
        </w:rPr>
        <w:t xml:space="preserve"> </w:t>
      </w:r>
      <w:r w:rsidRPr="006D6837">
        <w:rPr>
          <w:rFonts w:hint="eastAsia"/>
          <w:rtl/>
        </w:rPr>
        <w:t>השיעור</w:t>
      </w:r>
      <w:r w:rsidRPr="006D6837">
        <w:rPr>
          <w:rtl/>
        </w:rPr>
        <w:t xml:space="preserve"> </w:t>
      </w:r>
      <w:r w:rsidRPr="006D6837">
        <w:rPr>
          <w:rFonts w:hint="eastAsia"/>
          <w:rtl/>
        </w:rPr>
        <w:t>נמוך</w:t>
      </w:r>
      <w:r w:rsidRPr="006D6837">
        <w:rPr>
          <w:rtl/>
        </w:rPr>
        <w:t xml:space="preserve"> </w:t>
      </w:r>
      <w:r w:rsidRPr="006D6837">
        <w:rPr>
          <w:rFonts w:hint="eastAsia"/>
          <w:rtl/>
        </w:rPr>
        <w:t>מזה</w:t>
      </w:r>
      <w:r w:rsidRPr="006D6837">
        <w:rPr>
          <w:rtl/>
        </w:rPr>
        <w:t xml:space="preserve"> </w:t>
      </w:r>
      <w:r w:rsidRPr="006D6837">
        <w:rPr>
          <w:rFonts w:hint="eastAsia"/>
          <w:rtl/>
        </w:rPr>
        <w:t>שנקבע</w:t>
      </w:r>
      <w:r>
        <w:rPr>
          <w:rFonts w:hint="cs"/>
          <w:rtl/>
        </w:rPr>
        <w:t xml:space="preserve"> בהסכם</w:t>
      </w:r>
      <w:r w:rsidRPr="006D6837">
        <w:rPr>
          <w:rFonts w:hint="cs"/>
          <w:rtl/>
        </w:rPr>
        <w:t>, אולם שיעור</w:t>
      </w:r>
      <w:r>
        <w:rPr>
          <w:rFonts w:hint="cs"/>
          <w:rtl/>
        </w:rPr>
        <w:t xml:space="preserve"> זה </w:t>
      </w:r>
      <w:r w:rsidRPr="006D6837">
        <w:rPr>
          <w:rFonts w:hint="cs"/>
          <w:rtl/>
        </w:rPr>
        <w:t xml:space="preserve">עלה </w:t>
      </w:r>
      <w:r>
        <w:rPr>
          <w:rFonts w:hint="cs"/>
          <w:rtl/>
        </w:rPr>
        <w:t xml:space="preserve">באופן חד </w:t>
      </w:r>
      <w:r w:rsidRPr="006D6837">
        <w:rPr>
          <w:rFonts w:hint="cs"/>
          <w:rtl/>
        </w:rPr>
        <w:t xml:space="preserve">משנת 2015 </w:t>
      </w:r>
      <w:r>
        <w:rPr>
          <w:rFonts w:hint="cs"/>
          <w:rtl/>
        </w:rPr>
        <w:t xml:space="preserve">עד </w:t>
      </w:r>
      <w:r w:rsidRPr="006D6837">
        <w:rPr>
          <w:rFonts w:hint="cs"/>
          <w:rtl/>
        </w:rPr>
        <w:t>שנת 2017</w:t>
      </w:r>
      <w:r>
        <w:rPr>
          <w:rFonts w:hint="cs"/>
          <w:rtl/>
        </w:rPr>
        <w:t xml:space="preserve"> - </w:t>
      </w:r>
      <w:r w:rsidRPr="006D6837">
        <w:rPr>
          <w:rFonts w:hint="cs"/>
          <w:rtl/>
        </w:rPr>
        <w:t>כמעט פי</w:t>
      </w:r>
      <w:r>
        <w:rPr>
          <w:rFonts w:hint="cs"/>
          <w:rtl/>
        </w:rPr>
        <w:t xml:space="preserve"> שלושה. אחת הסיבות שיכולות להסביר את </w:t>
      </w:r>
      <w:r w:rsidRPr="00FD5BEE">
        <w:rPr>
          <w:rFonts w:hint="cs"/>
          <w:rtl/>
        </w:rPr>
        <w:t xml:space="preserve">שיעור ההשתתפות העצמית הגבוה במכבי ובמאוחדת </w:t>
      </w:r>
      <w:r>
        <w:rPr>
          <w:rFonts w:hint="cs"/>
          <w:rtl/>
        </w:rPr>
        <w:t xml:space="preserve">היא </w:t>
      </w:r>
      <w:r w:rsidRPr="00FD5BEE">
        <w:rPr>
          <w:rFonts w:hint="cs"/>
          <w:rtl/>
        </w:rPr>
        <w:t>זמינות לא מספקת לקבלת טיפול פסיכותרפי ללא תשלום במתקני הקופות או אצל ספקי השירות</w:t>
      </w:r>
      <w:r>
        <w:rPr>
          <w:rFonts w:hint="cs"/>
          <w:rtl/>
        </w:rPr>
        <w:t>, דבר המאלץ את המטופל לפנות למטפל עצמאי</w:t>
      </w:r>
      <w:r w:rsidRPr="00FD5BEE">
        <w:rPr>
          <w:rFonts w:hint="cs"/>
          <w:rtl/>
        </w:rPr>
        <w:t>.</w:t>
      </w:r>
      <w:r w:rsidRPr="00FD5BEE">
        <w:rPr>
          <w:rtl/>
        </w:rPr>
        <w:t xml:space="preserve"> </w:t>
      </w:r>
    </w:p>
    <w:p w14:paraId="05CFFAF7" w14:textId="77777777" w:rsidR="00B51F5B" w:rsidRPr="007A53D5" w:rsidRDefault="00B51F5B" w:rsidP="009F33AC">
      <w:pPr>
        <w:pStyle w:val="af5"/>
        <w:rPr>
          <w:rtl/>
        </w:rPr>
      </w:pPr>
      <w:r w:rsidRPr="007A53D5">
        <w:rPr>
          <w:rFonts w:hint="eastAsia"/>
          <w:rtl/>
        </w:rPr>
        <w:t>אף</w:t>
      </w:r>
      <w:r w:rsidRPr="007A53D5">
        <w:rPr>
          <w:rtl/>
        </w:rPr>
        <w:t xml:space="preserve"> שנקבע בהסכם הרפורמה </w:t>
      </w:r>
      <w:r w:rsidRPr="007A53D5">
        <w:rPr>
          <w:rFonts w:hint="eastAsia"/>
          <w:rtl/>
        </w:rPr>
        <w:t>שיעור</w:t>
      </w:r>
      <w:r w:rsidRPr="007A53D5">
        <w:rPr>
          <w:rtl/>
        </w:rPr>
        <w:t xml:space="preserve"> </w:t>
      </w:r>
      <w:r w:rsidRPr="007A53D5">
        <w:rPr>
          <w:rFonts w:hint="eastAsia"/>
          <w:rtl/>
        </w:rPr>
        <w:t>השתתפות</w:t>
      </w:r>
      <w:r w:rsidRPr="007A53D5">
        <w:rPr>
          <w:rtl/>
        </w:rPr>
        <w:t xml:space="preserve"> </w:t>
      </w:r>
      <w:r w:rsidRPr="007A53D5">
        <w:rPr>
          <w:rFonts w:hint="eastAsia"/>
          <w:rtl/>
        </w:rPr>
        <w:t>עצמית</w:t>
      </w:r>
      <w:r w:rsidRPr="007A53D5">
        <w:rPr>
          <w:rtl/>
        </w:rPr>
        <w:t xml:space="preserve"> </w:t>
      </w:r>
      <w:r w:rsidRPr="007A53D5">
        <w:rPr>
          <w:rFonts w:hint="eastAsia"/>
          <w:rtl/>
        </w:rPr>
        <w:t>נורמטיבית</w:t>
      </w:r>
      <w:r w:rsidRPr="007A53D5">
        <w:rPr>
          <w:rtl/>
        </w:rPr>
        <w:t xml:space="preserve"> </w:t>
      </w:r>
      <w:r w:rsidRPr="007A53D5">
        <w:rPr>
          <w:rFonts w:hint="cs"/>
          <w:rtl/>
        </w:rPr>
        <w:t>בגובה</w:t>
      </w:r>
      <w:r w:rsidRPr="007A53D5">
        <w:rPr>
          <w:rtl/>
        </w:rPr>
        <w:t xml:space="preserve"> 1.5%,</w:t>
      </w:r>
      <w:r w:rsidRPr="007A53D5">
        <w:rPr>
          <w:rFonts w:hint="cs"/>
          <w:rtl/>
        </w:rPr>
        <w:t xml:space="preserve"> </w:t>
      </w:r>
      <w:r w:rsidRPr="007A53D5">
        <w:rPr>
          <w:rtl/>
        </w:rPr>
        <w:t xml:space="preserve">המנגנונים הכלכליים שקבע הסכם הרפורמה לא יצרו תמריצים </w:t>
      </w:r>
      <w:r w:rsidRPr="007A53D5">
        <w:rPr>
          <w:rFonts w:hint="cs"/>
          <w:rtl/>
        </w:rPr>
        <w:t xml:space="preserve">מספקים </w:t>
      </w:r>
      <w:r w:rsidRPr="007A53D5">
        <w:rPr>
          <w:rtl/>
        </w:rPr>
        <w:t>שיגרמו ל</w:t>
      </w:r>
      <w:r w:rsidRPr="007A53D5">
        <w:rPr>
          <w:rFonts w:hint="cs"/>
          <w:rtl/>
        </w:rPr>
        <w:t>כל קופות החולים</w:t>
      </w:r>
      <w:r w:rsidRPr="007A53D5">
        <w:rPr>
          <w:rtl/>
        </w:rPr>
        <w:t xml:space="preserve"> לספק את הטיפולים </w:t>
      </w:r>
      <w:r w:rsidRPr="007A53D5">
        <w:rPr>
          <w:rFonts w:hint="cs"/>
          <w:rtl/>
        </w:rPr>
        <w:t xml:space="preserve">בהיקף </w:t>
      </w:r>
      <w:r w:rsidRPr="007A53D5">
        <w:rPr>
          <w:rtl/>
        </w:rPr>
        <w:t>הנדרש</w:t>
      </w:r>
      <w:r w:rsidRPr="007A53D5">
        <w:rPr>
          <w:rFonts w:hint="cs"/>
          <w:rtl/>
        </w:rPr>
        <w:t xml:space="preserve"> ללא תשלום</w:t>
      </w:r>
      <w:r w:rsidRPr="007A53D5">
        <w:rPr>
          <w:rtl/>
        </w:rPr>
        <w:t xml:space="preserve"> השתתפות עצמית</w:t>
      </w:r>
      <w:r w:rsidRPr="007A53D5">
        <w:rPr>
          <w:rFonts w:hint="cs"/>
          <w:rtl/>
        </w:rPr>
        <w:t>. בפועל מטופלים רבים, ובייחוד מטופלים של מכבי ומאוחדת, מקבלים את השירות מ</w:t>
      </w:r>
      <w:r w:rsidRPr="007A53D5">
        <w:rPr>
          <w:rFonts w:hint="eastAsia"/>
          <w:rtl/>
        </w:rPr>
        <w:t>מטפלים</w:t>
      </w:r>
      <w:r w:rsidRPr="007A53D5">
        <w:rPr>
          <w:rtl/>
        </w:rPr>
        <w:t xml:space="preserve"> </w:t>
      </w:r>
      <w:r w:rsidRPr="007A53D5">
        <w:rPr>
          <w:rFonts w:hint="eastAsia"/>
          <w:rtl/>
        </w:rPr>
        <w:t>עצמאיים</w:t>
      </w:r>
      <w:r w:rsidRPr="007A53D5">
        <w:rPr>
          <w:rFonts w:hint="cs"/>
          <w:rtl/>
        </w:rPr>
        <w:t xml:space="preserve"> ונדרשים לשלם עבור כך השתתפות עצמית. ניתן להניח ש</w:t>
      </w:r>
      <w:r w:rsidRPr="007A53D5">
        <w:rPr>
          <w:rFonts w:hint="eastAsia"/>
          <w:rtl/>
        </w:rPr>
        <w:t>זמני</w:t>
      </w:r>
      <w:r w:rsidRPr="007A53D5">
        <w:rPr>
          <w:rtl/>
        </w:rPr>
        <w:t xml:space="preserve"> </w:t>
      </w:r>
      <w:r w:rsidRPr="007A53D5">
        <w:rPr>
          <w:rFonts w:hint="eastAsia"/>
          <w:rtl/>
        </w:rPr>
        <w:t>ההמתנה</w:t>
      </w:r>
      <w:r w:rsidRPr="007A53D5">
        <w:rPr>
          <w:rtl/>
        </w:rPr>
        <w:t xml:space="preserve"> </w:t>
      </w:r>
      <w:r w:rsidRPr="007A53D5">
        <w:rPr>
          <w:rFonts w:hint="cs"/>
          <w:rtl/>
        </w:rPr>
        <w:t xml:space="preserve">הארוכים </w:t>
      </w:r>
      <w:r w:rsidRPr="007A53D5">
        <w:rPr>
          <w:rFonts w:hint="eastAsia"/>
          <w:rtl/>
        </w:rPr>
        <w:t>ל</w:t>
      </w:r>
      <w:r w:rsidRPr="007A53D5">
        <w:rPr>
          <w:rFonts w:hint="cs"/>
          <w:rtl/>
        </w:rPr>
        <w:t xml:space="preserve">קבלת </w:t>
      </w:r>
      <w:r w:rsidRPr="007A53D5">
        <w:rPr>
          <w:rFonts w:hint="eastAsia"/>
          <w:rtl/>
        </w:rPr>
        <w:t>שירות</w:t>
      </w:r>
      <w:r w:rsidRPr="007A53D5">
        <w:rPr>
          <w:rtl/>
        </w:rPr>
        <w:t xml:space="preserve"> </w:t>
      </w:r>
      <w:r w:rsidRPr="007A53D5">
        <w:rPr>
          <w:rFonts w:hint="cs"/>
          <w:rtl/>
        </w:rPr>
        <w:t xml:space="preserve">בחינם </w:t>
      </w:r>
      <w:r w:rsidRPr="007A53D5">
        <w:rPr>
          <w:rFonts w:hint="eastAsia"/>
          <w:rtl/>
        </w:rPr>
        <w:t>במרפאות</w:t>
      </w:r>
      <w:r w:rsidRPr="007A53D5">
        <w:rPr>
          <w:rFonts w:hint="cs"/>
          <w:rtl/>
        </w:rPr>
        <w:t xml:space="preserve"> במרבית האזורים בארץ הם אחת הסיבות לכך</w:t>
      </w:r>
      <w:r w:rsidRPr="007A53D5">
        <w:rPr>
          <w:rtl/>
        </w:rPr>
        <w:t xml:space="preserve">. </w:t>
      </w:r>
      <w:r w:rsidRPr="007A53D5">
        <w:rPr>
          <w:rFonts w:hint="cs"/>
          <w:rtl/>
        </w:rPr>
        <w:t>מדובר ב</w:t>
      </w:r>
      <w:r w:rsidRPr="007A53D5">
        <w:rPr>
          <w:rFonts w:hint="eastAsia"/>
          <w:rtl/>
        </w:rPr>
        <w:t>הוצאה</w:t>
      </w:r>
      <w:r w:rsidRPr="007A53D5">
        <w:rPr>
          <w:rtl/>
        </w:rPr>
        <w:t xml:space="preserve"> </w:t>
      </w:r>
      <w:r w:rsidRPr="007A53D5">
        <w:rPr>
          <w:rFonts w:hint="eastAsia"/>
          <w:rtl/>
        </w:rPr>
        <w:t>חודשית</w:t>
      </w:r>
      <w:r w:rsidRPr="007A53D5">
        <w:rPr>
          <w:rtl/>
        </w:rPr>
        <w:t xml:space="preserve"> </w:t>
      </w:r>
      <w:r w:rsidRPr="007A53D5">
        <w:rPr>
          <w:rFonts w:hint="cs"/>
          <w:rtl/>
        </w:rPr>
        <w:t>בסך</w:t>
      </w:r>
      <w:r w:rsidRPr="007A53D5">
        <w:rPr>
          <w:rtl/>
        </w:rPr>
        <w:t xml:space="preserve"> </w:t>
      </w:r>
      <w:r w:rsidRPr="007A53D5">
        <w:rPr>
          <w:rFonts w:hint="eastAsia"/>
          <w:rtl/>
        </w:rPr>
        <w:t>כ</w:t>
      </w:r>
      <w:r w:rsidRPr="007A53D5">
        <w:rPr>
          <w:rtl/>
        </w:rPr>
        <w:t>-</w:t>
      </w:r>
      <w:r w:rsidRPr="007A53D5">
        <w:rPr>
          <w:rFonts w:hint="cs"/>
          <w:rtl/>
        </w:rPr>
        <w:t>570</w:t>
      </w:r>
      <w:r w:rsidRPr="007A53D5">
        <w:rPr>
          <w:rtl/>
        </w:rPr>
        <w:t xml:space="preserve"> </w:t>
      </w:r>
      <w:r w:rsidRPr="007A53D5">
        <w:rPr>
          <w:rFonts w:hint="eastAsia"/>
          <w:rtl/>
        </w:rPr>
        <w:t>ש</w:t>
      </w:r>
      <w:r w:rsidRPr="007A53D5">
        <w:rPr>
          <w:rtl/>
        </w:rPr>
        <w:t xml:space="preserve">"ח </w:t>
      </w:r>
      <w:r w:rsidRPr="007A53D5">
        <w:rPr>
          <w:rFonts w:hint="eastAsia"/>
          <w:rtl/>
        </w:rPr>
        <w:t>לחודש</w:t>
      </w:r>
      <w:r w:rsidRPr="007A53D5">
        <w:rPr>
          <w:rtl/>
        </w:rPr>
        <w:t xml:space="preserve"> </w:t>
      </w:r>
      <w:r w:rsidRPr="007A53D5">
        <w:rPr>
          <w:rFonts w:hint="cs"/>
          <w:rtl/>
        </w:rPr>
        <w:t>שעלולה ל</w:t>
      </w:r>
      <w:r w:rsidRPr="007A53D5">
        <w:rPr>
          <w:rFonts w:hint="eastAsia"/>
          <w:rtl/>
        </w:rPr>
        <w:t>הוו</w:t>
      </w:r>
      <w:r w:rsidRPr="007A53D5">
        <w:rPr>
          <w:rFonts w:hint="cs"/>
          <w:rtl/>
        </w:rPr>
        <w:t>ת</w:t>
      </w:r>
      <w:r w:rsidRPr="007A53D5">
        <w:rPr>
          <w:rtl/>
        </w:rPr>
        <w:t xml:space="preserve"> </w:t>
      </w:r>
      <w:r w:rsidRPr="007A53D5">
        <w:rPr>
          <w:rFonts w:hint="eastAsia"/>
          <w:rtl/>
        </w:rPr>
        <w:t>חסם</w:t>
      </w:r>
      <w:r w:rsidRPr="007A53D5">
        <w:rPr>
          <w:rtl/>
        </w:rPr>
        <w:t xml:space="preserve"> </w:t>
      </w:r>
      <w:r w:rsidRPr="007A53D5">
        <w:rPr>
          <w:rFonts w:hint="cs"/>
          <w:rtl/>
        </w:rPr>
        <w:t xml:space="preserve">מפני </w:t>
      </w:r>
      <w:r w:rsidRPr="007A53D5">
        <w:rPr>
          <w:rFonts w:hint="eastAsia"/>
          <w:rtl/>
        </w:rPr>
        <w:t>קבלת</w:t>
      </w:r>
      <w:r w:rsidRPr="007A53D5">
        <w:rPr>
          <w:rtl/>
        </w:rPr>
        <w:t xml:space="preserve"> </w:t>
      </w:r>
      <w:r w:rsidRPr="007A53D5">
        <w:rPr>
          <w:rFonts w:hint="eastAsia"/>
          <w:rtl/>
        </w:rPr>
        <w:t>טיפול</w:t>
      </w:r>
      <w:r w:rsidRPr="007A53D5">
        <w:rPr>
          <w:rtl/>
        </w:rPr>
        <w:t xml:space="preserve"> </w:t>
      </w:r>
      <w:r w:rsidRPr="007A53D5">
        <w:rPr>
          <w:rFonts w:hint="cs"/>
          <w:rtl/>
        </w:rPr>
        <w:t>ל</w:t>
      </w:r>
      <w:r w:rsidRPr="007A53D5">
        <w:rPr>
          <w:rFonts w:hint="eastAsia"/>
          <w:rtl/>
        </w:rPr>
        <w:t>אוכלוסייה</w:t>
      </w:r>
      <w:r w:rsidRPr="007A53D5">
        <w:rPr>
          <w:rtl/>
        </w:rPr>
        <w:t xml:space="preserve"> שאינה יכולה להרשות </w:t>
      </w:r>
      <w:r w:rsidRPr="007A53D5">
        <w:rPr>
          <w:rFonts w:hint="cs"/>
          <w:rtl/>
        </w:rPr>
        <w:t xml:space="preserve">זאת </w:t>
      </w:r>
      <w:r w:rsidRPr="007A53D5">
        <w:rPr>
          <w:rtl/>
        </w:rPr>
        <w:t>לעצמה</w:t>
      </w:r>
      <w:r w:rsidRPr="007A53D5">
        <w:rPr>
          <w:rFonts w:hint="cs"/>
          <w:rtl/>
        </w:rPr>
        <w:t>. ה</w:t>
      </w:r>
      <w:r w:rsidRPr="007A53D5">
        <w:rPr>
          <w:rFonts w:hint="eastAsia"/>
          <w:rtl/>
        </w:rPr>
        <w:t>דבר</w:t>
      </w:r>
      <w:r w:rsidRPr="007A53D5">
        <w:rPr>
          <w:rFonts w:hint="cs"/>
          <w:rtl/>
        </w:rPr>
        <w:t xml:space="preserve"> עלול ל</w:t>
      </w:r>
      <w:r w:rsidRPr="007A53D5">
        <w:rPr>
          <w:rtl/>
        </w:rPr>
        <w:t>פג</w:t>
      </w:r>
      <w:r w:rsidRPr="007A53D5">
        <w:rPr>
          <w:rFonts w:hint="cs"/>
          <w:rtl/>
        </w:rPr>
        <w:t>ו</w:t>
      </w:r>
      <w:r w:rsidRPr="007A53D5">
        <w:rPr>
          <w:rtl/>
        </w:rPr>
        <w:t xml:space="preserve">ע בעקרון השוויון </w:t>
      </w:r>
      <w:r w:rsidRPr="007A53D5">
        <w:rPr>
          <w:rFonts w:hint="cs"/>
          <w:rtl/>
        </w:rPr>
        <w:t>ש</w:t>
      </w:r>
      <w:r w:rsidRPr="007A53D5">
        <w:rPr>
          <w:rtl/>
        </w:rPr>
        <w:t xml:space="preserve">עליו מושתת חוק ביטוח בריאות. </w:t>
      </w:r>
    </w:p>
    <w:p w14:paraId="00989781" w14:textId="77777777" w:rsidR="00B51F5B" w:rsidRDefault="00B51F5B" w:rsidP="009F33AC">
      <w:pPr>
        <w:pStyle w:val="100"/>
        <w:rPr>
          <w:rtl/>
        </w:rPr>
      </w:pPr>
      <w:r w:rsidRPr="00945B30">
        <w:rPr>
          <w:rFonts w:hint="eastAsia"/>
          <w:rtl/>
        </w:rPr>
        <w:t>משרד</w:t>
      </w:r>
      <w:r w:rsidRPr="00945B30">
        <w:rPr>
          <w:rtl/>
        </w:rPr>
        <w:t xml:space="preserve"> הבריאות מסר ב</w:t>
      </w:r>
      <w:r>
        <w:rPr>
          <w:rFonts w:hint="cs"/>
          <w:rtl/>
        </w:rPr>
        <w:t>תשובתו</w:t>
      </w:r>
      <w:r w:rsidRPr="00945B30">
        <w:rPr>
          <w:rtl/>
        </w:rPr>
        <w:t xml:space="preserve"> כי חלק </w:t>
      </w:r>
      <w:r>
        <w:rPr>
          <w:rFonts w:hint="cs"/>
          <w:rtl/>
        </w:rPr>
        <w:t>ניכר</w:t>
      </w:r>
      <w:r w:rsidRPr="00945B30">
        <w:rPr>
          <w:rtl/>
        </w:rPr>
        <w:t xml:space="preserve"> מהגידול ב</w:t>
      </w:r>
      <w:r w:rsidRPr="00945B30">
        <w:rPr>
          <w:rFonts w:hint="eastAsia"/>
          <w:rtl/>
        </w:rPr>
        <w:t>שיעור</w:t>
      </w:r>
      <w:r w:rsidRPr="00945B30">
        <w:rPr>
          <w:rtl/>
        </w:rPr>
        <w:t xml:space="preserve"> </w:t>
      </w:r>
      <w:r>
        <w:rPr>
          <w:rFonts w:hint="cs"/>
          <w:rtl/>
        </w:rPr>
        <w:t>ה</w:t>
      </w:r>
      <w:r w:rsidRPr="00945B30">
        <w:rPr>
          <w:rtl/>
        </w:rPr>
        <w:t xml:space="preserve">השתתפות העצמית בקופות החולים נובע מגידול </w:t>
      </w:r>
      <w:r w:rsidRPr="00945B30">
        <w:rPr>
          <w:rFonts w:hint="eastAsia"/>
          <w:rtl/>
        </w:rPr>
        <w:t>ב</w:t>
      </w:r>
      <w:r w:rsidRPr="00945B30">
        <w:rPr>
          <w:rtl/>
        </w:rPr>
        <w:t xml:space="preserve">מקבלי השירותים ממטפלים עצמאיים. </w:t>
      </w:r>
      <w:r>
        <w:rPr>
          <w:rFonts w:hint="cs"/>
          <w:rtl/>
        </w:rPr>
        <w:t>במסגרת ה</w:t>
      </w:r>
      <w:r w:rsidRPr="00945B30">
        <w:rPr>
          <w:rtl/>
        </w:rPr>
        <w:t>מלצות</w:t>
      </w:r>
      <w:r>
        <w:rPr>
          <w:rFonts w:hint="cs"/>
          <w:rtl/>
        </w:rPr>
        <w:t>יה</w:t>
      </w:r>
      <w:r w:rsidRPr="00945B30">
        <w:rPr>
          <w:rtl/>
        </w:rPr>
        <w:t xml:space="preserve"> המתגבשות של הוועדה לבחינת הרפורמה</w:t>
      </w:r>
      <w:r>
        <w:rPr>
          <w:rFonts w:hint="cs"/>
          <w:rtl/>
        </w:rPr>
        <w:t>,</w:t>
      </w:r>
      <w:r w:rsidRPr="00945B30">
        <w:rPr>
          <w:rtl/>
        </w:rPr>
        <w:t xml:space="preserve"> המשרד פועל להפחתה </w:t>
      </w:r>
      <w:r>
        <w:rPr>
          <w:rFonts w:hint="cs"/>
          <w:rtl/>
        </w:rPr>
        <w:t>ניכרת בדמי</w:t>
      </w:r>
      <w:r w:rsidRPr="00945B30">
        <w:rPr>
          <w:rtl/>
        </w:rPr>
        <w:t xml:space="preserve"> ההשתתפות העצמית במסלול </w:t>
      </w:r>
      <w:r w:rsidRPr="00945B30">
        <w:rPr>
          <w:rFonts w:hint="eastAsia"/>
          <w:rtl/>
        </w:rPr>
        <w:t>זה</w:t>
      </w:r>
      <w:r w:rsidRPr="00945B30">
        <w:rPr>
          <w:rtl/>
        </w:rPr>
        <w:t xml:space="preserve"> אולם טרם אותר מקור תקציבי לכך. </w:t>
      </w:r>
    </w:p>
    <w:p w14:paraId="01331B64" w14:textId="77777777" w:rsidR="00B51F5B" w:rsidRPr="008D3192" w:rsidRDefault="00B51F5B" w:rsidP="009F33AC">
      <w:pPr>
        <w:pStyle w:val="100"/>
        <w:rPr>
          <w:rtl/>
        </w:rPr>
      </w:pPr>
      <w:r>
        <w:rPr>
          <w:rFonts w:hint="cs"/>
          <w:rtl/>
        </w:rPr>
        <w:t xml:space="preserve">אגף תקציבים מסר בתשובתו כי </w:t>
      </w:r>
      <w:r w:rsidRPr="008D3192">
        <w:rPr>
          <w:rtl/>
        </w:rPr>
        <w:t>בכל שינוי של דמי ההשתתפות העצמית יהיה צורך בבחינ</w:t>
      </w:r>
      <w:r>
        <w:rPr>
          <w:rFonts w:hint="cs"/>
          <w:rtl/>
        </w:rPr>
        <w:t>ת</w:t>
      </w:r>
      <w:r w:rsidRPr="008D3192" w:rsidDel="00AC11C5">
        <w:rPr>
          <w:rtl/>
        </w:rPr>
        <w:t xml:space="preserve"> </w:t>
      </w:r>
      <w:r w:rsidRPr="008D3192">
        <w:rPr>
          <w:rtl/>
        </w:rPr>
        <w:t xml:space="preserve">העלויות התקציביות </w:t>
      </w:r>
      <w:r>
        <w:rPr>
          <w:rFonts w:hint="cs"/>
          <w:rtl/>
        </w:rPr>
        <w:t>ובמציאת</w:t>
      </w:r>
      <w:r w:rsidRPr="008D3192">
        <w:rPr>
          <w:rtl/>
        </w:rPr>
        <w:t xml:space="preserve"> המקורות </w:t>
      </w:r>
      <w:r>
        <w:rPr>
          <w:rFonts w:hint="cs"/>
          <w:rtl/>
        </w:rPr>
        <w:t>לכך</w:t>
      </w:r>
      <w:r w:rsidRPr="008D3192">
        <w:rPr>
          <w:rtl/>
        </w:rPr>
        <w:t>.</w:t>
      </w:r>
    </w:p>
    <w:p w14:paraId="62DBA425" w14:textId="77777777" w:rsidR="00B51F5B" w:rsidRDefault="00B51F5B" w:rsidP="009F33AC">
      <w:pPr>
        <w:pStyle w:val="100"/>
        <w:rPr>
          <w:rtl/>
        </w:rPr>
      </w:pPr>
      <w:r w:rsidRPr="005E4835">
        <w:rPr>
          <w:rFonts w:hint="eastAsia"/>
          <w:rtl/>
        </w:rPr>
        <w:t>מכבי</w:t>
      </w:r>
      <w:r w:rsidRPr="005E4835">
        <w:rPr>
          <w:rtl/>
        </w:rPr>
        <w:t xml:space="preserve"> מסרה </w:t>
      </w:r>
      <w:r w:rsidRPr="005E4835">
        <w:rPr>
          <w:rFonts w:hint="eastAsia"/>
          <w:rtl/>
        </w:rPr>
        <w:t>בתשובתה</w:t>
      </w:r>
      <w:r w:rsidRPr="005E4835">
        <w:rPr>
          <w:rtl/>
        </w:rPr>
        <w:t xml:space="preserve"> כי </w:t>
      </w:r>
      <w:r w:rsidRPr="005E4835">
        <w:rPr>
          <w:rFonts w:hint="eastAsia"/>
          <w:rtl/>
        </w:rPr>
        <w:t>ההשתתפות</w:t>
      </w:r>
      <w:r w:rsidRPr="005E4835">
        <w:rPr>
          <w:rtl/>
        </w:rPr>
        <w:t xml:space="preserve"> העצמית של כלל שירותי הבריאות נמוכה מזו שקבועה בחוק (6.45%), גם כאשר משקללים את ההשתתפויות בתחום בריאות הנפש</w:t>
      </w:r>
      <w:r>
        <w:rPr>
          <w:rFonts w:hint="cs"/>
          <w:rtl/>
        </w:rPr>
        <w:t>,</w:t>
      </w:r>
      <w:r w:rsidRPr="005E4835">
        <w:rPr>
          <w:rtl/>
        </w:rPr>
        <w:t xml:space="preserve"> וכי ל</w:t>
      </w:r>
      <w:r w:rsidRPr="005E4835">
        <w:rPr>
          <w:rFonts w:hint="eastAsia"/>
          <w:rtl/>
        </w:rPr>
        <w:t>ד</w:t>
      </w:r>
      <w:r w:rsidRPr="005E4835">
        <w:rPr>
          <w:rtl/>
        </w:rPr>
        <w:t xml:space="preserve">עתה אין מקום </w:t>
      </w:r>
      <w:r>
        <w:rPr>
          <w:rFonts w:hint="cs"/>
          <w:rtl/>
        </w:rPr>
        <w:t>לבדוק</w:t>
      </w:r>
      <w:r w:rsidRPr="005E4835">
        <w:rPr>
          <w:rtl/>
        </w:rPr>
        <w:t xml:space="preserve"> פרטנית </w:t>
      </w:r>
      <w:r>
        <w:rPr>
          <w:rFonts w:hint="cs"/>
          <w:rtl/>
        </w:rPr>
        <w:t>את</w:t>
      </w:r>
      <w:r w:rsidRPr="005E4835">
        <w:rPr>
          <w:rtl/>
        </w:rPr>
        <w:t xml:space="preserve"> ההשתתפות העצמית בתחום בריאות הנפש. </w:t>
      </w:r>
      <w:r w:rsidRPr="005E4835">
        <w:rPr>
          <w:rFonts w:hint="eastAsia"/>
          <w:rtl/>
        </w:rPr>
        <w:t>היא</w:t>
      </w:r>
      <w:r w:rsidRPr="005E4835">
        <w:rPr>
          <w:rtl/>
        </w:rPr>
        <w:t xml:space="preserve"> גם ציינה כי כל הפחתה של השתתפות עצמית צריכה להיות מלווה במקור תקציבי חלופי.</w:t>
      </w:r>
      <w:r>
        <w:rPr>
          <w:rFonts w:hint="cs"/>
          <w:rtl/>
        </w:rPr>
        <w:t xml:space="preserve"> </w:t>
      </w:r>
    </w:p>
    <w:p w14:paraId="4E7E5E9A" w14:textId="77777777" w:rsidR="00B51F5B" w:rsidRPr="0064538D" w:rsidRDefault="00B51F5B" w:rsidP="009F33AC">
      <w:pPr>
        <w:pStyle w:val="100"/>
        <w:rPr>
          <w:rtl/>
        </w:rPr>
      </w:pPr>
      <w:r w:rsidRPr="00945B30">
        <w:rPr>
          <w:rFonts w:hint="eastAsia"/>
          <w:rtl/>
        </w:rPr>
        <w:t>הסתדרות</w:t>
      </w:r>
      <w:r w:rsidRPr="00945B30">
        <w:rPr>
          <w:rtl/>
        </w:rPr>
        <w:t xml:space="preserve"> הפסיכולוגים מסרה בדצמבר 2019 כי </w:t>
      </w:r>
      <w:r w:rsidRPr="00945B30">
        <w:rPr>
          <w:rFonts w:hint="eastAsia"/>
          <w:rtl/>
        </w:rPr>
        <w:t>חלק</w:t>
      </w:r>
      <w:r w:rsidRPr="00945B30">
        <w:rPr>
          <w:rtl/>
        </w:rPr>
        <w:t xml:space="preserve"> </w:t>
      </w:r>
      <w:r w:rsidRPr="00945B30">
        <w:rPr>
          <w:rFonts w:hint="eastAsia"/>
          <w:rtl/>
        </w:rPr>
        <w:t>מהותי</w:t>
      </w:r>
      <w:r w:rsidRPr="00945B30">
        <w:rPr>
          <w:rtl/>
        </w:rPr>
        <w:t xml:space="preserve"> </w:t>
      </w:r>
      <w:r w:rsidRPr="00945B30">
        <w:rPr>
          <w:rFonts w:hint="eastAsia"/>
          <w:rtl/>
        </w:rPr>
        <w:t>מ</w:t>
      </w:r>
      <w:r w:rsidRPr="00945B30">
        <w:rPr>
          <w:rtl/>
        </w:rPr>
        <w:t xml:space="preserve">טיפולי </w:t>
      </w:r>
      <w:r w:rsidRPr="00945B30">
        <w:rPr>
          <w:rFonts w:hint="eastAsia"/>
          <w:rtl/>
        </w:rPr>
        <w:t>ה</w:t>
      </w:r>
      <w:r w:rsidRPr="00945B30">
        <w:rPr>
          <w:rtl/>
        </w:rPr>
        <w:t xml:space="preserve">פסיכותרפיה ניתנים </w:t>
      </w:r>
      <w:r w:rsidRPr="00945B30">
        <w:rPr>
          <w:rFonts w:hint="eastAsia"/>
          <w:rtl/>
        </w:rPr>
        <w:t>על</w:t>
      </w:r>
      <w:r w:rsidRPr="00945B30">
        <w:rPr>
          <w:rtl/>
        </w:rPr>
        <w:t xml:space="preserve"> ידי מטפל</w:t>
      </w:r>
      <w:r w:rsidRPr="00945B30">
        <w:rPr>
          <w:rFonts w:hint="eastAsia"/>
          <w:rtl/>
        </w:rPr>
        <w:t>ים</w:t>
      </w:r>
      <w:r w:rsidRPr="00945B30">
        <w:rPr>
          <w:rtl/>
        </w:rPr>
        <w:t xml:space="preserve"> עצמאי</w:t>
      </w:r>
      <w:r>
        <w:rPr>
          <w:rFonts w:hint="cs"/>
          <w:rtl/>
        </w:rPr>
        <w:t>י</w:t>
      </w:r>
      <w:r w:rsidRPr="00945B30">
        <w:rPr>
          <w:rFonts w:hint="eastAsia"/>
          <w:rtl/>
        </w:rPr>
        <w:t>ם</w:t>
      </w:r>
      <w:r w:rsidRPr="00945B30">
        <w:rPr>
          <w:rtl/>
        </w:rPr>
        <w:t xml:space="preserve"> בעלות כספית גבוהה למטופלים</w:t>
      </w:r>
      <w:r>
        <w:rPr>
          <w:rFonts w:hint="cs"/>
          <w:rtl/>
        </w:rPr>
        <w:t>.</w:t>
      </w:r>
      <w:r w:rsidRPr="00945B30">
        <w:rPr>
          <w:rtl/>
        </w:rPr>
        <w:t xml:space="preserve"> כך למשל מנתונים </w:t>
      </w:r>
      <w:r>
        <w:rPr>
          <w:rFonts w:hint="cs"/>
          <w:rtl/>
        </w:rPr>
        <w:t>שהציג</w:t>
      </w:r>
      <w:r w:rsidRPr="00945B30">
        <w:rPr>
          <w:rtl/>
        </w:rPr>
        <w:t xml:space="preserve"> משרד הבריאות </w:t>
      </w:r>
      <w:r w:rsidRPr="00945B30">
        <w:rPr>
          <w:rFonts w:hint="eastAsia"/>
          <w:rtl/>
        </w:rPr>
        <w:t>במועצת</w:t>
      </w:r>
      <w:r w:rsidRPr="00945B30">
        <w:rPr>
          <w:rtl/>
        </w:rPr>
        <w:t xml:space="preserve"> הבריאות </w:t>
      </w:r>
      <w:r w:rsidRPr="00945B30">
        <w:rPr>
          <w:rFonts w:hint="eastAsia"/>
          <w:rtl/>
        </w:rPr>
        <w:t>באוקטובר</w:t>
      </w:r>
      <w:r w:rsidRPr="00945B30">
        <w:rPr>
          <w:rtl/>
        </w:rPr>
        <w:t xml:space="preserve"> 2018 </w:t>
      </w:r>
      <w:r w:rsidRPr="00945B30">
        <w:rPr>
          <w:rFonts w:hint="eastAsia"/>
          <w:rtl/>
        </w:rPr>
        <w:t>ניתן</w:t>
      </w:r>
      <w:r w:rsidRPr="00945B30">
        <w:rPr>
          <w:rtl/>
        </w:rPr>
        <w:t xml:space="preserve"> </w:t>
      </w:r>
      <w:r w:rsidRPr="00945B30">
        <w:rPr>
          <w:rFonts w:hint="eastAsia"/>
          <w:rtl/>
        </w:rPr>
        <w:t>להסיק</w:t>
      </w:r>
      <w:r w:rsidRPr="00945B30">
        <w:rPr>
          <w:rtl/>
        </w:rPr>
        <w:t xml:space="preserve"> </w:t>
      </w:r>
      <w:r w:rsidRPr="00945B30">
        <w:rPr>
          <w:rFonts w:hint="eastAsia"/>
          <w:rtl/>
        </w:rPr>
        <w:t>כי</w:t>
      </w:r>
      <w:r w:rsidRPr="00945B30">
        <w:rPr>
          <w:rtl/>
        </w:rPr>
        <w:t xml:space="preserve"> </w:t>
      </w:r>
      <w:r w:rsidRPr="00945B30">
        <w:rPr>
          <w:rFonts w:hint="eastAsia"/>
          <w:rtl/>
        </w:rPr>
        <w:t>כ</w:t>
      </w:r>
      <w:r w:rsidRPr="00945B30">
        <w:rPr>
          <w:rtl/>
        </w:rPr>
        <w:t xml:space="preserve">-55% </w:t>
      </w:r>
      <w:r w:rsidRPr="00945B30">
        <w:rPr>
          <w:rFonts w:hint="eastAsia"/>
          <w:rtl/>
        </w:rPr>
        <w:t>מהטיפולים</w:t>
      </w:r>
      <w:r w:rsidRPr="00945B30">
        <w:rPr>
          <w:rtl/>
        </w:rPr>
        <w:t xml:space="preserve"> </w:t>
      </w:r>
      <w:r w:rsidRPr="00945B30">
        <w:rPr>
          <w:rFonts w:hint="eastAsia"/>
          <w:rtl/>
        </w:rPr>
        <w:t>במכבי</w:t>
      </w:r>
      <w:r w:rsidRPr="00945B30">
        <w:rPr>
          <w:rtl/>
        </w:rPr>
        <w:t xml:space="preserve"> </w:t>
      </w:r>
      <w:r w:rsidRPr="00945B30">
        <w:rPr>
          <w:rFonts w:hint="eastAsia"/>
          <w:rtl/>
        </w:rPr>
        <w:t>וכ</w:t>
      </w:r>
      <w:r w:rsidRPr="00945B30">
        <w:rPr>
          <w:rtl/>
        </w:rPr>
        <w:t xml:space="preserve">-18% </w:t>
      </w:r>
      <w:r w:rsidRPr="00945B30">
        <w:rPr>
          <w:rFonts w:hint="eastAsia"/>
          <w:rtl/>
        </w:rPr>
        <w:t>מהטיפולים</w:t>
      </w:r>
      <w:r w:rsidRPr="00945B30">
        <w:rPr>
          <w:rtl/>
        </w:rPr>
        <w:t xml:space="preserve"> </w:t>
      </w:r>
      <w:r w:rsidRPr="00945B30">
        <w:rPr>
          <w:rFonts w:hint="eastAsia"/>
          <w:rtl/>
        </w:rPr>
        <w:t>בכללית</w:t>
      </w:r>
      <w:r w:rsidRPr="00945B30">
        <w:rPr>
          <w:rtl/>
        </w:rPr>
        <w:t xml:space="preserve"> </w:t>
      </w:r>
      <w:r w:rsidRPr="00945B30">
        <w:rPr>
          <w:rFonts w:hint="eastAsia"/>
          <w:rtl/>
        </w:rPr>
        <w:t>ניתנו</w:t>
      </w:r>
      <w:r w:rsidRPr="00945B30">
        <w:rPr>
          <w:rtl/>
        </w:rPr>
        <w:t xml:space="preserve"> </w:t>
      </w:r>
      <w:r w:rsidRPr="00945B30">
        <w:rPr>
          <w:rFonts w:hint="eastAsia"/>
          <w:rtl/>
        </w:rPr>
        <w:t>על</w:t>
      </w:r>
      <w:r w:rsidRPr="00945B30">
        <w:rPr>
          <w:rtl/>
        </w:rPr>
        <w:t xml:space="preserve"> </w:t>
      </w:r>
      <w:r w:rsidRPr="00945B30">
        <w:rPr>
          <w:rFonts w:hint="eastAsia"/>
          <w:rtl/>
        </w:rPr>
        <w:t>ידי</w:t>
      </w:r>
      <w:r w:rsidRPr="00945B30">
        <w:rPr>
          <w:rtl/>
        </w:rPr>
        <w:t xml:space="preserve"> </w:t>
      </w:r>
      <w:r w:rsidRPr="00945B30">
        <w:rPr>
          <w:rFonts w:hint="eastAsia"/>
          <w:rtl/>
        </w:rPr>
        <w:t>מטפלים</w:t>
      </w:r>
      <w:r w:rsidRPr="00945B30">
        <w:rPr>
          <w:rtl/>
        </w:rPr>
        <w:t xml:space="preserve"> </w:t>
      </w:r>
      <w:r w:rsidRPr="00945B30">
        <w:rPr>
          <w:rFonts w:hint="eastAsia"/>
          <w:rtl/>
        </w:rPr>
        <w:t>עצמאיים</w:t>
      </w:r>
      <w:r>
        <w:rPr>
          <w:rStyle w:val="FootnoteReference"/>
          <w:sz w:val="24"/>
          <w:rtl/>
        </w:rPr>
        <w:footnoteReference w:id="82"/>
      </w:r>
      <w:r w:rsidRPr="00945B30">
        <w:rPr>
          <w:rtl/>
        </w:rPr>
        <w:t>.</w:t>
      </w:r>
    </w:p>
    <w:p w14:paraId="5C290A80" w14:textId="77777777" w:rsidR="00B51F5B" w:rsidRDefault="00B51F5B" w:rsidP="009F33AC">
      <w:pPr>
        <w:pStyle w:val="af5"/>
        <w:rPr>
          <w:rtl/>
        </w:rPr>
      </w:pPr>
      <w:r w:rsidRPr="008F3EED">
        <w:rPr>
          <w:rFonts w:hint="eastAsia"/>
          <w:rtl/>
        </w:rPr>
        <w:t>הממצאים</w:t>
      </w:r>
      <w:r w:rsidRPr="008F3EED">
        <w:rPr>
          <w:rtl/>
        </w:rPr>
        <w:t xml:space="preserve"> </w:t>
      </w:r>
      <w:r w:rsidRPr="008F3EED">
        <w:rPr>
          <w:rFonts w:hint="eastAsia"/>
          <w:rtl/>
        </w:rPr>
        <w:t>שלעיל</w:t>
      </w:r>
      <w:r w:rsidRPr="008F3EED">
        <w:rPr>
          <w:rtl/>
        </w:rPr>
        <w:t xml:space="preserve"> </w:t>
      </w:r>
      <w:r>
        <w:rPr>
          <w:rFonts w:hint="cs"/>
          <w:rtl/>
        </w:rPr>
        <w:t>מלמדים</w:t>
      </w:r>
      <w:r w:rsidRPr="008F3EED">
        <w:rPr>
          <w:rFonts w:hint="cs"/>
          <w:rtl/>
        </w:rPr>
        <w:t xml:space="preserve"> על </w:t>
      </w:r>
      <w:r>
        <w:rPr>
          <w:rFonts w:hint="cs"/>
          <w:rtl/>
        </w:rPr>
        <w:t>כך</w:t>
      </w:r>
      <w:r w:rsidRPr="008F3EED">
        <w:rPr>
          <w:rFonts w:hint="cs"/>
          <w:rtl/>
        </w:rPr>
        <w:t xml:space="preserve"> שמשרד הבריאות </w:t>
      </w:r>
      <w:r>
        <w:rPr>
          <w:rFonts w:hint="cs"/>
          <w:rtl/>
        </w:rPr>
        <w:t>צריך ל</w:t>
      </w:r>
      <w:r w:rsidRPr="008F3EED">
        <w:rPr>
          <w:rFonts w:hint="cs"/>
          <w:rtl/>
        </w:rPr>
        <w:t>בח</w:t>
      </w:r>
      <w:r>
        <w:rPr>
          <w:rFonts w:hint="cs"/>
          <w:rtl/>
        </w:rPr>
        <w:t>ו</w:t>
      </w:r>
      <w:r w:rsidRPr="008F3EED">
        <w:rPr>
          <w:rFonts w:hint="cs"/>
          <w:rtl/>
        </w:rPr>
        <w:t xml:space="preserve">ן את הסיבה לחריגה </w:t>
      </w:r>
      <w:r>
        <w:rPr>
          <w:rFonts w:hint="cs"/>
          <w:rtl/>
        </w:rPr>
        <w:t>בשיעור ההשתתפות העצמית בפועל מ</w:t>
      </w:r>
      <w:r w:rsidRPr="008F3EED">
        <w:rPr>
          <w:rtl/>
        </w:rPr>
        <w:t>שיעור</w:t>
      </w:r>
      <w:r w:rsidRPr="00504D4B">
        <w:rPr>
          <w:rtl/>
        </w:rPr>
        <w:t xml:space="preserve"> </w:t>
      </w:r>
      <w:r>
        <w:rPr>
          <w:rFonts w:hint="cs"/>
          <w:rtl/>
        </w:rPr>
        <w:t>ה</w:t>
      </w:r>
      <w:r w:rsidRPr="00504D4B">
        <w:rPr>
          <w:rtl/>
        </w:rPr>
        <w:t xml:space="preserve">השתתפות </w:t>
      </w:r>
      <w:r>
        <w:rPr>
          <w:rFonts w:hint="cs"/>
          <w:rtl/>
        </w:rPr>
        <w:t>ה</w:t>
      </w:r>
      <w:r w:rsidRPr="00504D4B">
        <w:rPr>
          <w:rtl/>
        </w:rPr>
        <w:t xml:space="preserve">עצמית </w:t>
      </w:r>
      <w:r>
        <w:rPr>
          <w:rFonts w:hint="cs"/>
          <w:rtl/>
        </w:rPr>
        <w:t>ה</w:t>
      </w:r>
      <w:r w:rsidRPr="00504D4B">
        <w:rPr>
          <w:rtl/>
        </w:rPr>
        <w:t>נורמטיבית</w:t>
      </w:r>
      <w:r w:rsidRPr="00504D4B">
        <w:rPr>
          <w:rFonts w:hint="cs"/>
          <w:rtl/>
        </w:rPr>
        <w:t xml:space="preserve"> </w:t>
      </w:r>
      <w:r>
        <w:rPr>
          <w:rFonts w:hint="cs"/>
          <w:rtl/>
        </w:rPr>
        <w:t xml:space="preserve">במכבי ובמאוחדת, ולשקול צעדים שיביאו את קופות החולים להפחית שיעור זה בהתאם ליעד </w:t>
      </w:r>
      <w:r w:rsidRPr="0014432C">
        <w:rPr>
          <w:rFonts w:hint="cs"/>
          <w:rtl/>
        </w:rPr>
        <w:t>שקבע הסכם הרפורמה (1.5%)</w:t>
      </w:r>
      <w:r>
        <w:rPr>
          <w:rFonts w:hint="cs"/>
          <w:rtl/>
        </w:rPr>
        <w:t xml:space="preserve">. בין היתר ראוי שהמשרד ישקול דרכים </w:t>
      </w:r>
      <w:r w:rsidRPr="008D64C5">
        <w:rPr>
          <w:rFonts w:hint="cs"/>
          <w:rtl/>
        </w:rPr>
        <w:t>לעודד</w:t>
      </w:r>
      <w:r>
        <w:rPr>
          <w:rFonts w:hint="cs"/>
          <w:rtl/>
        </w:rPr>
        <w:t xml:space="preserve"> את הקופות</w:t>
      </w:r>
      <w:r w:rsidRPr="008D64C5">
        <w:rPr>
          <w:rFonts w:hint="cs"/>
          <w:rtl/>
        </w:rPr>
        <w:t xml:space="preserve"> </w:t>
      </w:r>
      <w:r>
        <w:rPr>
          <w:rFonts w:hint="cs"/>
          <w:rtl/>
        </w:rPr>
        <w:t xml:space="preserve">כך שיוכלו לספק </w:t>
      </w:r>
      <w:r w:rsidRPr="008D64C5">
        <w:rPr>
          <w:rFonts w:hint="cs"/>
          <w:rtl/>
        </w:rPr>
        <w:t>את שירותי</w:t>
      </w:r>
      <w:r>
        <w:rPr>
          <w:rFonts w:hint="cs"/>
          <w:rtl/>
        </w:rPr>
        <w:t xml:space="preserve"> בריאות הנפש</w:t>
      </w:r>
      <w:r w:rsidRPr="008D64C5">
        <w:rPr>
          <w:rFonts w:hint="cs"/>
          <w:rtl/>
        </w:rPr>
        <w:t xml:space="preserve"> ללא תשלום </w:t>
      </w:r>
      <w:r>
        <w:rPr>
          <w:rFonts w:hint="cs"/>
          <w:rtl/>
        </w:rPr>
        <w:t xml:space="preserve">ולייצר מנגנונים שמטרתם למנוע חריגה כאמור. </w:t>
      </w:r>
    </w:p>
    <w:p w14:paraId="55B59B35" w14:textId="5B95899D" w:rsidR="00B51F5B" w:rsidRDefault="00B51F5B" w:rsidP="009F33AC">
      <w:pPr>
        <w:pStyle w:val="100"/>
        <w:rPr>
          <w:rtl/>
        </w:rPr>
      </w:pPr>
      <w:r w:rsidRPr="009F33AC">
        <w:rPr>
          <w:rStyle w:val="Heading7Char"/>
          <w:rFonts w:hint="eastAsia"/>
          <w:color w:val="004E6C"/>
          <w:spacing w:val="0"/>
          <w:sz w:val="24"/>
          <w:rtl/>
        </w:rPr>
        <w:t>חוסר</w:t>
      </w:r>
      <w:r w:rsidRPr="009F33AC">
        <w:rPr>
          <w:rStyle w:val="Heading7Char"/>
          <w:color w:val="004E6C"/>
          <w:spacing w:val="0"/>
          <w:sz w:val="24"/>
          <w:rtl/>
        </w:rPr>
        <w:t xml:space="preserve"> </w:t>
      </w:r>
      <w:r w:rsidRPr="009F33AC">
        <w:rPr>
          <w:rStyle w:val="Heading7Char"/>
          <w:rFonts w:hint="eastAsia"/>
          <w:color w:val="004E6C"/>
          <w:spacing w:val="0"/>
          <w:sz w:val="24"/>
          <w:rtl/>
        </w:rPr>
        <w:t>מידע</w:t>
      </w:r>
      <w:r w:rsidRPr="009F33AC">
        <w:rPr>
          <w:rStyle w:val="Heading7Char"/>
          <w:color w:val="004E6C"/>
          <w:spacing w:val="0"/>
          <w:sz w:val="24"/>
          <w:rtl/>
        </w:rPr>
        <w:t xml:space="preserve"> </w:t>
      </w:r>
      <w:r w:rsidRPr="009F33AC">
        <w:rPr>
          <w:rStyle w:val="Heading7Char"/>
          <w:rFonts w:hint="eastAsia"/>
          <w:color w:val="004E6C"/>
          <w:spacing w:val="0"/>
          <w:sz w:val="24"/>
          <w:rtl/>
        </w:rPr>
        <w:t>לציבור</w:t>
      </w:r>
      <w:r w:rsidRPr="009F33AC">
        <w:rPr>
          <w:rStyle w:val="Heading7Char"/>
          <w:color w:val="004E6C"/>
          <w:spacing w:val="0"/>
          <w:sz w:val="24"/>
          <w:rtl/>
        </w:rPr>
        <w:t xml:space="preserve"> </w:t>
      </w:r>
      <w:r w:rsidRPr="009F33AC">
        <w:rPr>
          <w:rStyle w:val="Heading7Char"/>
          <w:rFonts w:hint="cs"/>
          <w:color w:val="004E6C"/>
          <w:spacing w:val="0"/>
          <w:sz w:val="24"/>
          <w:rtl/>
        </w:rPr>
        <w:t xml:space="preserve">על </w:t>
      </w:r>
      <w:r w:rsidRPr="009F33AC">
        <w:rPr>
          <w:rStyle w:val="Heading7Char"/>
          <w:rFonts w:hint="eastAsia"/>
          <w:color w:val="004E6C"/>
          <w:spacing w:val="0"/>
          <w:sz w:val="24"/>
          <w:rtl/>
        </w:rPr>
        <w:t>אודות</w:t>
      </w:r>
      <w:r w:rsidRPr="009F33AC">
        <w:rPr>
          <w:rStyle w:val="Heading7Char"/>
          <w:color w:val="004E6C"/>
          <w:spacing w:val="0"/>
          <w:sz w:val="24"/>
          <w:rtl/>
        </w:rPr>
        <w:t xml:space="preserve"> </w:t>
      </w:r>
      <w:r w:rsidRPr="009F33AC">
        <w:rPr>
          <w:rStyle w:val="Heading7Char"/>
          <w:rFonts w:hint="eastAsia"/>
          <w:color w:val="004E6C"/>
          <w:spacing w:val="0"/>
          <w:sz w:val="24"/>
          <w:rtl/>
        </w:rPr>
        <w:t>שירות</w:t>
      </w:r>
      <w:r w:rsidRPr="009F33AC">
        <w:rPr>
          <w:rStyle w:val="Heading7Char"/>
          <w:color w:val="004E6C"/>
          <w:spacing w:val="0"/>
          <w:sz w:val="24"/>
          <w:rtl/>
        </w:rPr>
        <w:t xml:space="preserve"> </w:t>
      </w:r>
      <w:r w:rsidRPr="009F33AC">
        <w:rPr>
          <w:rStyle w:val="Heading7Char"/>
          <w:rFonts w:hint="eastAsia"/>
          <w:color w:val="004E6C"/>
          <w:spacing w:val="0"/>
          <w:sz w:val="24"/>
          <w:rtl/>
        </w:rPr>
        <w:t>חינם</w:t>
      </w:r>
      <w:r w:rsidRPr="009F33AC">
        <w:rPr>
          <w:rStyle w:val="Heading7Char"/>
          <w:color w:val="004E6C"/>
          <w:spacing w:val="0"/>
          <w:sz w:val="24"/>
          <w:rtl/>
        </w:rPr>
        <w:t xml:space="preserve"> </w:t>
      </w:r>
      <w:r w:rsidRPr="009F33AC">
        <w:rPr>
          <w:rStyle w:val="Heading7Char"/>
          <w:rFonts w:hint="eastAsia"/>
          <w:color w:val="004E6C"/>
          <w:spacing w:val="0"/>
          <w:sz w:val="24"/>
          <w:rtl/>
        </w:rPr>
        <w:t>ושירות</w:t>
      </w:r>
      <w:r w:rsidRPr="009F33AC">
        <w:rPr>
          <w:rStyle w:val="Heading7Char"/>
          <w:color w:val="004E6C"/>
          <w:spacing w:val="0"/>
          <w:sz w:val="24"/>
          <w:rtl/>
        </w:rPr>
        <w:t xml:space="preserve"> </w:t>
      </w:r>
      <w:r w:rsidRPr="009F33AC">
        <w:rPr>
          <w:rStyle w:val="Heading7Char"/>
          <w:rFonts w:hint="eastAsia"/>
          <w:color w:val="004E6C"/>
          <w:spacing w:val="0"/>
          <w:sz w:val="24"/>
          <w:rtl/>
        </w:rPr>
        <w:t>בתשלום</w:t>
      </w:r>
      <w:r w:rsidRPr="009F33AC">
        <w:rPr>
          <w:rStyle w:val="Heading7Char"/>
          <w:rFonts w:hint="cs"/>
          <w:color w:val="004E6C"/>
          <w:spacing w:val="0"/>
          <w:sz w:val="24"/>
          <w:rtl/>
        </w:rPr>
        <w:t>:</w:t>
      </w:r>
      <w:r w:rsidRPr="009F33AC">
        <w:rPr>
          <w:rStyle w:val="Heading6Char"/>
          <w:color w:val="004E6C"/>
          <w:sz w:val="24"/>
          <w:szCs w:val="32"/>
          <w:rtl/>
        </w:rPr>
        <w:t xml:space="preserve"> </w:t>
      </w:r>
      <w:r w:rsidRPr="00BB279F">
        <w:rPr>
          <w:rFonts w:hint="cs"/>
          <w:rtl/>
        </w:rPr>
        <w:t xml:space="preserve">נמצא </w:t>
      </w:r>
      <w:r w:rsidRPr="003C7DF8">
        <w:rPr>
          <w:rFonts w:hint="cs"/>
          <w:rtl/>
        </w:rPr>
        <w:t>כי באתרי האינטרנט של מכבי ומאוחדת</w:t>
      </w:r>
      <w:r w:rsidRPr="003C7DF8">
        <w:rPr>
          <w:vertAlign w:val="superscript"/>
          <w:rtl/>
        </w:rPr>
        <w:footnoteReference w:id="83"/>
      </w:r>
      <w:r w:rsidRPr="003C7DF8">
        <w:rPr>
          <w:rFonts w:hint="cs"/>
          <w:rtl/>
        </w:rPr>
        <w:t xml:space="preserve"> אין מידע ברור וזמין על גובה ההשתתפות העצמית בעת פנייה למטפל עצמאי. עוד נמצא כי באתרי האינטרנט של מכבי ולאומית אין אפשרות להבחין בין פסיכותרפיסטים המעניקים שירות ללא תשלום השתתפות עצמית לבין</w:t>
      </w:r>
      <w:r w:rsidRPr="000E1F39">
        <w:rPr>
          <w:rFonts w:hint="cs"/>
          <w:rtl/>
        </w:rPr>
        <w:t xml:space="preserve"> פסיכותרפיסטים עצמאיים</w:t>
      </w:r>
      <w:r>
        <w:rPr>
          <w:rFonts w:hint="cs"/>
          <w:rtl/>
        </w:rPr>
        <w:t>,</w:t>
      </w:r>
      <w:r w:rsidRPr="000E1F39">
        <w:rPr>
          <w:rFonts w:hint="cs"/>
          <w:rtl/>
        </w:rPr>
        <w:t xml:space="preserve"> </w:t>
      </w:r>
      <w:r>
        <w:rPr>
          <w:rFonts w:hint="cs"/>
          <w:rtl/>
        </w:rPr>
        <w:t>ו</w:t>
      </w:r>
      <w:r w:rsidRPr="000E1F39">
        <w:rPr>
          <w:rFonts w:hint="cs"/>
          <w:rtl/>
        </w:rPr>
        <w:t xml:space="preserve">כך עלול הציבור לטעות ולפנות ישירות למסלול המטפל העצמאי. כמו כן, </w:t>
      </w:r>
      <w:r>
        <w:rPr>
          <w:rFonts w:hint="cs"/>
          <w:rtl/>
        </w:rPr>
        <w:t>ב</w:t>
      </w:r>
      <w:r w:rsidRPr="000E1F39">
        <w:rPr>
          <w:rFonts w:hint="cs"/>
          <w:rtl/>
        </w:rPr>
        <w:t xml:space="preserve">ישיבת מועצת הבריאות </w:t>
      </w:r>
      <w:r>
        <w:rPr>
          <w:rFonts w:hint="cs"/>
          <w:rtl/>
        </w:rPr>
        <w:t>בדצמבר 2017</w:t>
      </w:r>
      <w:r w:rsidRPr="000E1F39">
        <w:rPr>
          <w:rFonts w:hint="cs"/>
          <w:rtl/>
        </w:rPr>
        <w:t>, עלה כי לעיתים מטופלים מופנים לטיפול בהשתתפות עצמית בלי שעודכנו בדבר הזכאות לטיפול ללא תשלום.</w:t>
      </w:r>
    </w:p>
    <w:p w14:paraId="0D528A8C" w14:textId="77777777" w:rsidR="00B51F5B" w:rsidRPr="003E4261" w:rsidRDefault="00B51F5B" w:rsidP="009F33AC">
      <w:pPr>
        <w:pStyle w:val="100"/>
        <w:rPr>
          <w:color w:val="FF0000"/>
          <w:rtl/>
        </w:rPr>
      </w:pPr>
      <w:r w:rsidRPr="009F4346">
        <w:rPr>
          <w:rFonts w:hint="cs"/>
          <w:rtl/>
        </w:rPr>
        <w:t xml:space="preserve">מאוחדת מסרה </w:t>
      </w:r>
      <w:r>
        <w:rPr>
          <w:rFonts w:hint="cs"/>
          <w:rtl/>
        </w:rPr>
        <w:t xml:space="preserve">בתשובתה </w:t>
      </w:r>
      <w:r w:rsidRPr="009F4346">
        <w:rPr>
          <w:rFonts w:hint="cs"/>
          <w:rtl/>
        </w:rPr>
        <w:t>כי ת</w:t>
      </w:r>
      <w:r w:rsidRPr="009F4346">
        <w:rPr>
          <w:rtl/>
        </w:rPr>
        <w:t>פעל מ</w:t>
      </w:r>
      <w:r>
        <w:rPr>
          <w:rFonts w:hint="cs"/>
          <w:rtl/>
        </w:rPr>
        <w:t>י</w:t>
      </w:r>
      <w:r w:rsidRPr="009F4346">
        <w:rPr>
          <w:rtl/>
        </w:rPr>
        <w:t xml:space="preserve">ידית להוסיף קישור </w:t>
      </w:r>
      <w:r>
        <w:rPr>
          <w:rFonts w:hint="cs"/>
          <w:rtl/>
        </w:rPr>
        <w:t>באתר האינטרנט שלה</w:t>
      </w:r>
      <w:r w:rsidRPr="009F4346">
        <w:rPr>
          <w:rtl/>
        </w:rPr>
        <w:t xml:space="preserve"> לפירוט </w:t>
      </w:r>
      <w:r>
        <w:rPr>
          <w:rFonts w:hint="cs"/>
          <w:rtl/>
        </w:rPr>
        <w:t>גובה ה</w:t>
      </w:r>
      <w:r w:rsidRPr="009F4346">
        <w:rPr>
          <w:rtl/>
        </w:rPr>
        <w:t xml:space="preserve">השתתפות </w:t>
      </w:r>
      <w:r>
        <w:rPr>
          <w:rFonts w:hint="cs"/>
          <w:rtl/>
        </w:rPr>
        <w:t>ה</w:t>
      </w:r>
      <w:r w:rsidRPr="009F4346">
        <w:rPr>
          <w:rtl/>
        </w:rPr>
        <w:t>עצמית אצל מטפל עצמאי כנדרש.</w:t>
      </w:r>
    </w:p>
    <w:p w14:paraId="6CAD5D36" w14:textId="17621483" w:rsidR="00B51F5B" w:rsidRPr="009F33AC" w:rsidRDefault="00B51F5B" w:rsidP="009F33AC">
      <w:pPr>
        <w:pStyle w:val="af5"/>
        <w:rPr>
          <w:rtl/>
        </w:rPr>
      </w:pPr>
      <w:r>
        <w:rPr>
          <w:rFonts w:hint="cs"/>
          <w:rtl/>
        </w:rPr>
        <w:t xml:space="preserve">ראוי שבאתרי האינטרנט של קופות החולים תיעשה אבחנה ברורה בין המטפלים המעניקים שירות חינם </w:t>
      </w:r>
      <w:r w:rsidRPr="00AA101A">
        <w:rPr>
          <w:rFonts w:hint="cs"/>
          <w:rtl/>
        </w:rPr>
        <w:t>ללא השתתפות עצמית לבין</w:t>
      </w:r>
      <w:r>
        <w:rPr>
          <w:rFonts w:hint="cs"/>
          <w:rtl/>
        </w:rPr>
        <w:t xml:space="preserve"> המטפלים העצמאיים, אשר פנייה אליהם כרוכה בדמי השתתפות עצמית. </w:t>
      </w:r>
    </w:p>
    <w:p w14:paraId="51DDCE50" w14:textId="45EFB5F4" w:rsidR="00B51F5B" w:rsidRPr="002D390C" w:rsidRDefault="004005F0" w:rsidP="002D390C">
      <w:pPr>
        <w:pStyle w:val="316"/>
        <w:rPr>
          <w:rtl/>
        </w:rPr>
      </w:pPr>
      <w:r>
        <w:rPr>
          <w:rStyle w:val="Heading3Char"/>
          <w:rFonts w:hint="cs"/>
          <w:bCs w:val="0"/>
          <w:szCs w:val="32"/>
          <w:u w:val="none"/>
          <w:rtl/>
        </w:rPr>
        <w:t>ב</w:t>
      </w:r>
      <w:r w:rsidR="00B51F5B" w:rsidRPr="002D390C">
        <w:rPr>
          <w:rStyle w:val="Heading3Char"/>
          <w:rFonts w:hint="cs"/>
          <w:bCs w:val="0"/>
          <w:szCs w:val="32"/>
          <w:u w:val="none"/>
          <w:rtl/>
        </w:rPr>
        <w:t>חינת</w:t>
      </w:r>
      <w:r>
        <w:rPr>
          <w:rStyle w:val="Heading3Char"/>
          <w:rFonts w:hint="cs"/>
          <w:bCs w:val="0"/>
          <w:szCs w:val="32"/>
          <w:u w:val="none"/>
          <w:rtl/>
        </w:rPr>
        <w:t xml:space="preserve"> יישום</w:t>
      </w:r>
      <w:r w:rsidR="00B51F5B" w:rsidRPr="002D390C">
        <w:rPr>
          <w:rStyle w:val="Heading3Char"/>
          <w:rFonts w:hint="cs"/>
          <w:bCs w:val="0"/>
          <w:szCs w:val="32"/>
          <w:u w:val="none"/>
          <w:rtl/>
        </w:rPr>
        <w:t xml:space="preserve"> </w:t>
      </w:r>
      <w:r w:rsidR="00B51F5B" w:rsidRPr="002D390C">
        <w:rPr>
          <w:rStyle w:val="Heading3Char"/>
          <w:rFonts w:hint="eastAsia"/>
          <w:bCs w:val="0"/>
          <w:szCs w:val="32"/>
          <w:u w:val="none"/>
          <w:rtl/>
        </w:rPr>
        <w:t>הרפורמה</w:t>
      </w:r>
      <w:r w:rsidR="00B51F5B" w:rsidRPr="002D390C">
        <w:rPr>
          <w:rStyle w:val="Heading3Char"/>
          <w:bCs w:val="0"/>
          <w:szCs w:val="32"/>
          <w:u w:val="none"/>
          <w:rtl/>
        </w:rPr>
        <w:t xml:space="preserve"> </w:t>
      </w:r>
      <w:r w:rsidR="00B51F5B" w:rsidRPr="002D390C">
        <w:rPr>
          <w:rStyle w:val="Heading3Char"/>
          <w:rFonts w:hint="eastAsia"/>
          <w:bCs w:val="0"/>
          <w:szCs w:val="32"/>
          <w:u w:val="none"/>
          <w:rtl/>
        </w:rPr>
        <w:t>בבריאות</w:t>
      </w:r>
      <w:r w:rsidR="00B51F5B" w:rsidRPr="002D390C">
        <w:rPr>
          <w:rStyle w:val="Heading3Char"/>
          <w:bCs w:val="0"/>
          <w:szCs w:val="32"/>
          <w:u w:val="none"/>
          <w:rtl/>
        </w:rPr>
        <w:t xml:space="preserve"> </w:t>
      </w:r>
      <w:r w:rsidR="00B51F5B" w:rsidRPr="002D390C">
        <w:rPr>
          <w:rStyle w:val="Heading3Char"/>
          <w:rFonts w:hint="eastAsia"/>
          <w:bCs w:val="0"/>
          <w:szCs w:val="32"/>
          <w:u w:val="none"/>
          <w:rtl/>
        </w:rPr>
        <w:t>הנפש</w:t>
      </w:r>
      <w:r w:rsidR="00B51F5B" w:rsidRPr="002D390C">
        <w:rPr>
          <w:rtl/>
        </w:rPr>
        <w:t xml:space="preserve"> על ידי </w:t>
      </w:r>
      <w:r w:rsidR="00B51F5B" w:rsidRPr="002D390C">
        <w:rPr>
          <w:rFonts w:hint="cs"/>
          <w:rtl/>
        </w:rPr>
        <w:t>משרד הבריאות</w:t>
      </w:r>
    </w:p>
    <w:p w14:paraId="5CC2F0C3" w14:textId="77777777" w:rsidR="00B51F5B" w:rsidRDefault="00B51F5B" w:rsidP="009F33AC">
      <w:pPr>
        <w:pStyle w:val="100"/>
        <w:rPr>
          <w:rtl/>
        </w:rPr>
      </w:pPr>
      <w:r w:rsidRPr="005047FF">
        <w:rPr>
          <w:rtl/>
        </w:rPr>
        <w:t>הערכת יישום מדיניות נסמכת על בחינת נתונים ומדדים הנגזרים ממטרות המדיניות</w:t>
      </w:r>
      <w:r>
        <w:rPr>
          <w:rFonts w:hint="cs"/>
          <w:rtl/>
        </w:rPr>
        <w:t>. גם המדריך לתכנון ממשלתי</w:t>
      </w:r>
      <w:r w:rsidRPr="0051444D">
        <w:rPr>
          <w:rStyle w:val="FootnoteReference"/>
          <w:rtl/>
        </w:rPr>
        <w:footnoteReference w:id="84"/>
      </w:r>
      <w:r>
        <w:rPr>
          <w:rFonts w:hint="cs"/>
          <w:rtl/>
        </w:rPr>
        <w:t xml:space="preserve"> קובע כי יש לקבוע מדדי תפוקה (</w:t>
      </w:r>
      <w:r w:rsidRPr="00661511">
        <w:rPr>
          <w:rtl/>
        </w:rPr>
        <w:t>בוח</w:t>
      </w:r>
      <w:r>
        <w:rPr>
          <w:rFonts w:hint="cs"/>
          <w:rtl/>
        </w:rPr>
        <w:t>נים</w:t>
      </w:r>
      <w:r w:rsidRPr="00661511">
        <w:rPr>
          <w:rtl/>
        </w:rPr>
        <w:t xml:space="preserve"> אם הפעולה בוצעה בהיקף ובזמן</w:t>
      </w:r>
      <w:r>
        <w:rPr>
          <w:rFonts w:hint="cs"/>
          <w:rtl/>
        </w:rPr>
        <w:t xml:space="preserve"> המוגדרים) ומדדי תוצאה (</w:t>
      </w:r>
      <w:r w:rsidRPr="00661511">
        <w:rPr>
          <w:rtl/>
        </w:rPr>
        <w:t>בודק</w:t>
      </w:r>
      <w:r>
        <w:rPr>
          <w:rFonts w:hint="cs"/>
          <w:rtl/>
        </w:rPr>
        <w:t>ים</w:t>
      </w:r>
      <w:r w:rsidRPr="00661511">
        <w:rPr>
          <w:rtl/>
        </w:rPr>
        <w:t xml:space="preserve"> אם הושג השינוי המצופה בסביבה החיצונית</w:t>
      </w:r>
      <w:r>
        <w:rPr>
          <w:rFonts w:hint="cs"/>
          <w:rtl/>
        </w:rPr>
        <w:t>). ה</w:t>
      </w:r>
      <w:r w:rsidRPr="00661511">
        <w:rPr>
          <w:rtl/>
        </w:rPr>
        <w:t xml:space="preserve">מדידה </w:t>
      </w:r>
      <w:r>
        <w:rPr>
          <w:rFonts w:hint="cs"/>
          <w:rtl/>
        </w:rPr>
        <w:t>נדרשת כדי להבטיח</w:t>
      </w:r>
      <w:r w:rsidRPr="00661511">
        <w:rPr>
          <w:rtl/>
        </w:rPr>
        <w:t xml:space="preserve"> בקרה ומעקב אחר ביצוע משימות מתוכננות, ובכך </w:t>
      </w:r>
      <w:r>
        <w:rPr>
          <w:rFonts w:hint="cs"/>
          <w:rtl/>
        </w:rPr>
        <w:t>ל</w:t>
      </w:r>
      <w:r w:rsidRPr="00661511">
        <w:rPr>
          <w:rtl/>
        </w:rPr>
        <w:t>חזק את הקשר בין המטה</w:t>
      </w:r>
      <w:r>
        <w:rPr>
          <w:rtl/>
        </w:rPr>
        <w:t xml:space="preserve"> </w:t>
      </w:r>
      <w:r w:rsidRPr="00661511">
        <w:rPr>
          <w:rtl/>
        </w:rPr>
        <w:t>לשטח</w:t>
      </w:r>
      <w:r>
        <w:rPr>
          <w:rFonts w:hint="cs"/>
          <w:rtl/>
        </w:rPr>
        <w:t>,</w:t>
      </w:r>
      <w:r w:rsidRPr="00661511">
        <w:rPr>
          <w:rtl/>
        </w:rPr>
        <w:t xml:space="preserve"> </w:t>
      </w:r>
      <w:r>
        <w:rPr>
          <w:rFonts w:hint="cs"/>
          <w:rtl/>
        </w:rPr>
        <w:t>ל</w:t>
      </w:r>
      <w:r w:rsidRPr="00661511">
        <w:rPr>
          <w:rtl/>
        </w:rPr>
        <w:t xml:space="preserve">שפר את יעילות הביצוע </w:t>
      </w:r>
      <w:r>
        <w:rPr>
          <w:rFonts w:hint="cs"/>
          <w:rtl/>
        </w:rPr>
        <w:t>ול</w:t>
      </w:r>
      <w:r w:rsidRPr="00661511">
        <w:rPr>
          <w:rtl/>
        </w:rPr>
        <w:t>אפשר בחינה שיטתית של גורמים</w:t>
      </w:r>
      <w:r>
        <w:rPr>
          <w:rFonts w:hint="cs"/>
          <w:rtl/>
        </w:rPr>
        <w:t xml:space="preserve"> </w:t>
      </w:r>
      <w:r w:rsidRPr="00661511">
        <w:rPr>
          <w:rtl/>
        </w:rPr>
        <w:t>להצלחה ולאי</w:t>
      </w:r>
      <w:r>
        <w:rPr>
          <w:rFonts w:hint="cs"/>
          <w:rtl/>
        </w:rPr>
        <w:t>-</w:t>
      </w:r>
      <w:r w:rsidRPr="00661511">
        <w:rPr>
          <w:rtl/>
        </w:rPr>
        <w:t>הצלחה, שבעקבותיה ניתן לקיים תהליך הפקת לקחי</w:t>
      </w:r>
      <w:r>
        <w:rPr>
          <w:rFonts w:hint="cs"/>
          <w:rtl/>
        </w:rPr>
        <w:t xml:space="preserve">ם. המדריך מתייחס גם לצורך בקביעת </w:t>
      </w:r>
      <w:r w:rsidRPr="00D675B4">
        <w:rPr>
          <w:rtl/>
        </w:rPr>
        <w:t>יעדי</w:t>
      </w:r>
      <w:r>
        <w:rPr>
          <w:rtl/>
        </w:rPr>
        <w:t xml:space="preserve"> ביניים המקרבים למטרה</w:t>
      </w:r>
      <w:r w:rsidRPr="00D675B4">
        <w:rPr>
          <w:rtl/>
        </w:rPr>
        <w:t xml:space="preserve"> ו</w:t>
      </w:r>
      <w:r>
        <w:rPr>
          <w:rFonts w:hint="cs"/>
          <w:rtl/>
        </w:rPr>
        <w:t>ה</w:t>
      </w:r>
      <w:r>
        <w:rPr>
          <w:rtl/>
        </w:rPr>
        <w:t>מסמנים את השינוי שרוצים</w:t>
      </w:r>
      <w:r w:rsidRPr="00D675B4">
        <w:rPr>
          <w:rtl/>
        </w:rPr>
        <w:t xml:space="preserve"> להשיג. </w:t>
      </w:r>
    </w:p>
    <w:p w14:paraId="09FD8C01" w14:textId="77777777" w:rsidR="00B51F5B" w:rsidRPr="003360FB" w:rsidRDefault="00B51F5B" w:rsidP="009F33AC">
      <w:pPr>
        <w:pStyle w:val="af5"/>
        <w:rPr>
          <w:rtl/>
        </w:rPr>
      </w:pPr>
      <w:r>
        <w:rPr>
          <w:rFonts w:hint="cs"/>
          <w:rtl/>
        </w:rPr>
        <w:t>הביקורת העלתה</w:t>
      </w:r>
      <w:r w:rsidRPr="003360FB">
        <w:rPr>
          <w:rtl/>
        </w:rPr>
        <w:t xml:space="preserve"> </w:t>
      </w:r>
      <w:r w:rsidRPr="003360FB">
        <w:rPr>
          <w:rFonts w:hint="eastAsia"/>
          <w:rtl/>
        </w:rPr>
        <w:t>שבתקופת</w:t>
      </w:r>
      <w:r w:rsidRPr="003360FB">
        <w:rPr>
          <w:rtl/>
        </w:rPr>
        <w:t xml:space="preserve"> הה</w:t>
      </w:r>
      <w:r w:rsidRPr="003360FB">
        <w:rPr>
          <w:rFonts w:hint="eastAsia"/>
          <w:rtl/>
        </w:rPr>
        <w:t>י</w:t>
      </w:r>
      <w:r w:rsidRPr="003360FB">
        <w:rPr>
          <w:rtl/>
        </w:rPr>
        <w:t xml:space="preserve">ערכות לרפורמה ובארבע השנים מאז כניסתה לתוקף, </w:t>
      </w:r>
      <w:r w:rsidRPr="003360FB">
        <w:rPr>
          <w:rFonts w:hint="eastAsia"/>
          <w:rtl/>
        </w:rPr>
        <w:t>משרד</w:t>
      </w:r>
      <w:r>
        <w:rPr>
          <w:rFonts w:hint="cs"/>
          <w:rtl/>
        </w:rPr>
        <w:t xml:space="preserve"> הבריאות</w:t>
      </w:r>
      <w:r w:rsidRPr="003360FB">
        <w:rPr>
          <w:rtl/>
        </w:rPr>
        <w:t xml:space="preserve"> לא הגד</w:t>
      </w:r>
      <w:r w:rsidRPr="003360FB">
        <w:rPr>
          <w:rFonts w:hint="eastAsia"/>
          <w:rtl/>
        </w:rPr>
        <w:t>י</w:t>
      </w:r>
      <w:r w:rsidRPr="003360FB">
        <w:rPr>
          <w:rtl/>
        </w:rPr>
        <w:t xml:space="preserve">ר מדדים אופרטיביים </w:t>
      </w:r>
      <w:r w:rsidRPr="003360FB">
        <w:rPr>
          <w:rFonts w:hint="eastAsia"/>
          <w:rtl/>
        </w:rPr>
        <w:t>לבחינת</w:t>
      </w:r>
      <w:r w:rsidRPr="003360FB">
        <w:rPr>
          <w:rtl/>
        </w:rPr>
        <w:t xml:space="preserve"> </w:t>
      </w:r>
      <w:r w:rsidRPr="003360FB">
        <w:rPr>
          <w:rFonts w:hint="eastAsia"/>
          <w:rtl/>
        </w:rPr>
        <w:t>העמידה</w:t>
      </w:r>
      <w:r w:rsidRPr="003360FB">
        <w:rPr>
          <w:rtl/>
        </w:rPr>
        <w:t xml:space="preserve"> </w:t>
      </w:r>
      <w:r w:rsidRPr="003360FB">
        <w:rPr>
          <w:rFonts w:hint="eastAsia"/>
          <w:rtl/>
        </w:rPr>
        <w:t>ב</w:t>
      </w:r>
      <w:r w:rsidRPr="003360FB">
        <w:rPr>
          <w:rtl/>
        </w:rPr>
        <w:t>מטרות הרפורמה והצלחתה</w:t>
      </w:r>
      <w:r>
        <w:rPr>
          <w:rFonts w:hint="cs"/>
          <w:rtl/>
        </w:rPr>
        <w:t>,</w:t>
      </w:r>
      <w:r w:rsidRPr="003360FB">
        <w:rPr>
          <w:rtl/>
        </w:rPr>
        <w:t xml:space="preserve"> וממילא הוא גם לא בחן זאת</w:t>
      </w:r>
      <w:r w:rsidRPr="00E215CA">
        <w:rPr>
          <w:rStyle w:val="FootnoteReference"/>
          <w:rtl/>
        </w:rPr>
        <w:footnoteReference w:id="85"/>
      </w:r>
      <w:r w:rsidRPr="00E215CA">
        <w:rPr>
          <w:rtl/>
        </w:rPr>
        <w:t>.</w:t>
      </w:r>
      <w:r w:rsidRPr="003360FB">
        <w:rPr>
          <w:rtl/>
        </w:rPr>
        <w:t xml:space="preserve"> </w:t>
      </w:r>
    </w:p>
    <w:p w14:paraId="553D369A" w14:textId="75EB6CF6" w:rsidR="00B51F5B" w:rsidRPr="004B5E66" w:rsidRDefault="00B51F5B" w:rsidP="009F33AC">
      <w:pPr>
        <w:pStyle w:val="100"/>
        <w:rPr>
          <w:rtl/>
        </w:rPr>
      </w:pPr>
      <w:r>
        <w:rPr>
          <w:rFonts w:hint="cs"/>
          <w:rtl/>
        </w:rPr>
        <w:t xml:space="preserve">כפי שצוין לעיל, </w:t>
      </w:r>
      <w:r w:rsidRPr="004B5E66">
        <w:rPr>
          <w:rFonts w:hint="eastAsia"/>
          <w:rtl/>
        </w:rPr>
        <w:t>בפרק</w:t>
      </w:r>
      <w:r w:rsidRPr="004B5E66">
        <w:rPr>
          <w:rFonts w:hint="cs"/>
          <w:rtl/>
        </w:rPr>
        <w:t xml:space="preserve"> </w:t>
      </w:r>
      <w:r>
        <w:rPr>
          <w:rFonts w:hint="cs"/>
          <w:rtl/>
        </w:rPr>
        <w:t xml:space="preserve">בנושא </w:t>
      </w:r>
      <w:r w:rsidR="00216CC9">
        <w:rPr>
          <w:rFonts w:hint="cs"/>
          <w:rtl/>
        </w:rPr>
        <w:t>"</w:t>
      </w:r>
      <w:r w:rsidRPr="00D675B4">
        <w:rPr>
          <w:rtl/>
        </w:rPr>
        <w:t>קביעת סטנדרטים לזמני המתנה על ידי משרד הבריאות</w:t>
      </w:r>
      <w:r w:rsidR="00216CC9">
        <w:rPr>
          <w:rFonts w:hint="cs"/>
          <w:rtl/>
        </w:rPr>
        <w:t>"</w:t>
      </w:r>
      <w:r>
        <w:rPr>
          <w:rFonts w:hint="cs"/>
          <w:rtl/>
        </w:rPr>
        <w:t xml:space="preserve">, במועד הביקורת דנה </w:t>
      </w:r>
      <w:r w:rsidRPr="004B5E66">
        <w:rPr>
          <w:rFonts w:hint="eastAsia"/>
          <w:rtl/>
        </w:rPr>
        <w:t>הוועדה</w:t>
      </w:r>
      <w:r w:rsidRPr="004B5E66">
        <w:rPr>
          <w:rtl/>
        </w:rPr>
        <w:t xml:space="preserve"> </w:t>
      </w:r>
      <w:r w:rsidRPr="004B5E66">
        <w:rPr>
          <w:rFonts w:hint="cs"/>
          <w:rtl/>
        </w:rPr>
        <w:t xml:space="preserve">לבחינת הרפורמה </w:t>
      </w:r>
      <w:r>
        <w:rPr>
          <w:rFonts w:hint="cs"/>
          <w:rtl/>
        </w:rPr>
        <w:t>בנושא קביעת סטנדרטים הנוגעים לזמינות השירותים. כמו כן, במסגרת התוכנית הלאומית למדדי איכות של משרד הבריאות</w:t>
      </w:r>
      <w:r>
        <w:rPr>
          <w:rStyle w:val="FootnoteReference"/>
          <w:rtl/>
        </w:rPr>
        <w:footnoteReference w:id="86"/>
      </w:r>
      <w:r>
        <w:rPr>
          <w:rFonts w:hint="cs"/>
          <w:rtl/>
        </w:rPr>
        <w:t xml:space="preserve"> נקבע כי יש לכלול ולבחון כמה מדדים בתחום. </w:t>
      </w:r>
    </w:p>
    <w:p w14:paraId="35A6A06F" w14:textId="77777777" w:rsidR="00B51F5B" w:rsidRPr="002A25F7" w:rsidRDefault="00B51F5B" w:rsidP="009F33AC">
      <w:pPr>
        <w:pStyle w:val="af5"/>
        <w:rPr>
          <w:rtl/>
        </w:rPr>
      </w:pPr>
      <w:r>
        <w:rPr>
          <w:rFonts w:hint="cs"/>
          <w:rtl/>
        </w:rPr>
        <w:t xml:space="preserve">על </w:t>
      </w:r>
      <w:r w:rsidRPr="002A25F7">
        <w:rPr>
          <w:rFonts w:hint="eastAsia"/>
          <w:rtl/>
        </w:rPr>
        <w:t>משרד</w:t>
      </w:r>
      <w:r w:rsidRPr="002A25F7">
        <w:rPr>
          <w:rtl/>
        </w:rPr>
        <w:t xml:space="preserve"> </w:t>
      </w:r>
      <w:r w:rsidRPr="002A25F7">
        <w:rPr>
          <w:rFonts w:hint="eastAsia"/>
          <w:rtl/>
        </w:rPr>
        <w:t>הבריאות</w:t>
      </w:r>
      <w:r w:rsidRPr="002A25F7">
        <w:rPr>
          <w:rtl/>
        </w:rPr>
        <w:t xml:space="preserve"> </w:t>
      </w:r>
      <w:r>
        <w:rPr>
          <w:rFonts w:hint="cs"/>
          <w:rtl/>
        </w:rPr>
        <w:t>לפעול על פי מדריך התכנון הממשלתי ולה</w:t>
      </w:r>
      <w:r w:rsidRPr="002A25F7">
        <w:rPr>
          <w:rFonts w:hint="eastAsia"/>
          <w:rtl/>
        </w:rPr>
        <w:t>גדיר</w:t>
      </w:r>
      <w:r w:rsidRPr="002A25F7">
        <w:rPr>
          <w:rtl/>
        </w:rPr>
        <w:t xml:space="preserve"> </w:t>
      </w:r>
      <w:r>
        <w:rPr>
          <w:rFonts w:hint="cs"/>
          <w:rtl/>
        </w:rPr>
        <w:t>תוכנית עבודה שנתית, שבמסגרתה יקבע יעדים ליישום הרפורמה ו</w:t>
      </w:r>
      <w:r w:rsidRPr="002A25F7">
        <w:rPr>
          <w:rFonts w:hint="eastAsia"/>
          <w:rtl/>
        </w:rPr>
        <w:t>מדדי</w:t>
      </w:r>
      <w:r w:rsidRPr="002A25F7">
        <w:rPr>
          <w:rFonts w:hint="cs"/>
          <w:rtl/>
        </w:rPr>
        <w:t xml:space="preserve">ם </w:t>
      </w:r>
      <w:r>
        <w:rPr>
          <w:rFonts w:hint="cs"/>
          <w:rtl/>
        </w:rPr>
        <w:t>ל</w:t>
      </w:r>
      <w:r w:rsidRPr="002A25F7">
        <w:rPr>
          <w:rFonts w:hint="eastAsia"/>
          <w:rtl/>
        </w:rPr>
        <w:t>ה</w:t>
      </w:r>
      <w:r>
        <w:rPr>
          <w:rFonts w:hint="cs"/>
          <w:rtl/>
        </w:rPr>
        <w:t>ערכת</w:t>
      </w:r>
      <w:r w:rsidRPr="002A25F7">
        <w:rPr>
          <w:rtl/>
        </w:rPr>
        <w:t xml:space="preserve"> </w:t>
      </w:r>
      <w:r>
        <w:rPr>
          <w:rFonts w:hint="cs"/>
          <w:rtl/>
        </w:rPr>
        <w:t>השגת היעדים. עליו להנחות את קופות החולים לפעול להשגת היעדים שנקבעו בתוכנית ולעקוב אחר השגתם. על המשרד לשקול לבצע סקר לבחינת שביעות רצון המטופלים משירותי בריאות הנפש.</w:t>
      </w:r>
    </w:p>
    <w:p w14:paraId="526B9256" w14:textId="2EF7D8DA" w:rsidR="00B51F5B" w:rsidRPr="002D38EC" w:rsidRDefault="00B51F5B" w:rsidP="00665721">
      <w:pPr>
        <w:pStyle w:val="414"/>
        <w:rPr>
          <w:rtl/>
        </w:rPr>
      </w:pPr>
      <w:r>
        <w:rPr>
          <w:rFonts w:hint="cs"/>
          <w:rtl/>
        </w:rPr>
        <w:t xml:space="preserve">הקושי של משרד הבריאות לרכז </w:t>
      </w:r>
      <w:r w:rsidRPr="00E929B7">
        <w:rPr>
          <w:rFonts w:hint="cs"/>
          <w:rtl/>
        </w:rPr>
        <w:t>נתונים</w:t>
      </w:r>
      <w:r>
        <w:rPr>
          <w:rFonts w:hint="cs"/>
          <w:rtl/>
        </w:rPr>
        <w:t xml:space="preserve"> מקופות החולים</w:t>
      </w:r>
      <w:r w:rsidRPr="00E929B7">
        <w:rPr>
          <w:rFonts w:hint="cs"/>
          <w:rtl/>
        </w:rPr>
        <w:t xml:space="preserve"> </w:t>
      </w:r>
      <w:r w:rsidR="009F33AC">
        <w:rPr>
          <w:rFonts w:hint="cs"/>
          <w:rtl/>
        </w:rPr>
        <w:t>בנושא אספקת השירותים ועלותם</w:t>
      </w:r>
    </w:p>
    <w:p w14:paraId="03D9D10D" w14:textId="77777777" w:rsidR="00B51F5B" w:rsidRDefault="00B51F5B" w:rsidP="009F33AC">
      <w:pPr>
        <w:pStyle w:val="5115"/>
        <w:rPr>
          <w:rtl/>
        </w:rPr>
      </w:pPr>
      <w:r>
        <w:rPr>
          <w:rFonts w:hint="cs"/>
          <w:rtl/>
        </w:rPr>
        <w:t>חוסר בנתונים על היקף השירותים האמבולטוריים שסופקו לציבור</w:t>
      </w:r>
    </w:p>
    <w:p w14:paraId="600C60D2" w14:textId="77777777" w:rsidR="00B51F5B" w:rsidRPr="00BD1756" w:rsidRDefault="00B51F5B" w:rsidP="009F33AC">
      <w:pPr>
        <w:pStyle w:val="100"/>
        <w:rPr>
          <w:rtl/>
        </w:rPr>
      </w:pPr>
      <w:r w:rsidRPr="0062664B">
        <w:rPr>
          <w:rFonts w:hint="eastAsia"/>
          <w:rtl/>
        </w:rPr>
        <w:t>עם</w:t>
      </w:r>
      <w:r w:rsidRPr="0062664B">
        <w:rPr>
          <w:rtl/>
        </w:rPr>
        <w:t xml:space="preserve"> כניסת הרפורמה לתוקף בשנת 2015, </w:t>
      </w:r>
      <w:r>
        <w:rPr>
          <w:rFonts w:hint="cs"/>
          <w:rtl/>
        </w:rPr>
        <w:t>נדרשו קופות</w:t>
      </w:r>
      <w:r w:rsidRPr="0062664B">
        <w:rPr>
          <w:rtl/>
        </w:rPr>
        <w:t xml:space="preserve"> החולים </w:t>
      </w:r>
      <w:r>
        <w:rPr>
          <w:rFonts w:hint="cs"/>
          <w:rtl/>
        </w:rPr>
        <w:t xml:space="preserve">להעביר לאגף לבריאות הנפש דיווחים תקופתיים שונים, והאגף </w:t>
      </w:r>
      <w:r w:rsidRPr="00623246">
        <w:rPr>
          <w:rFonts w:hint="cs"/>
          <w:rtl/>
        </w:rPr>
        <w:t xml:space="preserve">העביר לקופות </w:t>
      </w:r>
      <w:r w:rsidRPr="0062664B">
        <w:rPr>
          <w:rFonts w:hint="eastAsia"/>
          <w:rtl/>
        </w:rPr>
        <w:t>הנחיות</w:t>
      </w:r>
      <w:r w:rsidRPr="0062664B">
        <w:rPr>
          <w:rtl/>
        </w:rPr>
        <w:t xml:space="preserve"> </w:t>
      </w:r>
      <w:r w:rsidRPr="0062664B">
        <w:rPr>
          <w:rFonts w:hint="eastAsia"/>
          <w:rtl/>
        </w:rPr>
        <w:t>לגבי</w:t>
      </w:r>
      <w:r w:rsidRPr="0062664B">
        <w:rPr>
          <w:rtl/>
        </w:rPr>
        <w:t xml:space="preserve"> </w:t>
      </w:r>
      <w:r w:rsidRPr="0062664B">
        <w:rPr>
          <w:rFonts w:hint="eastAsia"/>
          <w:rtl/>
        </w:rPr>
        <w:t>האופן</w:t>
      </w:r>
      <w:r w:rsidRPr="0062664B">
        <w:rPr>
          <w:rtl/>
        </w:rPr>
        <w:t xml:space="preserve"> </w:t>
      </w:r>
      <w:r w:rsidRPr="0062664B">
        <w:rPr>
          <w:rFonts w:hint="eastAsia"/>
          <w:rtl/>
        </w:rPr>
        <w:t>שעליהן</w:t>
      </w:r>
      <w:r w:rsidRPr="0062664B">
        <w:rPr>
          <w:rtl/>
        </w:rPr>
        <w:t xml:space="preserve"> </w:t>
      </w:r>
      <w:r>
        <w:rPr>
          <w:rFonts w:hint="cs"/>
          <w:rtl/>
        </w:rPr>
        <w:t>לדווח</w:t>
      </w:r>
      <w:r w:rsidRPr="0062664B">
        <w:rPr>
          <w:rtl/>
        </w:rPr>
        <w:t xml:space="preserve"> </w:t>
      </w:r>
      <w:r w:rsidRPr="0062664B">
        <w:rPr>
          <w:rFonts w:hint="eastAsia"/>
          <w:rtl/>
        </w:rPr>
        <w:t>על</w:t>
      </w:r>
      <w:r w:rsidRPr="0062664B">
        <w:rPr>
          <w:rtl/>
        </w:rPr>
        <w:t xml:space="preserve"> </w:t>
      </w:r>
      <w:r w:rsidRPr="0062664B">
        <w:rPr>
          <w:rFonts w:hint="eastAsia"/>
          <w:rtl/>
        </w:rPr>
        <w:t>הטיפולים</w:t>
      </w:r>
      <w:r w:rsidRPr="0062664B">
        <w:rPr>
          <w:rtl/>
        </w:rPr>
        <w:t xml:space="preserve"> </w:t>
      </w:r>
      <w:r w:rsidRPr="0062664B">
        <w:rPr>
          <w:rFonts w:hint="eastAsia"/>
          <w:rtl/>
        </w:rPr>
        <w:t>האמבולטוריים</w:t>
      </w:r>
      <w:r w:rsidRPr="0062664B">
        <w:rPr>
          <w:rtl/>
        </w:rPr>
        <w:t xml:space="preserve"> </w:t>
      </w:r>
      <w:r w:rsidRPr="0062664B">
        <w:rPr>
          <w:rFonts w:hint="eastAsia"/>
          <w:rtl/>
        </w:rPr>
        <w:t>שביצעו</w:t>
      </w:r>
      <w:r>
        <w:rPr>
          <w:rStyle w:val="FootnoteReference"/>
          <w:sz w:val="24"/>
          <w:rtl/>
        </w:rPr>
        <w:footnoteReference w:id="87"/>
      </w:r>
      <w:r w:rsidRPr="0062664B">
        <w:rPr>
          <w:rtl/>
        </w:rPr>
        <w:t xml:space="preserve">. בביקורת נמצא כי נכון לאוגוסט 2019 העבירה הכללית נתונים רק עד לשנת 2016, אחרי שחזרה בה מהנתונים שהעבירה לשנת 2017; מאוחדת </w:t>
      </w:r>
      <w:r w:rsidRPr="0062664B">
        <w:rPr>
          <w:rFonts w:hint="eastAsia"/>
          <w:rtl/>
        </w:rPr>
        <w:t>העבירה</w:t>
      </w:r>
      <w:r w:rsidRPr="0062664B">
        <w:rPr>
          <w:rtl/>
        </w:rPr>
        <w:t xml:space="preserve"> נתונים </w:t>
      </w:r>
      <w:r w:rsidRPr="00C15029">
        <w:rPr>
          <w:rFonts w:hint="cs"/>
          <w:rtl/>
        </w:rPr>
        <w:t xml:space="preserve">לשנים 2017-2015 </w:t>
      </w:r>
      <w:r w:rsidRPr="00924C34">
        <w:rPr>
          <w:rtl/>
        </w:rPr>
        <w:t xml:space="preserve">רק באוגוסט 2018 </w:t>
      </w:r>
      <w:r w:rsidRPr="00C15029">
        <w:rPr>
          <w:rFonts w:hint="cs"/>
          <w:rtl/>
        </w:rPr>
        <w:t xml:space="preserve">אולם לטענת המשרד </w:t>
      </w:r>
      <w:r>
        <w:rPr>
          <w:rFonts w:hint="cs"/>
          <w:rtl/>
        </w:rPr>
        <w:t xml:space="preserve">הנתונים אינם </w:t>
      </w:r>
      <w:r w:rsidRPr="0062664B">
        <w:rPr>
          <w:rFonts w:hint="eastAsia"/>
          <w:rtl/>
        </w:rPr>
        <w:t>באיכות</w:t>
      </w:r>
      <w:r w:rsidRPr="0062664B">
        <w:rPr>
          <w:rtl/>
        </w:rPr>
        <w:t xml:space="preserve"> </w:t>
      </w:r>
      <w:r w:rsidRPr="0062664B">
        <w:rPr>
          <w:rFonts w:hint="eastAsia"/>
          <w:rtl/>
        </w:rPr>
        <w:t>מספקת</w:t>
      </w:r>
      <w:r w:rsidRPr="0062664B">
        <w:rPr>
          <w:rtl/>
        </w:rPr>
        <w:t xml:space="preserve">; מכבי ולאומית העבירו נתונים כנדרש. </w:t>
      </w:r>
    </w:p>
    <w:p w14:paraId="3AE92DEB" w14:textId="77777777" w:rsidR="00B51F5B" w:rsidRPr="0014432C" w:rsidRDefault="00B51F5B" w:rsidP="009F33AC">
      <w:pPr>
        <w:pStyle w:val="100"/>
        <w:rPr>
          <w:rtl/>
        </w:rPr>
      </w:pPr>
      <w:r>
        <w:rPr>
          <w:rFonts w:hint="cs"/>
          <w:rtl/>
        </w:rPr>
        <w:t xml:space="preserve">משרד הבריאות מסר בתשובתו כי </w:t>
      </w:r>
      <w:r>
        <w:rPr>
          <w:rtl/>
        </w:rPr>
        <w:t xml:space="preserve">לצורך ניתוח </w:t>
      </w:r>
      <w:r>
        <w:rPr>
          <w:rFonts w:hint="cs"/>
          <w:rtl/>
        </w:rPr>
        <w:t>התקדמותה</w:t>
      </w:r>
      <w:r>
        <w:rPr>
          <w:rtl/>
        </w:rPr>
        <w:t xml:space="preserve"> של הרפורמה הקים מערכת מידע</w:t>
      </w:r>
      <w:r>
        <w:rPr>
          <w:rFonts w:hint="cs"/>
          <w:rtl/>
        </w:rPr>
        <w:t xml:space="preserve"> (</w:t>
      </w:r>
      <w:r>
        <w:t>BI</w:t>
      </w:r>
      <w:r>
        <w:rPr>
          <w:rFonts w:hint="cs"/>
          <w:rtl/>
        </w:rPr>
        <w:t xml:space="preserve"> אמבולטורי), המבוססת על דיווחי קופות החולים על המגעים שניתנו,</w:t>
      </w:r>
      <w:r>
        <w:rPr>
          <w:rtl/>
        </w:rPr>
        <w:t xml:space="preserve"> </w:t>
      </w:r>
      <w:r>
        <w:rPr>
          <w:rFonts w:hint="cs"/>
          <w:rtl/>
        </w:rPr>
        <w:t>שבה</w:t>
      </w:r>
      <w:r>
        <w:rPr>
          <w:rtl/>
        </w:rPr>
        <w:t xml:space="preserve"> מוגדרים מדדים שונים המאפשרים הערכה מקיפה של </w:t>
      </w:r>
      <w:r>
        <w:rPr>
          <w:rFonts w:hint="cs"/>
          <w:rtl/>
        </w:rPr>
        <w:t>היבטים</w:t>
      </w:r>
      <w:r>
        <w:rPr>
          <w:rtl/>
        </w:rPr>
        <w:t xml:space="preserve"> ברפורמה בבריאות הנפש, </w:t>
      </w:r>
      <w:r>
        <w:rPr>
          <w:rFonts w:hint="cs"/>
          <w:rtl/>
        </w:rPr>
        <w:t>ו</w:t>
      </w:r>
      <w:r>
        <w:rPr>
          <w:rtl/>
        </w:rPr>
        <w:t>ביניהם</w:t>
      </w:r>
      <w:r>
        <w:rPr>
          <w:rFonts w:hint="cs"/>
          <w:rtl/>
        </w:rPr>
        <w:t>:</w:t>
      </w:r>
      <w:r>
        <w:rPr>
          <w:rtl/>
        </w:rPr>
        <w:t xml:space="preserve"> היקפי השירותים מבחינת מספרי המטופלים </w:t>
      </w:r>
      <w:r>
        <w:rPr>
          <w:rFonts w:hint="cs"/>
          <w:rtl/>
        </w:rPr>
        <w:t>ו</w:t>
      </w:r>
      <w:r>
        <w:rPr>
          <w:rtl/>
        </w:rPr>
        <w:t xml:space="preserve">פילוחים בין הספקים השונים, סוגי הטיפולים </w:t>
      </w:r>
      <w:r>
        <w:rPr>
          <w:rFonts w:hint="cs"/>
          <w:rtl/>
        </w:rPr>
        <w:t>ו</w:t>
      </w:r>
      <w:r>
        <w:rPr>
          <w:rtl/>
        </w:rPr>
        <w:t>פריסתם הג</w:t>
      </w:r>
      <w:r>
        <w:rPr>
          <w:rFonts w:hint="cs"/>
          <w:rtl/>
        </w:rPr>
        <w:t>י</w:t>
      </w:r>
      <w:r>
        <w:rPr>
          <w:rtl/>
        </w:rPr>
        <w:t>אוגרפית</w:t>
      </w:r>
      <w:r>
        <w:rPr>
          <w:rFonts w:hint="cs"/>
          <w:rtl/>
        </w:rPr>
        <w:t>.</w:t>
      </w:r>
      <w:r>
        <w:rPr>
          <w:rtl/>
        </w:rPr>
        <w:t xml:space="preserve"> עם זאת, חלק מ</w:t>
      </w:r>
      <w:r>
        <w:rPr>
          <w:rFonts w:hint="cs"/>
          <w:rtl/>
        </w:rPr>
        <w:t>ה</w:t>
      </w:r>
      <w:r>
        <w:rPr>
          <w:rtl/>
        </w:rPr>
        <w:t xml:space="preserve">קופות </w:t>
      </w:r>
      <w:r>
        <w:rPr>
          <w:rFonts w:hint="cs"/>
          <w:rtl/>
        </w:rPr>
        <w:t>טרם העבירו את מלוא הנתונים עבור כל השנים באופן שבו התבקשו, עובדה המונעת</w:t>
      </w:r>
      <w:r>
        <w:rPr>
          <w:rtl/>
        </w:rPr>
        <w:t xml:space="preserve"> קבל</w:t>
      </w:r>
      <w:r>
        <w:rPr>
          <w:rFonts w:hint="cs"/>
          <w:rtl/>
        </w:rPr>
        <w:t>ת</w:t>
      </w:r>
      <w:r>
        <w:rPr>
          <w:rtl/>
        </w:rPr>
        <w:t xml:space="preserve"> תמונה מלאה והשוואתית בין הקופות.</w:t>
      </w:r>
    </w:p>
    <w:p w14:paraId="19895DD8" w14:textId="77777777" w:rsidR="00B51F5B" w:rsidRDefault="00B51F5B" w:rsidP="009F33AC">
      <w:pPr>
        <w:pStyle w:val="5115"/>
        <w:rPr>
          <w:rtl/>
        </w:rPr>
      </w:pPr>
      <w:r>
        <w:rPr>
          <w:rFonts w:hint="cs"/>
          <w:rtl/>
        </w:rPr>
        <w:t>חוסר בנתונים על ניצול התקציב לבריאות הנפש על ידי קופות החולים והיעדר בקרה על ניצולו</w:t>
      </w:r>
    </w:p>
    <w:p w14:paraId="038B13BF" w14:textId="77777777" w:rsidR="00B51F5B" w:rsidRDefault="00B51F5B" w:rsidP="009F33AC">
      <w:pPr>
        <w:pStyle w:val="100"/>
        <w:rPr>
          <w:rtl/>
        </w:rPr>
      </w:pPr>
      <w:r>
        <w:rPr>
          <w:rFonts w:hint="cs"/>
          <w:rtl/>
        </w:rPr>
        <w:t xml:space="preserve">עד דצמבר 2018, שלוש שנים וחצי מאז כניסת הרפורמה, לא אסף משרד הבריאות נתונים כספיים מקופות החולים על אודות ניצול תקציב הרפורמה (מקורות מול שימושים) ולא הגיע עם הקופות להסכמות אילו הוצאות </w:t>
      </w:r>
      <w:r w:rsidRPr="00947F26">
        <w:rPr>
          <w:rFonts w:hint="cs"/>
          <w:rtl/>
        </w:rPr>
        <w:t>ייכללו במסגרת השימושים</w:t>
      </w:r>
      <w:r>
        <w:rPr>
          <w:rFonts w:hint="cs"/>
          <w:rtl/>
        </w:rPr>
        <w:t xml:space="preserve">. </w:t>
      </w:r>
    </w:p>
    <w:p w14:paraId="25005796" w14:textId="7546F803" w:rsidR="00B51F5B" w:rsidRDefault="00B51F5B" w:rsidP="009F33AC">
      <w:pPr>
        <w:pStyle w:val="100"/>
        <w:rPr>
          <w:rtl/>
        </w:rPr>
      </w:pPr>
      <w:r>
        <w:rPr>
          <w:rFonts w:hint="cs"/>
          <w:rtl/>
        </w:rPr>
        <w:t>בדיקת הנתונים הכספיים על ידי משרד רואה חשבון מטעם משרד הבריאות התעכבה בגלל היעדר תקציב למימון הבדיקה. תקציב מתאים אושר רק לקראת סוף שנת 2018, אז החל ה</w:t>
      </w:r>
      <w:r w:rsidRPr="002F7D40">
        <w:rPr>
          <w:rtl/>
        </w:rPr>
        <w:t>אגף לבקרה על הקופות וש</w:t>
      </w:r>
      <w:r>
        <w:rPr>
          <w:rFonts w:hint="cs"/>
          <w:rtl/>
        </w:rPr>
        <w:t>י</w:t>
      </w:r>
      <w:r w:rsidRPr="002F7D40">
        <w:rPr>
          <w:rtl/>
        </w:rPr>
        <w:t>רותי בריאות נוספים</w:t>
      </w:r>
      <w:r w:rsidRPr="002F7D40">
        <w:rPr>
          <w:rFonts w:hint="cs"/>
          <w:rtl/>
        </w:rPr>
        <w:t xml:space="preserve"> </w:t>
      </w:r>
      <w:r>
        <w:rPr>
          <w:rFonts w:hint="cs"/>
          <w:rtl/>
        </w:rPr>
        <w:t>במשרד לבחון אם</w:t>
      </w:r>
      <w:r w:rsidRPr="007B00C4">
        <w:rPr>
          <w:rFonts w:hint="cs"/>
          <w:rtl/>
        </w:rPr>
        <w:t xml:space="preserve"> ה</w:t>
      </w:r>
      <w:r>
        <w:rPr>
          <w:rFonts w:hint="cs"/>
          <w:rtl/>
        </w:rPr>
        <w:t>תקציב</w:t>
      </w:r>
      <w:r w:rsidRPr="007B00C4">
        <w:rPr>
          <w:rFonts w:hint="cs"/>
          <w:rtl/>
        </w:rPr>
        <w:t xml:space="preserve"> </w:t>
      </w:r>
      <w:r>
        <w:rPr>
          <w:rFonts w:hint="cs"/>
          <w:rtl/>
        </w:rPr>
        <w:t>שקיבלו</w:t>
      </w:r>
      <w:r w:rsidRPr="007B00C4">
        <w:rPr>
          <w:rFonts w:hint="cs"/>
          <w:rtl/>
        </w:rPr>
        <w:t xml:space="preserve"> קופות</w:t>
      </w:r>
      <w:r>
        <w:rPr>
          <w:rFonts w:hint="cs"/>
          <w:rtl/>
        </w:rPr>
        <w:t xml:space="preserve"> החולים</w:t>
      </w:r>
      <w:r w:rsidRPr="007B00C4">
        <w:rPr>
          <w:rFonts w:hint="cs"/>
          <w:rtl/>
        </w:rPr>
        <w:t xml:space="preserve"> אכן שימש לטובת שיפור מערך בריאות הנפש</w:t>
      </w:r>
      <w:r>
        <w:rPr>
          <w:rFonts w:hint="cs"/>
          <w:rtl/>
        </w:rPr>
        <w:t xml:space="preserve"> ובנייתו (מקורות מול שימושים). בדיקה זו טרם הושלמה וכאמור נתגלעו בעניין זה מחלוקות מהותיות בין המשרד לבין הקופות. </w:t>
      </w:r>
    </w:p>
    <w:p w14:paraId="66E17B5B" w14:textId="6DAA2757" w:rsidR="00B51F5B" w:rsidRDefault="00B51F5B" w:rsidP="002D390C">
      <w:pPr>
        <w:pStyle w:val="aff0"/>
        <w:rPr>
          <w:rtl/>
        </w:rPr>
      </w:pPr>
      <w:r>
        <w:rPr>
          <w:rFonts w:hint="cs"/>
          <w:rtl/>
        </w:rPr>
        <w:t>✰</w:t>
      </w:r>
    </w:p>
    <w:p w14:paraId="33B41710" w14:textId="77777777" w:rsidR="009F33AC" w:rsidRPr="009F33AC" w:rsidRDefault="009F33AC" w:rsidP="009F33AC">
      <w:pPr>
        <w:spacing w:line="269" w:lineRule="auto"/>
        <w:jc w:val="center"/>
        <w:rPr>
          <w:rFonts w:ascii="Arial" w:hAnsi="Arial" w:cs="Arial"/>
          <w:sz w:val="36"/>
          <w:rtl/>
        </w:rPr>
      </w:pPr>
    </w:p>
    <w:p w14:paraId="7346527C" w14:textId="77777777" w:rsidR="00B51F5B" w:rsidRPr="001313EE" w:rsidRDefault="00B51F5B" w:rsidP="009F33AC">
      <w:pPr>
        <w:pStyle w:val="af5"/>
        <w:rPr>
          <w:highlight w:val="yellow"/>
          <w:rtl/>
        </w:rPr>
      </w:pPr>
      <w:r w:rsidRPr="001E3FA2">
        <w:rPr>
          <w:rFonts w:hint="eastAsia"/>
          <w:rtl/>
        </w:rPr>
        <w:t>בה</w:t>
      </w:r>
      <w:r>
        <w:rPr>
          <w:rFonts w:hint="cs"/>
          <w:rtl/>
        </w:rPr>
        <w:t>י</w:t>
      </w:r>
      <w:r w:rsidRPr="001E3FA2">
        <w:rPr>
          <w:rFonts w:hint="eastAsia"/>
          <w:rtl/>
        </w:rPr>
        <w:t>עדר</w:t>
      </w:r>
      <w:r w:rsidRPr="001E3FA2">
        <w:rPr>
          <w:rtl/>
        </w:rPr>
        <w:t xml:space="preserve"> נתונים </w:t>
      </w:r>
      <w:r w:rsidRPr="001E3FA2">
        <w:rPr>
          <w:rFonts w:hint="eastAsia"/>
          <w:rtl/>
        </w:rPr>
        <w:t>מלאים</w:t>
      </w:r>
      <w:r w:rsidRPr="001E3FA2">
        <w:rPr>
          <w:rtl/>
        </w:rPr>
        <w:t xml:space="preserve"> </w:t>
      </w:r>
      <w:r w:rsidRPr="001E3FA2">
        <w:rPr>
          <w:rFonts w:hint="eastAsia"/>
          <w:rtl/>
        </w:rPr>
        <w:t>ומטויבים</w:t>
      </w:r>
      <w:r w:rsidRPr="001E3FA2">
        <w:rPr>
          <w:rtl/>
        </w:rPr>
        <w:t xml:space="preserve"> </w:t>
      </w:r>
      <w:r w:rsidRPr="001E3FA2">
        <w:rPr>
          <w:rFonts w:hint="eastAsia"/>
          <w:rtl/>
        </w:rPr>
        <w:t>במשרד</w:t>
      </w:r>
      <w:r w:rsidRPr="001E3FA2">
        <w:rPr>
          <w:rtl/>
        </w:rPr>
        <w:t xml:space="preserve"> הבריאות </w:t>
      </w:r>
      <w:r>
        <w:rPr>
          <w:rFonts w:hint="cs"/>
          <w:rtl/>
        </w:rPr>
        <w:t xml:space="preserve">על </w:t>
      </w:r>
      <w:r w:rsidRPr="001E3FA2">
        <w:rPr>
          <w:rFonts w:hint="eastAsia"/>
          <w:rtl/>
        </w:rPr>
        <w:t>אודות</w:t>
      </w:r>
      <w:r w:rsidRPr="001E3FA2">
        <w:rPr>
          <w:rtl/>
        </w:rPr>
        <w:t xml:space="preserve"> הטיפולים האמבולטוריים בתחום בריאות הנפש, </w:t>
      </w:r>
      <w:r>
        <w:rPr>
          <w:rFonts w:hint="cs"/>
          <w:rtl/>
        </w:rPr>
        <w:t xml:space="preserve">השתמשה </w:t>
      </w:r>
      <w:r w:rsidRPr="001E3FA2">
        <w:rPr>
          <w:rtl/>
        </w:rPr>
        <w:t>הביקורת</w:t>
      </w:r>
      <w:r>
        <w:rPr>
          <w:rtl/>
        </w:rPr>
        <w:t xml:space="preserve"> </w:t>
      </w:r>
      <w:r w:rsidRPr="001E3FA2">
        <w:rPr>
          <w:rtl/>
        </w:rPr>
        <w:t xml:space="preserve">בנתונים החלקיים שקופות החולים העבירו למשרד. למשרד אין מידע מלא ומדויק </w:t>
      </w:r>
      <w:r>
        <w:rPr>
          <w:rFonts w:hint="cs"/>
          <w:rtl/>
        </w:rPr>
        <w:t xml:space="preserve">על </w:t>
      </w:r>
      <w:r w:rsidRPr="001E3FA2">
        <w:rPr>
          <w:rtl/>
        </w:rPr>
        <w:t xml:space="preserve">אודות </w:t>
      </w:r>
      <w:r>
        <w:rPr>
          <w:rFonts w:hint="cs"/>
          <w:rtl/>
        </w:rPr>
        <w:t>מספר</w:t>
      </w:r>
      <w:r w:rsidRPr="001E3FA2">
        <w:rPr>
          <w:rtl/>
        </w:rPr>
        <w:t xml:space="preserve"> הטיפולים </w:t>
      </w:r>
      <w:r>
        <w:rPr>
          <w:rFonts w:hint="cs"/>
          <w:rtl/>
        </w:rPr>
        <w:t xml:space="preserve">האמבולטוריים </w:t>
      </w:r>
      <w:r w:rsidRPr="001E3FA2">
        <w:rPr>
          <w:rtl/>
        </w:rPr>
        <w:t xml:space="preserve">שהעניקו הקופות, סוגיהם, שיעור חברי הקופות מכלל האוכלוסייה שקיבלו טיפול; נגישותם הגיאוגרפית של השירותים; מצב </w:t>
      </w:r>
      <w:r>
        <w:rPr>
          <w:rFonts w:hint="cs"/>
          <w:rtl/>
        </w:rPr>
        <w:t>זמני</w:t>
      </w:r>
      <w:r w:rsidRPr="001E3FA2">
        <w:rPr>
          <w:rtl/>
        </w:rPr>
        <w:t xml:space="preserve"> ההמתנה ועוד. </w:t>
      </w:r>
      <w:r>
        <w:rPr>
          <w:rFonts w:hint="cs"/>
          <w:rtl/>
        </w:rPr>
        <w:t xml:space="preserve">לגבי נתונים על </w:t>
      </w:r>
      <w:r w:rsidRPr="001E3FA2">
        <w:rPr>
          <w:rtl/>
        </w:rPr>
        <w:t xml:space="preserve">אודות </w:t>
      </w:r>
      <w:r w:rsidRPr="001E3FA2">
        <w:rPr>
          <w:rFonts w:hint="eastAsia"/>
          <w:rtl/>
        </w:rPr>
        <w:t>ניצול</w:t>
      </w:r>
      <w:r w:rsidRPr="001E3FA2">
        <w:rPr>
          <w:rtl/>
        </w:rPr>
        <w:t xml:space="preserve"> </w:t>
      </w:r>
      <w:r w:rsidRPr="001E3FA2">
        <w:rPr>
          <w:rFonts w:hint="eastAsia"/>
          <w:rtl/>
        </w:rPr>
        <w:t>התקציב</w:t>
      </w:r>
      <w:r w:rsidRPr="001E3FA2">
        <w:rPr>
          <w:rtl/>
        </w:rPr>
        <w:t xml:space="preserve"> </w:t>
      </w:r>
      <w:r w:rsidRPr="001E3FA2">
        <w:rPr>
          <w:rFonts w:hint="eastAsia"/>
          <w:rtl/>
        </w:rPr>
        <w:t>אין</w:t>
      </w:r>
      <w:r w:rsidRPr="001E3FA2">
        <w:rPr>
          <w:rtl/>
        </w:rPr>
        <w:t xml:space="preserve"> למשרד אפשרות לוודא כי הקופות השקיעו את התקציב שניתן להן לטובת פיתוח שירותי בריאות הנפש, בהתאם </w:t>
      </w:r>
      <w:r w:rsidRPr="001E3FA2">
        <w:rPr>
          <w:rFonts w:hint="eastAsia"/>
          <w:rtl/>
        </w:rPr>
        <w:t>לנקבע</w:t>
      </w:r>
      <w:r w:rsidRPr="001E3FA2">
        <w:rPr>
          <w:rtl/>
        </w:rPr>
        <w:t xml:space="preserve"> </w:t>
      </w:r>
      <w:r w:rsidRPr="001E3FA2">
        <w:rPr>
          <w:rFonts w:hint="eastAsia"/>
          <w:rtl/>
        </w:rPr>
        <w:t>בהסכם</w:t>
      </w:r>
      <w:r w:rsidRPr="001E3FA2">
        <w:rPr>
          <w:rtl/>
        </w:rPr>
        <w:t xml:space="preserve"> ו</w:t>
      </w:r>
      <w:r w:rsidRPr="001E3FA2">
        <w:rPr>
          <w:rFonts w:hint="eastAsia"/>
          <w:rtl/>
        </w:rPr>
        <w:t>אין</w:t>
      </w:r>
      <w:r w:rsidRPr="001E3FA2">
        <w:rPr>
          <w:rtl/>
        </w:rPr>
        <w:t xml:space="preserve"> </w:t>
      </w:r>
      <w:r w:rsidRPr="001E3FA2">
        <w:rPr>
          <w:rFonts w:hint="eastAsia"/>
          <w:rtl/>
        </w:rPr>
        <w:t>לו</w:t>
      </w:r>
      <w:r w:rsidRPr="001E3FA2">
        <w:rPr>
          <w:rtl/>
        </w:rPr>
        <w:t xml:space="preserve"> </w:t>
      </w:r>
      <w:r w:rsidRPr="001E3FA2">
        <w:rPr>
          <w:rFonts w:hint="eastAsia"/>
          <w:rtl/>
        </w:rPr>
        <w:t>אפשרות</w:t>
      </w:r>
      <w:r w:rsidRPr="001E3FA2">
        <w:rPr>
          <w:rtl/>
        </w:rPr>
        <w:t xml:space="preserve"> לבחון אם מסגרת התקציב נותנת מענה הולם בתחום בריאות הנפש. </w:t>
      </w:r>
      <w:r w:rsidRPr="001E3FA2">
        <w:rPr>
          <w:rFonts w:hint="eastAsia"/>
          <w:rtl/>
        </w:rPr>
        <w:t>נוכח</w:t>
      </w:r>
      <w:r w:rsidRPr="001E3FA2">
        <w:rPr>
          <w:rtl/>
        </w:rPr>
        <w:t xml:space="preserve"> </w:t>
      </w:r>
      <w:r w:rsidRPr="001E3FA2">
        <w:rPr>
          <w:rFonts w:hint="eastAsia"/>
          <w:rtl/>
        </w:rPr>
        <w:t>כל</w:t>
      </w:r>
      <w:r w:rsidRPr="001E3FA2">
        <w:rPr>
          <w:rtl/>
        </w:rPr>
        <w:t xml:space="preserve"> </w:t>
      </w:r>
      <w:r w:rsidRPr="001E3FA2">
        <w:rPr>
          <w:rFonts w:hint="eastAsia"/>
          <w:rtl/>
        </w:rPr>
        <w:t>אלה</w:t>
      </w:r>
      <w:r w:rsidRPr="001E3FA2">
        <w:rPr>
          <w:rtl/>
        </w:rPr>
        <w:t xml:space="preserve"> </w:t>
      </w:r>
      <w:r w:rsidRPr="001E3FA2">
        <w:rPr>
          <w:rFonts w:hint="eastAsia"/>
          <w:rtl/>
        </w:rPr>
        <w:t>נפגעת</w:t>
      </w:r>
      <w:r w:rsidRPr="001E3FA2">
        <w:rPr>
          <w:rtl/>
        </w:rPr>
        <w:t xml:space="preserve"> </w:t>
      </w:r>
      <w:r w:rsidRPr="001E3FA2">
        <w:rPr>
          <w:rFonts w:hint="eastAsia"/>
          <w:rtl/>
        </w:rPr>
        <w:t>יכולתו</w:t>
      </w:r>
      <w:r w:rsidRPr="001E3FA2">
        <w:rPr>
          <w:rtl/>
        </w:rPr>
        <w:t xml:space="preserve"> </w:t>
      </w:r>
      <w:r w:rsidRPr="001E3FA2">
        <w:rPr>
          <w:rFonts w:hint="eastAsia"/>
          <w:rtl/>
        </w:rPr>
        <w:t>של</w:t>
      </w:r>
      <w:r w:rsidRPr="001E3FA2">
        <w:rPr>
          <w:rtl/>
        </w:rPr>
        <w:t xml:space="preserve"> </w:t>
      </w:r>
      <w:r w:rsidRPr="001E3FA2">
        <w:rPr>
          <w:rFonts w:hint="eastAsia"/>
          <w:rtl/>
        </w:rPr>
        <w:t>המשרד</w:t>
      </w:r>
      <w:r w:rsidRPr="001E3FA2">
        <w:rPr>
          <w:rtl/>
        </w:rPr>
        <w:t xml:space="preserve"> </w:t>
      </w:r>
      <w:r w:rsidRPr="001E3FA2">
        <w:rPr>
          <w:rFonts w:hint="eastAsia"/>
          <w:rtl/>
        </w:rPr>
        <w:t>להעריך</w:t>
      </w:r>
      <w:r w:rsidRPr="001E3FA2">
        <w:rPr>
          <w:rtl/>
        </w:rPr>
        <w:t xml:space="preserve"> </w:t>
      </w:r>
      <w:r w:rsidRPr="001E3FA2">
        <w:rPr>
          <w:rFonts w:hint="eastAsia"/>
          <w:rtl/>
        </w:rPr>
        <w:t>את</w:t>
      </w:r>
      <w:r w:rsidRPr="001E3FA2">
        <w:rPr>
          <w:rtl/>
        </w:rPr>
        <w:t xml:space="preserve"> מידת </w:t>
      </w:r>
      <w:r w:rsidRPr="001E3FA2">
        <w:rPr>
          <w:rFonts w:hint="eastAsia"/>
          <w:rtl/>
        </w:rPr>
        <w:t>השגת</w:t>
      </w:r>
      <w:r w:rsidRPr="001E3FA2">
        <w:rPr>
          <w:rtl/>
        </w:rPr>
        <w:t xml:space="preserve"> </w:t>
      </w:r>
      <w:r w:rsidRPr="001E3FA2">
        <w:rPr>
          <w:rFonts w:hint="eastAsia"/>
          <w:rtl/>
        </w:rPr>
        <w:t>יעדי</w:t>
      </w:r>
      <w:r w:rsidRPr="001E3FA2">
        <w:rPr>
          <w:rtl/>
        </w:rPr>
        <w:t xml:space="preserve"> </w:t>
      </w:r>
      <w:r w:rsidRPr="001E3FA2">
        <w:rPr>
          <w:rFonts w:hint="eastAsia"/>
          <w:rtl/>
        </w:rPr>
        <w:t>הרפורמה</w:t>
      </w:r>
      <w:r w:rsidRPr="001E3FA2">
        <w:rPr>
          <w:rtl/>
        </w:rPr>
        <w:t xml:space="preserve"> </w:t>
      </w:r>
      <w:r w:rsidRPr="001E3FA2">
        <w:rPr>
          <w:rFonts w:hint="eastAsia"/>
          <w:rtl/>
        </w:rPr>
        <w:t>ואת</w:t>
      </w:r>
      <w:r w:rsidRPr="001E3FA2">
        <w:rPr>
          <w:rtl/>
        </w:rPr>
        <w:t xml:space="preserve"> </w:t>
      </w:r>
      <w:r w:rsidRPr="001E3FA2">
        <w:rPr>
          <w:rFonts w:hint="eastAsia"/>
          <w:rtl/>
        </w:rPr>
        <w:t>יעילות</w:t>
      </w:r>
      <w:r w:rsidRPr="001E3FA2">
        <w:rPr>
          <w:rtl/>
        </w:rPr>
        <w:t xml:space="preserve"> </w:t>
      </w:r>
      <w:r w:rsidRPr="001E3FA2">
        <w:rPr>
          <w:rFonts w:hint="eastAsia"/>
          <w:rtl/>
        </w:rPr>
        <w:t>המהלך</w:t>
      </w:r>
      <w:r w:rsidRPr="001E3FA2">
        <w:rPr>
          <w:rtl/>
        </w:rPr>
        <w:t>.</w:t>
      </w:r>
    </w:p>
    <w:p w14:paraId="01F1FF77" w14:textId="1EE58E37" w:rsidR="00B51F5B" w:rsidRDefault="00B51F5B" w:rsidP="009F33AC">
      <w:pPr>
        <w:pStyle w:val="af5"/>
        <w:rPr>
          <w:rtl/>
        </w:rPr>
      </w:pPr>
      <w:r w:rsidRPr="001674FE">
        <w:rPr>
          <w:rFonts w:hint="cs"/>
          <w:rtl/>
        </w:rPr>
        <w:t xml:space="preserve">על משרד הבריאות </w:t>
      </w:r>
      <w:r>
        <w:rPr>
          <w:rFonts w:hint="cs"/>
          <w:rtl/>
        </w:rPr>
        <w:t>לממש את סמכותו כמאסדר ולרכז את כל הנתונים הדרושים לצורך הערכת היקפי השירותים בתחום בריאות הנפש</w:t>
      </w:r>
      <w:r w:rsidRPr="001E3FA2">
        <w:rPr>
          <w:rFonts w:hint="cs"/>
          <w:rtl/>
        </w:rPr>
        <w:t>.</w:t>
      </w:r>
      <w:r w:rsidRPr="001E3FA2">
        <w:rPr>
          <w:rFonts w:hint="eastAsia"/>
          <w:rtl/>
        </w:rPr>
        <w:t xml:space="preserve"> </w:t>
      </w:r>
      <w:r w:rsidRPr="001E3FA2">
        <w:rPr>
          <w:rtl/>
        </w:rPr>
        <w:t xml:space="preserve">עליו גם </w:t>
      </w:r>
      <w:r w:rsidRPr="001E3FA2">
        <w:rPr>
          <w:rFonts w:hint="eastAsia"/>
          <w:rtl/>
        </w:rPr>
        <w:t>לבחון</w:t>
      </w:r>
      <w:r w:rsidRPr="001E3FA2">
        <w:rPr>
          <w:rtl/>
        </w:rPr>
        <w:t xml:space="preserve"> </w:t>
      </w:r>
      <w:r w:rsidRPr="001E3FA2">
        <w:rPr>
          <w:rFonts w:hint="eastAsia"/>
          <w:rtl/>
        </w:rPr>
        <w:t>את</w:t>
      </w:r>
      <w:r w:rsidRPr="001E3FA2">
        <w:rPr>
          <w:rtl/>
        </w:rPr>
        <w:t xml:space="preserve"> </w:t>
      </w:r>
      <w:r w:rsidRPr="001E3FA2">
        <w:rPr>
          <w:rFonts w:hint="eastAsia"/>
          <w:rtl/>
        </w:rPr>
        <w:t>איכותם</w:t>
      </w:r>
      <w:r w:rsidRPr="001E3FA2">
        <w:rPr>
          <w:rtl/>
        </w:rPr>
        <w:t xml:space="preserve"> </w:t>
      </w:r>
      <w:r w:rsidRPr="001E3FA2">
        <w:rPr>
          <w:rFonts w:hint="eastAsia"/>
          <w:rtl/>
        </w:rPr>
        <w:t>ולקבוע</w:t>
      </w:r>
      <w:r w:rsidRPr="001E3FA2">
        <w:rPr>
          <w:rtl/>
        </w:rPr>
        <w:t xml:space="preserve"> </w:t>
      </w:r>
      <w:r w:rsidRPr="001E3FA2">
        <w:rPr>
          <w:rFonts w:hint="eastAsia"/>
          <w:rtl/>
        </w:rPr>
        <w:t>אם</w:t>
      </w:r>
      <w:r w:rsidRPr="001E3FA2">
        <w:rPr>
          <w:rtl/>
        </w:rPr>
        <w:t xml:space="preserve"> </w:t>
      </w:r>
      <w:r w:rsidRPr="001E3FA2">
        <w:rPr>
          <w:rFonts w:hint="eastAsia"/>
          <w:rtl/>
        </w:rPr>
        <w:t>הקופות</w:t>
      </w:r>
      <w:r w:rsidRPr="001E3FA2">
        <w:rPr>
          <w:rtl/>
        </w:rPr>
        <w:t xml:space="preserve"> </w:t>
      </w:r>
      <w:r w:rsidRPr="001E3FA2">
        <w:rPr>
          <w:rFonts w:hint="eastAsia"/>
          <w:rtl/>
        </w:rPr>
        <w:t>ניצלו</w:t>
      </w:r>
      <w:r w:rsidRPr="001E3FA2">
        <w:rPr>
          <w:rtl/>
        </w:rPr>
        <w:t xml:space="preserve"> </w:t>
      </w:r>
      <w:r w:rsidRPr="001E3FA2">
        <w:rPr>
          <w:rFonts w:hint="eastAsia"/>
          <w:rtl/>
        </w:rPr>
        <w:t>כראוי</w:t>
      </w:r>
      <w:r w:rsidRPr="001E3FA2">
        <w:rPr>
          <w:rtl/>
        </w:rPr>
        <w:t xml:space="preserve"> </w:t>
      </w:r>
      <w:r w:rsidRPr="001E3FA2">
        <w:rPr>
          <w:rFonts w:hint="eastAsia"/>
          <w:rtl/>
        </w:rPr>
        <w:t>את</w:t>
      </w:r>
      <w:r w:rsidRPr="001E3FA2">
        <w:rPr>
          <w:rtl/>
        </w:rPr>
        <w:t xml:space="preserve"> </w:t>
      </w:r>
      <w:r w:rsidRPr="001E3FA2">
        <w:rPr>
          <w:rFonts w:hint="eastAsia"/>
          <w:rtl/>
        </w:rPr>
        <w:t>התקציב</w:t>
      </w:r>
      <w:r w:rsidRPr="001E3FA2">
        <w:rPr>
          <w:rtl/>
        </w:rPr>
        <w:t xml:space="preserve"> </w:t>
      </w:r>
      <w:r w:rsidRPr="001E3FA2">
        <w:rPr>
          <w:rFonts w:hint="eastAsia"/>
          <w:rtl/>
        </w:rPr>
        <w:t>שניתן</w:t>
      </w:r>
      <w:r w:rsidRPr="001E3FA2">
        <w:rPr>
          <w:rtl/>
        </w:rPr>
        <w:t xml:space="preserve"> </w:t>
      </w:r>
      <w:r w:rsidRPr="001E3FA2">
        <w:rPr>
          <w:rFonts w:hint="eastAsia"/>
          <w:rtl/>
        </w:rPr>
        <w:t>להן</w:t>
      </w:r>
      <w:r w:rsidRPr="001E3FA2">
        <w:rPr>
          <w:rtl/>
        </w:rPr>
        <w:t xml:space="preserve">. </w:t>
      </w:r>
      <w:r w:rsidRPr="001E3FA2">
        <w:rPr>
          <w:rFonts w:hint="eastAsia"/>
          <w:rtl/>
        </w:rPr>
        <w:t>אם</w:t>
      </w:r>
      <w:r w:rsidRPr="001E3FA2">
        <w:rPr>
          <w:rtl/>
        </w:rPr>
        <w:t xml:space="preserve"> </w:t>
      </w:r>
      <w:r w:rsidRPr="001E3FA2">
        <w:rPr>
          <w:rFonts w:hint="eastAsia"/>
          <w:rtl/>
        </w:rPr>
        <w:t>מתעוררות</w:t>
      </w:r>
      <w:r w:rsidRPr="001E3FA2">
        <w:rPr>
          <w:rtl/>
        </w:rPr>
        <w:t xml:space="preserve"> </w:t>
      </w:r>
      <w:r w:rsidRPr="001E3FA2">
        <w:rPr>
          <w:rFonts w:hint="eastAsia"/>
          <w:rtl/>
        </w:rPr>
        <w:t>מחלוקות</w:t>
      </w:r>
      <w:r w:rsidRPr="001E3FA2">
        <w:rPr>
          <w:rtl/>
        </w:rPr>
        <w:t xml:space="preserve"> </w:t>
      </w:r>
      <w:r w:rsidRPr="001E3FA2">
        <w:rPr>
          <w:rFonts w:hint="eastAsia"/>
          <w:rtl/>
        </w:rPr>
        <w:t>בין</w:t>
      </w:r>
      <w:r w:rsidRPr="001E3FA2">
        <w:rPr>
          <w:rtl/>
        </w:rPr>
        <w:t xml:space="preserve"> </w:t>
      </w:r>
      <w:r w:rsidRPr="001E3FA2">
        <w:rPr>
          <w:rFonts w:hint="eastAsia"/>
          <w:rtl/>
        </w:rPr>
        <w:t>המשרד</w:t>
      </w:r>
      <w:r w:rsidRPr="001E3FA2">
        <w:rPr>
          <w:rtl/>
        </w:rPr>
        <w:t xml:space="preserve"> </w:t>
      </w:r>
      <w:r w:rsidRPr="001E3FA2">
        <w:rPr>
          <w:rFonts w:hint="eastAsia"/>
          <w:rtl/>
        </w:rPr>
        <w:t>לבין</w:t>
      </w:r>
      <w:r w:rsidRPr="001E3FA2">
        <w:rPr>
          <w:rtl/>
        </w:rPr>
        <w:t xml:space="preserve"> </w:t>
      </w:r>
      <w:r w:rsidRPr="001E3FA2">
        <w:rPr>
          <w:rFonts w:hint="eastAsia"/>
          <w:rtl/>
        </w:rPr>
        <w:t>הקופות</w:t>
      </w:r>
      <w:r w:rsidRPr="001E3FA2">
        <w:rPr>
          <w:rtl/>
        </w:rPr>
        <w:t xml:space="preserve"> </w:t>
      </w:r>
      <w:r w:rsidRPr="001E3FA2">
        <w:rPr>
          <w:rFonts w:hint="eastAsia"/>
          <w:rtl/>
        </w:rPr>
        <w:t>עליו</w:t>
      </w:r>
      <w:r w:rsidRPr="001E3FA2">
        <w:rPr>
          <w:rtl/>
        </w:rPr>
        <w:t xml:space="preserve"> </w:t>
      </w:r>
      <w:r w:rsidRPr="001E3FA2">
        <w:rPr>
          <w:rFonts w:hint="eastAsia"/>
          <w:rtl/>
        </w:rPr>
        <w:t>לשקול</w:t>
      </w:r>
      <w:r w:rsidRPr="001E3FA2">
        <w:rPr>
          <w:rtl/>
        </w:rPr>
        <w:t xml:space="preserve"> </w:t>
      </w:r>
      <w:r w:rsidRPr="001E3FA2">
        <w:rPr>
          <w:rFonts w:hint="eastAsia"/>
          <w:rtl/>
        </w:rPr>
        <w:t>להקים</w:t>
      </w:r>
      <w:r w:rsidRPr="001E3FA2">
        <w:rPr>
          <w:rtl/>
        </w:rPr>
        <w:t xml:space="preserve"> </w:t>
      </w:r>
      <w:r w:rsidRPr="001E3FA2">
        <w:rPr>
          <w:rFonts w:hint="eastAsia"/>
          <w:rtl/>
        </w:rPr>
        <w:t>מנגנון</w:t>
      </w:r>
      <w:r w:rsidRPr="001E3FA2">
        <w:rPr>
          <w:rtl/>
        </w:rPr>
        <w:t xml:space="preserve">, </w:t>
      </w:r>
      <w:r w:rsidRPr="001E3FA2">
        <w:rPr>
          <w:rFonts w:hint="eastAsia"/>
          <w:rtl/>
        </w:rPr>
        <w:t>בין</w:t>
      </w:r>
      <w:r w:rsidRPr="001E3FA2">
        <w:rPr>
          <w:rtl/>
        </w:rPr>
        <w:t xml:space="preserve"> </w:t>
      </w:r>
      <w:r w:rsidRPr="001E3FA2">
        <w:rPr>
          <w:rFonts w:hint="eastAsia"/>
          <w:rtl/>
        </w:rPr>
        <w:t>השאר</w:t>
      </w:r>
      <w:r>
        <w:rPr>
          <w:rFonts w:hint="cs"/>
          <w:rtl/>
        </w:rPr>
        <w:t>,</w:t>
      </w:r>
      <w:r w:rsidRPr="001E3FA2">
        <w:rPr>
          <w:rtl/>
        </w:rPr>
        <w:t xml:space="preserve"> </w:t>
      </w:r>
      <w:r w:rsidRPr="001E3FA2">
        <w:rPr>
          <w:rFonts w:hint="eastAsia"/>
          <w:rtl/>
        </w:rPr>
        <w:t>בהשתתפות</w:t>
      </w:r>
      <w:r w:rsidRPr="001E3FA2">
        <w:rPr>
          <w:rtl/>
        </w:rPr>
        <w:t xml:space="preserve"> </w:t>
      </w:r>
      <w:r w:rsidRPr="001E3FA2">
        <w:rPr>
          <w:rFonts w:hint="eastAsia"/>
          <w:rtl/>
        </w:rPr>
        <w:t>נציגי</w:t>
      </w:r>
      <w:r w:rsidRPr="001E3FA2">
        <w:rPr>
          <w:rtl/>
        </w:rPr>
        <w:t xml:space="preserve"> </w:t>
      </w:r>
      <w:r w:rsidRPr="001E3FA2">
        <w:rPr>
          <w:rFonts w:hint="eastAsia"/>
          <w:rtl/>
        </w:rPr>
        <w:t>הקופות</w:t>
      </w:r>
      <w:r w:rsidRPr="001E3FA2">
        <w:rPr>
          <w:rtl/>
        </w:rPr>
        <w:t xml:space="preserve">, </w:t>
      </w:r>
      <w:r w:rsidRPr="001E3FA2">
        <w:rPr>
          <w:rFonts w:hint="eastAsia"/>
          <w:rtl/>
        </w:rPr>
        <w:t>במטרה</w:t>
      </w:r>
      <w:r w:rsidRPr="001E3FA2">
        <w:rPr>
          <w:rtl/>
        </w:rPr>
        <w:t xml:space="preserve"> </w:t>
      </w:r>
      <w:r w:rsidRPr="001E3FA2">
        <w:rPr>
          <w:rFonts w:hint="eastAsia"/>
          <w:rtl/>
        </w:rPr>
        <w:t>להכריע</w:t>
      </w:r>
      <w:r w:rsidRPr="001E3FA2">
        <w:rPr>
          <w:rtl/>
        </w:rPr>
        <w:t xml:space="preserve"> </w:t>
      </w:r>
      <w:r w:rsidRPr="001E3FA2">
        <w:rPr>
          <w:rFonts w:hint="eastAsia"/>
          <w:rtl/>
        </w:rPr>
        <w:t>בהן</w:t>
      </w:r>
      <w:r w:rsidRPr="001E3FA2">
        <w:rPr>
          <w:rtl/>
        </w:rPr>
        <w:t xml:space="preserve">. </w:t>
      </w:r>
      <w:r w:rsidRPr="001E3FA2">
        <w:rPr>
          <w:rFonts w:hint="eastAsia"/>
          <w:rtl/>
        </w:rPr>
        <w:t>על</w:t>
      </w:r>
      <w:r w:rsidRPr="001E3FA2">
        <w:rPr>
          <w:rtl/>
        </w:rPr>
        <w:t xml:space="preserve"> </w:t>
      </w:r>
      <w:r w:rsidRPr="001E3FA2">
        <w:rPr>
          <w:rFonts w:hint="eastAsia"/>
          <w:rtl/>
        </w:rPr>
        <w:t>הקופות</w:t>
      </w:r>
      <w:r w:rsidRPr="001E3FA2">
        <w:rPr>
          <w:rtl/>
        </w:rPr>
        <w:t xml:space="preserve"> </w:t>
      </w:r>
      <w:r w:rsidRPr="001E3FA2">
        <w:rPr>
          <w:rFonts w:hint="eastAsia"/>
          <w:rtl/>
        </w:rPr>
        <w:t>להעביר</w:t>
      </w:r>
      <w:r w:rsidRPr="001E3FA2">
        <w:rPr>
          <w:rtl/>
        </w:rPr>
        <w:t xml:space="preserve"> </w:t>
      </w:r>
      <w:r w:rsidRPr="001E3FA2">
        <w:rPr>
          <w:rFonts w:hint="eastAsia"/>
          <w:rtl/>
        </w:rPr>
        <w:t>למשרד</w:t>
      </w:r>
      <w:r w:rsidRPr="001E3FA2">
        <w:rPr>
          <w:rtl/>
        </w:rPr>
        <w:t xml:space="preserve"> </w:t>
      </w:r>
      <w:r w:rsidRPr="001E3FA2">
        <w:rPr>
          <w:rFonts w:hint="eastAsia"/>
          <w:rtl/>
        </w:rPr>
        <w:t>באופן</w:t>
      </w:r>
      <w:r w:rsidRPr="001E3FA2">
        <w:rPr>
          <w:rtl/>
        </w:rPr>
        <w:t xml:space="preserve"> </w:t>
      </w:r>
      <w:r w:rsidRPr="001E3FA2">
        <w:rPr>
          <w:rFonts w:hint="eastAsia"/>
          <w:rtl/>
        </w:rPr>
        <w:t>שוטף</w:t>
      </w:r>
      <w:r w:rsidRPr="001E3FA2">
        <w:rPr>
          <w:rtl/>
        </w:rPr>
        <w:t xml:space="preserve"> </w:t>
      </w:r>
      <w:r w:rsidRPr="001E3FA2">
        <w:rPr>
          <w:rFonts w:hint="eastAsia"/>
          <w:rtl/>
        </w:rPr>
        <w:t>וללא</w:t>
      </w:r>
      <w:r w:rsidRPr="001E3FA2">
        <w:rPr>
          <w:rtl/>
        </w:rPr>
        <w:t xml:space="preserve"> </w:t>
      </w:r>
      <w:r w:rsidRPr="001E3FA2">
        <w:rPr>
          <w:rFonts w:hint="eastAsia"/>
          <w:rtl/>
        </w:rPr>
        <w:t>עיכובים</w:t>
      </w:r>
      <w:r w:rsidRPr="001E3FA2">
        <w:rPr>
          <w:rtl/>
        </w:rPr>
        <w:t xml:space="preserve"> </w:t>
      </w:r>
      <w:r w:rsidRPr="001E3FA2">
        <w:rPr>
          <w:rFonts w:hint="eastAsia"/>
          <w:rtl/>
        </w:rPr>
        <w:t>את</w:t>
      </w:r>
      <w:r w:rsidRPr="001E3FA2">
        <w:rPr>
          <w:rtl/>
        </w:rPr>
        <w:t xml:space="preserve"> </w:t>
      </w:r>
      <w:r w:rsidRPr="001E3FA2">
        <w:rPr>
          <w:rFonts w:hint="eastAsia"/>
          <w:rtl/>
        </w:rPr>
        <w:t>כל</w:t>
      </w:r>
      <w:r w:rsidRPr="001E3FA2">
        <w:rPr>
          <w:rtl/>
        </w:rPr>
        <w:t xml:space="preserve"> </w:t>
      </w:r>
      <w:r w:rsidRPr="001E3FA2">
        <w:rPr>
          <w:rFonts w:hint="eastAsia"/>
          <w:rtl/>
        </w:rPr>
        <w:t>המידע</w:t>
      </w:r>
      <w:r w:rsidRPr="001E3FA2">
        <w:rPr>
          <w:rtl/>
        </w:rPr>
        <w:t xml:space="preserve"> </w:t>
      </w:r>
      <w:r w:rsidRPr="001E3FA2">
        <w:rPr>
          <w:rFonts w:hint="eastAsia"/>
          <w:rtl/>
        </w:rPr>
        <w:t>הדרוש</w:t>
      </w:r>
      <w:r w:rsidRPr="001E3FA2">
        <w:rPr>
          <w:rtl/>
        </w:rPr>
        <w:t xml:space="preserve"> </w:t>
      </w:r>
      <w:r w:rsidRPr="001E3FA2">
        <w:rPr>
          <w:rFonts w:hint="eastAsia"/>
          <w:rtl/>
        </w:rPr>
        <w:t>לו</w:t>
      </w:r>
      <w:r w:rsidRPr="001E3FA2">
        <w:rPr>
          <w:rtl/>
        </w:rPr>
        <w:t xml:space="preserve"> </w:t>
      </w:r>
      <w:r w:rsidRPr="001E3FA2">
        <w:rPr>
          <w:rFonts w:hint="eastAsia"/>
          <w:rtl/>
        </w:rPr>
        <w:t>לשם</w:t>
      </w:r>
      <w:r w:rsidRPr="001E3FA2">
        <w:rPr>
          <w:rtl/>
        </w:rPr>
        <w:t xml:space="preserve"> </w:t>
      </w:r>
      <w:r w:rsidRPr="001E3FA2">
        <w:rPr>
          <w:rFonts w:hint="eastAsia"/>
          <w:rtl/>
        </w:rPr>
        <w:t>הערכת</w:t>
      </w:r>
      <w:r w:rsidRPr="001E3FA2">
        <w:rPr>
          <w:rtl/>
        </w:rPr>
        <w:t xml:space="preserve"> </w:t>
      </w:r>
      <w:r w:rsidRPr="001E3FA2">
        <w:rPr>
          <w:rFonts w:hint="eastAsia"/>
          <w:rtl/>
        </w:rPr>
        <w:t>הישגי</w:t>
      </w:r>
      <w:r w:rsidRPr="001E3FA2">
        <w:rPr>
          <w:rtl/>
        </w:rPr>
        <w:t xml:space="preserve"> </w:t>
      </w:r>
      <w:r w:rsidRPr="001E3FA2">
        <w:rPr>
          <w:rFonts w:hint="eastAsia"/>
          <w:rtl/>
        </w:rPr>
        <w:t>הרפורמה</w:t>
      </w:r>
      <w:r w:rsidRPr="001E3FA2">
        <w:rPr>
          <w:rtl/>
        </w:rPr>
        <w:t xml:space="preserve"> </w:t>
      </w:r>
      <w:r w:rsidRPr="001E3FA2">
        <w:rPr>
          <w:rFonts w:hint="eastAsia"/>
          <w:rtl/>
        </w:rPr>
        <w:t>ולשם</w:t>
      </w:r>
      <w:r w:rsidRPr="001E3FA2">
        <w:rPr>
          <w:rtl/>
        </w:rPr>
        <w:t xml:space="preserve"> </w:t>
      </w:r>
      <w:r w:rsidRPr="001E3FA2">
        <w:rPr>
          <w:rFonts w:hint="eastAsia"/>
          <w:rtl/>
        </w:rPr>
        <w:t>קיום</w:t>
      </w:r>
      <w:r w:rsidRPr="001E3FA2">
        <w:rPr>
          <w:rtl/>
        </w:rPr>
        <w:t xml:space="preserve"> </w:t>
      </w:r>
      <w:r w:rsidRPr="001E3FA2">
        <w:rPr>
          <w:rFonts w:hint="eastAsia"/>
          <w:rtl/>
        </w:rPr>
        <w:t>בקרה</w:t>
      </w:r>
      <w:r w:rsidRPr="001E3FA2">
        <w:rPr>
          <w:rtl/>
        </w:rPr>
        <w:t xml:space="preserve"> </w:t>
      </w:r>
      <w:r w:rsidRPr="001E3FA2">
        <w:rPr>
          <w:rFonts w:hint="eastAsia"/>
          <w:rtl/>
        </w:rPr>
        <w:t>ומעקב</w:t>
      </w:r>
      <w:r w:rsidRPr="001E3FA2">
        <w:rPr>
          <w:rtl/>
        </w:rPr>
        <w:t xml:space="preserve"> </w:t>
      </w:r>
      <w:r w:rsidRPr="001E3FA2">
        <w:rPr>
          <w:rFonts w:hint="eastAsia"/>
          <w:rtl/>
        </w:rPr>
        <w:t>שוטפים</w:t>
      </w:r>
      <w:r w:rsidRPr="001E3FA2">
        <w:rPr>
          <w:rtl/>
        </w:rPr>
        <w:t xml:space="preserve"> </w:t>
      </w:r>
      <w:r w:rsidRPr="001E3FA2">
        <w:rPr>
          <w:rFonts w:hint="eastAsia"/>
          <w:rtl/>
        </w:rPr>
        <w:t>על</w:t>
      </w:r>
      <w:r w:rsidRPr="001E3FA2">
        <w:rPr>
          <w:rtl/>
        </w:rPr>
        <w:t xml:space="preserve"> </w:t>
      </w:r>
      <w:r w:rsidRPr="001E3FA2">
        <w:rPr>
          <w:rFonts w:hint="eastAsia"/>
          <w:rtl/>
        </w:rPr>
        <w:t>שירותי</w:t>
      </w:r>
      <w:r w:rsidRPr="001E3FA2">
        <w:rPr>
          <w:rtl/>
        </w:rPr>
        <w:t xml:space="preserve"> </w:t>
      </w:r>
      <w:r w:rsidRPr="001E3FA2">
        <w:rPr>
          <w:rFonts w:hint="eastAsia"/>
          <w:rtl/>
        </w:rPr>
        <w:t>בריאות</w:t>
      </w:r>
      <w:r w:rsidRPr="001E3FA2">
        <w:rPr>
          <w:rtl/>
        </w:rPr>
        <w:t xml:space="preserve"> </w:t>
      </w:r>
      <w:r w:rsidRPr="001E3FA2">
        <w:rPr>
          <w:rFonts w:hint="eastAsia"/>
          <w:rtl/>
        </w:rPr>
        <w:t>הנפש</w:t>
      </w:r>
      <w:r w:rsidRPr="001E3FA2">
        <w:rPr>
          <w:rtl/>
        </w:rPr>
        <w:t xml:space="preserve"> </w:t>
      </w:r>
      <w:r w:rsidRPr="001E3FA2">
        <w:rPr>
          <w:rFonts w:hint="eastAsia"/>
          <w:rtl/>
        </w:rPr>
        <w:t>הניתנים</w:t>
      </w:r>
      <w:r w:rsidRPr="001E3FA2">
        <w:rPr>
          <w:rtl/>
        </w:rPr>
        <w:t xml:space="preserve"> </w:t>
      </w:r>
      <w:r w:rsidRPr="001E3FA2">
        <w:rPr>
          <w:rFonts w:hint="eastAsia"/>
          <w:rtl/>
        </w:rPr>
        <w:t>לציבור</w:t>
      </w:r>
      <w:r w:rsidRPr="001E3FA2">
        <w:rPr>
          <w:rtl/>
        </w:rPr>
        <w:t xml:space="preserve">. </w:t>
      </w:r>
      <w:r w:rsidRPr="001E3FA2">
        <w:rPr>
          <w:rFonts w:hint="eastAsia"/>
          <w:rtl/>
        </w:rPr>
        <w:t>רק</w:t>
      </w:r>
      <w:r w:rsidRPr="001E3FA2">
        <w:rPr>
          <w:rtl/>
        </w:rPr>
        <w:t xml:space="preserve"> </w:t>
      </w:r>
      <w:r w:rsidRPr="001E3FA2">
        <w:rPr>
          <w:rFonts w:hint="eastAsia"/>
          <w:rtl/>
        </w:rPr>
        <w:t>כך</w:t>
      </w:r>
      <w:r w:rsidRPr="001E3FA2">
        <w:rPr>
          <w:rtl/>
        </w:rPr>
        <w:t xml:space="preserve"> </w:t>
      </w:r>
      <w:r w:rsidRPr="001E3FA2">
        <w:rPr>
          <w:rFonts w:hint="eastAsia"/>
          <w:rtl/>
        </w:rPr>
        <w:t>ניתן</w:t>
      </w:r>
      <w:r w:rsidRPr="001E3FA2">
        <w:rPr>
          <w:rtl/>
        </w:rPr>
        <w:t xml:space="preserve"> </w:t>
      </w:r>
      <w:r w:rsidRPr="001E3FA2">
        <w:rPr>
          <w:rFonts w:hint="eastAsia"/>
          <w:rtl/>
        </w:rPr>
        <w:t>יהיה</w:t>
      </w:r>
      <w:r w:rsidRPr="001E3FA2">
        <w:rPr>
          <w:rtl/>
        </w:rPr>
        <w:t xml:space="preserve"> </w:t>
      </w:r>
      <w:r w:rsidRPr="001E3FA2">
        <w:rPr>
          <w:rFonts w:hint="eastAsia"/>
          <w:rtl/>
        </w:rPr>
        <w:t>לבחון</w:t>
      </w:r>
      <w:r w:rsidRPr="001E3FA2">
        <w:rPr>
          <w:rtl/>
        </w:rPr>
        <w:t xml:space="preserve"> </w:t>
      </w:r>
      <w:r w:rsidRPr="001E3FA2">
        <w:rPr>
          <w:rFonts w:hint="eastAsia"/>
          <w:rtl/>
        </w:rPr>
        <w:t>את</w:t>
      </w:r>
      <w:r w:rsidRPr="001E3FA2">
        <w:rPr>
          <w:rtl/>
        </w:rPr>
        <w:t xml:space="preserve"> </w:t>
      </w:r>
      <w:r w:rsidRPr="001E3FA2">
        <w:rPr>
          <w:rFonts w:hint="eastAsia"/>
          <w:rtl/>
        </w:rPr>
        <w:t>הישגי</w:t>
      </w:r>
      <w:r w:rsidRPr="001E3FA2">
        <w:rPr>
          <w:rtl/>
        </w:rPr>
        <w:t xml:space="preserve"> </w:t>
      </w:r>
      <w:r w:rsidRPr="001E3FA2">
        <w:rPr>
          <w:rFonts w:hint="eastAsia"/>
          <w:rtl/>
        </w:rPr>
        <w:t>הרפורמה</w:t>
      </w:r>
      <w:r w:rsidRPr="001E3FA2">
        <w:rPr>
          <w:rtl/>
        </w:rPr>
        <w:t xml:space="preserve"> </w:t>
      </w:r>
      <w:r w:rsidRPr="001E3FA2">
        <w:rPr>
          <w:rFonts w:hint="eastAsia"/>
          <w:rtl/>
        </w:rPr>
        <w:t>ברמה</w:t>
      </w:r>
      <w:r w:rsidRPr="001E3FA2">
        <w:rPr>
          <w:rtl/>
        </w:rPr>
        <w:t xml:space="preserve"> </w:t>
      </w:r>
      <w:r w:rsidRPr="001E3FA2">
        <w:rPr>
          <w:rFonts w:hint="eastAsia"/>
          <w:rtl/>
        </w:rPr>
        <w:t>הלאומית</w:t>
      </w:r>
      <w:r w:rsidRPr="001E3FA2">
        <w:rPr>
          <w:rtl/>
        </w:rPr>
        <w:t xml:space="preserve"> </w:t>
      </w:r>
      <w:r w:rsidRPr="001E3FA2">
        <w:rPr>
          <w:rFonts w:hint="eastAsia"/>
          <w:rtl/>
        </w:rPr>
        <w:t>ולנקוט</w:t>
      </w:r>
      <w:r w:rsidRPr="001E3FA2">
        <w:rPr>
          <w:rtl/>
        </w:rPr>
        <w:t xml:space="preserve"> </w:t>
      </w:r>
      <w:r w:rsidRPr="001E3FA2">
        <w:rPr>
          <w:rFonts w:hint="eastAsia"/>
          <w:rtl/>
        </w:rPr>
        <w:t>צעדי</w:t>
      </w:r>
      <w:r w:rsidRPr="001E3FA2">
        <w:rPr>
          <w:rtl/>
        </w:rPr>
        <w:t xml:space="preserve"> </w:t>
      </w:r>
      <w:r w:rsidRPr="001E3FA2">
        <w:rPr>
          <w:rFonts w:hint="eastAsia"/>
          <w:rtl/>
        </w:rPr>
        <w:t>שיפור</w:t>
      </w:r>
      <w:r w:rsidRPr="001E3FA2">
        <w:rPr>
          <w:rtl/>
        </w:rPr>
        <w:t xml:space="preserve"> </w:t>
      </w:r>
      <w:r w:rsidRPr="001E3FA2">
        <w:rPr>
          <w:rFonts w:hint="eastAsia"/>
          <w:rtl/>
        </w:rPr>
        <w:t>והתייעלות</w:t>
      </w:r>
      <w:r w:rsidRPr="001E3FA2">
        <w:rPr>
          <w:rtl/>
        </w:rPr>
        <w:t xml:space="preserve"> </w:t>
      </w:r>
      <w:r w:rsidRPr="001E3FA2">
        <w:rPr>
          <w:rFonts w:hint="eastAsia"/>
          <w:rtl/>
        </w:rPr>
        <w:t>ככל</w:t>
      </w:r>
      <w:r w:rsidRPr="001E3FA2">
        <w:rPr>
          <w:rtl/>
        </w:rPr>
        <w:t xml:space="preserve"> </w:t>
      </w:r>
      <w:r w:rsidRPr="001E3FA2">
        <w:rPr>
          <w:rFonts w:hint="eastAsia"/>
          <w:rtl/>
        </w:rPr>
        <w:t>שיידרש</w:t>
      </w:r>
      <w:r w:rsidRPr="001E3FA2">
        <w:rPr>
          <w:rFonts w:hint="cs"/>
          <w:rtl/>
        </w:rPr>
        <w:t>ו</w:t>
      </w:r>
      <w:r>
        <w:rPr>
          <w:rFonts w:hint="cs"/>
          <w:rtl/>
        </w:rPr>
        <w:t>.</w:t>
      </w:r>
    </w:p>
    <w:p w14:paraId="3BE23C44" w14:textId="77777777" w:rsidR="00B51F5B" w:rsidRPr="009F33AC" w:rsidRDefault="00B51F5B" w:rsidP="009F33AC">
      <w:pPr>
        <w:pStyle w:val="316"/>
        <w:rPr>
          <w:rtl/>
        </w:rPr>
      </w:pPr>
      <w:r w:rsidRPr="009F33AC">
        <w:rPr>
          <w:rFonts w:hint="cs"/>
          <w:rtl/>
        </w:rPr>
        <w:t>ה</w:t>
      </w:r>
      <w:r w:rsidRPr="009F33AC">
        <w:rPr>
          <w:rStyle w:val="316Char"/>
          <w:rFonts w:hint="cs"/>
          <w:u w:val="none"/>
          <w:rtl/>
        </w:rPr>
        <w:t>תחש</w:t>
      </w:r>
      <w:r w:rsidRPr="009F33AC">
        <w:rPr>
          <w:rFonts w:hint="cs"/>
          <w:rtl/>
        </w:rPr>
        <w:t>בנות בין קופות החולים לבין בתי החולים</w:t>
      </w:r>
    </w:p>
    <w:p w14:paraId="2C81FFD4" w14:textId="77777777" w:rsidR="00B51F5B" w:rsidRDefault="00B51F5B" w:rsidP="009F33AC">
      <w:pPr>
        <w:pStyle w:val="414"/>
        <w:rPr>
          <w:rtl/>
        </w:rPr>
      </w:pPr>
      <w:r w:rsidRPr="00392B6A">
        <w:rPr>
          <w:rFonts w:hint="eastAsia"/>
          <w:rtl/>
        </w:rPr>
        <w:t>ערעורי</w:t>
      </w:r>
      <w:r w:rsidRPr="00392B6A">
        <w:rPr>
          <w:rtl/>
        </w:rPr>
        <w:t xml:space="preserve"> קופות החולים על </w:t>
      </w:r>
      <w:r>
        <w:rPr>
          <w:rFonts w:hint="cs"/>
          <w:rtl/>
        </w:rPr>
        <w:t xml:space="preserve">חיובים בגין </w:t>
      </w:r>
      <w:r w:rsidRPr="00392B6A">
        <w:rPr>
          <w:rtl/>
        </w:rPr>
        <w:t>אשפוזים בבריאות הנפש</w:t>
      </w:r>
    </w:p>
    <w:p w14:paraId="72EFB208" w14:textId="678D9FCE" w:rsidR="00B51F5B" w:rsidRDefault="00B51F5B" w:rsidP="009F33AC">
      <w:pPr>
        <w:pStyle w:val="100"/>
        <w:rPr>
          <w:rtl/>
        </w:rPr>
      </w:pPr>
      <w:r w:rsidRPr="006114F0">
        <w:rPr>
          <w:rtl/>
        </w:rPr>
        <w:t>תקציב האשפוז נקבע בהסכם הרפורמה בהתאם לעלויות בפועל של השירותים שניתנו עד חתימת ההסכם. תקציב שירותי האשפוז, כפי שנקבע בהסכם במחירי ינואר 2012, עמד על כ-1.08 מיליארד ש"ח. נכון לשנת 2018 עמד תקציב האשפוז לאחר הצמדה ליוקר המחיה ולגידול הדמוגרפי על 1.5 מיליארד ש"ח.</w:t>
      </w:r>
      <w:r>
        <w:rPr>
          <w:rFonts w:hint="cs"/>
          <w:rtl/>
        </w:rPr>
        <w:t xml:space="preserve"> </w:t>
      </w:r>
      <w:r w:rsidRPr="0062664B">
        <w:rPr>
          <w:rFonts w:hint="eastAsia"/>
          <w:rtl/>
        </w:rPr>
        <w:t>בעקבות</w:t>
      </w:r>
      <w:r w:rsidRPr="0062664B">
        <w:rPr>
          <w:rtl/>
        </w:rPr>
        <w:t xml:space="preserve"> </w:t>
      </w:r>
      <w:r w:rsidRPr="0062664B">
        <w:rPr>
          <w:rFonts w:hint="eastAsia"/>
          <w:rtl/>
        </w:rPr>
        <w:t>בקרות</w:t>
      </w:r>
      <w:r w:rsidRPr="0062664B">
        <w:rPr>
          <w:rtl/>
        </w:rPr>
        <w:t xml:space="preserve"> </w:t>
      </w:r>
      <w:r w:rsidRPr="0062664B">
        <w:rPr>
          <w:rFonts w:hint="eastAsia"/>
          <w:rtl/>
        </w:rPr>
        <w:t>שמפעילות</w:t>
      </w:r>
      <w:r w:rsidRPr="0062664B">
        <w:rPr>
          <w:rtl/>
        </w:rPr>
        <w:t xml:space="preserve"> קופות החולים על </w:t>
      </w:r>
      <w:r w:rsidRPr="0062664B">
        <w:rPr>
          <w:rFonts w:hint="eastAsia"/>
          <w:rtl/>
        </w:rPr>
        <w:t>החיובים</w:t>
      </w:r>
      <w:r w:rsidRPr="0062664B">
        <w:rPr>
          <w:rtl/>
        </w:rPr>
        <w:t xml:space="preserve"> בגין </w:t>
      </w:r>
      <w:r w:rsidRPr="0062664B">
        <w:rPr>
          <w:rFonts w:hint="eastAsia"/>
          <w:rtl/>
        </w:rPr>
        <w:t>שירותי</w:t>
      </w:r>
      <w:r>
        <w:rPr>
          <w:rFonts w:hint="cs"/>
          <w:rtl/>
        </w:rPr>
        <w:t xml:space="preserve"> האשפוז</w:t>
      </w:r>
      <w:r w:rsidRPr="0062664B">
        <w:rPr>
          <w:rtl/>
        </w:rPr>
        <w:t xml:space="preserve"> </w:t>
      </w:r>
      <w:r w:rsidRPr="0062664B">
        <w:rPr>
          <w:rFonts w:hint="eastAsia"/>
          <w:rtl/>
        </w:rPr>
        <w:t>שהן</w:t>
      </w:r>
      <w:r w:rsidRPr="0062664B">
        <w:rPr>
          <w:rtl/>
        </w:rPr>
        <w:t xml:space="preserve"> </w:t>
      </w:r>
      <w:r w:rsidRPr="0062664B">
        <w:rPr>
          <w:rFonts w:hint="eastAsia"/>
          <w:rtl/>
        </w:rPr>
        <w:t>מקבלות</w:t>
      </w:r>
      <w:r w:rsidRPr="0062664B">
        <w:rPr>
          <w:rtl/>
        </w:rPr>
        <w:t xml:space="preserve"> </w:t>
      </w:r>
      <w:r w:rsidRPr="0062664B">
        <w:rPr>
          <w:rFonts w:hint="eastAsia"/>
          <w:rtl/>
        </w:rPr>
        <w:t>מבתי</w:t>
      </w:r>
      <w:r w:rsidRPr="0062664B">
        <w:rPr>
          <w:rtl/>
        </w:rPr>
        <w:t xml:space="preserve"> </w:t>
      </w:r>
      <w:r w:rsidRPr="0062664B">
        <w:rPr>
          <w:rFonts w:hint="eastAsia"/>
          <w:rtl/>
        </w:rPr>
        <w:t>החולים</w:t>
      </w:r>
      <w:r w:rsidRPr="0062664B">
        <w:rPr>
          <w:rtl/>
        </w:rPr>
        <w:t xml:space="preserve"> </w:t>
      </w:r>
      <w:r w:rsidRPr="0062664B">
        <w:rPr>
          <w:rFonts w:hint="eastAsia"/>
          <w:rtl/>
        </w:rPr>
        <w:t>הפסיכיאטריים</w:t>
      </w:r>
      <w:r w:rsidRPr="0062664B">
        <w:rPr>
          <w:rtl/>
        </w:rPr>
        <w:t xml:space="preserve">, הן מוצאות </w:t>
      </w:r>
      <w:r w:rsidRPr="0062664B">
        <w:rPr>
          <w:rFonts w:hint="eastAsia"/>
          <w:rtl/>
        </w:rPr>
        <w:t>לעיתים</w:t>
      </w:r>
      <w:r w:rsidRPr="0062664B">
        <w:rPr>
          <w:rtl/>
        </w:rPr>
        <w:t xml:space="preserve"> </w:t>
      </w:r>
      <w:r w:rsidRPr="0062664B">
        <w:rPr>
          <w:rFonts w:hint="eastAsia"/>
          <w:rtl/>
        </w:rPr>
        <w:t>מקום</w:t>
      </w:r>
      <w:r w:rsidRPr="0062664B">
        <w:rPr>
          <w:rtl/>
        </w:rPr>
        <w:t xml:space="preserve"> </w:t>
      </w:r>
      <w:r w:rsidRPr="0062664B">
        <w:rPr>
          <w:rFonts w:hint="eastAsia"/>
          <w:rtl/>
        </w:rPr>
        <w:t>לערער</w:t>
      </w:r>
      <w:r w:rsidRPr="0062664B">
        <w:rPr>
          <w:rtl/>
        </w:rPr>
        <w:t xml:space="preserve"> על </w:t>
      </w:r>
      <w:r w:rsidRPr="0062664B">
        <w:rPr>
          <w:rFonts w:hint="eastAsia"/>
          <w:rtl/>
        </w:rPr>
        <w:t>כאלו</w:t>
      </w:r>
      <w:r w:rsidRPr="0062664B">
        <w:rPr>
          <w:rtl/>
        </w:rPr>
        <w:t xml:space="preserve"> </w:t>
      </w:r>
      <w:r w:rsidRPr="0062664B">
        <w:rPr>
          <w:rFonts w:hint="eastAsia"/>
          <w:rtl/>
        </w:rPr>
        <w:t>שיש</w:t>
      </w:r>
      <w:r w:rsidRPr="0062664B">
        <w:rPr>
          <w:rtl/>
        </w:rPr>
        <w:t xml:space="preserve"> </w:t>
      </w:r>
      <w:r>
        <w:rPr>
          <w:rFonts w:hint="cs"/>
          <w:rtl/>
        </w:rPr>
        <w:t xml:space="preserve">להן </w:t>
      </w:r>
      <w:r w:rsidRPr="0062664B">
        <w:rPr>
          <w:rFonts w:hint="eastAsia"/>
          <w:rtl/>
        </w:rPr>
        <w:t>לגביהם</w:t>
      </w:r>
      <w:r w:rsidRPr="0062664B">
        <w:rPr>
          <w:rtl/>
        </w:rPr>
        <w:t xml:space="preserve"> </w:t>
      </w:r>
      <w:r w:rsidRPr="0062664B">
        <w:rPr>
          <w:rFonts w:hint="eastAsia"/>
          <w:rtl/>
        </w:rPr>
        <w:t>ספק</w:t>
      </w:r>
      <w:r w:rsidRPr="0062664B">
        <w:rPr>
          <w:rtl/>
        </w:rPr>
        <w:t xml:space="preserve">, </w:t>
      </w:r>
      <w:r>
        <w:rPr>
          <w:rFonts w:hint="cs"/>
          <w:rtl/>
        </w:rPr>
        <w:t>ו</w:t>
      </w:r>
      <w:r w:rsidRPr="008A2BD3">
        <w:rPr>
          <w:rFonts w:hint="cs"/>
          <w:rtl/>
        </w:rPr>
        <w:t>לכן</w:t>
      </w:r>
      <w:r w:rsidRPr="0062664B">
        <w:rPr>
          <w:rtl/>
        </w:rPr>
        <w:t xml:space="preserve"> הן משלמות רק חלק מהחשבונות ומותירות יתרה מסוימת לתשלום לשלב הדיון בערעור: </w:t>
      </w:r>
      <w:r w:rsidRPr="0062664B">
        <w:rPr>
          <w:rFonts w:hint="eastAsia"/>
          <w:rtl/>
        </w:rPr>
        <w:t>מכבי</w:t>
      </w:r>
      <w:r w:rsidRPr="0062664B">
        <w:rPr>
          <w:rtl/>
        </w:rPr>
        <w:t xml:space="preserve">, </w:t>
      </w:r>
      <w:r w:rsidRPr="0062664B">
        <w:rPr>
          <w:rFonts w:hint="eastAsia"/>
          <w:rtl/>
        </w:rPr>
        <w:t>מאוחדת</w:t>
      </w:r>
      <w:r w:rsidRPr="0062664B">
        <w:rPr>
          <w:rtl/>
        </w:rPr>
        <w:t xml:space="preserve"> </w:t>
      </w:r>
      <w:r w:rsidRPr="0062664B">
        <w:rPr>
          <w:rFonts w:hint="eastAsia"/>
          <w:rtl/>
        </w:rPr>
        <w:t>ולאומית</w:t>
      </w:r>
      <w:r w:rsidRPr="0062664B">
        <w:rPr>
          <w:rtl/>
        </w:rPr>
        <w:t xml:space="preserve"> </w:t>
      </w:r>
      <w:r w:rsidRPr="0062664B">
        <w:rPr>
          <w:rFonts w:hint="eastAsia"/>
          <w:rtl/>
        </w:rPr>
        <w:t>משלמות</w:t>
      </w:r>
      <w:r w:rsidRPr="0062664B">
        <w:rPr>
          <w:rtl/>
        </w:rPr>
        <w:t xml:space="preserve"> </w:t>
      </w:r>
      <w:r w:rsidRPr="0062664B">
        <w:rPr>
          <w:rFonts w:hint="eastAsia"/>
          <w:rtl/>
        </w:rPr>
        <w:t>בפועל</w:t>
      </w:r>
      <w:r w:rsidRPr="0062664B">
        <w:rPr>
          <w:rtl/>
        </w:rPr>
        <w:t xml:space="preserve"> </w:t>
      </w:r>
      <w:r w:rsidRPr="0062664B">
        <w:rPr>
          <w:rFonts w:hint="eastAsia"/>
          <w:rtl/>
        </w:rPr>
        <w:t>כ</w:t>
      </w:r>
      <w:r w:rsidRPr="0062664B">
        <w:rPr>
          <w:rtl/>
        </w:rPr>
        <w:t>-95%</w:t>
      </w:r>
      <w:r>
        <w:rPr>
          <w:rStyle w:val="FootnoteReference"/>
          <w:sz w:val="24"/>
          <w:rtl/>
        </w:rPr>
        <w:footnoteReference w:id="88"/>
      </w:r>
      <w:r w:rsidRPr="0062664B">
        <w:rPr>
          <w:rtl/>
        </w:rPr>
        <w:t xml:space="preserve"> מהחשבונות, </w:t>
      </w:r>
      <w:r w:rsidRPr="0062664B">
        <w:rPr>
          <w:rFonts w:hint="eastAsia"/>
          <w:rtl/>
        </w:rPr>
        <w:t>ואילו</w:t>
      </w:r>
      <w:r w:rsidRPr="0062664B">
        <w:rPr>
          <w:rtl/>
        </w:rPr>
        <w:t xml:space="preserve"> </w:t>
      </w:r>
      <w:r w:rsidRPr="0062664B">
        <w:rPr>
          <w:rFonts w:hint="eastAsia"/>
          <w:rtl/>
        </w:rPr>
        <w:t>הכללית</w:t>
      </w:r>
      <w:r w:rsidRPr="0062664B">
        <w:rPr>
          <w:rtl/>
        </w:rPr>
        <w:t xml:space="preserve"> </w:t>
      </w:r>
      <w:r w:rsidRPr="0062664B">
        <w:rPr>
          <w:rFonts w:hint="eastAsia"/>
          <w:rtl/>
        </w:rPr>
        <w:t>שילמה</w:t>
      </w:r>
      <w:r w:rsidRPr="0062664B">
        <w:rPr>
          <w:rtl/>
        </w:rPr>
        <w:t xml:space="preserve"> </w:t>
      </w:r>
      <w:r w:rsidRPr="0062664B">
        <w:rPr>
          <w:rFonts w:hint="eastAsia"/>
          <w:rtl/>
        </w:rPr>
        <w:t>בפועל</w:t>
      </w:r>
      <w:r w:rsidRPr="0062664B">
        <w:rPr>
          <w:rtl/>
        </w:rPr>
        <w:t xml:space="preserve"> </w:t>
      </w:r>
      <w:r w:rsidRPr="0062664B">
        <w:rPr>
          <w:rFonts w:hint="eastAsia"/>
          <w:rtl/>
        </w:rPr>
        <w:t>עד</w:t>
      </w:r>
      <w:r w:rsidRPr="0062664B">
        <w:rPr>
          <w:rtl/>
        </w:rPr>
        <w:t xml:space="preserve"> מחצית שנת 2018 </w:t>
      </w:r>
      <w:r w:rsidRPr="0062664B">
        <w:rPr>
          <w:rFonts w:hint="eastAsia"/>
          <w:rtl/>
        </w:rPr>
        <w:t>רק</w:t>
      </w:r>
      <w:r w:rsidRPr="0062664B">
        <w:rPr>
          <w:rtl/>
        </w:rPr>
        <w:t xml:space="preserve"> </w:t>
      </w:r>
      <w:r w:rsidRPr="0062664B">
        <w:rPr>
          <w:rFonts w:hint="eastAsia"/>
          <w:rtl/>
        </w:rPr>
        <w:t>כ</w:t>
      </w:r>
      <w:r w:rsidRPr="0062664B">
        <w:rPr>
          <w:rtl/>
        </w:rPr>
        <w:t>-78%.</w:t>
      </w:r>
      <w:r w:rsidRPr="0062664B">
        <w:rPr>
          <w:b/>
          <w:bCs/>
          <w:rtl/>
        </w:rPr>
        <w:t xml:space="preserve"> </w:t>
      </w:r>
      <w:r>
        <w:rPr>
          <w:rFonts w:hint="cs"/>
          <w:rtl/>
        </w:rPr>
        <w:t>לעמדת המשרד, כפי שנמסרה במהלך הביקורת, עלות אשפוזם של החולים הממושכים, שבגינם מוגשים מרבית ערעורי הקופות</w:t>
      </w:r>
      <w:r>
        <w:rPr>
          <w:rStyle w:val="FootnoteReference"/>
          <w:rtl/>
        </w:rPr>
        <w:footnoteReference w:id="89"/>
      </w:r>
      <w:r>
        <w:rPr>
          <w:rFonts w:hint="cs"/>
          <w:rtl/>
        </w:rPr>
        <w:t>, נכללה בתקציב הרפורמה, שנקבע בהתבסס על עלות האשפוז ערב הרפורמה, ולפיכך על הקופות לשאת בהוצאה זו.</w:t>
      </w:r>
    </w:p>
    <w:p w14:paraId="708DD58A" w14:textId="77777777" w:rsidR="00B51F5B" w:rsidRDefault="00B51F5B" w:rsidP="009F33AC">
      <w:pPr>
        <w:pStyle w:val="414"/>
        <w:rPr>
          <w:rtl/>
        </w:rPr>
      </w:pPr>
      <w:r w:rsidRPr="00E22226">
        <w:rPr>
          <w:rtl/>
        </w:rPr>
        <w:t xml:space="preserve">טיפול משרד </w:t>
      </w:r>
      <w:r>
        <w:rPr>
          <w:rFonts w:hint="cs"/>
          <w:rtl/>
        </w:rPr>
        <w:t xml:space="preserve">הבריאות </w:t>
      </w:r>
      <w:r w:rsidRPr="00E22226">
        <w:rPr>
          <w:rtl/>
        </w:rPr>
        <w:t>בערעורים שהגישו קופות החולים</w:t>
      </w:r>
      <w:r w:rsidRPr="00F60082">
        <w:rPr>
          <w:rFonts w:hint="cs"/>
          <w:rtl/>
        </w:rPr>
        <w:t xml:space="preserve"> </w:t>
      </w:r>
    </w:p>
    <w:p w14:paraId="7396CCB7" w14:textId="77777777" w:rsidR="00B51F5B" w:rsidRPr="00032D5B" w:rsidRDefault="00B51F5B" w:rsidP="009F33AC">
      <w:pPr>
        <w:pStyle w:val="100"/>
        <w:rPr>
          <w:rtl/>
        </w:rPr>
      </w:pPr>
      <w:r w:rsidRPr="00EF3118">
        <w:rPr>
          <w:rFonts w:hint="cs"/>
          <w:rtl/>
        </w:rPr>
        <w:t xml:space="preserve">הסכם הרפורמה </w:t>
      </w:r>
      <w:r>
        <w:rPr>
          <w:rFonts w:hint="cs"/>
          <w:rtl/>
        </w:rPr>
        <w:t>קבע</w:t>
      </w:r>
      <w:r w:rsidRPr="00EF3118">
        <w:rPr>
          <w:rFonts w:hint="cs"/>
          <w:rtl/>
        </w:rPr>
        <w:t xml:space="preserve"> כי כללי האשפוז בפסיכיאטריה ונ</w:t>
      </w:r>
      <w:r>
        <w:rPr>
          <w:rFonts w:hint="cs"/>
          <w:rtl/>
        </w:rPr>
        <w:t>ו</w:t>
      </w:r>
      <w:r w:rsidRPr="00EF3118">
        <w:rPr>
          <w:rFonts w:hint="cs"/>
          <w:rtl/>
        </w:rPr>
        <w:t>הלי הבקרה יהיו בהתאם לכללים הנהוגים ברפואה הכללית.</w:t>
      </w:r>
      <w:r>
        <w:rPr>
          <w:rFonts w:hint="cs"/>
          <w:rtl/>
        </w:rPr>
        <w:t xml:space="preserve"> יש כמה </w:t>
      </w:r>
      <w:r w:rsidRPr="00CC63B6">
        <w:rPr>
          <w:rFonts w:hint="eastAsia"/>
          <w:rtl/>
        </w:rPr>
        <w:t>חוזרים</w:t>
      </w:r>
      <w:r w:rsidRPr="00CC63B6">
        <w:rPr>
          <w:rtl/>
        </w:rPr>
        <w:t xml:space="preserve"> </w:t>
      </w:r>
      <w:r>
        <w:rPr>
          <w:rFonts w:hint="cs"/>
          <w:rtl/>
        </w:rPr>
        <w:t>ב</w:t>
      </w:r>
      <w:r w:rsidRPr="00CC63B6">
        <w:rPr>
          <w:rFonts w:hint="eastAsia"/>
          <w:rtl/>
        </w:rPr>
        <w:t>נושאי</w:t>
      </w:r>
      <w:r w:rsidRPr="00CC63B6">
        <w:rPr>
          <w:rtl/>
        </w:rPr>
        <w:t xml:space="preserve"> </w:t>
      </w:r>
      <w:r w:rsidRPr="00CC63B6">
        <w:rPr>
          <w:rFonts w:hint="eastAsia"/>
          <w:rtl/>
        </w:rPr>
        <w:t>התחשבנות</w:t>
      </w:r>
      <w:r w:rsidRPr="00CC63B6">
        <w:rPr>
          <w:rFonts w:hint="cs"/>
          <w:rtl/>
        </w:rPr>
        <w:t>:</w:t>
      </w:r>
      <w:r>
        <w:rPr>
          <w:rFonts w:hint="cs"/>
          <w:rtl/>
        </w:rPr>
        <w:t xml:space="preserve"> </w:t>
      </w:r>
      <w:r w:rsidRPr="00C24E58">
        <w:rPr>
          <w:rFonts w:hint="eastAsia"/>
          <w:rtl/>
        </w:rPr>
        <w:t>חוזר</w:t>
      </w:r>
      <w:r w:rsidRPr="00C24E58">
        <w:rPr>
          <w:rtl/>
        </w:rPr>
        <w:t xml:space="preserve"> </w:t>
      </w:r>
      <w:r w:rsidRPr="00C24E58">
        <w:rPr>
          <w:rFonts w:hint="eastAsia"/>
          <w:rtl/>
        </w:rPr>
        <w:t>בנושא</w:t>
      </w:r>
      <w:r w:rsidRPr="00C24E58">
        <w:rPr>
          <w:rtl/>
        </w:rPr>
        <w:t xml:space="preserve"> </w:t>
      </w:r>
      <w:r>
        <w:rPr>
          <w:rFonts w:hint="cs"/>
          <w:rtl/>
        </w:rPr>
        <w:t>מחלוקות ו</w:t>
      </w:r>
      <w:r w:rsidRPr="00C24E58">
        <w:rPr>
          <w:rFonts w:hint="eastAsia"/>
          <w:rtl/>
        </w:rPr>
        <w:t>ערעורים</w:t>
      </w:r>
      <w:r w:rsidRPr="00C24E58">
        <w:rPr>
          <w:rtl/>
        </w:rPr>
        <w:t xml:space="preserve"> </w:t>
      </w:r>
      <w:r>
        <w:rPr>
          <w:rFonts w:hint="cs"/>
          <w:rtl/>
        </w:rPr>
        <w:t xml:space="preserve">של קופות החולים על חשבונות בתי החולים </w:t>
      </w:r>
      <w:r w:rsidRPr="00C24E58">
        <w:rPr>
          <w:rFonts w:hint="eastAsia"/>
          <w:rtl/>
        </w:rPr>
        <w:t>משנת</w:t>
      </w:r>
      <w:r w:rsidRPr="00C24E58">
        <w:rPr>
          <w:rtl/>
        </w:rPr>
        <w:t xml:space="preserve"> 2005</w:t>
      </w:r>
      <w:r>
        <w:rPr>
          <w:vertAlign w:val="superscript"/>
          <w:rtl/>
        </w:rPr>
        <w:footnoteReference w:id="90"/>
      </w:r>
      <w:r w:rsidRPr="00C24E58">
        <w:rPr>
          <w:rFonts w:hint="cs"/>
          <w:rtl/>
        </w:rPr>
        <w:t xml:space="preserve">; </w:t>
      </w:r>
      <w:r w:rsidRPr="00C24E58">
        <w:rPr>
          <w:rFonts w:hint="eastAsia"/>
          <w:rtl/>
        </w:rPr>
        <w:t>חוזר</w:t>
      </w:r>
      <w:r w:rsidRPr="00C24E58">
        <w:rPr>
          <w:rtl/>
        </w:rPr>
        <w:t xml:space="preserve"> </w:t>
      </w:r>
      <w:r>
        <w:rPr>
          <w:rFonts w:hint="cs"/>
          <w:rtl/>
        </w:rPr>
        <w:t>מיוחד לגבי טיפולים בתחום בריאות הנפש</w:t>
      </w:r>
      <w:r w:rsidRPr="00C24E58">
        <w:rPr>
          <w:rtl/>
        </w:rPr>
        <w:t xml:space="preserve"> </w:t>
      </w:r>
      <w:r w:rsidRPr="00C24E58">
        <w:rPr>
          <w:rFonts w:hint="eastAsia"/>
          <w:rtl/>
        </w:rPr>
        <w:t>משנת</w:t>
      </w:r>
      <w:r w:rsidRPr="00C24E58">
        <w:rPr>
          <w:rtl/>
        </w:rPr>
        <w:t xml:space="preserve"> 2015</w:t>
      </w:r>
      <w:r>
        <w:rPr>
          <w:vertAlign w:val="superscript"/>
          <w:rtl/>
        </w:rPr>
        <w:footnoteReference w:id="91"/>
      </w:r>
      <w:r>
        <w:rPr>
          <w:rFonts w:hint="cs"/>
          <w:rtl/>
        </w:rPr>
        <w:t>;</w:t>
      </w:r>
      <w:r w:rsidRPr="00C24E58">
        <w:rPr>
          <w:rFonts w:hint="eastAsia"/>
          <w:rtl/>
        </w:rPr>
        <w:t xml:space="preserve"> חוזר</w:t>
      </w:r>
      <w:r w:rsidRPr="00C24E58">
        <w:rPr>
          <w:rtl/>
        </w:rPr>
        <w:t xml:space="preserve"> </w:t>
      </w:r>
      <w:r w:rsidRPr="00C24E58">
        <w:rPr>
          <w:rFonts w:hint="eastAsia"/>
          <w:rtl/>
        </w:rPr>
        <w:t>הבהרות</w:t>
      </w:r>
      <w:r w:rsidRPr="00C24E58">
        <w:rPr>
          <w:rtl/>
        </w:rPr>
        <w:t xml:space="preserve"> </w:t>
      </w:r>
      <w:r>
        <w:rPr>
          <w:rFonts w:hint="cs"/>
          <w:rtl/>
        </w:rPr>
        <w:t xml:space="preserve">והשלמות לגבי טיפולים בתחום בריאות הנפש </w:t>
      </w:r>
      <w:r w:rsidRPr="00C24E58">
        <w:rPr>
          <w:rFonts w:hint="eastAsia"/>
          <w:rtl/>
        </w:rPr>
        <w:t>מ</w:t>
      </w:r>
      <w:r>
        <w:rPr>
          <w:rFonts w:hint="cs"/>
          <w:rtl/>
        </w:rPr>
        <w:t xml:space="preserve">שנת </w:t>
      </w:r>
      <w:r w:rsidRPr="00C24E58">
        <w:rPr>
          <w:rtl/>
        </w:rPr>
        <w:t>2017</w:t>
      </w:r>
      <w:r>
        <w:rPr>
          <w:vertAlign w:val="superscript"/>
          <w:rtl/>
        </w:rPr>
        <w:footnoteReference w:id="92"/>
      </w:r>
      <w:r>
        <w:rPr>
          <w:rFonts w:hint="cs"/>
          <w:rtl/>
        </w:rPr>
        <w:t xml:space="preserve">. </w:t>
      </w:r>
    </w:p>
    <w:p w14:paraId="410628BC" w14:textId="77777777" w:rsidR="00B51F5B" w:rsidRDefault="00B51F5B" w:rsidP="009F33AC">
      <w:pPr>
        <w:pStyle w:val="100"/>
        <w:rPr>
          <w:rtl/>
        </w:rPr>
      </w:pPr>
      <w:r w:rsidRPr="009F33AC">
        <w:rPr>
          <w:rStyle w:val="Heading7Char"/>
          <w:rFonts w:hint="eastAsia"/>
          <w:color w:val="004E6C"/>
          <w:spacing w:val="0"/>
          <w:rtl/>
        </w:rPr>
        <w:t>הסכם</w:t>
      </w:r>
      <w:r w:rsidRPr="009F33AC">
        <w:rPr>
          <w:rStyle w:val="Heading7Char"/>
          <w:color w:val="004E6C"/>
          <w:spacing w:val="0"/>
          <w:rtl/>
        </w:rPr>
        <w:t xml:space="preserve"> </w:t>
      </w:r>
      <w:r w:rsidRPr="009F33AC">
        <w:rPr>
          <w:rStyle w:val="Heading7Char"/>
          <w:rFonts w:hint="eastAsia"/>
          <w:color w:val="004E6C"/>
          <w:spacing w:val="0"/>
          <w:rtl/>
        </w:rPr>
        <w:t>הייצוב</w:t>
      </w:r>
      <w:r w:rsidRPr="009F33AC">
        <w:rPr>
          <w:rStyle w:val="Heading7Char"/>
          <w:color w:val="004E6C"/>
          <w:spacing w:val="0"/>
          <w:rtl/>
        </w:rPr>
        <w:t xml:space="preserve"> </w:t>
      </w:r>
      <w:r w:rsidRPr="009F33AC">
        <w:rPr>
          <w:rStyle w:val="Heading7Char"/>
          <w:rFonts w:hint="eastAsia"/>
          <w:color w:val="004E6C"/>
          <w:spacing w:val="0"/>
          <w:rtl/>
        </w:rPr>
        <w:t>של</w:t>
      </w:r>
      <w:r w:rsidRPr="009F33AC">
        <w:rPr>
          <w:rStyle w:val="Heading7Char"/>
          <w:color w:val="004E6C"/>
          <w:spacing w:val="0"/>
          <w:rtl/>
        </w:rPr>
        <w:t xml:space="preserve"> </w:t>
      </w:r>
      <w:r w:rsidRPr="009F33AC">
        <w:rPr>
          <w:rStyle w:val="Heading7Char"/>
          <w:rFonts w:hint="eastAsia"/>
          <w:color w:val="004E6C"/>
          <w:spacing w:val="0"/>
          <w:rtl/>
        </w:rPr>
        <w:t>הכללית</w:t>
      </w:r>
      <w:r w:rsidRPr="009F33AC">
        <w:rPr>
          <w:rStyle w:val="Heading7Char"/>
          <w:color w:val="004E6C"/>
          <w:spacing w:val="0"/>
          <w:rtl/>
        </w:rPr>
        <w:t xml:space="preserve"> </w:t>
      </w:r>
      <w:r w:rsidRPr="009F33AC">
        <w:rPr>
          <w:rStyle w:val="Heading7Char"/>
          <w:rFonts w:hint="eastAsia"/>
          <w:color w:val="004E6C"/>
          <w:spacing w:val="0"/>
          <w:rtl/>
        </w:rPr>
        <w:t>לשנים</w:t>
      </w:r>
      <w:r w:rsidRPr="009F33AC">
        <w:rPr>
          <w:rStyle w:val="Heading7Char"/>
          <w:color w:val="004E6C"/>
          <w:spacing w:val="0"/>
          <w:rtl/>
        </w:rPr>
        <w:t xml:space="preserve"> 2019-2018</w:t>
      </w:r>
      <w:r w:rsidRPr="009F33AC">
        <w:rPr>
          <w:rStyle w:val="Heading7Char"/>
          <w:rFonts w:hint="cs"/>
          <w:color w:val="004E6C"/>
          <w:spacing w:val="0"/>
          <w:rtl/>
        </w:rPr>
        <w:t>:</w:t>
      </w:r>
      <w:r w:rsidRPr="009F33AC">
        <w:rPr>
          <w:rStyle w:val="Heading7Char"/>
          <w:rFonts w:hint="cs"/>
          <w:color w:val="004E6C"/>
          <w:rtl/>
        </w:rPr>
        <w:t xml:space="preserve"> </w:t>
      </w:r>
      <w:r>
        <w:rPr>
          <w:rFonts w:hint="cs"/>
          <w:rtl/>
        </w:rPr>
        <w:t>ההסכם נחתם באוקטובר 2018</w:t>
      </w:r>
      <w:r>
        <w:rPr>
          <w:rStyle w:val="FootnoteReference"/>
          <w:rtl/>
        </w:rPr>
        <w:footnoteReference w:id="93"/>
      </w:r>
      <w:r>
        <w:rPr>
          <w:rFonts w:hint="cs"/>
          <w:rtl/>
        </w:rPr>
        <w:t xml:space="preserve"> וקובע </w:t>
      </w:r>
      <w:r w:rsidRPr="00966AEF">
        <w:rPr>
          <w:rtl/>
        </w:rPr>
        <w:t xml:space="preserve">כי </w:t>
      </w:r>
      <w:r w:rsidRPr="008712BE">
        <w:rPr>
          <w:rtl/>
        </w:rPr>
        <w:t xml:space="preserve">בהתאם לחוזר משנת 2005 </w:t>
      </w:r>
      <w:r w:rsidRPr="00966AEF">
        <w:rPr>
          <w:rtl/>
        </w:rPr>
        <w:t>ימונה בורר (דרג ג</w:t>
      </w:r>
      <w:r>
        <w:rPr>
          <w:rFonts w:hint="cs"/>
          <w:rtl/>
        </w:rPr>
        <w:t>'</w:t>
      </w:r>
      <w:r w:rsidRPr="00966AEF">
        <w:rPr>
          <w:rtl/>
        </w:rPr>
        <w:t>) שיפסוק לגבי ההתחשבנות לתקופה</w:t>
      </w:r>
      <w:r>
        <w:rPr>
          <w:rFonts w:hint="cs"/>
          <w:rtl/>
        </w:rPr>
        <w:t xml:space="preserve"> קודמת -</w:t>
      </w:r>
      <w:r w:rsidRPr="00966AEF">
        <w:rPr>
          <w:rtl/>
        </w:rPr>
        <w:t xml:space="preserve"> יולי 2015 </w:t>
      </w:r>
      <w:r>
        <w:rPr>
          <w:rFonts w:hint="cs"/>
          <w:rtl/>
        </w:rPr>
        <w:t>עד</w:t>
      </w:r>
      <w:r w:rsidRPr="00966AEF">
        <w:rPr>
          <w:rtl/>
        </w:rPr>
        <w:t xml:space="preserve"> דצמבר 2017</w:t>
      </w:r>
      <w:r>
        <w:rPr>
          <w:rFonts w:hint="cs"/>
          <w:rtl/>
        </w:rPr>
        <w:t xml:space="preserve">. עוד קובע ההסכם כי הקופה תשלם 91% מהחשבונות שהוגשו לה </w:t>
      </w:r>
      <w:r w:rsidRPr="005A46E3">
        <w:rPr>
          <w:rFonts w:hint="cs"/>
          <w:rtl/>
        </w:rPr>
        <w:t xml:space="preserve">על ידי בתי החולים הממשלתיים לבריאות הנפש </w:t>
      </w:r>
      <w:r>
        <w:rPr>
          <w:rFonts w:hint="cs"/>
          <w:rtl/>
        </w:rPr>
        <w:t>לשנים 2016-2015 ו-95% מהחשבונות לשנים 2018-2017 שעמדו על סך כולל של כ-</w:t>
      </w:r>
      <w:r w:rsidRPr="009F4346">
        <w:rPr>
          <w:rFonts w:hint="cs"/>
          <w:rtl/>
        </w:rPr>
        <w:t xml:space="preserve">375 מיליון ש"ח, </w:t>
      </w:r>
      <w:r>
        <w:rPr>
          <w:rFonts w:hint="cs"/>
          <w:rtl/>
        </w:rPr>
        <w:t>וכי הקופה תשלם בשוטף 95% מהחשבונות. בפועל, נכון ל</w:t>
      </w:r>
      <w:r w:rsidRPr="00B44376">
        <w:rPr>
          <w:rFonts w:hint="cs"/>
          <w:rtl/>
        </w:rPr>
        <w:t xml:space="preserve">תחילת שנת 2019 </w:t>
      </w:r>
      <w:r>
        <w:rPr>
          <w:rFonts w:hint="cs"/>
          <w:rtl/>
        </w:rPr>
        <w:t xml:space="preserve">מונה בורר לארבעה בתי חולים </w:t>
      </w:r>
      <w:r w:rsidRPr="005A46E3">
        <w:rPr>
          <w:rFonts w:hint="cs"/>
          <w:rtl/>
        </w:rPr>
        <w:t>ממשלתיים לבריאות הנפש</w:t>
      </w:r>
      <w:r>
        <w:rPr>
          <w:rFonts w:hint="cs"/>
          <w:rtl/>
        </w:rPr>
        <w:t xml:space="preserve"> בלבד</w:t>
      </w:r>
      <w:r>
        <w:rPr>
          <w:rStyle w:val="FootnoteReference"/>
          <w:rtl/>
        </w:rPr>
        <w:footnoteReference w:id="94"/>
      </w:r>
      <w:r>
        <w:rPr>
          <w:rFonts w:hint="cs"/>
          <w:rtl/>
        </w:rPr>
        <w:t xml:space="preserve"> מתוך תשעה, והוא אמור ל</w:t>
      </w:r>
      <w:r w:rsidRPr="00B44376">
        <w:rPr>
          <w:rFonts w:hint="cs"/>
          <w:rtl/>
        </w:rPr>
        <w:t xml:space="preserve">דון </w:t>
      </w:r>
      <w:r>
        <w:rPr>
          <w:rFonts w:hint="cs"/>
          <w:rtl/>
        </w:rPr>
        <w:t>בכלל הערעורים לרבות בנושא מטופלים ממושכים</w:t>
      </w:r>
      <w:r>
        <w:rPr>
          <w:rStyle w:val="FootnoteReference"/>
          <w:rtl/>
        </w:rPr>
        <w:footnoteReference w:id="95"/>
      </w:r>
      <w:r>
        <w:rPr>
          <w:rFonts w:hint="cs"/>
          <w:rtl/>
        </w:rPr>
        <w:t xml:space="preserve"> לשנים 2017-2015, שעמדו על סך כולל של כ-280 מיליון ש"ח</w:t>
      </w:r>
      <w:r>
        <w:rPr>
          <w:rStyle w:val="FootnoteReference"/>
          <w:rtl/>
        </w:rPr>
        <w:footnoteReference w:id="96"/>
      </w:r>
      <w:r w:rsidRPr="00B44376">
        <w:rPr>
          <w:rtl/>
        </w:rPr>
        <w:t>.</w:t>
      </w:r>
      <w:r>
        <w:rPr>
          <w:rFonts w:hint="cs"/>
          <w:rtl/>
        </w:rPr>
        <w:t xml:space="preserve"> במקביל שילמה הכללית את החוב בעבור ארבעת בתי החולים בסך של כ-156 מיליון ש"ח, כפי שנקבע בהסכם הייצוב. </w:t>
      </w:r>
    </w:p>
    <w:p w14:paraId="01ADA138" w14:textId="77777777" w:rsidR="00B51F5B" w:rsidRPr="00B44376" w:rsidRDefault="00B51F5B" w:rsidP="009F33AC">
      <w:pPr>
        <w:pStyle w:val="100"/>
        <w:rPr>
          <w:rtl/>
        </w:rPr>
      </w:pPr>
      <w:r>
        <w:rPr>
          <w:rFonts w:hint="cs"/>
          <w:rtl/>
        </w:rPr>
        <w:t xml:space="preserve">חטיבת </w:t>
      </w:r>
      <w:r w:rsidRPr="00075E5F">
        <w:rPr>
          <w:rtl/>
        </w:rPr>
        <w:t xml:space="preserve">המרכזים הרפואיים </w:t>
      </w:r>
      <w:r w:rsidRPr="008712BE">
        <w:rPr>
          <w:rFonts w:hint="cs"/>
          <w:rtl/>
        </w:rPr>
        <w:t>הממשלתיים</w:t>
      </w:r>
      <w:r>
        <w:rPr>
          <w:rFonts w:hint="cs"/>
          <w:rtl/>
        </w:rPr>
        <w:t xml:space="preserve"> מסרה למשרד מבקר המדינה באוגוסט 2019 כי הבוררות מול ארבעת בתי החולים צפויה להסתיים בתחילת שנת 2020, ולגבי החולים הממושכים אין התקדמות להשגת הבנות בין הצדדים. טרם החלה הבוררות מול יתר בתי החולים, ויתרת החוב בגינם בסך של כ-220 מיליון ש"ח טרם שולמה.</w:t>
      </w:r>
    </w:p>
    <w:p w14:paraId="31A9E266" w14:textId="77777777" w:rsidR="00B51F5B" w:rsidRDefault="00B51F5B" w:rsidP="009F33AC">
      <w:pPr>
        <w:pStyle w:val="af5"/>
        <w:rPr>
          <w:rtl/>
        </w:rPr>
      </w:pPr>
      <w:r>
        <w:rPr>
          <w:rFonts w:hint="cs"/>
          <w:rtl/>
        </w:rPr>
        <w:t>עולה מכך כי אף</w:t>
      </w:r>
      <w:r w:rsidRPr="004F3943">
        <w:rPr>
          <w:rFonts w:hint="cs"/>
          <w:rtl/>
        </w:rPr>
        <w:t xml:space="preserve"> שנושא ההתחשבנות בין בתי החולים לקופות החולים הוסדר לכאורה בחוזרים שפרס</w:t>
      </w:r>
      <w:r>
        <w:rPr>
          <w:rFonts w:hint="cs"/>
          <w:rtl/>
        </w:rPr>
        <w:t>ם</w:t>
      </w:r>
      <w:r w:rsidRPr="004F3943">
        <w:rPr>
          <w:rFonts w:hint="cs"/>
          <w:rtl/>
        </w:rPr>
        <w:t xml:space="preserve"> משרד הבריאות, ו</w:t>
      </w:r>
      <w:r>
        <w:rPr>
          <w:rFonts w:hint="cs"/>
          <w:rtl/>
        </w:rPr>
        <w:t>אף</w:t>
      </w:r>
      <w:r w:rsidRPr="004F3943">
        <w:rPr>
          <w:rFonts w:hint="cs"/>
          <w:rtl/>
        </w:rPr>
        <w:t xml:space="preserve"> שקיים מנגנון ליישוב ערעורים, בפועל נכון ל</w:t>
      </w:r>
      <w:r>
        <w:rPr>
          <w:rFonts w:hint="cs"/>
          <w:rtl/>
        </w:rPr>
        <w:t>ספטמבר</w:t>
      </w:r>
      <w:r w:rsidRPr="004F3943">
        <w:rPr>
          <w:rFonts w:hint="cs"/>
          <w:rtl/>
        </w:rPr>
        <w:t xml:space="preserve"> 2019 </w:t>
      </w:r>
      <w:r>
        <w:rPr>
          <w:rFonts w:hint="cs"/>
          <w:rtl/>
        </w:rPr>
        <w:t xml:space="preserve">טרם יושבו </w:t>
      </w:r>
      <w:r w:rsidRPr="004F3943">
        <w:rPr>
          <w:rFonts w:hint="cs"/>
          <w:rtl/>
        </w:rPr>
        <w:t xml:space="preserve">ערעורים של הכללית בהיקף של כ-22% </w:t>
      </w:r>
      <w:r>
        <w:rPr>
          <w:rFonts w:hint="cs"/>
          <w:rtl/>
        </w:rPr>
        <w:t xml:space="preserve">מסך החשבונות, </w:t>
      </w:r>
      <w:r w:rsidRPr="004F3943">
        <w:rPr>
          <w:rFonts w:hint="cs"/>
          <w:rtl/>
        </w:rPr>
        <w:t>המסתכמים בכ-</w:t>
      </w:r>
      <w:r>
        <w:rPr>
          <w:rFonts w:hint="cs"/>
          <w:rtl/>
        </w:rPr>
        <w:t>280</w:t>
      </w:r>
      <w:r w:rsidRPr="004F3943">
        <w:rPr>
          <w:rFonts w:hint="cs"/>
          <w:rtl/>
        </w:rPr>
        <w:t xml:space="preserve"> </w:t>
      </w:r>
      <w:r>
        <w:rPr>
          <w:rFonts w:hint="cs"/>
          <w:rtl/>
        </w:rPr>
        <w:t>מי</w:t>
      </w:r>
      <w:r w:rsidRPr="004F3943">
        <w:rPr>
          <w:rFonts w:hint="cs"/>
          <w:rtl/>
        </w:rPr>
        <w:t>ל</w:t>
      </w:r>
      <w:r>
        <w:rPr>
          <w:rFonts w:hint="cs"/>
          <w:rtl/>
        </w:rPr>
        <w:t>יון ש"ח (אף על פי שחלק מן החוב בגינם שולם ללא שהוכרע הערעור בגינו).</w:t>
      </w:r>
      <w:r w:rsidRPr="00CC065C">
        <w:rPr>
          <w:rFonts w:hint="cs"/>
          <w:rtl/>
        </w:rPr>
        <w:t xml:space="preserve"> </w:t>
      </w:r>
    </w:p>
    <w:p w14:paraId="272C0BD6" w14:textId="77777777" w:rsidR="00B51F5B" w:rsidRDefault="00B51F5B" w:rsidP="00B56722">
      <w:pPr>
        <w:pStyle w:val="100"/>
        <w:rPr>
          <w:rtl/>
        </w:rPr>
      </w:pPr>
      <w:r>
        <w:rPr>
          <w:rFonts w:hint="cs"/>
          <w:rtl/>
        </w:rPr>
        <w:t>יצוין כי בסוגיה דומה של אי-תשלום חשבונות למרכז רפואי הדסה על ידי קופות חולים פסק בג"ץ</w:t>
      </w:r>
      <w:r>
        <w:rPr>
          <w:rStyle w:val="FootnoteReference"/>
          <w:rtl/>
        </w:rPr>
        <w:footnoteReference w:id="97"/>
      </w:r>
      <w:r>
        <w:rPr>
          <w:rFonts w:hint="cs"/>
          <w:rtl/>
        </w:rPr>
        <w:t xml:space="preserve"> כי "על צד העיקרון אכן קבועים בדין ובחוזר המנכ"ל מנגנוני ההכרעה במחלוקות בין הדסה לבין קופות החולים. הנחתנו היא גם, כי בסכסוכים הפרטניים הנמשכים מכריעים הבוררים השונים לפי ההסדרים הקיימים. עם זאת, </w:t>
      </w:r>
      <w:r w:rsidRPr="0024363F">
        <w:rPr>
          <w:rFonts w:hint="cs"/>
          <w:b/>
          <w:bCs/>
          <w:rtl/>
        </w:rPr>
        <w:t>הדעת נותנת וכך ניסיון החיים, כי המאסדר (הרגולטור), משרד הבריאות, צריך להיות מעורב בנושאים בעלי אופי עקרוני, שמטבעם אינם מתאימים לבוררות ול'הפרטה', אלא מונחים לפתח משרד הבריאות. איננו יכולים לטעת מסמרות באשר לזיהוים של נושאים אלה, אך לטעמנו על הדלת שלא להיות נעולה להידרשות המשרד המאסדר סוגיות כאלה. מטבע הדברים, לא הרי התחשבנות פרטנית בקשר לחשבוניות מסוימות, כהרי נושאים בעלי אופי עקרוני ש'הפרטתם' בבוררות פרטית אינה הולמת, והטעונים הכרעת המאסדר</w:t>
      </w:r>
      <w:r>
        <w:rPr>
          <w:rFonts w:hint="cs"/>
          <w:rtl/>
        </w:rPr>
        <w:t xml:space="preserve"> [ההדגשה אינה במקור]. עם זאת אין בידינו לקבוע מראש במובהק אילו הם הנושאים העקרוניים שאליהם על המשרד להידרש, והדבר נתון לשיקולו מתוך שכל ישר והיבטים ענייניים וציבוריים. אנו יוצאים מנקודת ההנחה כי הערות אלה יהיו לנגד עיני המשרד בשעה שתבוא פניה מצד העותרת או בית חולים </w:t>
      </w:r>
      <w:r w:rsidRPr="001E3FA2">
        <w:rPr>
          <w:rFonts w:hint="cs"/>
          <w:rtl/>
        </w:rPr>
        <w:t>ציבורי אחר</w:t>
      </w:r>
      <w:r w:rsidRPr="001E3FA2">
        <w:rPr>
          <w:rtl/>
        </w:rPr>
        <w:t>".</w:t>
      </w:r>
      <w:r>
        <w:rPr>
          <w:rtl/>
        </w:rPr>
        <w:t xml:space="preserve"> </w:t>
      </w:r>
    </w:p>
    <w:p w14:paraId="1A9526A8" w14:textId="77777777" w:rsidR="00B51F5B" w:rsidRDefault="00B51F5B" w:rsidP="00B56722">
      <w:pPr>
        <w:pStyle w:val="100"/>
        <w:rPr>
          <w:rtl/>
        </w:rPr>
      </w:pPr>
      <w:r>
        <w:rPr>
          <w:rFonts w:hint="cs"/>
          <w:rtl/>
        </w:rPr>
        <w:t xml:space="preserve">משרד הבריאות מסר בתשובתו כי </w:t>
      </w:r>
      <w:r w:rsidRPr="001E3FA2">
        <w:rPr>
          <w:rtl/>
        </w:rPr>
        <w:t>הבוררות עוסקת אך ורק בנושאים פרטניים ו</w:t>
      </w:r>
      <w:r w:rsidRPr="001E3FA2">
        <w:rPr>
          <w:rFonts w:hint="eastAsia"/>
          <w:rtl/>
        </w:rPr>
        <w:t>ב</w:t>
      </w:r>
      <w:r w:rsidRPr="001E3FA2">
        <w:rPr>
          <w:rtl/>
        </w:rPr>
        <w:t xml:space="preserve">חולים ספציפיים - בדבר הצורך באשפוזם ותכולת השירותים שקיבלו במהלך האשפוז, </w:t>
      </w:r>
      <w:r>
        <w:rPr>
          <w:rFonts w:hint="cs"/>
          <w:rtl/>
        </w:rPr>
        <w:t>ו</w:t>
      </w:r>
      <w:r w:rsidRPr="001E3FA2">
        <w:rPr>
          <w:rFonts w:hint="eastAsia"/>
          <w:rtl/>
        </w:rPr>
        <w:t>הבוררות</w:t>
      </w:r>
      <w:r w:rsidRPr="001E3FA2">
        <w:rPr>
          <w:rtl/>
        </w:rPr>
        <w:t xml:space="preserve"> </w:t>
      </w:r>
      <w:r w:rsidRPr="001E3FA2">
        <w:rPr>
          <w:rFonts w:hint="eastAsia"/>
          <w:rtl/>
        </w:rPr>
        <w:t>אינה</w:t>
      </w:r>
      <w:r w:rsidRPr="001E3FA2">
        <w:rPr>
          <w:rtl/>
        </w:rPr>
        <w:t xml:space="preserve"> </w:t>
      </w:r>
      <w:r w:rsidRPr="001E3FA2">
        <w:rPr>
          <w:rFonts w:hint="eastAsia"/>
          <w:rtl/>
        </w:rPr>
        <w:t>עוסקת</w:t>
      </w:r>
      <w:r w:rsidRPr="001E3FA2">
        <w:rPr>
          <w:rtl/>
        </w:rPr>
        <w:t xml:space="preserve"> </w:t>
      </w:r>
      <w:r w:rsidRPr="001E3FA2">
        <w:rPr>
          <w:rFonts w:hint="eastAsia"/>
          <w:rtl/>
        </w:rPr>
        <w:t>בזהות</w:t>
      </w:r>
      <w:r w:rsidRPr="001E3FA2">
        <w:rPr>
          <w:rtl/>
        </w:rPr>
        <w:t xml:space="preserve"> הגורם האחראי מ</w:t>
      </w:r>
      <w:r>
        <w:rPr>
          <w:rFonts w:hint="cs"/>
          <w:rtl/>
        </w:rPr>
        <w:t>ן ה</w:t>
      </w:r>
      <w:r w:rsidRPr="001E3FA2">
        <w:rPr>
          <w:rtl/>
        </w:rPr>
        <w:t xml:space="preserve">בחינה </w:t>
      </w:r>
      <w:r>
        <w:rPr>
          <w:rFonts w:hint="cs"/>
          <w:rtl/>
        </w:rPr>
        <w:t>ה</w:t>
      </w:r>
      <w:r w:rsidRPr="001E3FA2">
        <w:rPr>
          <w:rFonts w:hint="eastAsia"/>
          <w:rtl/>
        </w:rPr>
        <w:t>ביטוחית</w:t>
      </w:r>
      <w:r w:rsidRPr="001E3FA2">
        <w:rPr>
          <w:rtl/>
        </w:rPr>
        <w:t xml:space="preserve"> לנושאים כאלו או אחרים.</w:t>
      </w:r>
      <w:r w:rsidRPr="001E3FA2">
        <w:rPr>
          <w:rFonts w:hint="cs"/>
          <w:rtl/>
        </w:rPr>
        <w:t xml:space="preserve"> </w:t>
      </w:r>
      <w:r w:rsidRPr="001E3FA2">
        <w:rPr>
          <w:rtl/>
        </w:rPr>
        <w:t>במהלך</w:t>
      </w:r>
      <w:r>
        <w:rPr>
          <w:rtl/>
        </w:rPr>
        <w:t xml:space="preserve"> הבוררות צפוי כי יעלו נושאים רוחביים </w:t>
      </w:r>
      <w:r>
        <w:rPr>
          <w:rFonts w:hint="cs"/>
          <w:rtl/>
        </w:rPr>
        <w:t>ש</w:t>
      </w:r>
      <w:r>
        <w:rPr>
          <w:rtl/>
        </w:rPr>
        <w:t>לא מקבלים מענה מלא בחוזרים הקיימים</w:t>
      </w:r>
      <w:r>
        <w:rPr>
          <w:rFonts w:hint="cs"/>
          <w:rtl/>
        </w:rPr>
        <w:t xml:space="preserve">, ובמידת הצורך יפעל המשרד להסדרתם. </w:t>
      </w:r>
    </w:p>
    <w:p w14:paraId="6E6AF5F7" w14:textId="77777777" w:rsidR="00B51F5B" w:rsidRDefault="00B51F5B" w:rsidP="00B56722">
      <w:pPr>
        <w:pStyle w:val="100"/>
        <w:rPr>
          <w:rtl/>
        </w:rPr>
      </w:pPr>
      <w:r w:rsidRPr="001B7F7A">
        <w:rPr>
          <w:rFonts w:hint="eastAsia"/>
          <w:rtl/>
        </w:rPr>
        <w:t>אגף</w:t>
      </w:r>
      <w:r w:rsidRPr="001B7F7A">
        <w:rPr>
          <w:rtl/>
        </w:rPr>
        <w:t xml:space="preserve"> תקציבים מסר בתשובתו כי </w:t>
      </w:r>
      <w:r w:rsidRPr="00A602C9">
        <w:rPr>
          <w:rFonts w:hint="cs"/>
          <w:rtl/>
        </w:rPr>
        <w:t xml:space="preserve">עיקר המחלוקת בין משרד הבריאות וקופות החולים </w:t>
      </w:r>
      <w:r>
        <w:rPr>
          <w:rFonts w:hint="cs"/>
          <w:rtl/>
        </w:rPr>
        <w:t>מתמקדת ב</w:t>
      </w:r>
      <w:r w:rsidRPr="00A602C9">
        <w:rPr>
          <w:rFonts w:hint="cs"/>
          <w:rtl/>
        </w:rPr>
        <w:t>אחריות הביטוחית</w:t>
      </w:r>
      <w:r>
        <w:rPr>
          <w:rFonts w:hint="cs"/>
          <w:rtl/>
        </w:rPr>
        <w:t>,</w:t>
      </w:r>
      <w:r w:rsidRPr="00A602C9">
        <w:rPr>
          <w:rFonts w:hint="cs"/>
          <w:rtl/>
        </w:rPr>
        <w:t xml:space="preserve"> וכי </w:t>
      </w:r>
      <w:r>
        <w:rPr>
          <w:rFonts w:hint="cs"/>
          <w:rtl/>
        </w:rPr>
        <w:t>אין אפשרות</w:t>
      </w:r>
      <w:r w:rsidRPr="00A602C9">
        <w:rPr>
          <w:rFonts w:hint="cs"/>
          <w:rtl/>
        </w:rPr>
        <w:t xml:space="preserve"> להגיע לפתרון </w:t>
      </w:r>
      <w:r>
        <w:rPr>
          <w:rFonts w:hint="cs"/>
          <w:rtl/>
        </w:rPr>
        <w:t>מיטבי</w:t>
      </w:r>
      <w:r w:rsidRPr="00A602C9" w:rsidDel="00BA2C21">
        <w:rPr>
          <w:rFonts w:hint="cs"/>
          <w:rtl/>
        </w:rPr>
        <w:t xml:space="preserve"> </w:t>
      </w:r>
      <w:r>
        <w:rPr>
          <w:rFonts w:hint="cs"/>
          <w:rtl/>
        </w:rPr>
        <w:t xml:space="preserve">לסוגיה </w:t>
      </w:r>
      <w:r w:rsidRPr="00A602C9">
        <w:rPr>
          <w:rFonts w:hint="cs"/>
          <w:rtl/>
        </w:rPr>
        <w:t>על ידי התחשבנות בהתאם לחוזרים הקיימים, אלא נדרש ש</w:t>
      </w:r>
      <w:r>
        <w:rPr>
          <w:rFonts w:hint="cs"/>
          <w:rtl/>
        </w:rPr>
        <w:t>ה</w:t>
      </w:r>
      <w:r w:rsidRPr="001A4181">
        <w:rPr>
          <w:rtl/>
        </w:rPr>
        <w:t xml:space="preserve">משרד </w:t>
      </w:r>
      <w:r>
        <w:rPr>
          <w:rFonts w:hint="cs"/>
          <w:rtl/>
        </w:rPr>
        <w:t>וה</w:t>
      </w:r>
      <w:r w:rsidRPr="001A4181">
        <w:rPr>
          <w:rtl/>
        </w:rPr>
        <w:t xml:space="preserve">קופות </w:t>
      </w:r>
      <w:r>
        <w:rPr>
          <w:rFonts w:hint="cs"/>
          <w:rtl/>
        </w:rPr>
        <w:t xml:space="preserve">יגיעו להסכמות </w:t>
      </w:r>
      <w:r w:rsidRPr="001A4181">
        <w:rPr>
          <w:rtl/>
        </w:rPr>
        <w:t>ב</w:t>
      </w:r>
      <w:r>
        <w:rPr>
          <w:rFonts w:hint="cs"/>
          <w:rtl/>
        </w:rPr>
        <w:t>נושא</w:t>
      </w:r>
      <w:r w:rsidRPr="001A4181">
        <w:rPr>
          <w:rtl/>
        </w:rPr>
        <w:t xml:space="preserve">. התהליך דורש את מיפוי החולים הממושכים ומציאת מסגרות </w:t>
      </w:r>
      <w:r w:rsidRPr="00A602C9">
        <w:rPr>
          <w:rFonts w:hint="cs"/>
          <w:rtl/>
        </w:rPr>
        <w:t>שיקום</w:t>
      </w:r>
      <w:r w:rsidRPr="001A4181">
        <w:rPr>
          <w:rtl/>
        </w:rPr>
        <w:t xml:space="preserve"> עבורם תוך עריכת שינויים תקציביים מתאימים. </w:t>
      </w:r>
      <w:r w:rsidRPr="00A602C9">
        <w:rPr>
          <w:rFonts w:hint="cs"/>
          <w:rtl/>
        </w:rPr>
        <w:t>ככלל</w:t>
      </w:r>
      <w:r>
        <w:rPr>
          <w:rFonts w:hint="cs"/>
          <w:rtl/>
        </w:rPr>
        <w:t>,</w:t>
      </w:r>
      <w:r w:rsidRPr="00A602C9">
        <w:rPr>
          <w:rFonts w:hint="cs"/>
          <w:rtl/>
        </w:rPr>
        <w:t xml:space="preserve"> מינוי בורר חיצוני למשרד לצורך הכרעה במחלוקות הקיימות, הנוגעות לחוזרים הרגולטוריים, הוא צעד אחראי ושקול</w:t>
      </w:r>
      <w:r>
        <w:rPr>
          <w:rFonts w:hint="cs"/>
          <w:rtl/>
        </w:rPr>
        <w:t>,</w:t>
      </w:r>
      <w:r w:rsidRPr="00A602C9">
        <w:rPr>
          <w:rFonts w:hint="cs"/>
          <w:rtl/>
        </w:rPr>
        <w:t xml:space="preserve"> </w:t>
      </w:r>
      <w:r>
        <w:rPr>
          <w:rFonts w:hint="cs"/>
          <w:rtl/>
        </w:rPr>
        <w:t>מפני</w:t>
      </w:r>
      <w:r w:rsidRPr="00A602C9">
        <w:rPr>
          <w:rFonts w:hint="cs"/>
          <w:rtl/>
        </w:rPr>
        <w:t xml:space="preserve"> </w:t>
      </w:r>
      <w:r>
        <w:rPr>
          <w:rFonts w:hint="cs"/>
          <w:rtl/>
        </w:rPr>
        <w:t>ש</w:t>
      </w:r>
      <w:r w:rsidRPr="00A602C9">
        <w:rPr>
          <w:rFonts w:hint="cs"/>
          <w:rtl/>
        </w:rPr>
        <w:t xml:space="preserve">המשרד </w:t>
      </w:r>
      <w:r>
        <w:rPr>
          <w:rFonts w:hint="cs"/>
          <w:rtl/>
        </w:rPr>
        <w:t>נתון</w:t>
      </w:r>
      <w:r w:rsidRPr="00A602C9">
        <w:rPr>
          <w:rFonts w:hint="cs"/>
          <w:rtl/>
        </w:rPr>
        <w:t xml:space="preserve"> בניגוד עניינים מובנה בהיותו הן </w:t>
      </w:r>
      <w:r>
        <w:rPr>
          <w:rFonts w:hint="cs"/>
          <w:rtl/>
        </w:rPr>
        <w:t>המאסדר</w:t>
      </w:r>
      <w:r w:rsidRPr="00A602C9">
        <w:rPr>
          <w:rFonts w:hint="cs"/>
          <w:rtl/>
        </w:rPr>
        <w:t xml:space="preserve"> בנושא והן צד </w:t>
      </w:r>
      <w:r w:rsidRPr="00AD7A99">
        <w:rPr>
          <w:rFonts w:hint="cs"/>
          <w:rtl/>
        </w:rPr>
        <w:t>במחלוקת</w:t>
      </w:r>
      <w:r w:rsidRPr="00AD7A99">
        <w:rPr>
          <w:rStyle w:val="FootnoteReference"/>
          <w:rtl/>
        </w:rPr>
        <w:footnoteReference w:id="98"/>
      </w:r>
      <w:r w:rsidRPr="00AD7A99">
        <w:rPr>
          <w:rFonts w:hint="cs"/>
          <w:rtl/>
        </w:rPr>
        <w:t>.</w:t>
      </w:r>
    </w:p>
    <w:p w14:paraId="5853887D" w14:textId="77777777" w:rsidR="00B51F5B" w:rsidRPr="001A4181" w:rsidRDefault="00B51F5B" w:rsidP="00B56722">
      <w:pPr>
        <w:pStyle w:val="100"/>
        <w:rPr>
          <w:rtl/>
        </w:rPr>
      </w:pPr>
      <w:r w:rsidRPr="001A4181">
        <w:rPr>
          <w:rFonts w:hint="eastAsia"/>
          <w:rtl/>
        </w:rPr>
        <w:t>הכללית</w:t>
      </w:r>
      <w:r w:rsidRPr="001A4181">
        <w:rPr>
          <w:rtl/>
        </w:rPr>
        <w:t xml:space="preserve"> </w:t>
      </w:r>
      <w:r w:rsidRPr="001A4181">
        <w:rPr>
          <w:rFonts w:hint="eastAsia"/>
          <w:rtl/>
        </w:rPr>
        <w:t>מסרה</w:t>
      </w:r>
      <w:r w:rsidRPr="001A4181">
        <w:rPr>
          <w:rtl/>
        </w:rPr>
        <w:t xml:space="preserve"> </w:t>
      </w:r>
      <w:r w:rsidRPr="001A4181">
        <w:rPr>
          <w:rFonts w:hint="eastAsia"/>
          <w:rtl/>
        </w:rPr>
        <w:t>בתשובתה</w:t>
      </w:r>
      <w:r w:rsidRPr="001A4181">
        <w:rPr>
          <w:rtl/>
        </w:rPr>
        <w:t xml:space="preserve"> </w:t>
      </w:r>
      <w:r w:rsidRPr="001A4181">
        <w:rPr>
          <w:rFonts w:hint="eastAsia"/>
          <w:rtl/>
        </w:rPr>
        <w:t>כי</w:t>
      </w:r>
      <w:r w:rsidRPr="001A4181">
        <w:rPr>
          <w:rtl/>
        </w:rPr>
        <w:t xml:space="preserve"> </w:t>
      </w:r>
      <w:r w:rsidRPr="001A4181">
        <w:rPr>
          <w:rFonts w:hint="eastAsia"/>
          <w:rtl/>
        </w:rPr>
        <w:t>היא</w:t>
      </w:r>
      <w:r w:rsidRPr="001A4181">
        <w:rPr>
          <w:rtl/>
        </w:rPr>
        <w:t xml:space="preserve"> </w:t>
      </w:r>
      <w:r w:rsidRPr="001A4181">
        <w:rPr>
          <w:rFonts w:hint="eastAsia"/>
          <w:rtl/>
        </w:rPr>
        <w:t>מתנגדת</w:t>
      </w:r>
      <w:r w:rsidRPr="001A4181">
        <w:rPr>
          <w:rtl/>
        </w:rPr>
        <w:t xml:space="preserve"> לכך שמשרד</w:t>
      </w:r>
      <w:r>
        <w:rPr>
          <w:rFonts w:hint="cs"/>
          <w:rtl/>
        </w:rPr>
        <w:t xml:space="preserve"> הבריאות</w:t>
      </w:r>
      <w:r w:rsidRPr="001A4181">
        <w:rPr>
          <w:rtl/>
        </w:rPr>
        <w:t xml:space="preserve"> י</w:t>
      </w:r>
      <w:r>
        <w:rPr>
          <w:rFonts w:hint="cs"/>
          <w:rtl/>
        </w:rPr>
        <w:t>שמש</w:t>
      </w:r>
      <w:r w:rsidRPr="001A4181">
        <w:rPr>
          <w:rtl/>
        </w:rPr>
        <w:t xml:space="preserve"> גורם בורר בהכרעות שהוא עצמו צד להן. נוסף</w:t>
      </w:r>
      <w:r>
        <w:rPr>
          <w:rFonts w:hint="cs"/>
          <w:rtl/>
        </w:rPr>
        <w:t xml:space="preserve"> על כך</w:t>
      </w:r>
      <w:r w:rsidRPr="001A4181">
        <w:rPr>
          <w:rtl/>
        </w:rPr>
        <w:t>, מרבית הערעורים קשור</w:t>
      </w:r>
      <w:r w:rsidRPr="001A4181">
        <w:rPr>
          <w:rFonts w:hint="eastAsia"/>
          <w:rtl/>
        </w:rPr>
        <w:t>ים</w:t>
      </w:r>
      <w:r w:rsidRPr="001A4181">
        <w:rPr>
          <w:rtl/>
        </w:rPr>
        <w:t xml:space="preserve"> לאשפוז חולים ממושכים </w:t>
      </w:r>
      <w:r>
        <w:rPr>
          <w:rFonts w:hint="cs"/>
          <w:rtl/>
        </w:rPr>
        <w:t xml:space="preserve">על רקע </w:t>
      </w:r>
      <w:r w:rsidRPr="001A4181">
        <w:rPr>
          <w:rtl/>
        </w:rPr>
        <w:t>ה</w:t>
      </w:r>
      <w:r>
        <w:rPr>
          <w:rFonts w:hint="cs"/>
          <w:rtl/>
        </w:rPr>
        <w:t>י</w:t>
      </w:r>
      <w:r w:rsidRPr="001A4181">
        <w:rPr>
          <w:rtl/>
        </w:rPr>
        <w:t>עדר</w:t>
      </w:r>
      <w:r>
        <w:rPr>
          <w:rFonts w:hint="cs"/>
          <w:rtl/>
        </w:rPr>
        <w:t xml:space="preserve"> </w:t>
      </w:r>
      <w:r w:rsidRPr="001A4181">
        <w:rPr>
          <w:rtl/>
        </w:rPr>
        <w:t xml:space="preserve">מסגרות מגורים </w:t>
      </w:r>
      <w:r>
        <w:rPr>
          <w:rFonts w:hint="cs"/>
          <w:rtl/>
        </w:rPr>
        <w:t xml:space="preserve">טיפוליות </w:t>
      </w:r>
      <w:r w:rsidRPr="001A4181">
        <w:rPr>
          <w:rtl/>
        </w:rPr>
        <w:t xml:space="preserve">חלופיות </w:t>
      </w:r>
      <w:r>
        <w:rPr>
          <w:rFonts w:hint="cs"/>
          <w:rtl/>
        </w:rPr>
        <w:t xml:space="preserve">מתאימות, עובדה המביאה להשתת עלות הטיפול על קופות החולים במקום </w:t>
      </w:r>
      <w:r w:rsidRPr="001A4181">
        <w:rPr>
          <w:rtl/>
        </w:rPr>
        <w:t xml:space="preserve">על המדינה. </w:t>
      </w:r>
    </w:p>
    <w:p w14:paraId="20D71297" w14:textId="2F12229B" w:rsidR="00B51F5B" w:rsidRPr="00B56722" w:rsidRDefault="00B51F5B" w:rsidP="00B56722">
      <w:pPr>
        <w:pStyle w:val="af5"/>
        <w:rPr>
          <w:rtl/>
        </w:rPr>
      </w:pPr>
      <w:r w:rsidRPr="003C7DF8">
        <w:rPr>
          <w:rFonts w:hint="cs"/>
          <w:rtl/>
        </w:rPr>
        <w:t xml:space="preserve">אומנם טוב שמשרד הבריאות עשה מאמץ ליישב </w:t>
      </w:r>
      <w:r w:rsidRPr="003C7DF8">
        <w:rPr>
          <w:rFonts w:hint="eastAsia"/>
          <w:rtl/>
        </w:rPr>
        <w:t>מחלוקות</w:t>
      </w:r>
      <w:r w:rsidRPr="003C7DF8">
        <w:rPr>
          <w:rtl/>
        </w:rPr>
        <w:t xml:space="preserve"> </w:t>
      </w:r>
      <w:r w:rsidRPr="003C7DF8">
        <w:rPr>
          <w:rFonts w:hint="eastAsia"/>
          <w:rtl/>
        </w:rPr>
        <w:t>בעניין</w:t>
      </w:r>
      <w:r w:rsidRPr="003C7DF8">
        <w:rPr>
          <w:rtl/>
        </w:rPr>
        <w:t xml:space="preserve"> </w:t>
      </w:r>
      <w:r w:rsidRPr="003C7DF8">
        <w:rPr>
          <w:rFonts w:hint="eastAsia"/>
          <w:rtl/>
        </w:rPr>
        <w:t>מקרים</w:t>
      </w:r>
      <w:r w:rsidRPr="003C7DF8">
        <w:rPr>
          <w:rtl/>
        </w:rPr>
        <w:t xml:space="preserve"> </w:t>
      </w:r>
      <w:r w:rsidRPr="003C7DF8">
        <w:rPr>
          <w:rFonts w:hint="eastAsia"/>
          <w:rtl/>
        </w:rPr>
        <w:t>פרטניים</w:t>
      </w:r>
      <w:r w:rsidRPr="003C7DF8">
        <w:rPr>
          <w:rFonts w:hint="cs"/>
          <w:rtl/>
        </w:rPr>
        <w:t xml:space="preserve"> באמצעות בוררות, אך בשים לב לכך שהסוגיה של חולים ממושכים חורגת מהתחשבנות כספית גרידא ונוגעת לשאלת טובת המטופלים ולכלל קופות החולים, עליו לשקול אם אין מדובר בסוגיה עקרונית הדורשת את מעורבותו בא</w:t>
      </w:r>
      <w:r w:rsidRPr="003C7DF8">
        <w:rPr>
          <w:rFonts w:hint="eastAsia"/>
          <w:rtl/>
        </w:rPr>
        <w:t>סדרתה</w:t>
      </w:r>
      <w:r w:rsidRPr="003C7DF8">
        <w:rPr>
          <w:rFonts w:hint="cs"/>
          <w:rtl/>
        </w:rPr>
        <w:t xml:space="preserve"> בהתאם לקביעת בג"ץ. נוכח התמשכות הליכי הבוררות רצוי שיכריע בכך בהקדם.</w:t>
      </w:r>
    </w:p>
    <w:p w14:paraId="39903ADF" w14:textId="23750F07" w:rsidR="00B51F5B" w:rsidRPr="000A74C3" w:rsidRDefault="00B51F5B" w:rsidP="00B56722">
      <w:pPr>
        <w:pStyle w:val="316"/>
        <w:rPr>
          <w:rtl/>
        </w:rPr>
      </w:pPr>
      <w:r w:rsidRPr="00B56722">
        <w:rPr>
          <w:rStyle w:val="316Char"/>
          <w:rFonts w:hint="cs"/>
          <w:u w:val="none"/>
          <w:rtl/>
        </w:rPr>
        <w:t>כוח אדם למתן</w:t>
      </w:r>
      <w:r w:rsidRPr="00B56722">
        <w:rPr>
          <w:rFonts w:hint="cs"/>
          <w:rtl/>
        </w:rPr>
        <w:t xml:space="preserve"> השירותים בתחום בריאות הנפש</w:t>
      </w:r>
    </w:p>
    <w:p w14:paraId="6D2F59D8" w14:textId="77777777" w:rsidR="00B51F5B" w:rsidRDefault="00B51F5B" w:rsidP="00B56722">
      <w:pPr>
        <w:pStyle w:val="414"/>
        <w:rPr>
          <w:rtl/>
        </w:rPr>
      </w:pPr>
      <w:r>
        <w:rPr>
          <w:rFonts w:hint="cs"/>
          <w:rtl/>
        </w:rPr>
        <w:t>הכשרת כוח אדם נוסף על ידי הכללית בהתאם להסכם הרפורמה</w:t>
      </w:r>
    </w:p>
    <w:p w14:paraId="4CC53BD0" w14:textId="77777777" w:rsidR="00B51F5B" w:rsidRDefault="00B51F5B" w:rsidP="00B56722">
      <w:pPr>
        <w:pStyle w:val="100"/>
        <w:rPr>
          <w:rtl/>
        </w:rPr>
      </w:pPr>
      <w:r>
        <w:rPr>
          <w:rFonts w:hint="cs"/>
          <w:rtl/>
        </w:rPr>
        <w:t xml:space="preserve">כאמור, עד כניסת הרפורמה לתוקף ניתנו שירותי בריאות הנפש על ידי בתי החולים הפסיכיאטריים והמרפאות הממשלתיות המסונפות אליהם, המחלקות הפסיכיאטריות בבתי החולים הכלליים ובתי החולים והמרפאות לבריאות הנפש של הכללית. גורמים אלו הם גם שהכשירו את כוח האדם בתחום. בשאר קופות החולים לא פעלו מרפאות לבריאות הנפש, ועל כן לא היה ביכולתן להכשיר בעצמן כוח אדם. משרד הבריאות מימן את ההכשרות שנעשו ביחידות הממשלתיות, ואת ההכשרה שביצעה הכללית הוא מימן בהיקף של כ-80 פסיכולוגים ועוד 8 פסיכיאטרים לילדים. </w:t>
      </w:r>
    </w:p>
    <w:p w14:paraId="6DDA6737" w14:textId="77777777" w:rsidR="00B51F5B" w:rsidRDefault="00B51F5B" w:rsidP="00B56722">
      <w:pPr>
        <w:pStyle w:val="100"/>
        <w:rPr>
          <w:rtl/>
        </w:rPr>
      </w:pPr>
      <w:r>
        <w:rPr>
          <w:rFonts w:hint="cs"/>
          <w:rtl/>
        </w:rPr>
        <w:t>הרפורמה הדגישה את הצורך בהגדלת מספר הטיפולים בקהילה, ולכן ברור היה שיש להכשיר כוח אדם נוסף לעבודה בקופות החולים. הסכם הרפורמה קבע כי בתקופת ההיערכות, הכללית תביא לאישור משרד הבריאות הצעה לתוכנית להכשרת כוח אדם, ומימון ההכשרה יסוכם בין הצדדים בהמשך.</w:t>
      </w:r>
    </w:p>
    <w:p w14:paraId="6BC55873" w14:textId="77777777" w:rsidR="00B51F5B" w:rsidRDefault="00B51F5B" w:rsidP="00B56722">
      <w:pPr>
        <w:pStyle w:val="100"/>
        <w:rPr>
          <w:rtl/>
        </w:rPr>
      </w:pPr>
      <w:r>
        <w:rPr>
          <w:rFonts w:hint="cs"/>
          <w:rtl/>
        </w:rPr>
        <w:t>באוגוסט 2012 הציגה הכללית למשרד הבריאות תוכנית, ולפיה, בהינתן תקציב ייעודי לכך מהמשרד, תוכל להכשיר עוד 26 מתמחים בפסיכיאטריה ובפסיכיאטריה של הילד וכן עוד 27 מתמחים בפסיכולוגיה קלינית</w:t>
      </w:r>
      <w:r>
        <w:rPr>
          <w:rStyle w:val="FootnoteReference"/>
          <w:rtl/>
        </w:rPr>
        <w:footnoteReference w:id="99"/>
      </w:r>
      <w:r>
        <w:rPr>
          <w:rFonts w:hint="cs"/>
          <w:rtl/>
        </w:rPr>
        <w:t xml:space="preserve"> למבוגרים ובפסיכולוגיה קלינית לילדים ונוער. המשרד לא תקצב את התוכנית, ועל כן לא הפעילה הכללית את תוכנית ההכשרה הנוספת. </w:t>
      </w:r>
    </w:p>
    <w:p w14:paraId="66929BB1" w14:textId="77777777" w:rsidR="00B51F5B" w:rsidRDefault="00B51F5B" w:rsidP="00B56722">
      <w:pPr>
        <w:pStyle w:val="100"/>
        <w:rPr>
          <w:color w:val="FF0000"/>
          <w:rtl/>
        </w:rPr>
      </w:pPr>
      <w:r>
        <w:rPr>
          <w:rFonts w:hint="cs"/>
          <w:rtl/>
        </w:rPr>
        <w:t>באפריל 2014 העבירה הכללית למשרד הבריאות בקשה לתוספת תקציב, מעבר לתקציב הרפורמה, עבור הכשרת כוח אדם למילוי 17 משרות ("תקנים") של פסיכיאטרים, 12 תקנים של פסיכולוגים קליניים וכן עבור הקמת מערך הכשרות בתחום לצוותי רפואה ראשונית, לרבות רופאים, צוות סיעודי ומטפלים במרפאות בריאות הנפש בנושאי הפרעות אכילה ושיטות לטיפולים קצרי מועד. עלותה הכוללת של התוכנית הנוספת עמדה על כ-32 מיליון ש"ח. במהלך השנים 2017-2014 פנתה הכללית למשרד פעמים מספר בנושא והתקיימו דיונים בין הצדדים, אולם בפועל המשרד לא הקצה לכך תקציב, ולכן תוכנית ההכשרה הנוספת לא הופעלה.</w:t>
      </w:r>
      <w:r w:rsidRPr="00C50973">
        <w:rPr>
          <w:rtl/>
        </w:rPr>
        <w:t xml:space="preserve"> </w:t>
      </w:r>
    </w:p>
    <w:p w14:paraId="3E414630" w14:textId="77777777" w:rsidR="00B51F5B" w:rsidRDefault="00B51F5B" w:rsidP="00B56722">
      <w:pPr>
        <w:pStyle w:val="100"/>
        <w:rPr>
          <w:rtl/>
        </w:rPr>
      </w:pPr>
      <w:r>
        <w:rPr>
          <w:rFonts w:hint="cs"/>
          <w:rtl/>
        </w:rPr>
        <w:t xml:space="preserve">משרד הבריאות מסר בתשובתו כי </w:t>
      </w:r>
      <w:r w:rsidRPr="00854438">
        <w:rPr>
          <w:rtl/>
        </w:rPr>
        <w:t>התוכנית להכשרת מתמחים לא כלולה בהסכמי הרפורמה ולא תוקצבה</w:t>
      </w:r>
      <w:r>
        <w:rPr>
          <w:rFonts w:hint="cs"/>
          <w:rtl/>
        </w:rPr>
        <w:t xml:space="preserve"> בהם</w:t>
      </w:r>
      <w:r w:rsidRPr="00854438">
        <w:rPr>
          <w:rtl/>
        </w:rPr>
        <w:t xml:space="preserve">. </w:t>
      </w:r>
      <w:r>
        <w:rPr>
          <w:rFonts w:hint="cs"/>
          <w:rtl/>
        </w:rPr>
        <w:t xml:space="preserve">אף שבמסגרת ההסכם הוגדר כי </w:t>
      </w:r>
      <w:r w:rsidRPr="009403CB">
        <w:rPr>
          <w:rtl/>
        </w:rPr>
        <w:t xml:space="preserve">המשרד יעביר לקופות החולים תקציב להכשרות מקצועיות </w:t>
      </w:r>
      <w:r>
        <w:rPr>
          <w:rFonts w:hint="cs"/>
          <w:rtl/>
        </w:rPr>
        <w:t xml:space="preserve">לצוותי בריאות הנפש, </w:t>
      </w:r>
      <w:r w:rsidRPr="009403CB">
        <w:rPr>
          <w:rtl/>
        </w:rPr>
        <w:t>בהתאם לתוכניות שיגישו הקופות וש</w:t>
      </w:r>
      <w:r>
        <w:rPr>
          <w:rFonts w:hint="cs"/>
          <w:rtl/>
        </w:rPr>
        <w:t>י</w:t>
      </w:r>
      <w:r w:rsidRPr="009403CB">
        <w:rPr>
          <w:rtl/>
        </w:rPr>
        <w:t>אושר</w:t>
      </w:r>
      <w:r>
        <w:rPr>
          <w:rFonts w:hint="cs"/>
          <w:rtl/>
        </w:rPr>
        <w:t>ו על ידו,</w:t>
      </w:r>
      <w:r w:rsidRPr="009403CB">
        <w:rPr>
          <w:rtl/>
        </w:rPr>
        <w:t xml:space="preserve"> מהלך זה לא הבשיל</w:t>
      </w:r>
      <w:r>
        <w:rPr>
          <w:rFonts w:hint="cs"/>
          <w:rtl/>
        </w:rPr>
        <w:t>.</w:t>
      </w:r>
      <w:r w:rsidRPr="009403CB">
        <w:rPr>
          <w:rtl/>
        </w:rPr>
        <w:t xml:space="preserve"> </w:t>
      </w:r>
      <w:r>
        <w:rPr>
          <w:rFonts w:hint="cs"/>
          <w:rtl/>
        </w:rPr>
        <w:t>עם זאת,</w:t>
      </w:r>
      <w:r w:rsidRPr="009403CB">
        <w:rPr>
          <w:rtl/>
        </w:rPr>
        <w:t xml:space="preserve"> </w:t>
      </w:r>
      <w:r>
        <w:rPr>
          <w:rFonts w:hint="cs"/>
          <w:rtl/>
        </w:rPr>
        <w:t>ה</w:t>
      </w:r>
      <w:r w:rsidRPr="009403CB">
        <w:rPr>
          <w:rtl/>
        </w:rPr>
        <w:t>משרד הפעיל הכשרות מקצועיות בתחומים שונים כגון: טיפול בהתמכרויות; טיפול מונע בעברייני מין; רגישות תרבותית; הנמכה קוגניטיבית</w:t>
      </w:r>
      <w:r>
        <w:rPr>
          <w:rFonts w:hint="cs"/>
          <w:rtl/>
        </w:rPr>
        <w:t>;</w:t>
      </w:r>
      <w:r w:rsidRPr="009403CB">
        <w:rPr>
          <w:rtl/>
        </w:rPr>
        <w:t xml:space="preserve"> </w:t>
      </w:r>
      <w:r>
        <w:rPr>
          <w:rFonts w:hint="cs"/>
          <w:rtl/>
        </w:rPr>
        <w:t>ו</w:t>
      </w:r>
      <w:r w:rsidRPr="009403CB">
        <w:rPr>
          <w:rtl/>
        </w:rPr>
        <w:t>תחלואה כפולה</w:t>
      </w:r>
      <w:r>
        <w:rPr>
          <w:rFonts w:hint="cs"/>
          <w:rtl/>
        </w:rPr>
        <w:t xml:space="preserve">. </w:t>
      </w:r>
      <w:r w:rsidRPr="009403CB">
        <w:rPr>
          <w:rtl/>
        </w:rPr>
        <w:t xml:space="preserve">בהכשרות השתתפו אנשי מקצוע רבים, בין היתר אנשי </w:t>
      </w:r>
      <w:r>
        <w:rPr>
          <w:rFonts w:hint="cs"/>
          <w:rtl/>
        </w:rPr>
        <w:t>ה</w:t>
      </w:r>
      <w:r w:rsidRPr="009403CB">
        <w:rPr>
          <w:rtl/>
        </w:rPr>
        <w:t xml:space="preserve">קופות, בהתאם לרקע המקצועי שלהם. </w:t>
      </w:r>
    </w:p>
    <w:p w14:paraId="33C1EF11" w14:textId="77777777" w:rsidR="00B51F5B" w:rsidRDefault="00B51F5B" w:rsidP="00B56722">
      <w:pPr>
        <w:pStyle w:val="100"/>
        <w:rPr>
          <w:rtl/>
        </w:rPr>
      </w:pPr>
      <w:r w:rsidRPr="00854438">
        <w:rPr>
          <w:rFonts w:hint="cs"/>
          <w:rtl/>
        </w:rPr>
        <w:t>הכללית</w:t>
      </w:r>
      <w:r w:rsidRPr="001D5A05">
        <w:rPr>
          <w:rFonts w:hint="cs"/>
          <w:rtl/>
        </w:rPr>
        <w:t xml:space="preserve"> מסרה ב</w:t>
      </w:r>
      <w:r>
        <w:rPr>
          <w:rFonts w:hint="cs"/>
          <w:rtl/>
        </w:rPr>
        <w:t xml:space="preserve">תשובתה </w:t>
      </w:r>
      <w:r w:rsidRPr="001D5A05">
        <w:rPr>
          <w:rFonts w:hint="cs"/>
          <w:rtl/>
        </w:rPr>
        <w:t xml:space="preserve">כי </w:t>
      </w:r>
      <w:r w:rsidRPr="001D5A05">
        <w:rPr>
          <w:rtl/>
        </w:rPr>
        <w:t>אף על פי ש</w:t>
      </w:r>
      <w:r>
        <w:rPr>
          <w:rFonts w:hint="cs"/>
          <w:rtl/>
        </w:rPr>
        <w:t xml:space="preserve">משרד הבריאות </w:t>
      </w:r>
      <w:r w:rsidRPr="001D5A05">
        <w:rPr>
          <w:rtl/>
        </w:rPr>
        <w:t>לא העב</w:t>
      </w:r>
      <w:r>
        <w:rPr>
          <w:rFonts w:hint="cs"/>
          <w:rtl/>
        </w:rPr>
        <w:t>י</w:t>
      </w:r>
      <w:r w:rsidRPr="001D5A05">
        <w:rPr>
          <w:rtl/>
        </w:rPr>
        <w:t xml:space="preserve">ר תקציב להכשרות, מאז </w:t>
      </w:r>
      <w:r w:rsidRPr="001D5A05">
        <w:rPr>
          <w:rFonts w:hint="cs"/>
          <w:rtl/>
        </w:rPr>
        <w:t xml:space="preserve">תקופת </w:t>
      </w:r>
      <w:r w:rsidRPr="001D5A05">
        <w:rPr>
          <w:rtl/>
        </w:rPr>
        <w:t xml:space="preserve">ההיערכות לרפורמה ועד </w:t>
      </w:r>
      <w:r w:rsidRPr="001D5A05">
        <w:rPr>
          <w:rFonts w:hint="cs"/>
          <w:rtl/>
        </w:rPr>
        <w:t>למועד זה</w:t>
      </w:r>
      <w:r w:rsidRPr="001D5A05">
        <w:rPr>
          <w:rtl/>
        </w:rPr>
        <w:t xml:space="preserve">, </w:t>
      </w:r>
      <w:r w:rsidRPr="001D5A05">
        <w:rPr>
          <w:rFonts w:hint="cs"/>
          <w:rtl/>
        </w:rPr>
        <w:t>היא</w:t>
      </w:r>
      <w:r w:rsidRPr="001D5A05">
        <w:rPr>
          <w:rtl/>
        </w:rPr>
        <w:t xml:space="preserve"> מממנת הכשרות נרחבות בתחום.</w:t>
      </w:r>
    </w:p>
    <w:p w14:paraId="56FD689A" w14:textId="77777777" w:rsidR="00B51F5B" w:rsidRPr="0062664B" w:rsidRDefault="00B51F5B" w:rsidP="00B56722">
      <w:pPr>
        <w:pStyle w:val="af5"/>
        <w:rPr>
          <w:rtl/>
        </w:rPr>
      </w:pPr>
      <w:r w:rsidRPr="001E3FA2">
        <w:rPr>
          <w:rFonts w:hint="eastAsia"/>
          <w:rtl/>
        </w:rPr>
        <w:t>על</w:t>
      </w:r>
      <w:r w:rsidRPr="001E3FA2">
        <w:rPr>
          <w:rtl/>
        </w:rPr>
        <w:t xml:space="preserve"> משרד הבריאות להמשיך ולקדם את נושא הכשרת כ</w:t>
      </w:r>
      <w:r w:rsidRPr="001E3FA2">
        <w:rPr>
          <w:rFonts w:hint="eastAsia"/>
          <w:rtl/>
        </w:rPr>
        <w:t>וח</w:t>
      </w:r>
      <w:r w:rsidRPr="001E3FA2">
        <w:rPr>
          <w:rtl/>
        </w:rPr>
        <w:t xml:space="preserve"> </w:t>
      </w:r>
      <w:r w:rsidRPr="001E3FA2">
        <w:rPr>
          <w:rFonts w:hint="eastAsia"/>
          <w:rtl/>
        </w:rPr>
        <w:t>האדם</w:t>
      </w:r>
      <w:r w:rsidRPr="001E3FA2">
        <w:rPr>
          <w:rtl/>
        </w:rPr>
        <w:t xml:space="preserve"> על כלל היבטיו </w:t>
      </w:r>
      <w:r w:rsidRPr="001E3FA2">
        <w:rPr>
          <w:rFonts w:hint="cs"/>
          <w:rtl/>
        </w:rPr>
        <w:t xml:space="preserve">ולהמשיך ולהפעיל הכשרות מקצועיות בתחומים השונים </w:t>
      </w:r>
      <w:r w:rsidRPr="001E3FA2">
        <w:rPr>
          <w:rFonts w:hint="eastAsia"/>
          <w:rtl/>
        </w:rPr>
        <w:t>כפי</w:t>
      </w:r>
      <w:r w:rsidRPr="001E3FA2">
        <w:rPr>
          <w:rtl/>
        </w:rPr>
        <w:t xml:space="preserve"> </w:t>
      </w:r>
      <w:r w:rsidRPr="001E3FA2">
        <w:rPr>
          <w:rFonts w:hint="eastAsia"/>
          <w:rtl/>
        </w:rPr>
        <w:t>שציין</w:t>
      </w:r>
      <w:r w:rsidRPr="001E3FA2">
        <w:rPr>
          <w:rtl/>
        </w:rPr>
        <w:t xml:space="preserve"> </w:t>
      </w:r>
      <w:r w:rsidRPr="001E3FA2">
        <w:rPr>
          <w:rFonts w:hint="eastAsia"/>
          <w:rtl/>
        </w:rPr>
        <w:t>בתשובתו</w:t>
      </w:r>
      <w:r w:rsidRPr="001E3FA2">
        <w:rPr>
          <w:rtl/>
        </w:rPr>
        <w:t xml:space="preserve">. </w:t>
      </w:r>
      <w:r w:rsidRPr="001E3FA2">
        <w:rPr>
          <w:rFonts w:hint="cs"/>
          <w:rtl/>
        </w:rPr>
        <w:t>כמו כן, עליו לפעול</w:t>
      </w:r>
      <w:r w:rsidRPr="001E3FA2">
        <w:rPr>
          <w:rtl/>
        </w:rPr>
        <w:t xml:space="preserve"> בהתאם להסכם בכל הנוגע לתקצוב תכניות ההכשרה </w:t>
      </w:r>
      <w:r>
        <w:rPr>
          <w:rFonts w:hint="cs"/>
          <w:rtl/>
        </w:rPr>
        <w:t>ש</w:t>
      </w:r>
      <w:r w:rsidRPr="001E3FA2">
        <w:rPr>
          <w:rtl/>
        </w:rPr>
        <w:t>מג</w:t>
      </w:r>
      <w:r w:rsidRPr="001E3FA2">
        <w:rPr>
          <w:rFonts w:hint="cs"/>
          <w:rtl/>
        </w:rPr>
        <w:t>י</w:t>
      </w:r>
      <w:r w:rsidRPr="001E3FA2">
        <w:rPr>
          <w:rtl/>
        </w:rPr>
        <w:t>שות לו קופות</w:t>
      </w:r>
      <w:r w:rsidRPr="001E3FA2">
        <w:rPr>
          <w:rFonts w:hint="cs"/>
          <w:rtl/>
        </w:rPr>
        <w:t xml:space="preserve"> החולים</w:t>
      </w:r>
      <w:r w:rsidRPr="001E3FA2">
        <w:rPr>
          <w:rtl/>
        </w:rPr>
        <w:t xml:space="preserve"> עם אישורן על-ידו</w:t>
      </w:r>
      <w:r w:rsidRPr="001E3FA2">
        <w:rPr>
          <w:rFonts w:hint="cs"/>
          <w:rtl/>
        </w:rPr>
        <w:t>.</w:t>
      </w:r>
      <w:r>
        <w:rPr>
          <w:rFonts w:hint="cs"/>
          <w:rtl/>
        </w:rPr>
        <w:t xml:space="preserve"> </w:t>
      </w:r>
    </w:p>
    <w:p w14:paraId="4AA86936" w14:textId="77777777" w:rsidR="00B51F5B" w:rsidRDefault="00B51F5B" w:rsidP="00B56722">
      <w:pPr>
        <w:pStyle w:val="414"/>
        <w:rPr>
          <w:rtl/>
        </w:rPr>
      </w:pPr>
      <w:r>
        <w:rPr>
          <w:rFonts w:hint="cs"/>
          <w:rtl/>
        </w:rPr>
        <w:t>הכשרה לא מספקת של רופאים ראשוניים למתן מענה בתחום בריאות הנפש</w:t>
      </w:r>
    </w:p>
    <w:p w14:paraId="5A58DFFE" w14:textId="77777777" w:rsidR="00B51F5B" w:rsidRDefault="00B51F5B" w:rsidP="00B56722">
      <w:pPr>
        <w:pStyle w:val="100"/>
        <w:rPr>
          <w:rtl/>
        </w:rPr>
      </w:pPr>
      <w:r>
        <w:rPr>
          <w:rFonts w:hint="cs"/>
          <w:rtl/>
        </w:rPr>
        <w:t>הקשר הראשון והשוטף של המטופלים מתקיים אל מול הרופאים הראשוניים בקופות החולים - רופאי משפחה ורופאי ילדים</w:t>
      </w:r>
      <w:r>
        <w:rPr>
          <w:rStyle w:val="FootnoteReference"/>
          <w:rtl/>
        </w:rPr>
        <w:footnoteReference w:id="100"/>
      </w:r>
      <w:r>
        <w:rPr>
          <w:rFonts w:hint="cs"/>
          <w:rtl/>
        </w:rPr>
        <w:t xml:space="preserve"> - הפונים אליהם לצורך מתן מענה רפואי בכלל התחומים, ותפקידם לאתר בעיות, בין היתר, גם בתחום בריאות הנפש. מפגש זה הוא פעמים רבות ההזדמנות היחידה עבור חלק מהמטופלים הסובלים מבעיות נפשיות, לאפשר את איתור הבעיה ולהתחיל טיפול. עוד לפני הרפורמה מילאו הרופאים הראשוניים תפקיד חשוב באיתור בעיות בתחום ובטיפול בהן.</w:t>
      </w:r>
      <w:r w:rsidRPr="00172440">
        <w:rPr>
          <w:rFonts w:hint="cs"/>
          <w:rtl/>
        </w:rPr>
        <w:t xml:space="preserve"> </w:t>
      </w:r>
      <w:r>
        <w:rPr>
          <w:rFonts w:hint="cs"/>
          <w:rtl/>
        </w:rPr>
        <w:t xml:space="preserve">מטרת הרפורמה בבריאות הנפש היא לחזק ולהגדיל את הטיפול בקהילה. חלק חשוב מתהליך זה הוא הגדלת מעורבותם של הרופאים הראשוניים באבחון, בטיפול, במעקב אחר המטופלים ובהפנייתם למערך בריאות הנפש במידת הצורך. </w:t>
      </w:r>
    </w:p>
    <w:p w14:paraId="7823A9CD" w14:textId="77777777" w:rsidR="00B51F5B" w:rsidRDefault="00B51F5B" w:rsidP="00B56722">
      <w:pPr>
        <w:pStyle w:val="100"/>
        <w:rPr>
          <w:rtl/>
        </w:rPr>
      </w:pPr>
      <w:r>
        <w:rPr>
          <w:rFonts w:hint="cs"/>
          <w:rtl/>
        </w:rPr>
        <w:t>במחקר שפורסם בנובמבר 2018 בנושא מעורבות רופאים ראשוניים בתחום בריאות הנפש לאחר תחילת הרפורמה</w:t>
      </w:r>
      <w:r>
        <w:rPr>
          <w:rStyle w:val="FootnoteReference"/>
          <w:rtl/>
        </w:rPr>
        <w:footnoteReference w:id="101"/>
      </w:r>
      <w:r>
        <w:rPr>
          <w:rFonts w:hint="cs"/>
          <w:rtl/>
        </w:rPr>
        <w:t xml:space="preserve"> נמצא כי רופאי משפחה מעורבים באבחון במטופלים הסובלים </w:t>
      </w:r>
      <w:r w:rsidRPr="00FD07E9">
        <w:rPr>
          <w:rtl/>
        </w:rPr>
        <w:t>מהפרעות נפש קלות יותר</w:t>
      </w:r>
      <w:r>
        <w:rPr>
          <w:rFonts w:hint="cs"/>
          <w:rtl/>
        </w:rPr>
        <w:t xml:space="preserve">, במתן טיפול תרופתי, ובהפניה לגורמים מקצועיים בעת הצורך. במסגרת האבחון נדרשים הרופאים להתמודד עם תלונות בנושאים גופניים ולברר אם בבסיסן עומד קושי נפשי (סומטיזציה). במקרים של מחלות נפש קשות הרופאים מעבירים את האחריות לאבחון ולטיפול למערך בריאות הנפש. מעבר לכך, הם אחראים למתן תרופות שניתנו על ידי פסיכיאטר, למעקב אחר נטילתן, לבדיקות שוטפות הנוגעות לתופעות לוואי אפשריות ולמעקב אחר </w:t>
      </w:r>
      <w:r w:rsidRPr="00B56722">
        <w:rPr>
          <w:rFonts w:hint="cs"/>
          <w:rtl/>
        </w:rPr>
        <w:t>מצבם</w:t>
      </w:r>
      <w:r>
        <w:rPr>
          <w:rFonts w:hint="cs"/>
          <w:rtl/>
        </w:rPr>
        <w:t xml:space="preserve"> הגופני של המטופלים. עוד נמצא במחקר כי רופאי ילדים מעורבים בזיהוי בעיות ומדריכים את ההורים כיצד לפעול; הם אינם נותנים טיפולים תרופתיים, ובמקרים מורכבים מפנים למערך בריאות הנפש.</w:t>
      </w:r>
    </w:p>
    <w:p w14:paraId="330C8AFA" w14:textId="77777777" w:rsidR="00B51F5B" w:rsidRDefault="00B51F5B" w:rsidP="00B56722">
      <w:pPr>
        <w:pStyle w:val="100"/>
        <w:rPr>
          <w:rtl/>
        </w:rPr>
      </w:pPr>
      <w:r>
        <w:rPr>
          <w:rFonts w:hint="cs"/>
          <w:rtl/>
        </w:rPr>
        <w:t>במסגרת לימודי הרפואה נחשפים הסטודנטים באופן מוגבל לתחום בריאות הנפש:</w:t>
      </w:r>
    </w:p>
    <w:p w14:paraId="033C664D" w14:textId="77777777" w:rsidR="00B51F5B" w:rsidRDefault="00B51F5B" w:rsidP="00B56722">
      <w:pPr>
        <w:pStyle w:val="100"/>
        <w:rPr>
          <w:rtl/>
        </w:rPr>
      </w:pPr>
      <w:r w:rsidRPr="00B56722">
        <w:rPr>
          <w:rStyle w:val="Heading7Char"/>
          <w:rFonts w:hint="eastAsia"/>
          <w:color w:val="004E6C"/>
          <w:spacing w:val="0"/>
          <w:rtl/>
        </w:rPr>
        <w:t>לימודי</w:t>
      </w:r>
      <w:r w:rsidRPr="00B56722">
        <w:rPr>
          <w:rStyle w:val="Heading7Char"/>
          <w:color w:val="004E6C"/>
          <w:spacing w:val="0"/>
          <w:rtl/>
        </w:rPr>
        <w:t xml:space="preserve"> </w:t>
      </w:r>
      <w:r w:rsidRPr="00B56722">
        <w:rPr>
          <w:rStyle w:val="Heading7Char"/>
          <w:rFonts w:hint="eastAsia"/>
          <w:color w:val="004E6C"/>
          <w:spacing w:val="0"/>
          <w:rtl/>
        </w:rPr>
        <w:t>הרפואה</w:t>
      </w:r>
      <w:r w:rsidRPr="00B56722">
        <w:rPr>
          <w:rStyle w:val="Heading7Char"/>
          <w:color w:val="004E6C"/>
          <w:spacing w:val="0"/>
          <w:rtl/>
        </w:rPr>
        <w:t xml:space="preserve"> </w:t>
      </w:r>
      <w:r w:rsidRPr="00B56722">
        <w:rPr>
          <w:rStyle w:val="Heading7Char"/>
          <w:rFonts w:hint="eastAsia"/>
          <w:color w:val="004E6C"/>
          <w:spacing w:val="0"/>
          <w:rtl/>
        </w:rPr>
        <w:t>הבסיסיים</w:t>
      </w:r>
      <w:r w:rsidRPr="00B56722">
        <w:rPr>
          <w:rStyle w:val="Heading7Char"/>
          <w:color w:val="004E6C"/>
          <w:spacing w:val="0"/>
          <w:rtl/>
        </w:rPr>
        <w:t>:</w:t>
      </w:r>
      <w:r w:rsidRPr="00B56722">
        <w:rPr>
          <w:rFonts w:hint="cs"/>
          <w:color w:val="004E6C"/>
          <w:rtl/>
        </w:rPr>
        <w:t xml:space="preserve"> </w:t>
      </w:r>
      <w:r>
        <w:rPr>
          <w:rFonts w:hint="cs"/>
          <w:rtl/>
        </w:rPr>
        <w:t>במסגרתם מתקיימים קורסי חובה בתחום הפסיכיאטריה והפסיכיאטריה של הילד וכן סבב קליני במחלקות פסיכיאטריות בהיקף של כארבעה שבועות.</w:t>
      </w:r>
    </w:p>
    <w:p w14:paraId="46A6189C" w14:textId="77777777" w:rsidR="00B51F5B" w:rsidRDefault="00B51F5B" w:rsidP="00B56722">
      <w:pPr>
        <w:pStyle w:val="100"/>
        <w:rPr>
          <w:rtl/>
        </w:rPr>
      </w:pPr>
      <w:r w:rsidRPr="00B56722">
        <w:rPr>
          <w:rStyle w:val="Heading7Char"/>
          <w:rFonts w:hint="eastAsia"/>
          <w:color w:val="004E6C"/>
          <w:spacing w:val="0"/>
          <w:rtl/>
        </w:rPr>
        <w:t>התמחות</w:t>
      </w:r>
      <w:r w:rsidRPr="00B56722">
        <w:rPr>
          <w:rStyle w:val="Heading7Char"/>
          <w:color w:val="004E6C"/>
          <w:spacing w:val="0"/>
          <w:rtl/>
        </w:rPr>
        <w:t xml:space="preserve"> </w:t>
      </w:r>
      <w:r w:rsidRPr="00B56722">
        <w:rPr>
          <w:rStyle w:val="Heading7Char"/>
          <w:rFonts w:hint="eastAsia"/>
          <w:color w:val="004E6C"/>
          <w:spacing w:val="0"/>
          <w:rtl/>
        </w:rPr>
        <w:t>ברפואת</w:t>
      </w:r>
      <w:r w:rsidRPr="00B56722">
        <w:rPr>
          <w:rStyle w:val="Heading7Char"/>
          <w:color w:val="004E6C"/>
          <w:spacing w:val="0"/>
          <w:rtl/>
        </w:rPr>
        <w:t xml:space="preserve"> </w:t>
      </w:r>
      <w:r w:rsidRPr="00B56722">
        <w:rPr>
          <w:rStyle w:val="Heading7Char"/>
          <w:rFonts w:hint="eastAsia"/>
          <w:color w:val="004E6C"/>
          <w:spacing w:val="0"/>
          <w:rtl/>
        </w:rPr>
        <w:t>משפחה</w:t>
      </w:r>
      <w:r w:rsidRPr="00B56722">
        <w:rPr>
          <w:rStyle w:val="Heading7Char"/>
          <w:color w:val="004E6C"/>
          <w:spacing w:val="0"/>
          <w:rtl/>
        </w:rPr>
        <w:t>:</w:t>
      </w:r>
      <w:r w:rsidRPr="00B56722">
        <w:rPr>
          <w:rFonts w:hint="cs"/>
          <w:color w:val="004E6C"/>
          <w:rtl/>
        </w:rPr>
        <w:t xml:space="preserve"> </w:t>
      </w:r>
      <w:r>
        <w:rPr>
          <w:rFonts w:hint="cs"/>
          <w:rtl/>
        </w:rPr>
        <w:t>עד שנת 2012 הייתה חובת לימודים מעשיים (סבב) בפסיכיאטריה במשך שלושה חודשים. לאחר מכן בוטלה חובת ההתמחות, וכיום הלימודים המעשיים בפסיכיאטריה ופסיכיאטריה של הילד במסגרת ההתמחות ברפואת המשפחה נותרו רשות בלבד. במסגרת ההתמחות שוהים הסטודנטים במחלקות בבתי החולים ובמרפאות לרפואת משפחה, וכך הם נחשפים למטופלים הסובלים מבעיות נפשיות מעבר לבעיות הפיזיות ולהתמודדות איתם, לרבות הפנייתם למערך בריאות הנפש.</w:t>
      </w:r>
    </w:p>
    <w:p w14:paraId="56379215" w14:textId="77777777" w:rsidR="00B51F5B" w:rsidRDefault="00B51F5B" w:rsidP="00B56722">
      <w:pPr>
        <w:pStyle w:val="100"/>
        <w:rPr>
          <w:rtl/>
        </w:rPr>
      </w:pPr>
      <w:r w:rsidRPr="00B56722">
        <w:rPr>
          <w:rStyle w:val="Heading7Char"/>
          <w:rFonts w:hint="eastAsia"/>
          <w:color w:val="004E6C"/>
          <w:spacing w:val="0"/>
          <w:rtl/>
        </w:rPr>
        <w:t>התמחות</w:t>
      </w:r>
      <w:r w:rsidRPr="00B56722">
        <w:rPr>
          <w:rStyle w:val="Heading7Char"/>
          <w:color w:val="004E6C"/>
          <w:spacing w:val="0"/>
          <w:rtl/>
        </w:rPr>
        <w:t xml:space="preserve"> </w:t>
      </w:r>
      <w:r w:rsidRPr="00B56722">
        <w:rPr>
          <w:rStyle w:val="Heading7Char"/>
          <w:rFonts w:hint="eastAsia"/>
          <w:color w:val="004E6C"/>
          <w:spacing w:val="0"/>
          <w:rtl/>
        </w:rPr>
        <w:t>ברפואת</w:t>
      </w:r>
      <w:r w:rsidRPr="00B56722">
        <w:rPr>
          <w:rStyle w:val="Heading7Char"/>
          <w:color w:val="004E6C"/>
          <w:spacing w:val="0"/>
          <w:rtl/>
        </w:rPr>
        <w:t xml:space="preserve"> </w:t>
      </w:r>
      <w:r w:rsidRPr="00B56722">
        <w:rPr>
          <w:rStyle w:val="Heading7Char"/>
          <w:rFonts w:hint="eastAsia"/>
          <w:color w:val="004E6C"/>
          <w:spacing w:val="0"/>
          <w:rtl/>
        </w:rPr>
        <w:t>ילדים</w:t>
      </w:r>
      <w:r w:rsidRPr="00B56722">
        <w:rPr>
          <w:rStyle w:val="Heading7Char"/>
          <w:color w:val="004E6C"/>
          <w:spacing w:val="0"/>
          <w:rtl/>
        </w:rPr>
        <w:t>:</w:t>
      </w:r>
      <w:r>
        <w:rPr>
          <w:rFonts w:hint="cs"/>
          <w:rtl/>
        </w:rPr>
        <w:t xml:space="preserve"> אין חובת לימודים מעשיים בפסיכיאטריה של הילד, והדבר נתון לבחירת המתמחה. במסגרת ההתמחות שוהים המתמחים במחלקות הילדים בבתי החולים ובמרפאות לרפואת ילדים, וכך הם נחשפים למטופלים הסובלים מבעיות נפשיות מעבר לבעיות הפיזיות ולהתמודדות איתם, לרבות הפנייתם למערך בריאות הנפש.</w:t>
      </w:r>
    </w:p>
    <w:p w14:paraId="77D7BF62" w14:textId="77777777" w:rsidR="00B51F5B" w:rsidRDefault="00B51F5B" w:rsidP="00B56722">
      <w:pPr>
        <w:pStyle w:val="100"/>
        <w:rPr>
          <w:rtl/>
        </w:rPr>
      </w:pPr>
      <w:r>
        <w:rPr>
          <w:rFonts w:hint="cs"/>
          <w:rtl/>
        </w:rPr>
        <w:t>נוכח ההכשרה המוגבלת הניתנת במסגרת לימודי הרפואה והעובדה כי חלק ניכר מרופאי המשפחה ורופאי הילדים הם רופאים כלליים שלא עברו שום התמחות, עולה כי לחלק גדול מהרופאים הראשוניים אין הכשרה בסיסית מספקת בתחום בריאות הנפש, למעט ארבעה שבועות במסגרת לימודי הבסיס. לביקורת הוצג למשל כי לעיתים רופאים ראשוניים מעבירים ללשכות הפסיכיאטר המחוזי של משרד הבריאות, בקשות להוצאת הוראות בדיקה לצורך אשפוז כפוי, כשהן חסרות מידע נדרש וחיוני על פי החוק להוצאת הוראת בדיקה</w:t>
      </w:r>
      <w:r>
        <w:rPr>
          <w:rStyle w:val="FootnoteReference"/>
          <w:rtl/>
        </w:rPr>
        <w:footnoteReference w:id="102"/>
      </w:r>
      <w:r>
        <w:rPr>
          <w:rFonts w:hint="cs"/>
          <w:rtl/>
        </w:rPr>
        <w:t xml:space="preserve"> לדוגמה: חסר מידע על אודות כושר השיפוט של המטופל ואם יש סיכון פיזי מיידי לעצמו או לזולתו. הדבר מונע מתן מענה ראוי ומיידי למטופל ומעכב את הפעולות שעל הפסיכיאטרים המחוזיים לבצע</w:t>
      </w:r>
      <w:r>
        <w:rPr>
          <w:rStyle w:val="FootnoteReference"/>
          <w:rtl/>
        </w:rPr>
        <w:footnoteReference w:id="103"/>
      </w:r>
      <w:r>
        <w:rPr>
          <w:rFonts w:hint="cs"/>
          <w:rtl/>
        </w:rPr>
        <w:t xml:space="preserve">. </w:t>
      </w:r>
    </w:p>
    <w:p w14:paraId="6D9CE89F" w14:textId="77777777" w:rsidR="00B51F5B" w:rsidRDefault="00B51F5B" w:rsidP="00B56722">
      <w:pPr>
        <w:pStyle w:val="100"/>
        <w:rPr>
          <w:rtl/>
        </w:rPr>
      </w:pPr>
      <w:r>
        <w:rPr>
          <w:rFonts w:hint="cs"/>
          <w:rtl/>
        </w:rPr>
        <w:t>קופות החולים מסרו במהלך הביקורת כי לאור חשיבות הנושא, הן מעבירות הכשרות בתחום בריאות הנפש, בין היתר, גם לרופאים הראשוניים. חלק מהקופות מסרו כי בוצעו הכשרות מקיפות בנושאים מהותיים הנוגעים בליבת המקצוע</w:t>
      </w:r>
      <w:r>
        <w:rPr>
          <w:rStyle w:val="FootnoteReference"/>
          <w:rtl/>
        </w:rPr>
        <w:footnoteReference w:id="104"/>
      </w:r>
      <w:r>
        <w:rPr>
          <w:rFonts w:hint="cs"/>
          <w:rtl/>
        </w:rPr>
        <w:t>, וחלקן הסתפקו בהדרכות בנושאים טכניים</w:t>
      </w:r>
      <w:r>
        <w:rPr>
          <w:rStyle w:val="FootnoteReference"/>
          <w:rtl/>
        </w:rPr>
        <w:footnoteReference w:id="105"/>
      </w:r>
      <w:r>
        <w:rPr>
          <w:rFonts w:hint="cs"/>
          <w:rtl/>
        </w:rPr>
        <w:t>.</w:t>
      </w:r>
      <w:r w:rsidRPr="00C50973">
        <w:rPr>
          <w:rtl/>
        </w:rPr>
        <w:t xml:space="preserve"> </w:t>
      </w:r>
      <w:r w:rsidRPr="00D5604D">
        <w:rPr>
          <w:rFonts w:hint="cs"/>
          <w:rtl/>
        </w:rPr>
        <w:t xml:space="preserve">מרבית ההכשרות מועברות ברמת המחוזות והסניפים של הקופות וביוזמתם. </w:t>
      </w:r>
    </w:p>
    <w:p w14:paraId="6AFD6B7A" w14:textId="77777777" w:rsidR="00B51F5B" w:rsidRDefault="00B51F5B" w:rsidP="00B56722">
      <w:pPr>
        <w:pStyle w:val="af5"/>
        <w:rPr>
          <w:rtl/>
        </w:rPr>
      </w:pPr>
      <w:r>
        <w:rPr>
          <w:rFonts w:hint="cs"/>
          <w:rtl/>
        </w:rPr>
        <w:t xml:space="preserve">אף שהכשרת הרופאים הראשוניים בתחום בריאות הנפש חיונית ביותר, </w:t>
      </w:r>
      <w:r w:rsidRPr="003360FB">
        <w:rPr>
          <w:rFonts w:hint="eastAsia"/>
          <w:rtl/>
        </w:rPr>
        <w:t>קופות</w:t>
      </w:r>
      <w:r>
        <w:rPr>
          <w:rFonts w:hint="cs"/>
          <w:rtl/>
        </w:rPr>
        <w:t xml:space="preserve"> החולים</w:t>
      </w:r>
      <w:r w:rsidRPr="003360FB">
        <w:rPr>
          <w:rtl/>
        </w:rPr>
        <w:t xml:space="preserve"> </w:t>
      </w:r>
      <w:r w:rsidRPr="003360FB">
        <w:rPr>
          <w:rFonts w:hint="eastAsia"/>
          <w:rtl/>
        </w:rPr>
        <w:t>לא</w:t>
      </w:r>
      <w:r w:rsidRPr="003360FB">
        <w:rPr>
          <w:rtl/>
        </w:rPr>
        <w:t xml:space="preserve"> קבעו מהי </w:t>
      </w:r>
      <w:r w:rsidRPr="003360FB">
        <w:rPr>
          <w:rFonts w:hint="eastAsia"/>
          <w:rtl/>
        </w:rPr>
        <w:t>תוכנית</w:t>
      </w:r>
      <w:r w:rsidRPr="003360FB">
        <w:rPr>
          <w:rtl/>
        </w:rPr>
        <w:t xml:space="preserve"> ההכשרה המחויבת לרופאים </w:t>
      </w:r>
      <w:r>
        <w:rPr>
          <w:rFonts w:hint="cs"/>
          <w:rtl/>
        </w:rPr>
        <w:t>אלו</w:t>
      </w:r>
      <w:r w:rsidRPr="003360FB">
        <w:rPr>
          <w:rtl/>
        </w:rPr>
        <w:t xml:space="preserve">, </w:t>
      </w:r>
      <w:r>
        <w:rPr>
          <w:rFonts w:hint="cs"/>
          <w:rtl/>
        </w:rPr>
        <w:t>ו</w:t>
      </w:r>
      <w:r w:rsidRPr="003360FB">
        <w:rPr>
          <w:rtl/>
        </w:rPr>
        <w:t xml:space="preserve">הן </w:t>
      </w:r>
      <w:r>
        <w:rPr>
          <w:rFonts w:hint="cs"/>
          <w:rtl/>
        </w:rPr>
        <w:t xml:space="preserve">אינן עוקבות אילו </w:t>
      </w:r>
      <w:r w:rsidRPr="003360FB">
        <w:rPr>
          <w:rFonts w:hint="eastAsia"/>
          <w:rtl/>
        </w:rPr>
        <w:t>רופאים</w:t>
      </w:r>
      <w:r w:rsidRPr="003360FB">
        <w:rPr>
          <w:rtl/>
        </w:rPr>
        <w:t xml:space="preserve"> </w:t>
      </w:r>
      <w:r w:rsidRPr="003360FB">
        <w:rPr>
          <w:rFonts w:hint="eastAsia"/>
          <w:rtl/>
        </w:rPr>
        <w:t>עבר</w:t>
      </w:r>
      <w:r>
        <w:rPr>
          <w:rFonts w:hint="cs"/>
          <w:rtl/>
        </w:rPr>
        <w:t>ו</w:t>
      </w:r>
      <w:r w:rsidRPr="003360FB">
        <w:rPr>
          <w:rtl/>
        </w:rPr>
        <w:t xml:space="preserve"> </w:t>
      </w:r>
      <w:r w:rsidRPr="003360FB">
        <w:rPr>
          <w:rFonts w:hint="eastAsia"/>
          <w:rtl/>
        </w:rPr>
        <w:t>הכשרה</w:t>
      </w:r>
      <w:r w:rsidRPr="003360FB">
        <w:rPr>
          <w:rtl/>
        </w:rPr>
        <w:t xml:space="preserve"> </w:t>
      </w:r>
      <w:r w:rsidRPr="003360FB">
        <w:rPr>
          <w:rFonts w:hint="eastAsia"/>
          <w:rtl/>
        </w:rPr>
        <w:t>כלשהי</w:t>
      </w:r>
      <w:r w:rsidRPr="003360FB">
        <w:rPr>
          <w:rtl/>
        </w:rPr>
        <w:t xml:space="preserve">, </w:t>
      </w:r>
      <w:r w:rsidRPr="003360FB">
        <w:rPr>
          <w:rFonts w:hint="eastAsia"/>
          <w:rtl/>
        </w:rPr>
        <w:t>באיזו</w:t>
      </w:r>
      <w:r w:rsidRPr="003360FB">
        <w:rPr>
          <w:rtl/>
        </w:rPr>
        <w:t xml:space="preserve"> </w:t>
      </w:r>
      <w:r w:rsidRPr="003360FB">
        <w:rPr>
          <w:rFonts w:hint="eastAsia"/>
          <w:rtl/>
        </w:rPr>
        <w:t>תדירות</w:t>
      </w:r>
      <w:r w:rsidRPr="003360FB">
        <w:rPr>
          <w:rtl/>
        </w:rPr>
        <w:t xml:space="preserve"> ובאיזה היקף. </w:t>
      </w:r>
      <w:r w:rsidRPr="003360FB">
        <w:rPr>
          <w:rFonts w:hint="eastAsia"/>
          <w:rtl/>
        </w:rPr>
        <w:t>נוסף</w:t>
      </w:r>
      <w:r>
        <w:rPr>
          <w:rFonts w:hint="cs"/>
          <w:rtl/>
        </w:rPr>
        <w:t xml:space="preserve"> על כך</w:t>
      </w:r>
      <w:r w:rsidRPr="003360FB">
        <w:rPr>
          <w:rtl/>
        </w:rPr>
        <w:t xml:space="preserve">, </w:t>
      </w:r>
      <w:r w:rsidRPr="003360FB">
        <w:rPr>
          <w:rFonts w:hint="eastAsia"/>
          <w:rtl/>
        </w:rPr>
        <w:t>הקופות</w:t>
      </w:r>
      <w:r w:rsidRPr="003360FB">
        <w:rPr>
          <w:rtl/>
        </w:rPr>
        <w:t xml:space="preserve"> </w:t>
      </w:r>
      <w:r w:rsidRPr="003360FB">
        <w:rPr>
          <w:rFonts w:hint="eastAsia"/>
          <w:rtl/>
        </w:rPr>
        <w:t>שמעסיקות</w:t>
      </w:r>
      <w:r w:rsidRPr="003360FB">
        <w:rPr>
          <w:rtl/>
        </w:rPr>
        <w:t xml:space="preserve"> רופאים ראשוניים כעצמאיים </w:t>
      </w:r>
      <w:r w:rsidRPr="003360FB">
        <w:rPr>
          <w:rFonts w:hint="eastAsia"/>
          <w:rtl/>
        </w:rPr>
        <w:t>אינן</w:t>
      </w:r>
      <w:r w:rsidRPr="003360FB">
        <w:rPr>
          <w:rtl/>
        </w:rPr>
        <w:t xml:space="preserve"> מחייב</w:t>
      </w:r>
      <w:r w:rsidRPr="003360FB">
        <w:rPr>
          <w:rFonts w:hint="eastAsia"/>
          <w:rtl/>
        </w:rPr>
        <w:t>ות</w:t>
      </w:r>
      <w:r w:rsidRPr="003360FB">
        <w:rPr>
          <w:rtl/>
        </w:rPr>
        <w:t xml:space="preserve"> </w:t>
      </w:r>
      <w:r w:rsidRPr="003360FB">
        <w:rPr>
          <w:rFonts w:hint="eastAsia"/>
          <w:rtl/>
        </w:rPr>
        <w:t>אותם</w:t>
      </w:r>
      <w:r w:rsidRPr="003360FB">
        <w:rPr>
          <w:rtl/>
        </w:rPr>
        <w:t xml:space="preserve"> </w:t>
      </w:r>
      <w:r w:rsidRPr="003360FB">
        <w:rPr>
          <w:rFonts w:hint="eastAsia"/>
          <w:rtl/>
        </w:rPr>
        <w:t>בהשתתפות</w:t>
      </w:r>
      <w:r w:rsidRPr="003360FB">
        <w:rPr>
          <w:rtl/>
        </w:rPr>
        <w:t xml:space="preserve"> </w:t>
      </w:r>
      <w:r w:rsidRPr="003360FB">
        <w:rPr>
          <w:rFonts w:hint="eastAsia"/>
          <w:rtl/>
        </w:rPr>
        <w:t>בהכשרות</w:t>
      </w:r>
      <w:r w:rsidRPr="003360FB">
        <w:rPr>
          <w:rtl/>
        </w:rPr>
        <w:t>.</w:t>
      </w:r>
    </w:p>
    <w:p w14:paraId="06574654" w14:textId="77777777" w:rsidR="00B51F5B" w:rsidRDefault="00B51F5B" w:rsidP="00B56722">
      <w:pPr>
        <w:pStyle w:val="100"/>
        <w:rPr>
          <w:rtl/>
        </w:rPr>
      </w:pPr>
      <w:r>
        <w:rPr>
          <w:rFonts w:hint="cs"/>
          <w:rtl/>
        </w:rPr>
        <w:t>הכללית מסרה בתשובתה כי</w:t>
      </w:r>
      <w:r w:rsidRPr="00B00F5D">
        <w:rPr>
          <w:rtl/>
        </w:rPr>
        <w:t xml:space="preserve"> </w:t>
      </w:r>
      <w:r>
        <w:rPr>
          <w:rFonts w:hint="cs"/>
          <w:rtl/>
        </w:rPr>
        <w:t xml:space="preserve">ביטול </w:t>
      </w:r>
      <w:r w:rsidRPr="00B00F5D">
        <w:rPr>
          <w:rtl/>
        </w:rPr>
        <w:t>חובת ההתנסות בפסיכיאטריה במסגרת ההתמחות ברפואת המשפחה פוגעת בהכשר</w:t>
      </w:r>
      <w:r>
        <w:rPr>
          <w:rFonts w:hint="cs"/>
          <w:rtl/>
        </w:rPr>
        <w:t xml:space="preserve">ת הרופאים ויש </w:t>
      </w:r>
      <w:r w:rsidRPr="00B00F5D">
        <w:rPr>
          <w:rtl/>
        </w:rPr>
        <w:t>להחזירה</w:t>
      </w:r>
      <w:r>
        <w:rPr>
          <w:rFonts w:hint="cs"/>
          <w:rtl/>
        </w:rPr>
        <w:t xml:space="preserve">. </w:t>
      </w:r>
    </w:p>
    <w:p w14:paraId="5564145A" w14:textId="77777777" w:rsidR="00B51F5B" w:rsidRDefault="00B51F5B" w:rsidP="00B56722">
      <w:pPr>
        <w:pStyle w:val="100"/>
        <w:rPr>
          <w:rtl/>
        </w:rPr>
      </w:pPr>
      <w:r>
        <w:rPr>
          <w:rFonts w:hint="cs"/>
          <w:rtl/>
        </w:rPr>
        <w:t xml:space="preserve">מכבי מסרה בתשובתה כי היא מחייבת מתמחים ברפואת משפחה לבצע סבב בתחום הפסיכיאטריה. </w:t>
      </w:r>
    </w:p>
    <w:p w14:paraId="39498EDC" w14:textId="77777777" w:rsidR="00B51F5B" w:rsidRPr="003360FB" w:rsidRDefault="00B51F5B" w:rsidP="00B56722">
      <w:pPr>
        <w:pStyle w:val="100"/>
        <w:rPr>
          <w:b/>
          <w:bCs/>
          <w:rtl/>
        </w:rPr>
      </w:pPr>
      <w:r>
        <w:rPr>
          <w:rFonts w:hint="cs"/>
          <w:rtl/>
        </w:rPr>
        <w:t xml:space="preserve">איגוד רופאי המשפחה מסר למשרד מבקר המדינה בדצמבר 2019 כי הוא </w:t>
      </w:r>
      <w:r w:rsidRPr="000A5430">
        <w:rPr>
          <w:rtl/>
        </w:rPr>
        <w:t>עוסק בהערכה מח</w:t>
      </w:r>
      <w:r>
        <w:rPr>
          <w:rFonts w:hint="cs"/>
          <w:rtl/>
        </w:rPr>
        <w:t>ו</w:t>
      </w:r>
      <w:r w:rsidRPr="000A5430">
        <w:rPr>
          <w:rtl/>
        </w:rPr>
        <w:t>דש</w:t>
      </w:r>
      <w:r>
        <w:rPr>
          <w:rFonts w:hint="cs"/>
          <w:rtl/>
        </w:rPr>
        <w:t>ת</w:t>
      </w:r>
      <w:r w:rsidRPr="000A5430">
        <w:rPr>
          <w:rtl/>
        </w:rPr>
        <w:t xml:space="preserve"> של ת</w:t>
      </w:r>
      <w:r>
        <w:rPr>
          <w:rFonts w:hint="cs"/>
          <w:rtl/>
        </w:rPr>
        <w:t>ו</w:t>
      </w:r>
      <w:r w:rsidRPr="000A5430">
        <w:rPr>
          <w:rtl/>
        </w:rPr>
        <w:t>כנית ההתמחות</w:t>
      </w:r>
      <w:r>
        <w:rPr>
          <w:rFonts w:hint="cs"/>
          <w:rtl/>
        </w:rPr>
        <w:t>.</w:t>
      </w:r>
      <w:r w:rsidRPr="000A5430">
        <w:rPr>
          <w:rtl/>
        </w:rPr>
        <w:t xml:space="preserve"> השינוי יכלול </w:t>
      </w:r>
      <w:r>
        <w:rPr>
          <w:rFonts w:hint="cs"/>
          <w:rtl/>
        </w:rPr>
        <w:t>סבב חובה</w:t>
      </w:r>
      <w:r w:rsidRPr="000A5430">
        <w:rPr>
          <w:rtl/>
        </w:rPr>
        <w:t xml:space="preserve"> בפסיכיאטריה, וחשיפה לפסיכיאטריה בקהילה במרפאה הראשונית</w:t>
      </w:r>
      <w:r>
        <w:rPr>
          <w:rFonts w:hint="cs"/>
          <w:rtl/>
        </w:rPr>
        <w:t>.</w:t>
      </w:r>
    </w:p>
    <w:p w14:paraId="12BCEDFD" w14:textId="1A585162" w:rsidR="00B51F5B" w:rsidRDefault="00B51F5B" w:rsidP="00B56722">
      <w:pPr>
        <w:pStyle w:val="af5"/>
        <w:rPr>
          <w:rtl/>
        </w:rPr>
      </w:pPr>
      <w:r w:rsidRPr="006F2034">
        <w:rPr>
          <w:rFonts w:hint="cs"/>
          <w:rtl/>
        </w:rPr>
        <w:t xml:space="preserve">ראוי כי קופות החולים </w:t>
      </w:r>
      <w:r>
        <w:rPr>
          <w:rFonts w:hint="cs"/>
          <w:rtl/>
        </w:rPr>
        <w:t xml:space="preserve">יבחנו את ההכשרות המקצועיות הנדרשות </w:t>
      </w:r>
      <w:r w:rsidRPr="006F2034">
        <w:rPr>
          <w:rFonts w:hint="cs"/>
          <w:rtl/>
        </w:rPr>
        <w:t>בתחום זה ל</w:t>
      </w:r>
      <w:r>
        <w:rPr>
          <w:rFonts w:hint="cs"/>
          <w:rtl/>
        </w:rPr>
        <w:t>כלל ה</w:t>
      </w:r>
      <w:r w:rsidRPr="006F2034">
        <w:rPr>
          <w:rFonts w:hint="cs"/>
          <w:rtl/>
        </w:rPr>
        <w:t>רופאים הראשוניים</w:t>
      </w:r>
      <w:r>
        <w:rPr>
          <w:rFonts w:hint="cs"/>
          <w:rtl/>
        </w:rPr>
        <w:t xml:space="preserve"> שהן מעסיקות, יוודאו את ביצוען וירכזו מידע על זהות הרופאים שעברו הכשרות, תדירותן והיקפן</w:t>
      </w:r>
      <w:r w:rsidRPr="006F2034">
        <w:rPr>
          <w:rFonts w:hint="cs"/>
          <w:rtl/>
        </w:rPr>
        <w:t xml:space="preserve">. </w:t>
      </w:r>
      <w:r>
        <w:rPr>
          <w:rFonts w:hint="cs"/>
          <w:rtl/>
        </w:rPr>
        <w:t xml:space="preserve">כמו כן, </w:t>
      </w:r>
      <w:r w:rsidRPr="00601336">
        <w:rPr>
          <w:rFonts w:hint="cs"/>
          <w:rtl/>
        </w:rPr>
        <w:t xml:space="preserve">ראוי </w:t>
      </w:r>
      <w:r>
        <w:rPr>
          <w:rFonts w:hint="cs"/>
          <w:rtl/>
        </w:rPr>
        <w:t xml:space="preserve">כי </w:t>
      </w:r>
      <w:r w:rsidRPr="00601336">
        <w:rPr>
          <w:rFonts w:hint="cs"/>
          <w:rtl/>
        </w:rPr>
        <w:t xml:space="preserve">משרד </w:t>
      </w:r>
      <w:r>
        <w:rPr>
          <w:rFonts w:hint="cs"/>
          <w:rtl/>
        </w:rPr>
        <w:t xml:space="preserve">הבריאות </w:t>
      </w:r>
      <w:r w:rsidRPr="00601336">
        <w:rPr>
          <w:rFonts w:hint="cs"/>
          <w:rtl/>
        </w:rPr>
        <w:t xml:space="preserve">בשיתוף המועצה המדעית של הר"י והאיגודים המקצועיים השונים </w:t>
      </w:r>
      <w:r>
        <w:rPr>
          <w:rFonts w:hint="cs"/>
          <w:rtl/>
        </w:rPr>
        <w:t xml:space="preserve">יבחנו אילו </w:t>
      </w:r>
      <w:r w:rsidRPr="00601336">
        <w:rPr>
          <w:rFonts w:hint="cs"/>
          <w:rtl/>
        </w:rPr>
        <w:t>שינויים נדרשים בת</w:t>
      </w:r>
      <w:r>
        <w:rPr>
          <w:rFonts w:hint="cs"/>
          <w:rtl/>
        </w:rPr>
        <w:t>ו</w:t>
      </w:r>
      <w:r w:rsidRPr="00601336">
        <w:rPr>
          <w:rFonts w:hint="cs"/>
          <w:rtl/>
        </w:rPr>
        <w:t>כנית ההתמחות של רופאי המשפחה</w:t>
      </w:r>
      <w:r>
        <w:rPr>
          <w:rFonts w:hint="cs"/>
          <w:rtl/>
        </w:rPr>
        <w:t xml:space="preserve"> ויעקבו אחר יישומם.</w:t>
      </w:r>
    </w:p>
    <w:p w14:paraId="7502B45C" w14:textId="77777777" w:rsidR="00B51F5B" w:rsidRDefault="00B51F5B" w:rsidP="00B56722">
      <w:pPr>
        <w:pStyle w:val="414"/>
        <w:rPr>
          <w:rtl/>
        </w:rPr>
      </w:pPr>
      <w:r w:rsidRPr="00A62017">
        <w:rPr>
          <w:rFonts w:hint="cs"/>
          <w:rtl/>
        </w:rPr>
        <w:t>המחסור בפסיכיאטרים לא קיבל מענה במסגרת הרפורמה</w:t>
      </w:r>
      <w:r>
        <w:rPr>
          <w:rFonts w:hint="cs"/>
          <w:rtl/>
        </w:rPr>
        <w:t xml:space="preserve"> </w:t>
      </w:r>
    </w:p>
    <w:p w14:paraId="170CACA2" w14:textId="77777777" w:rsidR="00B51F5B" w:rsidRDefault="00B51F5B" w:rsidP="00B56722">
      <w:pPr>
        <w:pStyle w:val="100"/>
        <w:rPr>
          <w:rtl/>
        </w:rPr>
      </w:pPr>
      <w:r>
        <w:rPr>
          <w:rFonts w:hint="cs"/>
          <w:rtl/>
        </w:rPr>
        <w:t>בארץ קיים מחסור מתמשך בפסיכיאטרים</w:t>
      </w:r>
      <w:r>
        <w:rPr>
          <w:rStyle w:val="FootnoteReference"/>
          <w:sz w:val="24"/>
          <w:rtl/>
        </w:rPr>
        <w:footnoteReference w:id="106"/>
      </w:r>
      <w:r>
        <w:rPr>
          <w:rFonts w:hint="cs"/>
          <w:rtl/>
        </w:rPr>
        <w:t xml:space="preserve">. </w:t>
      </w:r>
      <w:r w:rsidRPr="00937895">
        <w:rPr>
          <w:rFonts w:hint="cs"/>
          <w:rtl/>
        </w:rPr>
        <w:t>על</w:t>
      </w:r>
      <w:r w:rsidRPr="00937895">
        <w:rPr>
          <w:rtl/>
        </w:rPr>
        <w:t xml:space="preserve"> </w:t>
      </w:r>
      <w:r w:rsidRPr="00937895">
        <w:rPr>
          <w:rFonts w:hint="cs"/>
          <w:rtl/>
        </w:rPr>
        <w:t>פי</w:t>
      </w:r>
      <w:r w:rsidRPr="00937895">
        <w:rPr>
          <w:rtl/>
        </w:rPr>
        <w:t xml:space="preserve"> </w:t>
      </w:r>
      <w:r w:rsidRPr="00937895">
        <w:rPr>
          <w:rFonts w:hint="cs"/>
          <w:rtl/>
        </w:rPr>
        <w:t>נתוני</w:t>
      </w:r>
      <w:r w:rsidRPr="00937895">
        <w:rPr>
          <w:rtl/>
        </w:rPr>
        <w:t xml:space="preserve"> </w:t>
      </w:r>
      <w:r w:rsidRPr="00937895">
        <w:rPr>
          <w:rFonts w:hint="cs"/>
          <w:rtl/>
        </w:rPr>
        <w:t>ארגון</w:t>
      </w:r>
      <w:r w:rsidRPr="00937895">
        <w:rPr>
          <w:rtl/>
        </w:rPr>
        <w:t xml:space="preserve"> </w:t>
      </w:r>
      <w:r w:rsidRPr="00937895">
        <w:rPr>
          <w:rFonts w:hint="cs"/>
          <w:rtl/>
        </w:rPr>
        <w:t>ה</w:t>
      </w:r>
      <w:r w:rsidRPr="00937895">
        <w:rPr>
          <w:rtl/>
        </w:rPr>
        <w:t>-</w:t>
      </w:r>
      <w:r w:rsidRPr="00937895">
        <w:t>OECD</w:t>
      </w:r>
      <w:r>
        <w:rPr>
          <w:rStyle w:val="FootnoteReference"/>
          <w:sz w:val="24"/>
          <w:rtl/>
        </w:rPr>
        <w:footnoteReference w:id="107"/>
      </w:r>
      <w:r w:rsidRPr="00937895">
        <w:rPr>
          <w:rtl/>
        </w:rPr>
        <w:t xml:space="preserve"> </w:t>
      </w:r>
      <w:r w:rsidRPr="00937895">
        <w:rPr>
          <w:rFonts w:hint="cs"/>
          <w:rtl/>
        </w:rPr>
        <w:t>משנת</w:t>
      </w:r>
      <w:r w:rsidRPr="00937895">
        <w:rPr>
          <w:rtl/>
        </w:rPr>
        <w:t xml:space="preserve"> 2011</w:t>
      </w:r>
      <w:r w:rsidRPr="00937895">
        <w:rPr>
          <w:rFonts w:hint="cs"/>
          <w:rtl/>
        </w:rPr>
        <w:t>,</w:t>
      </w:r>
      <w:r w:rsidRPr="00937895">
        <w:rPr>
          <w:rtl/>
        </w:rPr>
        <w:t xml:space="preserve"> </w:t>
      </w:r>
      <w:r w:rsidRPr="00937895">
        <w:rPr>
          <w:rFonts w:hint="cs"/>
          <w:rtl/>
        </w:rPr>
        <w:t>ישראל ממוקמת במקום</w:t>
      </w:r>
      <w:r w:rsidRPr="00937895">
        <w:rPr>
          <w:rtl/>
        </w:rPr>
        <w:t xml:space="preserve"> </w:t>
      </w:r>
      <w:r w:rsidRPr="00937895">
        <w:rPr>
          <w:rFonts w:hint="cs"/>
          <w:rtl/>
        </w:rPr>
        <w:t>העשירי</w:t>
      </w:r>
      <w:r w:rsidRPr="00937895">
        <w:rPr>
          <w:rtl/>
        </w:rPr>
        <w:t xml:space="preserve"> </w:t>
      </w:r>
      <w:r w:rsidRPr="00937895">
        <w:rPr>
          <w:rFonts w:hint="cs"/>
          <w:rtl/>
        </w:rPr>
        <w:t>בשיעור</w:t>
      </w:r>
      <w:r w:rsidRPr="00937895">
        <w:rPr>
          <w:rtl/>
        </w:rPr>
        <w:t xml:space="preserve"> </w:t>
      </w:r>
      <w:r w:rsidRPr="00937895">
        <w:rPr>
          <w:rFonts w:hint="cs"/>
          <w:rtl/>
        </w:rPr>
        <w:t>הפסיכיאטרים</w:t>
      </w:r>
      <w:r w:rsidRPr="00937895">
        <w:rPr>
          <w:rtl/>
        </w:rPr>
        <w:t xml:space="preserve"> </w:t>
      </w:r>
      <w:r w:rsidRPr="00937895">
        <w:rPr>
          <w:rFonts w:hint="cs"/>
          <w:rtl/>
        </w:rPr>
        <w:t>מתוך</w:t>
      </w:r>
      <w:r w:rsidRPr="00937895">
        <w:rPr>
          <w:rtl/>
        </w:rPr>
        <w:t xml:space="preserve"> 28 </w:t>
      </w:r>
      <w:r w:rsidRPr="00937895">
        <w:rPr>
          <w:rFonts w:hint="cs"/>
          <w:rtl/>
        </w:rPr>
        <w:t>מדינות</w:t>
      </w:r>
      <w:r w:rsidRPr="00937895">
        <w:rPr>
          <w:rtl/>
        </w:rPr>
        <w:t xml:space="preserve">. </w:t>
      </w:r>
      <w:r>
        <w:rPr>
          <w:rFonts w:hint="cs"/>
          <w:rtl/>
        </w:rPr>
        <w:t xml:space="preserve">המחסור בבתי החולים ובמרפאות הממשלתיות אף החריף עקב הרפורמה בשל הרחבת השירות האמבולטורי. </w:t>
      </w:r>
      <w:r w:rsidRPr="00627DBF">
        <w:rPr>
          <w:rFonts w:hint="cs"/>
          <w:rtl/>
        </w:rPr>
        <w:t>המחסור</w:t>
      </w:r>
      <w:r w:rsidRPr="00627DBF">
        <w:rPr>
          <w:rtl/>
        </w:rPr>
        <w:t xml:space="preserve"> </w:t>
      </w:r>
      <w:r w:rsidRPr="00627DBF">
        <w:rPr>
          <w:rFonts w:hint="cs"/>
          <w:rtl/>
        </w:rPr>
        <w:t>בפסיכיאטרים</w:t>
      </w:r>
      <w:r w:rsidRPr="00627DBF">
        <w:rPr>
          <w:rtl/>
        </w:rPr>
        <w:t xml:space="preserve"> </w:t>
      </w:r>
      <w:r w:rsidRPr="007F3721">
        <w:rPr>
          <w:rFonts w:hint="cs"/>
          <w:rtl/>
        </w:rPr>
        <w:t>גורם</w:t>
      </w:r>
      <w:r w:rsidRPr="007F3721">
        <w:rPr>
          <w:rtl/>
        </w:rPr>
        <w:t xml:space="preserve"> </w:t>
      </w:r>
      <w:r w:rsidRPr="007F3721">
        <w:rPr>
          <w:rFonts w:hint="cs"/>
          <w:rtl/>
        </w:rPr>
        <w:t>ל</w:t>
      </w:r>
      <w:r>
        <w:rPr>
          <w:rFonts w:hint="cs"/>
          <w:rtl/>
        </w:rPr>
        <w:t xml:space="preserve">עומס רב על כוח האדם הרפואי הקיים, מאריך את זמני ההמתנה לטיפול האמבולטורי וגורע מאיכות </w:t>
      </w:r>
      <w:r w:rsidRPr="007F3721">
        <w:rPr>
          <w:rFonts w:hint="cs"/>
          <w:rtl/>
        </w:rPr>
        <w:t>הטיפול</w:t>
      </w:r>
      <w:r w:rsidRPr="007F3721">
        <w:rPr>
          <w:rtl/>
        </w:rPr>
        <w:t xml:space="preserve"> </w:t>
      </w:r>
      <w:r>
        <w:rPr>
          <w:rFonts w:hint="cs"/>
          <w:rtl/>
        </w:rPr>
        <w:t>במאושפזים</w:t>
      </w:r>
      <w:r w:rsidRPr="007F3721">
        <w:rPr>
          <w:rtl/>
        </w:rPr>
        <w:t xml:space="preserve">. </w:t>
      </w:r>
      <w:r>
        <w:rPr>
          <w:rFonts w:hint="cs"/>
          <w:rtl/>
        </w:rPr>
        <w:t xml:space="preserve">ליקויים אלו כבר הועלו בדוחות קודמים של </w:t>
      </w:r>
      <w:r>
        <w:rPr>
          <w:rtl/>
        </w:rPr>
        <w:t>מבקר המדינה</w:t>
      </w:r>
      <w:r>
        <w:rPr>
          <w:rStyle w:val="FootnoteReference"/>
          <w:sz w:val="24"/>
          <w:rtl/>
        </w:rPr>
        <w:footnoteReference w:id="108"/>
      </w:r>
      <w:r>
        <w:rPr>
          <w:rFonts w:hint="cs"/>
          <w:rtl/>
        </w:rPr>
        <w:t>.</w:t>
      </w:r>
    </w:p>
    <w:p w14:paraId="401CBD73" w14:textId="77777777" w:rsidR="00B51F5B" w:rsidRDefault="00B51F5B" w:rsidP="00B56722">
      <w:pPr>
        <w:pStyle w:val="100"/>
        <w:rPr>
          <w:rtl/>
        </w:rPr>
      </w:pPr>
      <w:r>
        <w:rPr>
          <w:rFonts w:hint="cs"/>
          <w:rtl/>
        </w:rPr>
        <w:t xml:space="preserve">מנתונים שהעבירה </w:t>
      </w:r>
      <w:r w:rsidRPr="00846235">
        <w:rPr>
          <w:rtl/>
        </w:rPr>
        <w:t>חטיבת המרכזים הרפואיים הממשלתיים</w:t>
      </w:r>
      <w:r>
        <w:rPr>
          <w:rFonts w:hint="cs"/>
          <w:rtl/>
        </w:rPr>
        <w:t xml:space="preserve"> למשרד מבקר המדינה עולה כי מספר תקני הפסיכיאטריים </w:t>
      </w:r>
      <w:r w:rsidRPr="00BB0E0A">
        <w:rPr>
          <w:rFonts w:hint="cs"/>
          <w:rtl/>
        </w:rPr>
        <w:t>במחלקות ובמרפאות בתי החולים הפסיכיאטרים עומד על 605, ואולם בפועל</w:t>
      </w:r>
      <w:r>
        <w:rPr>
          <w:rFonts w:hint="cs"/>
          <w:rtl/>
        </w:rPr>
        <w:t xml:space="preserve"> מאוישים 523 בלבד, כלומר כ-80 </w:t>
      </w:r>
      <w:r w:rsidRPr="00DB6E68">
        <w:rPr>
          <w:rFonts w:hint="cs"/>
          <w:rtl/>
        </w:rPr>
        <w:t>תקנים</w:t>
      </w:r>
      <w:r w:rsidRPr="00DB6E68">
        <w:rPr>
          <w:rtl/>
        </w:rPr>
        <w:t xml:space="preserve"> </w:t>
      </w:r>
      <w:r w:rsidRPr="00B02F65">
        <w:rPr>
          <w:rFonts w:hint="cs"/>
          <w:rtl/>
        </w:rPr>
        <w:t>אינם</w:t>
      </w:r>
      <w:r w:rsidRPr="00DB6E68">
        <w:rPr>
          <w:rtl/>
        </w:rPr>
        <w:t xml:space="preserve"> </w:t>
      </w:r>
      <w:r w:rsidRPr="00DB6E68">
        <w:rPr>
          <w:rFonts w:hint="cs"/>
          <w:rtl/>
        </w:rPr>
        <w:t>מאוישים</w:t>
      </w:r>
      <w:r>
        <w:rPr>
          <w:rFonts w:hint="cs"/>
          <w:rtl/>
        </w:rPr>
        <w:t xml:space="preserve"> ועל פי הערכת </w:t>
      </w:r>
      <w:r w:rsidRPr="00DB4C07">
        <w:rPr>
          <w:rtl/>
        </w:rPr>
        <w:t>יו</w:t>
      </w:r>
      <w:r>
        <w:rPr>
          <w:rFonts w:hint="cs"/>
          <w:rtl/>
        </w:rPr>
        <w:t>"</w:t>
      </w:r>
      <w:r w:rsidRPr="00DB4C07">
        <w:rPr>
          <w:rtl/>
        </w:rPr>
        <w:t>ר איגוד הפסיכיאטריה בישראל</w:t>
      </w:r>
      <w:r>
        <w:rPr>
          <w:rFonts w:hint="cs"/>
          <w:rtl/>
        </w:rPr>
        <w:t xml:space="preserve"> ממאי 2019 קיים חוסר של עוד כ-100 תקנים </w:t>
      </w:r>
      <w:r>
        <w:rPr>
          <w:rFonts w:ascii="David" w:hAnsi="David" w:hint="cs"/>
          <w:sz w:val="24"/>
          <w:rtl/>
        </w:rPr>
        <w:t xml:space="preserve">במחלקות ובמרפאות </w:t>
      </w:r>
      <w:r w:rsidRPr="00393CDB">
        <w:rPr>
          <w:rFonts w:ascii="David" w:hAnsi="David"/>
          <w:sz w:val="24"/>
          <w:rtl/>
        </w:rPr>
        <w:t>בתי החולים</w:t>
      </w:r>
      <w:r>
        <w:rPr>
          <w:rFonts w:hint="cs"/>
          <w:rtl/>
        </w:rPr>
        <w:t xml:space="preserve"> </w:t>
      </w:r>
      <w:r w:rsidRPr="00B92ACE">
        <w:rPr>
          <w:rFonts w:hint="eastAsia"/>
          <w:rtl/>
        </w:rPr>
        <w:t>הפסיכיאטר</w:t>
      </w:r>
      <w:r>
        <w:rPr>
          <w:rFonts w:hint="cs"/>
          <w:rtl/>
        </w:rPr>
        <w:t>י</w:t>
      </w:r>
      <w:r w:rsidRPr="00B92ACE">
        <w:rPr>
          <w:rFonts w:hint="eastAsia"/>
          <w:rtl/>
        </w:rPr>
        <w:t>ים</w:t>
      </w:r>
      <w:r>
        <w:rPr>
          <w:rFonts w:hint="cs"/>
          <w:rtl/>
        </w:rPr>
        <w:t xml:space="preserve"> </w:t>
      </w:r>
      <w:r w:rsidRPr="00B92ACE">
        <w:rPr>
          <w:rFonts w:hint="cs"/>
          <w:rtl/>
        </w:rPr>
        <w:t>ו</w:t>
      </w:r>
      <w:r w:rsidRPr="00B92ACE">
        <w:rPr>
          <w:rtl/>
        </w:rPr>
        <w:t>הכלליים</w:t>
      </w:r>
      <w:r>
        <w:rPr>
          <w:rFonts w:hint="cs"/>
          <w:rtl/>
        </w:rPr>
        <w:t>. חוסר נוסף של כ-100 תקני פסיכיאטרים קיים בבתי החולים של הכללית ובכלל קופות החולים</w:t>
      </w:r>
      <w:r w:rsidRPr="00627DBF">
        <w:rPr>
          <w:rtl/>
        </w:rPr>
        <w:t>.</w:t>
      </w:r>
      <w:r>
        <w:rPr>
          <w:rFonts w:hint="cs"/>
          <w:color w:val="FF0000"/>
          <w:rtl/>
        </w:rPr>
        <w:t xml:space="preserve"> </w:t>
      </w:r>
      <w:r>
        <w:rPr>
          <w:rFonts w:hint="cs"/>
          <w:rtl/>
        </w:rPr>
        <w:t>מהאמור עולה מחסור של כ-280 פסיכיאטרים במערכת.</w:t>
      </w:r>
      <w:r>
        <w:rPr>
          <w:rtl/>
        </w:rPr>
        <w:t xml:space="preserve"> </w:t>
      </w:r>
    </w:p>
    <w:p w14:paraId="7E26DB1C" w14:textId="77777777" w:rsidR="00B51F5B" w:rsidRPr="00F07E1E" w:rsidRDefault="00B51F5B" w:rsidP="00B56722">
      <w:pPr>
        <w:pStyle w:val="100"/>
        <w:rPr>
          <w:color w:val="FF0000"/>
          <w:sz w:val="24"/>
          <w:rtl/>
        </w:rPr>
      </w:pPr>
      <w:r w:rsidRPr="002C19BB">
        <w:rPr>
          <w:rFonts w:hint="cs"/>
          <w:sz w:val="24"/>
          <w:rtl/>
        </w:rPr>
        <w:t>נ</w:t>
      </w:r>
      <w:r>
        <w:rPr>
          <w:rFonts w:hint="cs"/>
          <w:sz w:val="24"/>
          <w:rtl/>
        </w:rPr>
        <w:t>כון לדצמבר 2018</w:t>
      </w:r>
      <w:r w:rsidRPr="00F52EA1">
        <w:rPr>
          <w:sz w:val="24"/>
          <w:rtl/>
        </w:rPr>
        <w:t xml:space="preserve"> </w:t>
      </w:r>
      <w:r w:rsidRPr="00F52EA1">
        <w:rPr>
          <w:rFonts w:hint="cs"/>
          <w:sz w:val="24"/>
          <w:rtl/>
        </w:rPr>
        <w:t>היו</w:t>
      </w:r>
      <w:r w:rsidRPr="00F52EA1">
        <w:rPr>
          <w:sz w:val="24"/>
          <w:rtl/>
        </w:rPr>
        <w:t xml:space="preserve"> </w:t>
      </w:r>
      <w:r>
        <w:rPr>
          <w:rFonts w:hint="cs"/>
          <w:sz w:val="24"/>
          <w:rtl/>
        </w:rPr>
        <w:t xml:space="preserve">1,329 פסיכיאטרים, ומהם 924 עד גיל 67 (גיל היציאה לפנסיה המאוחר ביותר על פי חוק); נוסף על כך היו 320 </w:t>
      </w:r>
      <w:r w:rsidRPr="00F52EA1">
        <w:rPr>
          <w:rFonts w:hint="cs"/>
          <w:sz w:val="24"/>
          <w:rtl/>
        </w:rPr>
        <w:t>פסיכיאטרים</w:t>
      </w:r>
      <w:r>
        <w:rPr>
          <w:rFonts w:hint="cs"/>
          <w:sz w:val="24"/>
          <w:rtl/>
        </w:rPr>
        <w:t xml:space="preserve"> לילדים, ומהם 254 עד גיל 67. בשנת 2018 היו </w:t>
      </w:r>
      <w:r w:rsidRPr="00C65E54">
        <w:rPr>
          <w:sz w:val="24"/>
          <w:rtl/>
        </w:rPr>
        <w:t>0.103 פסיכיאטרים ל-1,000 נפש</w:t>
      </w:r>
      <w:r>
        <w:rPr>
          <w:rFonts w:hint="cs"/>
          <w:sz w:val="24"/>
          <w:rtl/>
        </w:rPr>
        <w:t xml:space="preserve"> ו-</w:t>
      </w:r>
      <w:r w:rsidRPr="009A0486">
        <w:rPr>
          <w:rFonts w:ascii="David" w:hAnsi="David" w:hint="cs"/>
          <w:sz w:val="24"/>
        </w:rPr>
        <w:t>0.028</w:t>
      </w:r>
      <w:r w:rsidRPr="009A0486">
        <w:rPr>
          <w:rFonts w:hint="cs"/>
          <w:sz w:val="24"/>
          <w:rtl/>
        </w:rPr>
        <w:t xml:space="preserve"> פ</w:t>
      </w:r>
      <w:r>
        <w:rPr>
          <w:rFonts w:hint="cs"/>
          <w:sz w:val="24"/>
          <w:rtl/>
        </w:rPr>
        <w:t>סיכיאטרים</w:t>
      </w:r>
      <w:r w:rsidRPr="0057390B">
        <w:rPr>
          <w:sz w:val="24"/>
          <w:rtl/>
        </w:rPr>
        <w:t xml:space="preserve"> </w:t>
      </w:r>
      <w:r>
        <w:rPr>
          <w:rFonts w:hint="cs"/>
          <w:sz w:val="24"/>
          <w:rtl/>
        </w:rPr>
        <w:t xml:space="preserve">לילדים </w:t>
      </w:r>
      <w:r w:rsidRPr="00E342DD">
        <w:rPr>
          <w:sz w:val="24"/>
          <w:rtl/>
        </w:rPr>
        <w:t>ל-1,000 נפש</w:t>
      </w:r>
      <w:r>
        <w:rPr>
          <w:rStyle w:val="FootnoteReference"/>
          <w:sz w:val="24"/>
          <w:rtl/>
        </w:rPr>
        <w:footnoteReference w:id="109"/>
      </w:r>
      <w:r>
        <w:rPr>
          <w:rFonts w:hint="cs"/>
          <w:sz w:val="24"/>
          <w:rtl/>
        </w:rPr>
        <w:t xml:space="preserve">. בשנת 2010 היה שיעורם של הפסיכיאטרים לילדים 0.024 ל-1,000 נפש, </w:t>
      </w:r>
      <w:r w:rsidRPr="00F52EA1">
        <w:rPr>
          <w:rFonts w:hint="cs"/>
          <w:sz w:val="24"/>
          <w:rtl/>
        </w:rPr>
        <w:t>והמשרד</w:t>
      </w:r>
      <w:r w:rsidRPr="00F52EA1">
        <w:rPr>
          <w:sz w:val="24"/>
          <w:rtl/>
        </w:rPr>
        <w:t xml:space="preserve"> </w:t>
      </w:r>
      <w:r w:rsidRPr="00F52EA1">
        <w:rPr>
          <w:rFonts w:hint="cs"/>
          <w:sz w:val="24"/>
          <w:rtl/>
        </w:rPr>
        <w:t>קבע</w:t>
      </w:r>
      <w:r w:rsidRPr="00F52EA1">
        <w:rPr>
          <w:sz w:val="24"/>
          <w:rtl/>
        </w:rPr>
        <w:t xml:space="preserve"> </w:t>
      </w:r>
      <w:r w:rsidRPr="00F52EA1">
        <w:rPr>
          <w:rFonts w:hint="cs"/>
          <w:sz w:val="24"/>
          <w:rtl/>
        </w:rPr>
        <w:t>יעד</w:t>
      </w:r>
      <w:r w:rsidRPr="00F52EA1">
        <w:rPr>
          <w:sz w:val="24"/>
          <w:rtl/>
        </w:rPr>
        <w:t xml:space="preserve"> </w:t>
      </w:r>
      <w:r w:rsidRPr="00F52EA1">
        <w:rPr>
          <w:rFonts w:hint="cs"/>
          <w:sz w:val="24"/>
          <w:rtl/>
        </w:rPr>
        <w:t>לשנת</w:t>
      </w:r>
      <w:r w:rsidRPr="00F52EA1">
        <w:rPr>
          <w:sz w:val="24"/>
          <w:rtl/>
        </w:rPr>
        <w:t xml:space="preserve"> 2025 </w:t>
      </w:r>
      <w:r w:rsidRPr="00F52EA1">
        <w:rPr>
          <w:rFonts w:hint="cs"/>
          <w:sz w:val="24"/>
          <w:rtl/>
        </w:rPr>
        <w:t>של</w:t>
      </w:r>
      <w:r w:rsidRPr="00F52EA1">
        <w:rPr>
          <w:sz w:val="24"/>
          <w:rtl/>
        </w:rPr>
        <w:t xml:space="preserve"> 0.05 </w:t>
      </w:r>
      <w:r w:rsidRPr="00F52EA1">
        <w:rPr>
          <w:rFonts w:hint="cs"/>
          <w:sz w:val="24"/>
          <w:rtl/>
        </w:rPr>
        <w:t>ל</w:t>
      </w:r>
      <w:r w:rsidRPr="00F52EA1">
        <w:rPr>
          <w:sz w:val="24"/>
          <w:rtl/>
        </w:rPr>
        <w:t xml:space="preserve">-1,000 </w:t>
      </w:r>
      <w:r w:rsidRPr="00F52EA1">
        <w:rPr>
          <w:rFonts w:hint="cs"/>
          <w:sz w:val="24"/>
          <w:rtl/>
        </w:rPr>
        <w:t>נפש</w:t>
      </w:r>
      <w:r>
        <w:rPr>
          <w:rStyle w:val="FootnoteReference"/>
          <w:sz w:val="24"/>
          <w:rtl/>
        </w:rPr>
        <w:footnoteReference w:id="110"/>
      </w:r>
      <w:r w:rsidRPr="00F52EA1">
        <w:rPr>
          <w:sz w:val="24"/>
          <w:rtl/>
        </w:rPr>
        <w:t>.</w:t>
      </w:r>
      <w:r>
        <w:rPr>
          <w:rFonts w:hint="cs"/>
          <w:sz w:val="24"/>
          <w:rtl/>
        </w:rPr>
        <w:t xml:space="preserve"> עולה כי קצב הגידול מאז שנת 2010 </w:t>
      </w:r>
      <w:r w:rsidRPr="005B038E">
        <w:rPr>
          <w:rFonts w:hint="cs"/>
          <w:sz w:val="24"/>
          <w:rtl/>
        </w:rPr>
        <w:t xml:space="preserve">ועד שנת </w:t>
      </w:r>
      <w:r w:rsidRPr="005B038E">
        <w:rPr>
          <w:sz w:val="24"/>
          <w:rtl/>
        </w:rPr>
        <w:t xml:space="preserve">2018 </w:t>
      </w:r>
      <w:r w:rsidRPr="005B038E">
        <w:rPr>
          <w:rFonts w:hint="eastAsia"/>
          <w:sz w:val="24"/>
          <w:rtl/>
        </w:rPr>
        <w:t>באופן</w:t>
      </w:r>
      <w:r w:rsidRPr="005B038E">
        <w:rPr>
          <w:sz w:val="24"/>
          <w:rtl/>
        </w:rPr>
        <w:t xml:space="preserve"> יחסי ליעד שנקבע </w:t>
      </w:r>
      <w:r w:rsidRPr="005B038E">
        <w:rPr>
          <w:rFonts w:hint="eastAsia"/>
          <w:sz w:val="24"/>
          <w:rtl/>
        </w:rPr>
        <w:t>אינו</w:t>
      </w:r>
      <w:r w:rsidRPr="005B038E">
        <w:rPr>
          <w:sz w:val="24"/>
          <w:rtl/>
        </w:rPr>
        <w:t xml:space="preserve"> </w:t>
      </w:r>
      <w:r w:rsidRPr="005B038E">
        <w:rPr>
          <w:rFonts w:hint="eastAsia"/>
          <w:sz w:val="24"/>
          <w:rtl/>
        </w:rPr>
        <w:t>מספק</w:t>
      </w:r>
      <w:r w:rsidRPr="005B038E">
        <w:rPr>
          <w:sz w:val="24"/>
          <w:rtl/>
        </w:rPr>
        <w:t xml:space="preserve"> </w:t>
      </w:r>
      <w:r>
        <w:rPr>
          <w:rFonts w:hint="cs"/>
          <w:sz w:val="24"/>
          <w:rtl/>
        </w:rPr>
        <w:t>כדי</w:t>
      </w:r>
      <w:r w:rsidRPr="005B038E">
        <w:rPr>
          <w:sz w:val="24"/>
          <w:rtl/>
        </w:rPr>
        <w:t xml:space="preserve"> </w:t>
      </w:r>
      <w:r w:rsidRPr="005B038E">
        <w:rPr>
          <w:rFonts w:hint="eastAsia"/>
          <w:sz w:val="24"/>
          <w:rtl/>
        </w:rPr>
        <w:t>להשיגו</w:t>
      </w:r>
      <w:r w:rsidRPr="005B038E">
        <w:rPr>
          <w:sz w:val="24"/>
          <w:rtl/>
        </w:rPr>
        <w:t xml:space="preserve"> </w:t>
      </w:r>
      <w:r w:rsidRPr="005B038E">
        <w:rPr>
          <w:rFonts w:hint="eastAsia"/>
          <w:sz w:val="24"/>
          <w:rtl/>
        </w:rPr>
        <w:t>בשנת</w:t>
      </w:r>
      <w:r w:rsidRPr="005B038E">
        <w:rPr>
          <w:sz w:val="24"/>
          <w:rtl/>
        </w:rPr>
        <w:t xml:space="preserve"> 2025</w:t>
      </w:r>
      <w:r>
        <w:rPr>
          <w:rFonts w:hint="cs"/>
          <w:sz w:val="24"/>
          <w:rtl/>
        </w:rPr>
        <w:t xml:space="preserve">. </w:t>
      </w:r>
    </w:p>
    <w:p w14:paraId="1D568474" w14:textId="77777777" w:rsidR="00B51F5B" w:rsidRPr="003360FB" w:rsidRDefault="00B51F5B" w:rsidP="00B56722">
      <w:pPr>
        <w:pStyle w:val="100"/>
        <w:rPr>
          <w:sz w:val="24"/>
          <w:rtl/>
        </w:rPr>
      </w:pPr>
      <w:r>
        <w:rPr>
          <w:rFonts w:hint="cs"/>
          <w:sz w:val="24"/>
          <w:rtl/>
        </w:rPr>
        <w:t xml:space="preserve">ניתן למנות כמה סיבות למחסור בפסיכיאטרים, ובין השאר </w:t>
      </w:r>
      <w:r w:rsidRPr="00531D1E">
        <w:rPr>
          <w:sz w:val="24"/>
          <w:rtl/>
        </w:rPr>
        <w:t>ריבוי משימות המוטלות על הפסיכיאטרים בשל המחסור בבעלי מקצועות אחרים: כוח אדם סיעודי ופרה-רפואי (קלינאי תקשורת ומרפאים בעיסוק)</w:t>
      </w:r>
      <w:r>
        <w:rPr>
          <w:rFonts w:hint="cs"/>
          <w:sz w:val="24"/>
          <w:rtl/>
        </w:rPr>
        <w:t xml:space="preserve"> וחוסר האטרקטיביות של </w:t>
      </w:r>
      <w:r w:rsidRPr="003360FB">
        <w:rPr>
          <w:sz w:val="24"/>
          <w:rtl/>
        </w:rPr>
        <w:t xml:space="preserve">מקצוע הפסיכיאטריה </w:t>
      </w:r>
      <w:r>
        <w:rPr>
          <w:rFonts w:hint="cs"/>
          <w:sz w:val="24"/>
          <w:rtl/>
        </w:rPr>
        <w:t>שגורם ל</w:t>
      </w:r>
      <w:r w:rsidRPr="003360FB">
        <w:rPr>
          <w:sz w:val="24"/>
          <w:rtl/>
        </w:rPr>
        <w:t xml:space="preserve">ביקוש </w:t>
      </w:r>
      <w:r>
        <w:rPr>
          <w:rFonts w:hint="cs"/>
          <w:sz w:val="24"/>
          <w:rtl/>
        </w:rPr>
        <w:t xml:space="preserve">נמוך </w:t>
      </w:r>
      <w:r w:rsidRPr="003360FB">
        <w:rPr>
          <w:sz w:val="24"/>
          <w:rtl/>
        </w:rPr>
        <w:t xml:space="preserve">אליו </w:t>
      </w:r>
      <w:r>
        <w:rPr>
          <w:rFonts w:hint="cs"/>
          <w:sz w:val="24"/>
          <w:rtl/>
        </w:rPr>
        <w:t xml:space="preserve">הן </w:t>
      </w:r>
      <w:r w:rsidRPr="003360FB">
        <w:rPr>
          <w:sz w:val="24"/>
          <w:rtl/>
        </w:rPr>
        <w:t>בארץ ו</w:t>
      </w:r>
      <w:r>
        <w:rPr>
          <w:rFonts w:hint="cs"/>
          <w:sz w:val="24"/>
          <w:rtl/>
        </w:rPr>
        <w:t xml:space="preserve">הן </w:t>
      </w:r>
      <w:r w:rsidRPr="003360FB">
        <w:rPr>
          <w:sz w:val="24"/>
          <w:rtl/>
        </w:rPr>
        <w:t>בעולם</w:t>
      </w:r>
      <w:r>
        <w:rPr>
          <w:rStyle w:val="FootnoteReference"/>
          <w:sz w:val="24"/>
          <w:rtl/>
        </w:rPr>
        <w:footnoteReference w:id="111"/>
      </w:r>
      <w:r>
        <w:rPr>
          <w:rFonts w:hint="cs"/>
          <w:sz w:val="24"/>
          <w:rtl/>
        </w:rPr>
        <w:t>. המחסור גדל עוד יותר בבתי החולים ובמרפאות הממשלתיות מאחר ש</w:t>
      </w:r>
      <w:r>
        <w:rPr>
          <w:rFonts w:hint="eastAsia"/>
          <w:sz w:val="24"/>
          <w:rtl/>
        </w:rPr>
        <w:t>עקב</w:t>
      </w:r>
      <w:r w:rsidRPr="003360FB">
        <w:rPr>
          <w:sz w:val="24"/>
          <w:rtl/>
        </w:rPr>
        <w:t xml:space="preserve"> הרפורמה </w:t>
      </w:r>
      <w:r w:rsidRPr="009F753B">
        <w:rPr>
          <w:rFonts w:hint="cs"/>
          <w:rtl/>
        </w:rPr>
        <w:t xml:space="preserve">עברו פסיכיאטרים </w:t>
      </w:r>
      <w:r>
        <w:rPr>
          <w:rFonts w:hint="cs"/>
          <w:rtl/>
        </w:rPr>
        <w:t xml:space="preserve">לעבוד </w:t>
      </w:r>
      <w:r>
        <w:rPr>
          <w:rFonts w:hint="cs"/>
          <w:sz w:val="24"/>
          <w:rtl/>
        </w:rPr>
        <w:t>ב</w:t>
      </w:r>
      <w:r w:rsidRPr="003360FB">
        <w:rPr>
          <w:sz w:val="24"/>
          <w:rtl/>
        </w:rPr>
        <w:t xml:space="preserve">קופות החולים </w:t>
      </w:r>
      <w:r>
        <w:rPr>
          <w:rFonts w:hint="cs"/>
          <w:sz w:val="24"/>
          <w:rtl/>
        </w:rPr>
        <w:t>ש</w:t>
      </w:r>
      <w:r w:rsidRPr="003360FB">
        <w:rPr>
          <w:sz w:val="24"/>
          <w:rtl/>
        </w:rPr>
        <w:t xml:space="preserve">הציעו </w:t>
      </w:r>
      <w:r>
        <w:rPr>
          <w:rFonts w:hint="cs"/>
          <w:sz w:val="24"/>
          <w:rtl/>
        </w:rPr>
        <w:t xml:space="preserve">להם </w:t>
      </w:r>
      <w:r w:rsidRPr="003360FB">
        <w:rPr>
          <w:sz w:val="24"/>
          <w:rtl/>
        </w:rPr>
        <w:t xml:space="preserve">תנאי </w:t>
      </w:r>
      <w:r>
        <w:rPr>
          <w:rFonts w:hint="cs"/>
          <w:sz w:val="24"/>
          <w:rtl/>
        </w:rPr>
        <w:t xml:space="preserve">העסקה </w:t>
      </w:r>
      <w:r w:rsidRPr="003360FB">
        <w:rPr>
          <w:sz w:val="24"/>
          <w:rtl/>
        </w:rPr>
        <w:t>טובים יותר</w:t>
      </w:r>
      <w:r w:rsidRPr="00C71A54">
        <w:rPr>
          <w:rFonts w:hint="cs"/>
          <w:sz w:val="24"/>
          <w:rtl/>
        </w:rPr>
        <w:t xml:space="preserve">. </w:t>
      </w:r>
    </w:p>
    <w:p w14:paraId="502768DB" w14:textId="09AFEBEC" w:rsidR="00B51F5B" w:rsidRPr="0062664B" w:rsidRDefault="00B51F5B" w:rsidP="00C0130A">
      <w:pPr>
        <w:pStyle w:val="af5"/>
        <w:rPr>
          <w:rtl/>
        </w:rPr>
      </w:pPr>
      <w:r w:rsidRPr="006B6AEB">
        <w:rPr>
          <w:rFonts w:hint="eastAsia"/>
          <w:rtl/>
        </w:rPr>
        <w:t>יודגש</w:t>
      </w:r>
      <w:r w:rsidRPr="006B6AEB">
        <w:rPr>
          <w:rtl/>
        </w:rPr>
        <w:t xml:space="preserve"> כי</w:t>
      </w:r>
      <w:r w:rsidRPr="0062664B">
        <w:rPr>
          <w:rtl/>
        </w:rPr>
        <w:t xml:space="preserve"> בקרוב צפוי גל פריש</w:t>
      </w:r>
      <w:r>
        <w:rPr>
          <w:rFonts w:hint="cs"/>
          <w:rtl/>
        </w:rPr>
        <w:t>ה</w:t>
      </w:r>
      <w:r w:rsidRPr="0062664B">
        <w:rPr>
          <w:rtl/>
        </w:rPr>
        <w:t xml:space="preserve"> לגמלאות של פסיכיאטרים, שעלו לישראל בראשית</w:t>
      </w:r>
      <w:r w:rsidR="00C0130A">
        <w:rPr>
          <w:rFonts w:hint="cs"/>
          <w:rtl/>
        </w:rPr>
        <w:t xml:space="preserve"> </w:t>
      </w:r>
      <w:r w:rsidRPr="0062664B">
        <w:rPr>
          <w:rtl/>
        </w:rPr>
        <w:t>שנות התשעים</w:t>
      </w:r>
      <w:r w:rsidR="00247B9F">
        <w:rPr>
          <w:rFonts w:hint="cs"/>
          <w:rtl/>
        </w:rPr>
        <w:t xml:space="preserve"> </w:t>
      </w:r>
      <w:r w:rsidR="001A4183">
        <w:rPr>
          <w:rFonts w:hint="cs"/>
          <w:rtl/>
        </w:rPr>
        <w:t xml:space="preserve">של המאה העשרים </w:t>
      </w:r>
      <w:r w:rsidRPr="0062664B">
        <w:rPr>
          <w:rtl/>
        </w:rPr>
        <w:t>מברית המועצות לשעבר</w:t>
      </w:r>
      <w:r w:rsidRPr="006B6AEB">
        <w:rPr>
          <w:rtl/>
        </w:rPr>
        <w:t xml:space="preserve">, </w:t>
      </w:r>
      <w:r>
        <w:rPr>
          <w:rFonts w:hint="cs"/>
          <w:rtl/>
        </w:rPr>
        <w:t>וה</w:t>
      </w:r>
      <w:r w:rsidRPr="006B6AEB">
        <w:rPr>
          <w:rFonts w:hint="eastAsia"/>
          <w:rtl/>
        </w:rPr>
        <w:t>דבר</w:t>
      </w:r>
      <w:r w:rsidRPr="006B6AEB">
        <w:rPr>
          <w:rtl/>
        </w:rPr>
        <w:t xml:space="preserve"> </w:t>
      </w:r>
      <w:r w:rsidRPr="006B6AEB">
        <w:rPr>
          <w:rFonts w:hint="eastAsia"/>
          <w:rtl/>
        </w:rPr>
        <w:t>צפוי</w:t>
      </w:r>
      <w:r w:rsidRPr="006B6AEB">
        <w:rPr>
          <w:rtl/>
        </w:rPr>
        <w:t xml:space="preserve"> </w:t>
      </w:r>
      <w:r w:rsidRPr="006B6AEB">
        <w:rPr>
          <w:rFonts w:hint="eastAsia"/>
          <w:rtl/>
        </w:rPr>
        <w:t>להעמיק</w:t>
      </w:r>
      <w:r w:rsidRPr="006B6AEB">
        <w:rPr>
          <w:rtl/>
        </w:rPr>
        <w:t xml:space="preserve"> </w:t>
      </w:r>
      <w:r w:rsidRPr="006B6AEB">
        <w:rPr>
          <w:rFonts w:hint="eastAsia"/>
          <w:rtl/>
        </w:rPr>
        <w:t>את</w:t>
      </w:r>
      <w:r w:rsidRPr="006B6AEB">
        <w:rPr>
          <w:rtl/>
        </w:rPr>
        <w:t xml:space="preserve"> </w:t>
      </w:r>
      <w:r w:rsidRPr="006B6AEB">
        <w:rPr>
          <w:rFonts w:hint="eastAsia"/>
          <w:rtl/>
        </w:rPr>
        <w:t>המחסור</w:t>
      </w:r>
      <w:r w:rsidRPr="006B6AEB">
        <w:rPr>
          <w:rtl/>
        </w:rPr>
        <w:t xml:space="preserve"> </w:t>
      </w:r>
      <w:r w:rsidRPr="006B6AEB">
        <w:rPr>
          <w:rFonts w:hint="eastAsia"/>
          <w:rtl/>
        </w:rPr>
        <w:t>בפסיכיאטרים</w:t>
      </w:r>
      <w:r w:rsidRPr="006B6AEB">
        <w:rPr>
          <w:rtl/>
        </w:rPr>
        <w:t>.</w:t>
      </w:r>
      <w:r w:rsidR="00C0130A">
        <w:rPr>
          <w:rFonts w:hint="cs"/>
          <w:rtl/>
        </w:rPr>
        <w:t xml:space="preserve"> </w:t>
      </w:r>
      <w:r w:rsidRPr="0062664B">
        <w:rPr>
          <w:rFonts w:hint="eastAsia"/>
          <w:rtl/>
        </w:rPr>
        <w:t>מהערכה</w:t>
      </w:r>
      <w:r w:rsidRPr="0062664B">
        <w:rPr>
          <w:rtl/>
        </w:rPr>
        <w:t xml:space="preserve"> שעשה משרד מבקר המדינה למספר הפסיכיאטרים המומחים המגיעים לגיל 67 אל מול מספר הפסיכיאטרים המסיימים התמחות באותה השנה</w:t>
      </w:r>
      <w:r>
        <w:rPr>
          <w:rFonts w:hint="cs"/>
          <w:rtl/>
        </w:rPr>
        <w:t>,</w:t>
      </w:r>
      <w:r w:rsidRPr="006B6AEB">
        <w:rPr>
          <w:rtl/>
        </w:rPr>
        <w:t xml:space="preserve"> ובהתבסס על </w:t>
      </w:r>
      <w:r w:rsidRPr="006B6AEB">
        <w:rPr>
          <w:rFonts w:hint="eastAsia"/>
          <w:rtl/>
        </w:rPr>
        <w:t>שיעור</w:t>
      </w:r>
      <w:r w:rsidRPr="006B6AEB">
        <w:rPr>
          <w:rtl/>
        </w:rPr>
        <w:t xml:space="preserve"> </w:t>
      </w:r>
      <w:r w:rsidRPr="006B6AEB">
        <w:rPr>
          <w:rFonts w:hint="eastAsia"/>
          <w:rtl/>
        </w:rPr>
        <w:t>העוברים</w:t>
      </w:r>
      <w:r w:rsidRPr="006B6AEB">
        <w:rPr>
          <w:rtl/>
        </w:rPr>
        <w:t xml:space="preserve"> בהצלחה את </w:t>
      </w:r>
      <w:r w:rsidRPr="006B6AEB">
        <w:rPr>
          <w:rFonts w:hint="eastAsia"/>
          <w:rtl/>
        </w:rPr>
        <w:t>בחינת</w:t>
      </w:r>
      <w:r w:rsidRPr="006B6AEB">
        <w:rPr>
          <w:rtl/>
        </w:rPr>
        <w:t xml:space="preserve"> ההתמחות (</w:t>
      </w:r>
      <w:r w:rsidRPr="006B6AEB">
        <w:rPr>
          <w:rFonts w:hint="eastAsia"/>
          <w:rtl/>
        </w:rPr>
        <w:t>כ</w:t>
      </w:r>
      <w:r w:rsidRPr="006B6AEB">
        <w:rPr>
          <w:rtl/>
        </w:rPr>
        <w:t>-50%),</w:t>
      </w:r>
      <w:r w:rsidRPr="0062664B">
        <w:rPr>
          <w:rtl/>
        </w:rPr>
        <w:t xml:space="preserve"> </w:t>
      </w:r>
      <w:r w:rsidRPr="0062664B">
        <w:rPr>
          <w:rFonts w:hint="eastAsia"/>
          <w:rtl/>
        </w:rPr>
        <w:t>עולה</w:t>
      </w:r>
      <w:r w:rsidRPr="0062664B">
        <w:rPr>
          <w:rtl/>
        </w:rPr>
        <w:t xml:space="preserve"> </w:t>
      </w:r>
      <w:r w:rsidRPr="0062664B">
        <w:rPr>
          <w:rFonts w:hint="eastAsia"/>
          <w:rtl/>
        </w:rPr>
        <w:t>כי</w:t>
      </w:r>
      <w:r w:rsidRPr="0062664B">
        <w:rPr>
          <w:rtl/>
        </w:rPr>
        <w:t xml:space="preserve"> </w:t>
      </w:r>
      <w:r w:rsidRPr="0062664B">
        <w:rPr>
          <w:rFonts w:hint="eastAsia"/>
          <w:rtl/>
        </w:rPr>
        <w:t>בשנים</w:t>
      </w:r>
      <w:r w:rsidRPr="0062664B">
        <w:rPr>
          <w:rtl/>
        </w:rPr>
        <w:t xml:space="preserve"> 2022-2018 </w:t>
      </w:r>
      <w:r w:rsidRPr="006B6AEB">
        <w:rPr>
          <w:rFonts w:hint="eastAsia"/>
          <w:rtl/>
        </w:rPr>
        <w:t>יקטן</w:t>
      </w:r>
      <w:r w:rsidRPr="006B6AEB">
        <w:rPr>
          <w:rtl/>
        </w:rPr>
        <w:t xml:space="preserve"> </w:t>
      </w:r>
      <w:r w:rsidRPr="006B6AEB">
        <w:rPr>
          <w:rFonts w:hint="eastAsia"/>
          <w:rtl/>
        </w:rPr>
        <w:t>מצאי</w:t>
      </w:r>
      <w:r w:rsidRPr="006B6AEB">
        <w:rPr>
          <w:rtl/>
        </w:rPr>
        <w:t xml:space="preserve"> </w:t>
      </w:r>
      <w:r w:rsidRPr="006B6AEB">
        <w:rPr>
          <w:rFonts w:hint="eastAsia"/>
          <w:rtl/>
        </w:rPr>
        <w:t>הפסיכיאטרים</w:t>
      </w:r>
      <w:r w:rsidRPr="006B6AEB">
        <w:rPr>
          <w:rtl/>
        </w:rPr>
        <w:t xml:space="preserve"> </w:t>
      </w:r>
      <w:r w:rsidRPr="006B6AEB">
        <w:rPr>
          <w:rFonts w:hint="eastAsia"/>
          <w:rtl/>
        </w:rPr>
        <w:t>ב</w:t>
      </w:r>
      <w:r w:rsidRPr="006B6AEB">
        <w:rPr>
          <w:rtl/>
        </w:rPr>
        <w:t>-65</w:t>
      </w:r>
      <w:r>
        <w:rPr>
          <w:rFonts w:hint="cs"/>
          <w:rtl/>
        </w:rPr>
        <w:t>,</w:t>
      </w:r>
      <w:r w:rsidRPr="006B6AEB">
        <w:rPr>
          <w:rtl/>
        </w:rPr>
        <w:t xml:space="preserve"> </w:t>
      </w:r>
      <w:r w:rsidRPr="006B6AEB">
        <w:rPr>
          <w:rFonts w:hint="eastAsia"/>
          <w:rtl/>
        </w:rPr>
        <w:t>ומספר</w:t>
      </w:r>
      <w:r w:rsidRPr="006B6AEB">
        <w:rPr>
          <w:rtl/>
        </w:rPr>
        <w:t xml:space="preserve"> </w:t>
      </w:r>
      <w:r w:rsidRPr="006B6AEB">
        <w:rPr>
          <w:rFonts w:hint="eastAsia"/>
          <w:rtl/>
        </w:rPr>
        <w:t>הפסיכיאטרים</w:t>
      </w:r>
      <w:r w:rsidRPr="006B6AEB">
        <w:rPr>
          <w:rtl/>
        </w:rPr>
        <w:t xml:space="preserve"> </w:t>
      </w:r>
      <w:r>
        <w:rPr>
          <w:rFonts w:hint="cs"/>
          <w:rtl/>
        </w:rPr>
        <w:t xml:space="preserve">לילדים </w:t>
      </w:r>
      <w:r w:rsidRPr="006B6AEB">
        <w:rPr>
          <w:rFonts w:hint="eastAsia"/>
          <w:rtl/>
        </w:rPr>
        <w:t>ייוותר</w:t>
      </w:r>
      <w:r w:rsidRPr="006B6AEB">
        <w:rPr>
          <w:rtl/>
        </w:rPr>
        <w:t xml:space="preserve"> </w:t>
      </w:r>
      <w:r w:rsidRPr="006B6AEB">
        <w:rPr>
          <w:rFonts w:hint="eastAsia"/>
          <w:rtl/>
        </w:rPr>
        <w:t>ללא</w:t>
      </w:r>
      <w:r w:rsidRPr="006B6AEB">
        <w:rPr>
          <w:rtl/>
        </w:rPr>
        <w:t xml:space="preserve"> </w:t>
      </w:r>
      <w:r w:rsidRPr="006B6AEB">
        <w:rPr>
          <w:rFonts w:hint="eastAsia"/>
          <w:rtl/>
        </w:rPr>
        <w:t>שינוי</w:t>
      </w:r>
      <w:r w:rsidRPr="00C0130A">
        <w:rPr>
          <w:rStyle w:val="FootnoteReference"/>
          <w:rtl/>
        </w:rPr>
        <w:footnoteReference w:id="112"/>
      </w:r>
      <w:r w:rsidRPr="00C0130A">
        <w:rPr>
          <w:rFonts w:hint="cs"/>
          <w:rtl/>
        </w:rPr>
        <w:t xml:space="preserve">. </w:t>
      </w:r>
      <w:r>
        <w:rPr>
          <w:rFonts w:hint="cs"/>
          <w:rtl/>
        </w:rPr>
        <w:t>הד</w:t>
      </w:r>
      <w:r w:rsidRPr="006B6AEB">
        <w:rPr>
          <w:rtl/>
        </w:rPr>
        <w:t xml:space="preserve">בר </w:t>
      </w:r>
      <w:r>
        <w:rPr>
          <w:rFonts w:hint="cs"/>
          <w:rtl/>
        </w:rPr>
        <w:t>צפוי לה</w:t>
      </w:r>
      <w:r w:rsidRPr="006B6AEB">
        <w:rPr>
          <w:rtl/>
        </w:rPr>
        <w:t>ביא</w:t>
      </w:r>
      <w:r>
        <w:rPr>
          <w:rtl/>
        </w:rPr>
        <w:t xml:space="preserve"> </w:t>
      </w:r>
      <w:r w:rsidRPr="006B6AEB">
        <w:rPr>
          <w:rtl/>
        </w:rPr>
        <w:t>בשנים הקרובות ל</w:t>
      </w:r>
      <w:r>
        <w:rPr>
          <w:rFonts w:hint="cs"/>
          <w:rtl/>
        </w:rPr>
        <w:t xml:space="preserve">מחסור של </w:t>
      </w:r>
      <w:r w:rsidRPr="006B6AEB">
        <w:rPr>
          <w:rtl/>
        </w:rPr>
        <w:t>כ-350</w:t>
      </w:r>
      <w:r w:rsidRPr="0062664B">
        <w:rPr>
          <w:rtl/>
        </w:rPr>
        <w:t xml:space="preserve"> פסיכיאטרים</w:t>
      </w:r>
      <w:r w:rsidRPr="006B6AEB">
        <w:rPr>
          <w:rtl/>
        </w:rPr>
        <w:t>.</w:t>
      </w:r>
      <w:r w:rsidRPr="0062664B">
        <w:rPr>
          <w:rtl/>
        </w:rPr>
        <w:t xml:space="preserve"> </w:t>
      </w:r>
    </w:p>
    <w:p w14:paraId="6097442F" w14:textId="77777777" w:rsidR="00B51F5B" w:rsidRDefault="00B51F5B" w:rsidP="00B56722">
      <w:pPr>
        <w:pStyle w:val="100"/>
        <w:rPr>
          <w:rtl/>
        </w:rPr>
      </w:pPr>
      <w:r w:rsidRPr="00B56722">
        <w:rPr>
          <w:rStyle w:val="Heading7Char"/>
          <w:rFonts w:hint="eastAsia"/>
          <w:color w:val="004E6C"/>
          <w:spacing w:val="0"/>
          <w:rtl/>
        </w:rPr>
        <w:t>ניסיונות</w:t>
      </w:r>
      <w:r w:rsidRPr="00B56722">
        <w:rPr>
          <w:rStyle w:val="Heading7Char"/>
          <w:color w:val="004E6C"/>
          <w:spacing w:val="0"/>
          <w:rtl/>
        </w:rPr>
        <w:t xml:space="preserve"> </w:t>
      </w:r>
      <w:r w:rsidRPr="00B56722">
        <w:rPr>
          <w:rStyle w:val="Heading7Char"/>
          <w:rFonts w:hint="eastAsia"/>
          <w:color w:val="004E6C"/>
          <w:spacing w:val="0"/>
          <w:rtl/>
        </w:rPr>
        <w:t>לעודד</w:t>
      </w:r>
      <w:r w:rsidRPr="00B56722">
        <w:rPr>
          <w:rStyle w:val="Heading7Char"/>
          <w:color w:val="004E6C"/>
          <w:spacing w:val="0"/>
          <w:rtl/>
        </w:rPr>
        <w:t xml:space="preserve"> </w:t>
      </w:r>
      <w:r w:rsidRPr="00B56722">
        <w:rPr>
          <w:rStyle w:val="Heading7Char"/>
          <w:rFonts w:hint="eastAsia"/>
          <w:color w:val="004E6C"/>
          <w:spacing w:val="0"/>
          <w:rtl/>
        </w:rPr>
        <w:t>התמחות</w:t>
      </w:r>
      <w:r w:rsidRPr="00B56722">
        <w:rPr>
          <w:rStyle w:val="Heading7Char"/>
          <w:color w:val="004E6C"/>
          <w:spacing w:val="0"/>
          <w:rtl/>
        </w:rPr>
        <w:t xml:space="preserve"> בפסיכיאטריה </w:t>
      </w:r>
      <w:r w:rsidRPr="00B56722">
        <w:rPr>
          <w:rStyle w:val="Heading7Char"/>
          <w:rFonts w:hint="cs"/>
          <w:color w:val="004E6C"/>
          <w:spacing w:val="0"/>
          <w:rtl/>
        </w:rPr>
        <w:t>וב</w:t>
      </w:r>
      <w:r w:rsidRPr="00B56722">
        <w:rPr>
          <w:rStyle w:val="Heading7Char"/>
          <w:rFonts w:hint="eastAsia"/>
          <w:color w:val="004E6C"/>
          <w:spacing w:val="0"/>
          <w:rtl/>
        </w:rPr>
        <w:t>פסיכיאטריה</w:t>
      </w:r>
      <w:r w:rsidRPr="00B56722">
        <w:rPr>
          <w:rStyle w:val="Heading7Char"/>
          <w:color w:val="004E6C"/>
          <w:spacing w:val="0"/>
          <w:rtl/>
        </w:rPr>
        <w:t xml:space="preserve"> </w:t>
      </w:r>
      <w:r w:rsidRPr="00B56722">
        <w:rPr>
          <w:rStyle w:val="Heading7Char"/>
          <w:rFonts w:hint="eastAsia"/>
          <w:color w:val="004E6C"/>
          <w:spacing w:val="0"/>
          <w:rtl/>
        </w:rPr>
        <w:t>של</w:t>
      </w:r>
      <w:r w:rsidRPr="00B56722">
        <w:rPr>
          <w:rStyle w:val="Heading7Char"/>
          <w:color w:val="004E6C"/>
          <w:spacing w:val="0"/>
          <w:rtl/>
        </w:rPr>
        <w:t xml:space="preserve"> </w:t>
      </w:r>
      <w:r w:rsidRPr="00B56722">
        <w:rPr>
          <w:rStyle w:val="Heading7Char"/>
          <w:rFonts w:hint="eastAsia"/>
          <w:color w:val="004E6C"/>
          <w:spacing w:val="0"/>
          <w:rtl/>
        </w:rPr>
        <w:t>הילד</w:t>
      </w:r>
      <w:r w:rsidRPr="00B56722">
        <w:rPr>
          <w:rStyle w:val="Heading7Char"/>
          <w:rFonts w:hint="cs"/>
          <w:color w:val="004E6C"/>
          <w:spacing w:val="0"/>
          <w:rtl/>
        </w:rPr>
        <w:t xml:space="preserve"> והמתבגר</w:t>
      </w:r>
      <w:r w:rsidRPr="00B56722">
        <w:rPr>
          <w:rStyle w:val="Heading7Char"/>
          <w:color w:val="004E6C"/>
          <w:spacing w:val="0"/>
          <w:rtl/>
        </w:rPr>
        <w:t>:</w:t>
      </w:r>
      <w:r w:rsidRPr="00B56722">
        <w:rPr>
          <w:color w:val="004E6C"/>
          <w:rtl/>
        </w:rPr>
        <w:t xml:space="preserve"> </w:t>
      </w:r>
      <w:r w:rsidRPr="00B02F65">
        <w:rPr>
          <w:rtl/>
        </w:rPr>
        <w:t xml:space="preserve">נוכח מצוקת כוח האדם במקצוע הפסיכיאטריה, הכריז משרד הבריאות </w:t>
      </w:r>
      <w:r w:rsidRPr="00B02F65">
        <w:rPr>
          <w:rFonts w:hint="cs"/>
          <w:rtl/>
        </w:rPr>
        <w:t>בשנת</w:t>
      </w:r>
      <w:r w:rsidRPr="00B02F65">
        <w:rPr>
          <w:rtl/>
        </w:rPr>
        <w:t xml:space="preserve"> 2011 </w:t>
      </w:r>
      <w:r w:rsidRPr="00B02F65">
        <w:rPr>
          <w:rFonts w:hint="cs"/>
          <w:rtl/>
        </w:rPr>
        <w:t>על</w:t>
      </w:r>
      <w:r w:rsidRPr="00B02F65">
        <w:rPr>
          <w:rtl/>
        </w:rPr>
        <w:t xml:space="preserve"> </w:t>
      </w:r>
      <w:r w:rsidRPr="00B02F65">
        <w:rPr>
          <w:rFonts w:hint="cs"/>
          <w:rtl/>
        </w:rPr>
        <w:t>מקצוע</w:t>
      </w:r>
      <w:r w:rsidRPr="00B02F65">
        <w:rPr>
          <w:rtl/>
        </w:rPr>
        <w:t xml:space="preserve"> </w:t>
      </w:r>
      <w:r w:rsidRPr="00B02F65">
        <w:rPr>
          <w:rFonts w:hint="cs"/>
          <w:rtl/>
        </w:rPr>
        <w:t>הפסיכיאטריה</w:t>
      </w:r>
      <w:r w:rsidRPr="00B02F65">
        <w:rPr>
          <w:rtl/>
        </w:rPr>
        <w:t xml:space="preserve"> </w:t>
      </w:r>
      <w:r>
        <w:rPr>
          <w:rFonts w:hint="cs"/>
          <w:rtl/>
        </w:rPr>
        <w:t>של הילד</w:t>
      </w:r>
      <w:r w:rsidRPr="00B02F65">
        <w:rPr>
          <w:rtl/>
        </w:rPr>
        <w:t xml:space="preserve"> </w:t>
      </w:r>
      <w:r w:rsidRPr="00B02F65">
        <w:rPr>
          <w:rFonts w:hint="cs"/>
          <w:rtl/>
        </w:rPr>
        <w:t>כמקצוע</w:t>
      </w:r>
      <w:r w:rsidRPr="00B02F65">
        <w:rPr>
          <w:rtl/>
        </w:rPr>
        <w:t xml:space="preserve"> </w:t>
      </w:r>
      <w:r w:rsidRPr="00B02F65">
        <w:rPr>
          <w:rFonts w:hint="cs"/>
          <w:rtl/>
        </w:rPr>
        <w:t>במצוקה</w:t>
      </w:r>
      <w:r w:rsidRPr="00B02F65">
        <w:rPr>
          <w:rtl/>
        </w:rPr>
        <w:t xml:space="preserve">. </w:t>
      </w:r>
      <w:r>
        <w:rPr>
          <w:rFonts w:hint="cs"/>
          <w:rtl/>
        </w:rPr>
        <w:t>לפיכך העניקו</w:t>
      </w:r>
      <w:r w:rsidRPr="00B02F65">
        <w:rPr>
          <w:rtl/>
        </w:rPr>
        <w:t xml:space="preserve"> </w:t>
      </w:r>
      <w:r>
        <w:rPr>
          <w:rFonts w:hint="cs"/>
          <w:rtl/>
        </w:rPr>
        <w:t>משרדי</w:t>
      </w:r>
      <w:r w:rsidRPr="00B02F65">
        <w:rPr>
          <w:rtl/>
        </w:rPr>
        <w:t xml:space="preserve"> </w:t>
      </w:r>
      <w:r w:rsidRPr="00B02F65">
        <w:rPr>
          <w:rFonts w:hint="cs"/>
          <w:rtl/>
        </w:rPr>
        <w:t>הבריאות</w:t>
      </w:r>
      <w:r w:rsidRPr="00B02F65">
        <w:rPr>
          <w:rtl/>
        </w:rPr>
        <w:t xml:space="preserve"> </w:t>
      </w:r>
      <w:r>
        <w:rPr>
          <w:rFonts w:hint="cs"/>
          <w:rtl/>
        </w:rPr>
        <w:t>ו</w:t>
      </w:r>
      <w:r w:rsidRPr="00B02F65">
        <w:rPr>
          <w:rFonts w:hint="cs"/>
          <w:rtl/>
        </w:rPr>
        <w:t>האוצר</w:t>
      </w:r>
      <w:r w:rsidRPr="00B02F65">
        <w:rPr>
          <w:rtl/>
        </w:rPr>
        <w:t xml:space="preserve"> </w:t>
      </w:r>
      <w:r w:rsidRPr="00B02F65">
        <w:rPr>
          <w:rFonts w:hint="cs"/>
          <w:rtl/>
        </w:rPr>
        <w:t>לעוסקים</w:t>
      </w:r>
      <w:r w:rsidRPr="00B02F65">
        <w:rPr>
          <w:rtl/>
        </w:rPr>
        <w:t xml:space="preserve"> </w:t>
      </w:r>
      <w:r>
        <w:rPr>
          <w:rFonts w:hint="cs"/>
          <w:rtl/>
        </w:rPr>
        <w:t xml:space="preserve">במקצוע </w:t>
      </w:r>
      <w:r w:rsidRPr="00B02F65">
        <w:rPr>
          <w:rFonts w:hint="cs"/>
          <w:rtl/>
        </w:rPr>
        <w:t>מענקי</w:t>
      </w:r>
      <w:r w:rsidRPr="00B02F65">
        <w:rPr>
          <w:rtl/>
        </w:rPr>
        <w:t xml:space="preserve"> </w:t>
      </w:r>
      <w:r w:rsidRPr="00B02F65">
        <w:rPr>
          <w:rFonts w:hint="cs"/>
          <w:rtl/>
        </w:rPr>
        <w:t>תמרוץ</w:t>
      </w:r>
      <w:r w:rsidRPr="00B02F65">
        <w:rPr>
          <w:rtl/>
        </w:rPr>
        <w:t xml:space="preserve"> </w:t>
      </w:r>
      <w:r w:rsidRPr="00B02F65">
        <w:rPr>
          <w:rFonts w:hint="cs"/>
          <w:rtl/>
        </w:rPr>
        <w:t>עבור</w:t>
      </w:r>
      <w:r w:rsidRPr="00B02F65">
        <w:rPr>
          <w:rtl/>
        </w:rPr>
        <w:t xml:space="preserve"> </w:t>
      </w:r>
      <w:r w:rsidRPr="00B02F65">
        <w:rPr>
          <w:rFonts w:hint="cs"/>
          <w:rtl/>
        </w:rPr>
        <w:t>כל</w:t>
      </w:r>
      <w:r w:rsidRPr="00B02F65">
        <w:rPr>
          <w:rtl/>
        </w:rPr>
        <w:t xml:space="preserve"> </w:t>
      </w:r>
      <w:r w:rsidRPr="00B02F65">
        <w:rPr>
          <w:rFonts w:hint="cs"/>
          <w:rtl/>
        </w:rPr>
        <w:t>אחת</w:t>
      </w:r>
      <w:r w:rsidRPr="00B02F65">
        <w:rPr>
          <w:rtl/>
        </w:rPr>
        <w:t xml:space="preserve"> </w:t>
      </w:r>
      <w:r w:rsidRPr="00B02F65">
        <w:rPr>
          <w:rFonts w:hint="cs"/>
          <w:rtl/>
        </w:rPr>
        <w:t>מהשנים</w:t>
      </w:r>
      <w:r w:rsidRPr="00B02F65">
        <w:rPr>
          <w:rtl/>
        </w:rPr>
        <w:t xml:space="preserve"> 201</w:t>
      </w:r>
      <w:r>
        <w:rPr>
          <w:rFonts w:hint="cs"/>
          <w:rtl/>
        </w:rPr>
        <w:t>4</w:t>
      </w:r>
      <w:r w:rsidRPr="00B02F65">
        <w:rPr>
          <w:rtl/>
        </w:rPr>
        <w:t>-201</w:t>
      </w:r>
      <w:r>
        <w:rPr>
          <w:rFonts w:hint="cs"/>
          <w:rtl/>
        </w:rPr>
        <w:t>1</w:t>
      </w:r>
      <w:r>
        <w:rPr>
          <w:rtl/>
        </w:rPr>
        <w:t>. ב</w:t>
      </w:r>
      <w:r>
        <w:rPr>
          <w:rFonts w:hint="cs"/>
          <w:rtl/>
        </w:rPr>
        <w:t xml:space="preserve">שנת </w:t>
      </w:r>
      <w:r>
        <w:rPr>
          <w:rtl/>
        </w:rPr>
        <w:t>2015 ניתנו מענק</w:t>
      </w:r>
      <w:r>
        <w:rPr>
          <w:rFonts w:hint="cs"/>
          <w:rtl/>
        </w:rPr>
        <w:t>י תמרוץ</w:t>
      </w:r>
      <w:r w:rsidRPr="00B02F65">
        <w:rPr>
          <w:rtl/>
        </w:rPr>
        <w:t xml:space="preserve"> </w:t>
      </w:r>
      <w:r>
        <w:rPr>
          <w:rFonts w:hint="cs"/>
          <w:rtl/>
        </w:rPr>
        <w:t xml:space="preserve">למי שהחל </w:t>
      </w:r>
      <w:r w:rsidRPr="00C003F7">
        <w:rPr>
          <w:rtl/>
        </w:rPr>
        <w:t xml:space="preserve">התמחות בפסיכיאטריה ובפסיכיאטריה של הילד. </w:t>
      </w:r>
      <w:r>
        <w:rPr>
          <w:rFonts w:hint="cs"/>
          <w:rtl/>
        </w:rPr>
        <w:t xml:space="preserve">בשנת 2016 הופסקו כל המענקים בתחום, וניתן היה לאשר מענקים רק במסגרת ועדת חריגים. בשנת </w:t>
      </w:r>
      <w:r w:rsidRPr="006D089F">
        <w:rPr>
          <w:rtl/>
        </w:rPr>
        <w:t xml:space="preserve">2017 הוקצו 35 מיליון ש"ח למענקים </w:t>
      </w:r>
      <w:r w:rsidRPr="00084D4C">
        <w:rPr>
          <w:rtl/>
        </w:rPr>
        <w:t xml:space="preserve">לרופאים מומחים צעירים </w:t>
      </w:r>
      <w:r>
        <w:rPr>
          <w:rFonts w:hint="cs"/>
          <w:rtl/>
        </w:rPr>
        <w:t>ב</w:t>
      </w:r>
      <w:r w:rsidRPr="006D089F">
        <w:rPr>
          <w:rtl/>
        </w:rPr>
        <w:t>בתי חולים בפריפריה</w:t>
      </w:r>
      <w:r>
        <w:rPr>
          <w:rFonts w:hint="cs"/>
          <w:rtl/>
        </w:rPr>
        <w:t>, ובכלל זה בבתי חולים פסיכיאטריים</w:t>
      </w:r>
      <w:r w:rsidRPr="000A186D">
        <w:rPr>
          <w:rtl/>
        </w:rPr>
        <w:t>.</w:t>
      </w:r>
      <w:r w:rsidRPr="00E91F58">
        <w:rPr>
          <w:rtl/>
        </w:rPr>
        <w:t xml:space="preserve"> </w:t>
      </w:r>
      <w:r>
        <w:rPr>
          <w:rFonts w:hint="cs"/>
          <w:rtl/>
        </w:rPr>
        <w:t>לאחר דוח מבקר המדינה בנושא אשפוז פסיכיאטרי</w:t>
      </w:r>
      <w:r>
        <w:rPr>
          <w:rStyle w:val="FootnoteReference"/>
          <w:sz w:val="24"/>
          <w:rtl/>
        </w:rPr>
        <w:footnoteReference w:id="113"/>
      </w:r>
      <w:r>
        <w:rPr>
          <w:rFonts w:hint="cs"/>
          <w:rtl/>
        </w:rPr>
        <w:t xml:space="preserve"> ניתנו מספטמבר 2018 ועד לדצמבר 2019 מענקים למי שהחל </w:t>
      </w:r>
      <w:r w:rsidRPr="00C003F7">
        <w:rPr>
          <w:rtl/>
        </w:rPr>
        <w:t>התמחות בפסיכיאטריה ובפסיכיאטריה של הילד</w:t>
      </w:r>
      <w:r>
        <w:rPr>
          <w:rFonts w:hint="cs"/>
          <w:rtl/>
        </w:rPr>
        <w:t xml:space="preserve"> וכן למומחים לפסיכיאטריה שייקלטו בחטיבה לביטחון מרבי</w:t>
      </w:r>
      <w:r w:rsidRPr="006F6FEB">
        <w:rPr>
          <w:rtl/>
        </w:rPr>
        <w:t xml:space="preserve"> </w:t>
      </w:r>
      <w:r>
        <w:rPr>
          <w:rFonts w:hint="cs"/>
          <w:rtl/>
        </w:rPr>
        <w:t>ב</w:t>
      </w:r>
      <w:r w:rsidRPr="006F6FEB">
        <w:rPr>
          <w:rtl/>
        </w:rPr>
        <w:t>שער מנשה</w:t>
      </w:r>
      <w:r>
        <w:rPr>
          <w:rStyle w:val="FootnoteReference"/>
          <w:sz w:val="24"/>
          <w:rtl/>
        </w:rPr>
        <w:footnoteReference w:id="114"/>
      </w:r>
      <w:r>
        <w:rPr>
          <w:rFonts w:hint="cs"/>
          <w:rtl/>
        </w:rPr>
        <w:t xml:space="preserve">. בסך הכול נעו סכומי המענקים שיועדו למתמחים בפסיכיאטריה ובפסיכיאטריה של הילד בשנים 2019-2011 בין כ-130,000 ש"ח בשנת 2016 לאזור המרכז לבין כ-500,000 ש"ח בשנת 2014 באזורי הפריפריה. </w:t>
      </w:r>
    </w:p>
    <w:p w14:paraId="256538BE" w14:textId="77777777" w:rsidR="00B51F5B" w:rsidRDefault="00B51F5B" w:rsidP="00B56722">
      <w:pPr>
        <w:pStyle w:val="af5"/>
        <w:rPr>
          <w:rtl/>
        </w:rPr>
      </w:pPr>
      <w:r w:rsidRPr="0062664B">
        <w:rPr>
          <w:rFonts w:hint="eastAsia"/>
          <w:rtl/>
        </w:rPr>
        <w:t>משרדי</w:t>
      </w:r>
      <w:r w:rsidRPr="0062664B">
        <w:rPr>
          <w:rtl/>
        </w:rPr>
        <w:t xml:space="preserve"> </w:t>
      </w:r>
      <w:r w:rsidRPr="0062664B">
        <w:rPr>
          <w:rFonts w:hint="eastAsia"/>
          <w:rtl/>
        </w:rPr>
        <w:t>הבריאות</w:t>
      </w:r>
      <w:r w:rsidRPr="0062664B">
        <w:rPr>
          <w:rtl/>
        </w:rPr>
        <w:t xml:space="preserve"> </w:t>
      </w:r>
      <w:r w:rsidRPr="0062664B">
        <w:rPr>
          <w:rFonts w:hint="eastAsia"/>
          <w:rtl/>
        </w:rPr>
        <w:t>והאוצר</w:t>
      </w:r>
      <w:r w:rsidRPr="0062664B">
        <w:rPr>
          <w:rtl/>
        </w:rPr>
        <w:t xml:space="preserve"> </w:t>
      </w:r>
      <w:r w:rsidRPr="005D05A9">
        <w:rPr>
          <w:rFonts w:hint="eastAsia"/>
          <w:rtl/>
        </w:rPr>
        <w:t>פעלו</w:t>
      </w:r>
      <w:r w:rsidRPr="005D05A9">
        <w:rPr>
          <w:rtl/>
        </w:rPr>
        <w:t xml:space="preserve"> </w:t>
      </w:r>
      <w:r w:rsidRPr="005D05A9">
        <w:rPr>
          <w:rFonts w:hint="eastAsia"/>
          <w:rtl/>
        </w:rPr>
        <w:t>כדי</w:t>
      </w:r>
      <w:r w:rsidRPr="005D05A9">
        <w:rPr>
          <w:rtl/>
        </w:rPr>
        <w:t xml:space="preserve"> </w:t>
      </w:r>
      <w:r w:rsidRPr="005D05A9">
        <w:rPr>
          <w:rFonts w:hint="eastAsia"/>
          <w:rtl/>
        </w:rPr>
        <w:t>להגדיל</w:t>
      </w:r>
      <w:r>
        <w:rPr>
          <w:rFonts w:hint="cs"/>
          <w:rtl/>
        </w:rPr>
        <w:t xml:space="preserve"> את</w:t>
      </w:r>
      <w:r w:rsidRPr="005D05A9">
        <w:rPr>
          <w:rtl/>
        </w:rPr>
        <w:t xml:space="preserve"> </w:t>
      </w:r>
      <w:r w:rsidRPr="005D05A9">
        <w:rPr>
          <w:rFonts w:hint="eastAsia"/>
          <w:rtl/>
        </w:rPr>
        <w:t>כוח</w:t>
      </w:r>
      <w:r w:rsidRPr="005D05A9">
        <w:rPr>
          <w:rtl/>
        </w:rPr>
        <w:t xml:space="preserve"> </w:t>
      </w:r>
      <w:r w:rsidRPr="005D05A9">
        <w:rPr>
          <w:rFonts w:hint="eastAsia"/>
          <w:rtl/>
        </w:rPr>
        <w:t>האדם</w:t>
      </w:r>
      <w:r w:rsidRPr="005D05A9">
        <w:rPr>
          <w:rtl/>
        </w:rPr>
        <w:t xml:space="preserve"> </w:t>
      </w:r>
      <w:r w:rsidRPr="005D05A9">
        <w:rPr>
          <w:rFonts w:hint="eastAsia"/>
          <w:rtl/>
        </w:rPr>
        <w:t>בתחום</w:t>
      </w:r>
      <w:r w:rsidRPr="005D05A9">
        <w:rPr>
          <w:rtl/>
        </w:rPr>
        <w:t xml:space="preserve"> </w:t>
      </w:r>
      <w:r w:rsidRPr="005D05A9">
        <w:rPr>
          <w:rFonts w:hint="eastAsia"/>
          <w:rtl/>
        </w:rPr>
        <w:t>זה</w:t>
      </w:r>
      <w:r w:rsidRPr="005D05A9">
        <w:rPr>
          <w:rtl/>
        </w:rPr>
        <w:t xml:space="preserve">, </w:t>
      </w:r>
      <w:r w:rsidRPr="005D05A9">
        <w:rPr>
          <w:rFonts w:hint="eastAsia"/>
          <w:rtl/>
        </w:rPr>
        <w:t>אולם</w:t>
      </w:r>
      <w:r w:rsidRPr="005D05A9">
        <w:rPr>
          <w:rtl/>
        </w:rPr>
        <w:t xml:space="preserve"> </w:t>
      </w:r>
      <w:r w:rsidRPr="005D05A9">
        <w:rPr>
          <w:rFonts w:hint="eastAsia"/>
          <w:rtl/>
        </w:rPr>
        <w:t>פעולות</w:t>
      </w:r>
      <w:r w:rsidRPr="005D05A9">
        <w:rPr>
          <w:rtl/>
        </w:rPr>
        <w:t xml:space="preserve"> </w:t>
      </w:r>
      <w:r w:rsidRPr="005D05A9">
        <w:rPr>
          <w:rFonts w:hint="eastAsia"/>
          <w:rtl/>
        </w:rPr>
        <w:t>אלה</w:t>
      </w:r>
      <w:r w:rsidRPr="005D05A9">
        <w:rPr>
          <w:rtl/>
        </w:rPr>
        <w:t xml:space="preserve"> </w:t>
      </w:r>
      <w:r>
        <w:rPr>
          <w:rFonts w:hint="cs"/>
          <w:rtl/>
        </w:rPr>
        <w:t xml:space="preserve">עדיין </w:t>
      </w:r>
      <w:r w:rsidRPr="005D05A9">
        <w:rPr>
          <w:rFonts w:hint="eastAsia"/>
          <w:rtl/>
        </w:rPr>
        <w:t>אינן</w:t>
      </w:r>
      <w:r w:rsidRPr="005D05A9">
        <w:rPr>
          <w:rtl/>
        </w:rPr>
        <w:t xml:space="preserve"> </w:t>
      </w:r>
      <w:r w:rsidRPr="005D05A9">
        <w:rPr>
          <w:rFonts w:hint="eastAsia"/>
          <w:rtl/>
        </w:rPr>
        <w:t>מספיקות</w:t>
      </w:r>
      <w:r w:rsidRPr="005D05A9">
        <w:rPr>
          <w:rtl/>
        </w:rPr>
        <w:t xml:space="preserve"> </w:t>
      </w:r>
      <w:r w:rsidRPr="005D05A9">
        <w:rPr>
          <w:rFonts w:hint="eastAsia"/>
          <w:rtl/>
        </w:rPr>
        <w:t>ויש</w:t>
      </w:r>
      <w:r w:rsidRPr="005D05A9">
        <w:rPr>
          <w:rtl/>
        </w:rPr>
        <w:t xml:space="preserve"> </w:t>
      </w:r>
      <w:r w:rsidRPr="005D05A9">
        <w:rPr>
          <w:rFonts w:hint="eastAsia"/>
          <w:rtl/>
        </w:rPr>
        <w:t>להמשיך</w:t>
      </w:r>
      <w:r w:rsidRPr="005D05A9">
        <w:rPr>
          <w:rtl/>
        </w:rPr>
        <w:t xml:space="preserve"> </w:t>
      </w:r>
      <w:r w:rsidRPr="005D05A9">
        <w:rPr>
          <w:rFonts w:hint="eastAsia"/>
          <w:rtl/>
        </w:rPr>
        <w:t>לפעול</w:t>
      </w:r>
      <w:r w:rsidRPr="005D05A9">
        <w:rPr>
          <w:rtl/>
        </w:rPr>
        <w:t xml:space="preserve"> </w:t>
      </w:r>
      <w:r>
        <w:rPr>
          <w:rFonts w:hint="cs"/>
          <w:rtl/>
        </w:rPr>
        <w:t>לצמצום הפערים הקיימים</w:t>
      </w:r>
      <w:r w:rsidRPr="005D05A9">
        <w:rPr>
          <w:rFonts w:hint="cs"/>
          <w:rtl/>
        </w:rPr>
        <w:t>.</w:t>
      </w:r>
    </w:p>
    <w:p w14:paraId="7698BB35" w14:textId="77777777" w:rsidR="00B51F5B" w:rsidRDefault="00B51F5B" w:rsidP="00B56722">
      <w:pPr>
        <w:pStyle w:val="100"/>
        <w:rPr>
          <w:rtl/>
        </w:rPr>
      </w:pPr>
      <w:r>
        <w:rPr>
          <w:rFonts w:hint="cs"/>
          <w:rtl/>
        </w:rPr>
        <w:t xml:space="preserve">משרד הבריאות מסר בתשובתו כי </w:t>
      </w:r>
      <w:r>
        <w:rPr>
          <w:rtl/>
        </w:rPr>
        <w:t>גיבש ת</w:t>
      </w:r>
      <w:r>
        <w:rPr>
          <w:rFonts w:hint="cs"/>
          <w:rtl/>
        </w:rPr>
        <w:t>ו</w:t>
      </w:r>
      <w:r>
        <w:rPr>
          <w:rtl/>
        </w:rPr>
        <w:t xml:space="preserve">כנית מענקים </w:t>
      </w:r>
      <w:r>
        <w:rPr>
          <w:rFonts w:hint="cs"/>
          <w:rtl/>
        </w:rPr>
        <w:t>במטרה</w:t>
      </w:r>
      <w:r>
        <w:rPr>
          <w:rtl/>
        </w:rPr>
        <w:t xml:space="preserve"> לשפר את שיעורי גיוס המתמחים בפסיכיאטריה ככלל ובאוכלוסייה הערבית בפרט. </w:t>
      </w:r>
      <w:r>
        <w:rPr>
          <w:rFonts w:hint="cs"/>
          <w:rtl/>
        </w:rPr>
        <w:t xml:space="preserve">לתקופה מספטמבר 2018 עד דצמבר 2019 נקבע מנגנון לחלוקת </w:t>
      </w:r>
      <w:r>
        <w:rPr>
          <w:rtl/>
        </w:rPr>
        <w:t xml:space="preserve">המענקים </w:t>
      </w:r>
      <w:r>
        <w:rPr>
          <w:rFonts w:hint="cs"/>
          <w:rtl/>
        </w:rPr>
        <w:t>המתבסס על</w:t>
      </w:r>
      <w:r>
        <w:rPr>
          <w:rtl/>
        </w:rPr>
        <w:t xml:space="preserve"> פערי איוש בדגש על הפריפריה</w:t>
      </w:r>
      <w:r>
        <w:rPr>
          <w:rFonts w:hint="cs"/>
          <w:rtl/>
        </w:rPr>
        <w:t xml:space="preserve"> </w:t>
      </w:r>
      <w:r>
        <w:rPr>
          <w:rtl/>
        </w:rPr>
        <w:t>בסכומים שנעים מ-150,000 ש</w:t>
      </w:r>
      <w:r>
        <w:rPr>
          <w:rFonts w:hint="cs"/>
          <w:rtl/>
        </w:rPr>
        <w:t>"</w:t>
      </w:r>
      <w:r>
        <w:rPr>
          <w:rtl/>
        </w:rPr>
        <w:t>ח ועד 400,000 ש</w:t>
      </w:r>
      <w:r>
        <w:rPr>
          <w:rFonts w:hint="cs"/>
          <w:rtl/>
        </w:rPr>
        <w:t>"</w:t>
      </w:r>
      <w:r>
        <w:rPr>
          <w:rtl/>
        </w:rPr>
        <w:t>ח.</w:t>
      </w:r>
      <w:r>
        <w:rPr>
          <w:rFonts w:hint="cs"/>
          <w:rtl/>
        </w:rPr>
        <w:t xml:space="preserve"> ה</w:t>
      </w:r>
      <w:r>
        <w:rPr>
          <w:rtl/>
        </w:rPr>
        <w:t xml:space="preserve">משרד </w:t>
      </w:r>
      <w:r>
        <w:rPr>
          <w:rFonts w:hint="cs"/>
          <w:rtl/>
        </w:rPr>
        <w:t>מייחס</w:t>
      </w:r>
      <w:r>
        <w:rPr>
          <w:rtl/>
        </w:rPr>
        <w:t xml:space="preserve"> חשיבות </w:t>
      </w:r>
      <w:r>
        <w:rPr>
          <w:rFonts w:hint="cs"/>
          <w:rtl/>
        </w:rPr>
        <w:t>ל</w:t>
      </w:r>
      <w:r>
        <w:rPr>
          <w:rtl/>
        </w:rPr>
        <w:t>המשך מתן מענקים בכלל ולפסיכיאטרים בפרט כמקצוע בעל עדיפות לאומית</w:t>
      </w:r>
      <w:r>
        <w:rPr>
          <w:rFonts w:hint="cs"/>
          <w:rtl/>
        </w:rPr>
        <w:t>. המשרד</w:t>
      </w:r>
      <w:r>
        <w:rPr>
          <w:rtl/>
        </w:rPr>
        <w:t xml:space="preserve"> ע</w:t>
      </w:r>
      <w:r>
        <w:rPr>
          <w:rFonts w:hint="cs"/>
          <w:rtl/>
        </w:rPr>
        <w:t>ו</w:t>
      </w:r>
      <w:r>
        <w:rPr>
          <w:rtl/>
        </w:rPr>
        <w:t xml:space="preserve">רך ניתוח עדכני של החסמים במקצוע </w:t>
      </w:r>
      <w:r>
        <w:rPr>
          <w:rFonts w:hint="cs"/>
          <w:rtl/>
        </w:rPr>
        <w:t>ומתכוון</w:t>
      </w:r>
      <w:r>
        <w:rPr>
          <w:rtl/>
        </w:rPr>
        <w:t xml:space="preserve"> לפעול לש</w:t>
      </w:r>
      <w:r>
        <w:rPr>
          <w:rFonts w:hint="cs"/>
          <w:rtl/>
        </w:rPr>
        <w:t>י</w:t>
      </w:r>
      <w:r>
        <w:rPr>
          <w:rtl/>
        </w:rPr>
        <w:t>פ</w:t>
      </w:r>
      <w:r>
        <w:rPr>
          <w:rFonts w:hint="cs"/>
          <w:rtl/>
        </w:rPr>
        <w:t>ו</w:t>
      </w:r>
      <w:r>
        <w:rPr>
          <w:rtl/>
        </w:rPr>
        <w:t xml:space="preserve">ר תנאי העסקה של פסיכיאטרים במסגרת הסכם שכר הרופאים </w:t>
      </w:r>
      <w:r>
        <w:rPr>
          <w:rFonts w:hint="cs"/>
          <w:rtl/>
        </w:rPr>
        <w:t>ה</w:t>
      </w:r>
      <w:r>
        <w:rPr>
          <w:rtl/>
        </w:rPr>
        <w:t>קרוב.</w:t>
      </w:r>
      <w:r>
        <w:rPr>
          <w:rFonts w:hint="cs"/>
          <w:rtl/>
        </w:rPr>
        <w:t xml:space="preserve"> </w:t>
      </w:r>
      <w:r w:rsidRPr="000B5110">
        <w:rPr>
          <w:rtl/>
        </w:rPr>
        <w:t>אגף השכר והסכמי עבודה במשרד האוצר השיב בדצמבר 2019 כי</w:t>
      </w:r>
      <w:r>
        <w:rPr>
          <w:rFonts w:hint="cs"/>
          <w:rtl/>
        </w:rPr>
        <w:t xml:space="preserve"> הוא</w:t>
      </w:r>
      <w:r w:rsidRPr="000B5110">
        <w:rPr>
          <w:rtl/>
        </w:rPr>
        <w:t xml:space="preserve"> </w:t>
      </w:r>
      <w:r>
        <w:rPr>
          <w:rFonts w:hint="cs"/>
          <w:rtl/>
        </w:rPr>
        <w:t xml:space="preserve">עורך </w:t>
      </w:r>
      <w:r w:rsidRPr="000B5110">
        <w:rPr>
          <w:rtl/>
        </w:rPr>
        <w:t xml:space="preserve">מחקר על מידת יעילותם של המענקים במטרה להפיק לקחים </w:t>
      </w:r>
      <w:r>
        <w:rPr>
          <w:rFonts w:hint="cs"/>
          <w:rtl/>
        </w:rPr>
        <w:t>אשר</w:t>
      </w:r>
      <w:r w:rsidRPr="000B5110">
        <w:rPr>
          <w:rtl/>
        </w:rPr>
        <w:t xml:space="preserve"> ישמשו לעיצוב מדיני</w:t>
      </w:r>
      <w:r>
        <w:rPr>
          <w:rtl/>
        </w:rPr>
        <w:t>ות התמריצים עבור עידוד התמחות במקצועות במצוקה</w:t>
      </w:r>
      <w:r w:rsidRPr="000B5110">
        <w:rPr>
          <w:rtl/>
        </w:rPr>
        <w:t xml:space="preserve"> ככלל ובפסיכיאטריה בפרט.</w:t>
      </w:r>
      <w:r>
        <w:rPr>
          <w:rFonts w:hint="cs"/>
          <w:rtl/>
        </w:rPr>
        <w:t xml:space="preserve"> כמה בתי חולים פסיכיאטריים מסרו כי התמריצים למתמחים שניתנו בשנים 2019-2018 סייעו למילוי מרבית התקנים החסרים, אולם הדבר לא פתר את מצוקת המומחים במרכזים אלו.</w:t>
      </w:r>
    </w:p>
    <w:p w14:paraId="73F24962" w14:textId="77777777" w:rsidR="00B51F5B" w:rsidRPr="00C0570F" w:rsidRDefault="00B51F5B" w:rsidP="00B56722">
      <w:pPr>
        <w:pStyle w:val="100"/>
        <w:rPr>
          <w:rtl/>
        </w:rPr>
      </w:pPr>
      <w:r>
        <w:rPr>
          <w:rFonts w:hint="cs"/>
          <w:rtl/>
        </w:rPr>
        <w:t xml:space="preserve">אגף תקציבים מסר בתשובתו כי </w:t>
      </w:r>
      <w:r w:rsidRPr="00C0570F">
        <w:rPr>
          <w:rtl/>
        </w:rPr>
        <w:t>יש לבחון את ה</w:t>
      </w:r>
      <w:r>
        <w:rPr>
          <w:rFonts w:hint="cs"/>
          <w:rtl/>
        </w:rPr>
        <w:t>יעילות</w:t>
      </w:r>
      <w:r w:rsidRPr="00C0570F">
        <w:rPr>
          <w:rtl/>
        </w:rPr>
        <w:t xml:space="preserve"> של המענקים</w:t>
      </w:r>
      <w:r>
        <w:rPr>
          <w:rFonts w:hint="cs"/>
          <w:rtl/>
        </w:rPr>
        <w:t xml:space="preserve"> שניתנו </w:t>
      </w:r>
      <w:r w:rsidRPr="00C0570F">
        <w:rPr>
          <w:rtl/>
        </w:rPr>
        <w:t>ולבדוק אפשרויות נוספות להגדלת מספר הרופאים בתחום הן באמצעות תמריצים כלכליים, והן באמצעות כלים רגולטורים אחרים, כגון צמצום משכי ההתמחויות בפסיכיאטריה, שינוי ב</w:t>
      </w:r>
      <w:r>
        <w:rPr>
          <w:rFonts w:hint="cs"/>
          <w:rtl/>
        </w:rPr>
        <w:t>תוכנית</w:t>
      </w:r>
      <w:r w:rsidRPr="00C0570F">
        <w:rPr>
          <w:rtl/>
        </w:rPr>
        <w:t xml:space="preserve"> הלימודים, אי הגדלת תקני התמחויות במקומות </w:t>
      </w:r>
      <w:r>
        <w:rPr>
          <w:rFonts w:hint="cs"/>
          <w:rtl/>
        </w:rPr>
        <w:t>מבוקשים</w:t>
      </w:r>
      <w:r w:rsidRPr="00C0570F">
        <w:rPr>
          <w:rtl/>
        </w:rPr>
        <w:t xml:space="preserve"> </w:t>
      </w:r>
      <w:r>
        <w:rPr>
          <w:rtl/>
        </w:rPr>
        <w:t>עד מילוי תקנים פנויים</w:t>
      </w:r>
      <w:r w:rsidRPr="00C0570F">
        <w:rPr>
          <w:rtl/>
        </w:rPr>
        <w:t>.</w:t>
      </w:r>
    </w:p>
    <w:p w14:paraId="6C2FE460" w14:textId="77777777" w:rsidR="00B51F5B" w:rsidRPr="00115E10" w:rsidRDefault="00B51F5B" w:rsidP="009B6E28">
      <w:pPr>
        <w:pStyle w:val="100"/>
        <w:rPr>
          <w:rtl/>
        </w:rPr>
      </w:pPr>
      <w:r w:rsidRPr="009B6E28">
        <w:rPr>
          <w:rStyle w:val="Heading7Char"/>
          <w:rFonts w:hint="eastAsia"/>
          <w:color w:val="004E6C"/>
          <w:spacing w:val="0"/>
          <w:rtl/>
        </w:rPr>
        <w:t>מחסור</w:t>
      </w:r>
      <w:r w:rsidRPr="009B6E28">
        <w:rPr>
          <w:rStyle w:val="Heading7Char"/>
          <w:color w:val="004E6C"/>
          <w:spacing w:val="0"/>
          <w:rtl/>
        </w:rPr>
        <w:t xml:space="preserve"> </w:t>
      </w:r>
      <w:r w:rsidRPr="009B6E28">
        <w:rPr>
          <w:rStyle w:val="Heading7Char"/>
          <w:rFonts w:hint="eastAsia"/>
          <w:color w:val="004E6C"/>
          <w:spacing w:val="0"/>
          <w:rtl/>
        </w:rPr>
        <w:t>בפסיכיאטרים</w:t>
      </w:r>
      <w:r w:rsidRPr="009B6E28">
        <w:rPr>
          <w:rStyle w:val="Heading7Char"/>
          <w:color w:val="004E6C"/>
          <w:spacing w:val="0"/>
          <w:rtl/>
        </w:rPr>
        <w:t xml:space="preserve"> </w:t>
      </w:r>
      <w:r w:rsidRPr="009B6E28">
        <w:rPr>
          <w:rStyle w:val="Heading7Char"/>
          <w:rFonts w:hint="cs"/>
          <w:color w:val="004E6C"/>
          <w:spacing w:val="0"/>
          <w:rtl/>
        </w:rPr>
        <w:t>מה</w:t>
      </w:r>
      <w:r w:rsidRPr="009B6E28">
        <w:rPr>
          <w:rStyle w:val="Heading7Char"/>
          <w:rFonts w:hint="eastAsia"/>
          <w:color w:val="004E6C"/>
          <w:spacing w:val="0"/>
          <w:rtl/>
        </w:rPr>
        <w:t>מגזר</w:t>
      </w:r>
      <w:r w:rsidRPr="009B6E28">
        <w:rPr>
          <w:rStyle w:val="Heading7Char"/>
          <w:color w:val="004E6C"/>
          <w:spacing w:val="0"/>
          <w:rtl/>
        </w:rPr>
        <w:t xml:space="preserve"> </w:t>
      </w:r>
      <w:r w:rsidRPr="009B6E28">
        <w:rPr>
          <w:rStyle w:val="Heading7Char"/>
          <w:rFonts w:hint="eastAsia"/>
          <w:color w:val="004E6C"/>
          <w:spacing w:val="0"/>
          <w:rtl/>
        </w:rPr>
        <w:t>הערבי</w:t>
      </w:r>
      <w:r w:rsidRPr="009B6E28">
        <w:rPr>
          <w:rStyle w:val="Heading7Char"/>
          <w:rFonts w:hint="cs"/>
          <w:color w:val="004E6C"/>
          <w:spacing w:val="0"/>
          <w:rtl/>
        </w:rPr>
        <w:t>:</w:t>
      </w:r>
      <w:r w:rsidRPr="009B6E28">
        <w:rPr>
          <w:rStyle w:val="Heading6Char"/>
          <w:color w:val="004E6C"/>
          <w:rtl/>
        </w:rPr>
        <w:t xml:space="preserve"> </w:t>
      </w:r>
      <w:r>
        <w:rPr>
          <w:rtl/>
        </w:rPr>
        <w:t xml:space="preserve">נכון ליוני 2017 </w:t>
      </w:r>
      <w:r>
        <w:rPr>
          <w:rFonts w:hint="cs"/>
          <w:rtl/>
        </w:rPr>
        <w:t xml:space="preserve">היה </w:t>
      </w:r>
      <w:r>
        <w:rPr>
          <w:rtl/>
        </w:rPr>
        <w:t>שיעור אוכלוסיית המגזר הערבי בישראל 21%</w:t>
      </w:r>
      <w:r>
        <w:rPr>
          <w:rFonts w:hint="cs"/>
          <w:rtl/>
        </w:rPr>
        <w:t xml:space="preserve"> בקירוב,</w:t>
      </w:r>
      <w:r>
        <w:rPr>
          <w:rtl/>
        </w:rPr>
        <w:t xml:space="preserve"> ואולם שיעור הפסיכיאטרים מהמגזר היה נמוך בהרבה: היו </w:t>
      </w:r>
      <w:r>
        <w:rPr>
          <w:rFonts w:hint="cs"/>
          <w:rtl/>
        </w:rPr>
        <w:t>בסך הכול</w:t>
      </w:r>
      <w:r>
        <w:rPr>
          <w:rtl/>
        </w:rPr>
        <w:t xml:space="preserve"> 24 מומחים בפסיכיאטריה שה</w:t>
      </w:r>
      <w:r>
        <w:rPr>
          <w:rFonts w:hint="cs"/>
          <w:rtl/>
        </w:rPr>
        <w:t>ם</w:t>
      </w:r>
      <w:r>
        <w:rPr>
          <w:rtl/>
        </w:rPr>
        <w:t xml:space="preserve"> כ-2% מכלל המומחים בתחום וכן 11 מומחים בפסיכיאטריה של הילד שה</w:t>
      </w:r>
      <w:r>
        <w:rPr>
          <w:rFonts w:hint="cs"/>
          <w:rtl/>
        </w:rPr>
        <w:t>ם</w:t>
      </w:r>
      <w:r>
        <w:rPr>
          <w:rtl/>
        </w:rPr>
        <w:t xml:space="preserve"> כ-4% מכלל המומחים בתחום.</w:t>
      </w:r>
      <w:r>
        <w:rPr>
          <w:rFonts w:hint="cs"/>
          <w:rtl/>
        </w:rPr>
        <w:t xml:space="preserve"> </w:t>
      </w:r>
      <w:r>
        <w:rPr>
          <w:rtl/>
        </w:rPr>
        <w:t>פערי שפה ותרבות בין הפסיכיאטר ל</w:t>
      </w:r>
      <w:r>
        <w:rPr>
          <w:rFonts w:hint="cs"/>
          <w:rtl/>
        </w:rPr>
        <w:t>בין ה</w:t>
      </w:r>
      <w:r>
        <w:rPr>
          <w:rtl/>
        </w:rPr>
        <w:t>מטופל עלולים לפגוע בטיפול</w:t>
      </w:r>
      <w:r>
        <w:rPr>
          <w:rFonts w:hint="cs"/>
          <w:rtl/>
        </w:rPr>
        <w:t>.</w:t>
      </w:r>
      <w:r>
        <w:rPr>
          <w:rtl/>
        </w:rPr>
        <w:t xml:space="preserve"> </w:t>
      </w:r>
      <w:r>
        <w:rPr>
          <w:rFonts w:hint="cs"/>
          <w:rtl/>
        </w:rPr>
        <w:t>כדי</w:t>
      </w:r>
      <w:r>
        <w:rPr>
          <w:rtl/>
        </w:rPr>
        <w:t xml:space="preserve"> למנוע זאת נדרש </w:t>
      </w:r>
      <w:r>
        <w:rPr>
          <w:rFonts w:hint="cs"/>
          <w:rtl/>
        </w:rPr>
        <w:t>ל</w:t>
      </w:r>
      <w:r>
        <w:rPr>
          <w:rtl/>
        </w:rPr>
        <w:t>הכש</w:t>
      </w:r>
      <w:r>
        <w:rPr>
          <w:rFonts w:hint="cs"/>
          <w:rtl/>
        </w:rPr>
        <w:t>יר א</w:t>
      </w:r>
      <w:r>
        <w:rPr>
          <w:rtl/>
        </w:rPr>
        <w:t xml:space="preserve">ת הפסיכיאטרים </w:t>
      </w:r>
      <w:r>
        <w:rPr>
          <w:rFonts w:hint="cs"/>
          <w:rtl/>
        </w:rPr>
        <w:t xml:space="preserve">בהתאם </w:t>
      </w:r>
      <w:r>
        <w:rPr>
          <w:rtl/>
        </w:rPr>
        <w:t xml:space="preserve">או </w:t>
      </w:r>
      <w:r>
        <w:rPr>
          <w:rFonts w:hint="cs"/>
          <w:rtl/>
        </w:rPr>
        <w:t>ל</w:t>
      </w:r>
      <w:r>
        <w:rPr>
          <w:rtl/>
        </w:rPr>
        <w:t xml:space="preserve">שלב גורם מתווך מהמגזר בטיפול (דוגמת אחות, עובד סוציאלי או איש </w:t>
      </w:r>
      <w:r>
        <w:rPr>
          <w:rFonts w:hint="cs"/>
          <w:rtl/>
        </w:rPr>
        <w:t>מינהלה</w:t>
      </w:r>
      <w:r>
        <w:rPr>
          <w:rtl/>
        </w:rPr>
        <w:t xml:space="preserve">). יצוין כי מטופלים מהמגזר הערבי פונים לקבלת טיפול פסיכיאטרי לא רק אצל פסיכיאטרים מהמגזר אלא גם אצל פסיכיאטרים אחרים שלא מהמגזר, ולעיתים אף מעדיפים זאת </w:t>
      </w:r>
      <w:r>
        <w:rPr>
          <w:rFonts w:hint="cs"/>
          <w:rtl/>
        </w:rPr>
        <w:t>כדי</w:t>
      </w:r>
      <w:r>
        <w:rPr>
          <w:rtl/>
        </w:rPr>
        <w:t xml:space="preserve"> להימנע מחשיפה בתוך </w:t>
      </w:r>
      <w:r>
        <w:rPr>
          <w:rFonts w:hint="cs"/>
          <w:rtl/>
        </w:rPr>
        <w:t>ה</w:t>
      </w:r>
      <w:r>
        <w:rPr>
          <w:rtl/>
        </w:rPr>
        <w:t xml:space="preserve">מגזר. </w:t>
      </w:r>
    </w:p>
    <w:p w14:paraId="6D946CBB" w14:textId="77777777" w:rsidR="00B51F5B" w:rsidRDefault="00B51F5B" w:rsidP="009B6E28">
      <w:pPr>
        <w:pStyle w:val="100"/>
        <w:rPr>
          <w:rtl/>
        </w:rPr>
      </w:pPr>
      <w:r>
        <w:rPr>
          <w:rFonts w:hint="cs"/>
          <w:rtl/>
        </w:rPr>
        <w:t>המחסור בפסיכיאטרים במגזר הערבי נובע מכמה סיבות: תדמית הפסיכיאטר בחברה הערבית נמוכה בהשוואה לשאר ההתמחויות ברפואה</w:t>
      </w:r>
      <w:r w:rsidRPr="005D05A9">
        <w:rPr>
          <w:rFonts w:hint="cs"/>
          <w:rtl/>
        </w:rPr>
        <w:t>; התגמול הכספי נמוך</w:t>
      </w:r>
      <w:r>
        <w:rPr>
          <w:rFonts w:hint="cs"/>
          <w:rtl/>
        </w:rPr>
        <w:t xml:space="preserve"> </w:t>
      </w:r>
      <w:r w:rsidRPr="0078726F">
        <w:rPr>
          <w:rFonts w:hint="cs"/>
          <w:rtl/>
        </w:rPr>
        <w:t xml:space="preserve">בהשוואה להתמחויות אחרות; ומחסור בתשתיות במרפאות לבריאות הנפש. </w:t>
      </w:r>
      <w:r w:rsidRPr="0078726F">
        <w:rPr>
          <w:rtl/>
        </w:rPr>
        <w:t>במפגש ב</w:t>
      </w:r>
      <w:r w:rsidRPr="005D05A9">
        <w:rPr>
          <w:rtl/>
        </w:rPr>
        <w:t>נושא הרפורמה במגזר הערבי בפברואר</w:t>
      </w:r>
      <w:r>
        <w:rPr>
          <w:rtl/>
        </w:rPr>
        <w:t xml:space="preserve"> 2016 </w:t>
      </w:r>
      <w:r>
        <w:rPr>
          <w:rFonts w:hint="cs"/>
          <w:rtl/>
        </w:rPr>
        <w:t>עלו</w:t>
      </w:r>
      <w:r>
        <w:rPr>
          <w:rtl/>
        </w:rPr>
        <w:t xml:space="preserve"> </w:t>
      </w:r>
      <w:r>
        <w:rPr>
          <w:rFonts w:hint="cs"/>
          <w:rtl/>
        </w:rPr>
        <w:t>כמה</w:t>
      </w:r>
      <w:r>
        <w:rPr>
          <w:rtl/>
        </w:rPr>
        <w:t xml:space="preserve"> הצעות להעלאת היצע הפסיכיאטרים מהמגזר</w:t>
      </w:r>
      <w:r>
        <w:rPr>
          <w:rFonts w:hint="cs"/>
          <w:rtl/>
        </w:rPr>
        <w:t>,</w:t>
      </w:r>
      <w:r>
        <w:rPr>
          <w:rtl/>
        </w:rPr>
        <w:t xml:space="preserve"> וביניהן: הגדרת מקצוע הפסיכיאטר במגזר הערבי כמקצוע במצוקה; </w:t>
      </w:r>
      <w:r>
        <w:rPr>
          <w:rFonts w:hint="cs"/>
          <w:rtl/>
        </w:rPr>
        <w:t>מתן תמלוגים</w:t>
      </w:r>
      <w:r>
        <w:rPr>
          <w:rtl/>
        </w:rPr>
        <w:t xml:space="preserve"> וחלוקת מלגות לפסיכיאטרים במגזר הערבי; הגדלת מספר המרפאות ב</w:t>
      </w:r>
      <w:r>
        <w:rPr>
          <w:rFonts w:hint="cs"/>
          <w:rtl/>
        </w:rPr>
        <w:t>י</w:t>
      </w:r>
      <w:r>
        <w:rPr>
          <w:rtl/>
        </w:rPr>
        <w:t>ישובים הערביים המוכרות להתמחות; חשיפ</w:t>
      </w:r>
      <w:r>
        <w:rPr>
          <w:rFonts w:hint="cs"/>
          <w:rtl/>
        </w:rPr>
        <w:t>ת</w:t>
      </w:r>
      <w:r>
        <w:rPr>
          <w:rtl/>
        </w:rPr>
        <w:t xml:space="preserve"> סטודנטים ערבים למקצוע הפסיכיאטריה בבתי הספר לרפואה. </w:t>
      </w:r>
      <w:r>
        <w:rPr>
          <w:rFonts w:hint="cs"/>
          <w:rtl/>
        </w:rPr>
        <w:t xml:space="preserve">אולם עד </w:t>
      </w:r>
      <w:r w:rsidRPr="0078726F">
        <w:rPr>
          <w:rFonts w:hint="cs"/>
          <w:rtl/>
        </w:rPr>
        <w:t>מועד סיום</w:t>
      </w:r>
      <w:r>
        <w:rPr>
          <w:rFonts w:hint="cs"/>
          <w:rtl/>
        </w:rPr>
        <w:t xml:space="preserve"> הביקורת נותר מספר המתמחים מהמגזר נמוך מאוד.</w:t>
      </w:r>
    </w:p>
    <w:p w14:paraId="407E31E9" w14:textId="77777777" w:rsidR="00B51F5B" w:rsidRDefault="00B51F5B" w:rsidP="009B6E28">
      <w:pPr>
        <w:pStyle w:val="af5"/>
        <w:rPr>
          <w:rtl/>
        </w:rPr>
      </w:pPr>
      <w:r>
        <w:rPr>
          <w:rFonts w:hint="cs"/>
          <w:rtl/>
        </w:rPr>
        <w:t xml:space="preserve">מהאמור לעיל עולה </w:t>
      </w:r>
      <w:r w:rsidRPr="00961588">
        <w:rPr>
          <w:rFonts w:hint="cs"/>
          <w:rtl/>
        </w:rPr>
        <w:t xml:space="preserve">כי </w:t>
      </w:r>
      <w:r>
        <w:rPr>
          <w:rFonts w:hint="cs"/>
          <w:rtl/>
        </w:rPr>
        <w:t>ניכר</w:t>
      </w:r>
      <w:r w:rsidRPr="00961588">
        <w:rPr>
          <w:rFonts w:hint="cs"/>
          <w:rtl/>
        </w:rPr>
        <w:t xml:space="preserve"> מחסור חמור בפסיכיאטרים</w:t>
      </w:r>
      <w:r>
        <w:rPr>
          <w:rFonts w:hint="cs"/>
          <w:rtl/>
        </w:rPr>
        <w:t xml:space="preserve"> בכלל ובמגזר הערבי בפרט.</w:t>
      </w:r>
      <w:r w:rsidRPr="00961588">
        <w:rPr>
          <w:rFonts w:hint="cs"/>
          <w:rtl/>
        </w:rPr>
        <w:t xml:space="preserve"> </w:t>
      </w:r>
      <w:r w:rsidRPr="00AF7423">
        <w:rPr>
          <w:rtl/>
        </w:rPr>
        <w:t>שיעור הפסיכיאטרים מהמגזר הערבי מכלל הפסיכיאטרים נמוך באופן חריג,</w:t>
      </w:r>
      <w:r>
        <w:rPr>
          <w:rFonts w:hint="cs"/>
          <w:rtl/>
        </w:rPr>
        <w:t xml:space="preserve"> מצב</w:t>
      </w:r>
      <w:r w:rsidRPr="00AF7423">
        <w:rPr>
          <w:rtl/>
        </w:rPr>
        <w:t xml:space="preserve"> </w:t>
      </w:r>
      <w:r>
        <w:rPr>
          <w:rFonts w:hint="cs"/>
          <w:rtl/>
        </w:rPr>
        <w:t xml:space="preserve">שכנראה </w:t>
      </w:r>
      <w:r w:rsidRPr="00AF7423">
        <w:rPr>
          <w:rtl/>
        </w:rPr>
        <w:t xml:space="preserve">משפיע </w:t>
      </w:r>
      <w:r>
        <w:rPr>
          <w:rFonts w:hint="cs"/>
          <w:rtl/>
        </w:rPr>
        <w:t xml:space="preserve">גם על </w:t>
      </w:r>
      <w:r w:rsidRPr="00AF7423">
        <w:rPr>
          <w:rtl/>
        </w:rPr>
        <w:t xml:space="preserve">מספר המטופלים </w:t>
      </w:r>
      <w:r>
        <w:rPr>
          <w:rFonts w:hint="cs"/>
          <w:rtl/>
        </w:rPr>
        <w:t xml:space="preserve">בקרב </w:t>
      </w:r>
      <w:r w:rsidRPr="00AF7423">
        <w:rPr>
          <w:rtl/>
        </w:rPr>
        <w:t>המגזר.</w:t>
      </w:r>
      <w:r>
        <w:rPr>
          <w:rFonts w:hint="cs"/>
          <w:rtl/>
        </w:rPr>
        <w:t xml:space="preserve"> </w:t>
      </w:r>
      <w:r w:rsidRPr="00961588">
        <w:rPr>
          <w:rFonts w:hint="cs"/>
          <w:rtl/>
        </w:rPr>
        <w:t>על אף ת</w:t>
      </w:r>
      <w:r>
        <w:rPr>
          <w:rFonts w:hint="cs"/>
          <w:rtl/>
        </w:rPr>
        <w:t>ו</w:t>
      </w:r>
      <w:r w:rsidRPr="00961588">
        <w:rPr>
          <w:rFonts w:hint="cs"/>
          <w:rtl/>
        </w:rPr>
        <w:t>כניות המענקים שפעלו לסירוגין כבר משנת 2011 לא נפתר המחסור</w:t>
      </w:r>
      <w:r>
        <w:rPr>
          <w:rFonts w:hint="cs"/>
          <w:rtl/>
        </w:rPr>
        <w:t>,</w:t>
      </w:r>
      <w:r w:rsidRPr="00961588">
        <w:rPr>
          <w:rFonts w:hint="cs"/>
          <w:rtl/>
        </w:rPr>
        <w:t xml:space="preserve"> ו</w:t>
      </w:r>
      <w:r>
        <w:rPr>
          <w:rFonts w:hint="cs"/>
          <w:rtl/>
        </w:rPr>
        <w:t xml:space="preserve">הוא </w:t>
      </w:r>
      <w:r w:rsidRPr="00961588">
        <w:rPr>
          <w:rFonts w:hint="cs"/>
          <w:rtl/>
        </w:rPr>
        <w:t>אינו צפוי ל</w:t>
      </w:r>
      <w:r>
        <w:rPr>
          <w:rFonts w:hint="cs"/>
          <w:rtl/>
        </w:rPr>
        <w:t xml:space="preserve">היפתר גם בשנים הקרובות. </w:t>
      </w:r>
    </w:p>
    <w:p w14:paraId="444D7D67" w14:textId="2C59B0AC" w:rsidR="00B51F5B" w:rsidRDefault="00B51F5B" w:rsidP="005D3067">
      <w:pPr>
        <w:pStyle w:val="aff0"/>
        <w:rPr>
          <w:rtl/>
        </w:rPr>
      </w:pPr>
      <w:r>
        <w:rPr>
          <w:rFonts w:hint="cs"/>
          <w:rtl/>
        </w:rPr>
        <w:t>✰</w:t>
      </w:r>
    </w:p>
    <w:p w14:paraId="07DB9007" w14:textId="77777777" w:rsidR="005D3067" w:rsidRPr="007D3E05" w:rsidRDefault="005D3067" w:rsidP="005D3067">
      <w:pPr>
        <w:pStyle w:val="aff0"/>
        <w:rPr>
          <w:rFonts w:ascii="Arial" w:hAnsi="Arial" w:cs="Arial"/>
          <w:rtl/>
        </w:rPr>
      </w:pPr>
    </w:p>
    <w:p w14:paraId="40F17889" w14:textId="77777777" w:rsidR="00B51F5B" w:rsidRDefault="00B51F5B" w:rsidP="009B6E28">
      <w:pPr>
        <w:pStyle w:val="af5"/>
        <w:rPr>
          <w:rtl/>
        </w:rPr>
      </w:pPr>
      <w:r>
        <w:rPr>
          <w:rFonts w:hint="cs"/>
          <w:rtl/>
        </w:rPr>
        <w:t>ראוי שמשרד הבריאות וקופות החולים בשיתוף הר"י והאיגודים המקצועיים יכינו תוכנית הצופה את הפערים במספר הפסיכיאטרים בשנים הקרובות לרבות במגזר הערבי, וכי הם יסכמו על פעולות שיש לנקוט כדי לגשר על פני הפער הצפוי. כדי להתגבר על המחסור הקיים בפסיכיאטרים במגזר הערבי, ועד שיוכשר כוח האדם המתאים, ראוי כי יינתנו פתרונות ביניים לדוגמת שילוב של גורם מתווך (למשל אחות, עובד סוציאלי או איש מינהלה) מהמגזר שיסייע לפסיכיאטר להנגיש את הטיפול בהתאם לשפה ולתרבות.</w:t>
      </w:r>
    </w:p>
    <w:p w14:paraId="365261EA" w14:textId="77777777" w:rsidR="00B51F5B" w:rsidRDefault="00B51F5B" w:rsidP="009B6E28">
      <w:pPr>
        <w:pStyle w:val="414"/>
        <w:rPr>
          <w:rtl/>
        </w:rPr>
      </w:pPr>
      <w:r>
        <w:rPr>
          <w:rFonts w:hint="cs"/>
          <w:rtl/>
        </w:rPr>
        <w:t>המחסור בפסיכותרפיסטים בשירות הציבורי לא קיבל מענה במסגרת הרפורמה</w:t>
      </w:r>
    </w:p>
    <w:p w14:paraId="706A308D" w14:textId="758837AF" w:rsidR="00B51F5B" w:rsidRDefault="00B51F5B" w:rsidP="009B6E28">
      <w:pPr>
        <w:pStyle w:val="100"/>
        <w:rPr>
          <w:rtl/>
        </w:rPr>
      </w:pPr>
      <w:r w:rsidRPr="006772C3">
        <w:rPr>
          <w:rFonts w:hint="cs"/>
          <w:rtl/>
        </w:rPr>
        <w:t xml:space="preserve">הרפורמה בבריאות הנפש הגדילה </w:t>
      </w:r>
      <w:r>
        <w:rPr>
          <w:rFonts w:hint="cs"/>
          <w:rtl/>
        </w:rPr>
        <w:t>במידה רבה</w:t>
      </w:r>
      <w:r w:rsidRPr="006772C3">
        <w:rPr>
          <w:rFonts w:hint="cs"/>
          <w:rtl/>
        </w:rPr>
        <w:t xml:space="preserve"> את </w:t>
      </w:r>
      <w:r>
        <w:rPr>
          <w:rFonts w:hint="cs"/>
          <w:rtl/>
        </w:rPr>
        <w:t xml:space="preserve">מספר </w:t>
      </w:r>
      <w:r w:rsidRPr="006772C3">
        <w:rPr>
          <w:rFonts w:hint="cs"/>
          <w:rtl/>
        </w:rPr>
        <w:t>הטיפולים האמבולטוריים</w:t>
      </w:r>
      <w:r>
        <w:rPr>
          <w:rFonts w:hint="cs"/>
          <w:rtl/>
        </w:rPr>
        <w:t>,</w:t>
      </w:r>
      <w:r w:rsidRPr="006772C3">
        <w:rPr>
          <w:rFonts w:hint="cs"/>
          <w:rtl/>
        </w:rPr>
        <w:t xml:space="preserve"> </w:t>
      </w:r>
      <w:r>
        <w:rPr>
          <w:rFonts w:hint="cs"/>
          <w:rtl/>
        </w:rPr>
        <w:t xml:space="preserve">ובהם הטיפול הפסיכותרפי. טיפולים אלו יכולים להיעשות הן על ידי פסיכולוגים קליניים והן על ידי פסיכיאטרים, עובדים סוציאליים קליניים ומטפלים באומנות שהוכשרו לכך. </w:t>
      </w:r>
      <w:r w:rsidRPr="008D1958">
        <w:rPr>
          <w:rtl/>
        </w:rPr>
        <w:t xml:space="preserve">הטיפול הפסיכותרפי </w:t>
      </w:r>
      <w:r>
        <w:rPr>
          <w:rFonts w:hint="cs"/>
          <w:rtl/>
        </w:rPr>
        <w:t>מבוסס על שיחות, ו</w:t>
      </w:r>
      <w:r w:rsidRPr="008D1958">
        <w:rPr>
          <w:rtl/>
        </w:rPr>
        <w:t>ה</w:t>
      </w:r>
      <w:r>
        <w:rPr>
          <w:rFonts w:hint="cs"/>
          <w:rtl/>
        </w:rPr>
        <w:t>וא</w:t>
      </w:r>
      <w:r w:rsidRPr="008D1958">
        <w:rPr>
          <w:rtl/>
        </w:rPr>
        <w:t xml:space="preserve"> בעל מאפיינים ייחודיים ודורש הכר</w:t>
      </w:r>
      <w:r>
        <w:rPr>
          <w:rFonts w:hint="cs"/>
          <w:rtl/>
        </w:rPr>
        <w:t>ת</w:t>
      </w:r>
      <w:r w:rsidRPr="008D1958">
        <w:rPr>
          <w:rtl/>
        </w:rPr>
        <w:t xml:space="preserve"> הרקע והתרבות </w:t>
      </w:r>
      <w:r>
        <w:rPr>
          <w:rFonts w:hint="cs"/>
          <w:rtl/>
        </w:rPr>
        <w:t>שמהם</w:t>
      </w:r>
      <w:r w:rsidRPr="008D1958">
        <w:rPr>
          <w:rtl/>
        </w:rPr>
        <w:t xml:space="preserve"> מגיע המטופל</w:t>
      </w:r>
      <w:r>
        <w:rPr>
          <w:rFonts w:hint="cs"/>
          <w:rtl/>
        </w:rPr>
        <w:t xml:space="preserve">, עוד יותר מן הטיפול הפסיכיאטרי. </w:t>
      </w:r>
    </w:p>
    <w:p w14:paraId="63B471B6" w14:textId="77777777" w:rsidR="009B6E28" w:rsidRDefault="009B6E28">
      <w:pPr>
        <w:bidi w:val="0"/>
        <w:spacing w:after="200" w:line="276" w:lineRule="auto"/>
        <w:rPr>
          <w:rStyle w:val="Heading5Char"/>
          <w:rFonts w:ascii="Tahoma" w:hAnsi="Tahoma" w:cs="Tahoma"/>
          <w:bCs w:val="0"/>
          <w:color w:val="387026"/>
          <w:sz w:val="24"/>
          <w:szCs w:val="23"/>
          <w:rtl/>
        </w:rPr>
      </w:pPr>
      <w:r>
        <w:rPr>
          <w:rStyle w:val="Heading5Char"/>
          <w:bCs w:val="0"/>
          <w:sz w:val="24"/>
          <w:rtl/>
        </w:rPr>
        <w:br w:type="page"/>
      </w:r>
    </w:p>
    <w:p w14:paraId="00B18EEB" w14:textId="299C13E8" w:rsidR="00B51F5B" w:rsidRPr="00D042B8" w:rsidRDefault="00B51F5B" w:rsidP="009B6E28">
      <w:pPr>
        <w:pStyle w:val="5115"/>
        <w:rPr>
          <w:szCs w:val="32"/>
          <w:rtl/>
        </w:rPr>
      </w:pPr>
      <w:r w:rsidRPr="00D042B8">
        <w:rPr>
          <w:rStyle w:val="Heading5Char"/>
          <w:rFonts w:hint="eastAsia"/>
          <w:bCs w:val="0"/>
          <w:spacing w:val="0"/>
          <w:sz w:val="24"/>
          <w:rtl/>
        </w:rPr>
        <w:t>מחסור</w:t>
      </w:r>
      <w:r w:rsidRPr="00D042B8">
        <w:rPr>
          <w:rStyle w:val="Heading5Char"/>
          <w:bCs w:val="0"/>
          <w:spacing w:val="0"/>
          <w:sz w:val="24"/>
          <w:rtl/>
        </w:rPr>
        <w:t xml:space="preserve"> </w:t>
      </w:r>
      <w:r w:rsidRPr="00D042B8">
        <w:rPr>
          <w:rStyle w:val="Heading5Char"/>
          <w:rFonts w:hint="eastAsia"/>
          <w:bCs w:val="0"/>
          <w:spacing w:val="0"/>
          <w:sz w:val="24"/>
          <w:rtl/>
        </w:rPr>
        <w:t>בפסיכולוגים</w:t>
      </w:r>
      <w:r w:rsidRPr="00D042B8">
        <w:rPr>
          <w:rStyle w:val="Heading5Char"/>
          <w:bCs w:val="0"/>
          <w:spacing w:val="0"/>
          <w:sz w:val="24"/>
          <w:rtl/>
        </w:rPr>
        <w:t xml:space="preserve"> </w:t>
      </w:r>
      <w:r w:rsidRPr="00D042B8">
        <w:rPr>
          <w:rStyle w:val="Heading5Char"/>
          <w:rFonts w:hint="eastAsia"/>
          <w:bCs w:val="0"/>
          <w:spacing w:val="0"/>
          <w:sz w:val="24"/>
          <w:rtl/>
        </w:rPr>
        <w:t>קליניים</w:t>
      </w:r>
      <w:r w:rsidRPr="00D042B8">
        <w:rPr>
          <w:rStyle w:val="Heading5Char"/>
          <w:bCs w:val="0"/>
          <w:spacing w:val="0"/>
          <w:sz w:val="24"/>
          <w:rtl/>
        </w:rPr>
        <w:t xml:space="preserve"> </w:t>
      </w:r>
      <w:r w:rsidRPr="00D042B8">
        <w:rPr>
          <w:rStyle w:val="Heading5Char"/>
          <w:rFonts w:hint="eastAsia"/>
          <w:bCs w:val="0"/>
          <w:spacing w:val="0"/>
          <w:sz w:val="24"/>
          <w:rtl/>
        </w:rPr>
        <w:t>בשירות</w:t>
      </w:r>
      <w:r w:rsidRPr="00D042B8">
        <w:rPr>
          <w:rStyle w:val="Heading5Char"/>
          <w:bCs w:val="0"/>
          <w:spacing w:val="0"/>
          <w:sz w:val="24"/>
          <w:rtl/>
        </w:rPr>
        <w:t xml:space="preserve"> </w:t>
      </w:r>
      <w:r w:rsidRPr="00D042B8">
        <w:rPr>
          <w:rStyle w:val="Heading5Char"/>
          <w:rFonts w:hint="eastAsia"/>
          <w:bCs w:val="0"/>
          <w:spacing w:val="0"/>
          <w:sz w:val="24"/>
          <w:rtl/>
        </w:rPr>
        <w:t>הציבורי</w:t>
      </w:r>
    </w:p>
    <w:p w14:paraId="36C473BC" w14:textId="5E006468" w:rsidR="00B51F5B" w:rsidRDefault="00B51F5B" w:rsidP="009B6E28">
      <w:pPr>
        <w:pStyle w:val="100"/>
        <w:rPr>
          <w:rtl/>
        </w:rPr>
      </w:pPr>
      <w:r>
        <w:rPr>
          <w:rFonts w:hint="cs"/>
          <w:rtl/>
        </w:rPr>
        <w:t>בדצמבר</w:t>
      </w:r>
      <w:r w:rsidRPr="006772C3">
        <w:rPr>
          <w:rFonts w:hint="cs"/>
          <w:rtl/>
        </w:rPr>
        <w:t xml:space="preserve"> 2018 </w:t>
      </w:r>
      <w:r>
        <w:rPr>
          <w:rFonts w:hint="cs"/>
          <w:rtl/>
        </w:rPr>
        <w:t>היו</w:t>
      </w:r>
      <w:r w:rsidRPr="006772C3">
        <w:rPr>
          <w:rFonts w:hint="cs"/>
          <w:rtl/>
        </w:rPr>
        <w:t xml:space="preserve"> </w:t>
      </w:r>
      <w:r w:rsidRPr="00103FE7">
        <w:rPr>
          <w:rFonts w:hint="cs"/>
          <w:rtl/>
        </w:rPr>
        <w:t>בארץ 13,865 פסיכולוגים</w:t>
      </w:r>
      <w:r w:rsidRPr="00773FF4">
        <w:rPr>
          <w:rFonts w:hint="cs"/>
          <w:rtl/>
        </w:rPr>
        <w:t xml:space="preserve"> </w:t>
      </w:r>
      <w:r w:rsidRPr="00103FE7">
        <w:rPr>
          <w:rFonts w:hint="cs"/>
          <w:rtl/>
        </w:rPr>
        <w:t>בכלל תחומי ההתמחות בפסיכולוגיה</w:t>
      </w:r>
      <w:r>
        <w:rPr>
          <w:rFonts w:hint="cs"/>
          <w:rtl/>
        </w:rPr>
        <w:t>,</w:t>
      </w:r>
      <w:r w:rsidRPr="00103FE7">
        <w:rPr>
          <w:rFonts w:hint="cs"/>
          <w:rtl/>
        </w:rPr>
        <w:t xml:space="preserve"> </w:t>
      </w:r>
      <w:r>
        <w:rPr>
          <w:rFonts w:hint="cs"/>
          <w:rtl/>
        </w:rPr>
        <w:t>ו</w:t>
      </w:r>
      <w:r w:rsidRPr="00103FE7">
        <w:rPr>
          <w:rFonts w:hint="cs"/>
          <w:rtl/>
        </w:rPr>
        <w:t>מהם 11,856 עד גיל 67</w:t>
      </w:r>
      <w:r>
        <w:rPr>
          <w:rStyle w:val="FootnoteReference"/>
          <w:rtl/>
        </w:rPr>
        <w:footnoteReference w:id="115"/>
      </w:r>
      <w:r>
        <w:rPr>
          <w:rFonts w:hint="cs"/>
          <w:rtl/>
        </w:rPr>
        <w:t>;</w:t>
      </w:r>
      <w:r w:rsidRPr="00103FE7">
        <w:rPr>
          <w:rFonts w:hint="cs"/>
          <w:rtl/>
        </w:rPr>
        <w:t xml:space="preserve"> מ</w:t>
      </w:r>
      <w:r>
        <w:rPr>
          <w:rFonts w:hint="cs"/>
          <w:rtl/>
        </w:rPr>
        <w:t xml:space="preserve">תוך כלל הפסיכולוגים </w:t>
      </w:r>
      <w:r w:rsidRPr="00103FE7">
        <w:rPr>
          <w:rFonts w:hint="cs"/>
          <w:rtl/>
        </w:rPr>
        <w:t>4,635</w:t>
      </w:r>
      <w:r w:rsidRPr="006772C3">
        <w:rPr>
          <w:rFonts w:hint="cs"/>
          <w:rtl/>
        </w:rPr>
        <w:t xml:space="preserve"> </w:t>
      </w:r>
      <w:r>
        <w:rPr>
          <w:rFonts w:hint="cs"/>
          <w:rtl/>
        </w:rPr>
        <w:t>ה</w:t>
      </w:r>
      <w:r w:rsidRPr="006772C3">
        <w:rPr>
          <w:rFonts w:hint="cs"/>
          <w:rtl/>
        </w:rPr>
        <w:t xml:space="preserve">ם בעלי התמחות קלינית </w:t>
      </w:r>
      <w:r w:rsidRPr="008F51A9">
        <w:rPr>
          <w:rtl/>
        </w:rPr>
        <w:t>הנדרשת למתן טיפולי פסיכותרפיה</w:t>
      </w:r>
      <w:r>
        <w:rPr>
          <w:rFonts w:hint="cs"/>
          <w:rtl/>
        </w:rPr>
        <w:t>,</w:t>
      </w:r>
      <w:r w:rsidRPr="008F51A9">
        <w:rPr>
          <w:rFonts w:hint="cs"/>
          <w:rtl/>
        </w:rPr>
        <w:t xml:space="preserve"> </w:t>
      </w:r>
      <w:r w:rsidRPr="006772C3">
        <w:rPr>
          <w:rFonts w:hint="cs"/>
          <w:rtl/>
        </w:rPr>
        <w:t xml:space="preserve">3,719 </w:t>
      </w:r>
      <w:r>
        <w:rPr>
          <w:rFonts w:hint="cs"/>
          <w:rtl/>
        </w:rPr>
        <w:t xml:space="preserve">מהם </w:t>
      </w:r>
      <w:r w:rsidRPr="006772C3">
        <w:rPr>
          <w:rFonts w:hint="cs"/>
          <w:rtl/>
        </w:rPr>
        <w:t>עד גיל 67</w:t>
      </w:r>
      <w:r>
        <w:rPr>
          <w:rFonts w:hint="cs"/>
          <w:rtl/>
        </w:rPr>
        <w:t>.</w:t>
      </w:r>
      <w:r w:rsidRPr="006772C3">
        <w:rPr>
          <w:rFonts w:hint="cs"/>
          <w:rtl/>
        </w:rPr>
        <w:t xml:space="preserve"> </w:t>
      </w:r>
      <w:r>
        <w:rPr>
          <w:rFonts w:hint="cs"/>
          <w:rtl/>
        </w:rPr>
        <w:t>שיעור ה</w:t>
      </w:r>
      <w:r w:rsidRPr="006772C3">
        <w:rPr>
          <w:rFonts w:hint="cs"/>
          <w:rtl/>
        </w:rPr>
        <w:t xml:space="preserve">פסיכולוגים </w:t>
      </w:r>
      <w:r>
        <w:rPr>
          <w:rFonts w:hint="cs"/>
          <w:rtl/>
        </w:rPr>
        <w:t>ה</w:t>
      </w:r>
      <w:r w:rsidRPr="006772C3">
        <w:rPr>
          <w:rFonts w:hint="cs"/>
          <w:rtl/>
        </w:rPr>
        <w:t>קלינ</w:t>
      </w:r>
      <w:r>
        <w:rPr>
          <w:rFonts w:hint="cs"/>
          <w:rtl/>
        </w:rPr>
        <w:t>י</w:t>
      </w:r>
      <w:r w:rsidRPr="006772C3">
        <w:rPr>
          <w:rFonts w:hint="cs"/>
          <w:rtl/>
        </w:rPr>
        <w:t xml:space="preserve">ים </w:t>
      </w:r>
      <w:r>
        <w:rPr>
          <w:rFonts w:hint="cs"/>
          <w:rtl/>
        </w:rPr>
        <w:t xml:space="preserve">ב- 2018 עמד על 0.415 </w:t>
      </w:r>
      <w:r w:rsidRPr="006772C3">
        <w:rPr>
          <w:rFonts w:hint="cs"/>
          <w:rtl/>
        </w:rPr>
        <w:t>ל-1,000 נפש</w:t>
      </w:r>
      <w:r>
        <w:rPr>
          <w:rStyle w:val="FootnoteReference"/>
          <w:rtl/>
        </w:rPr>
        <w:footnoteReference w:id="116"/>
      </w:r>
      <w:r>
        <w:rPr>
          <w:rFonts w:hint="cs"/>
          <w:rtl/>
        </w:rPr>
        <w:t>, לעומת 0.38 ב</w:t>
      </w:r>
      <w:r w:rsidRPr="006772C3">
        <w:rPr>
          <w:rFonts w:hint="cs"/>
          <w:rtl/>
        </w:rPr>
        <w:t>שנת 2015</w:t>
      </w:r>
      <w:r>
        <w:rPr>
          <w:rStyle w:val="FootnoteReference"/>
          <w:rtl/>
        </w:rPr>
        <w:footnoteReference w:id="117"/>
      </w:r>
      <w:r w:rsidRPr="006772C3">
        <w:rPr>
          <w:rFonts w:hint="cs"/>
          <w:rtl/>
        </w:rPr>
        <w:t xml:space="preserve">. </w:t>
      </w:r>
      <w:r>
        <w:rPr>
          <w:rFonts w:hint="cs"/>
          <w:rtl/>
        </w:rPr>
        <w:t>כ-200 סטודנטים מסיימים תואר מוסמך ("</w:t>
      </w:r>
      <w:r w:rsidR="00D042B8">
        <w:rPr>
          <w:rFonts w:hint="cs"/>
          <w:rtl/>
        </w:rPr>
        <w:t xml:space="preserve">תואר </w:t>
      </w:r>
      <w:r>
        <w:rPr>
          <w:rFonts w:hint="cs"/>
          <w:rtl/>
        </w:rPr>
        <w:t>שני") בפסיכולוגיה קלינית מדי שנה, ואליהם מצטרפים בוגרי אוניברסיטאות בחו"ל.</w:t>
      </w:r>
      <w:r>
        <w:rPr>
          <w:rFonts w:hint="cs"/>
          <w:color w:val="FF0000"/>
          <w:rtl/>
        </w:rPr>
        <w:t xml:space="preserve"> </w:t>
      </w:r>
    </w:p>
    <w:p w14:paraId="660294D9" w14:textId="30371843" w:rsidR="00B51F5B" w:rsidRPr="0062664B" w:rsidRDefault="00B51F5B" w:rsidP="009B6E28">
      <w:pPr>
        <w:pStyle w:val="100"/>
        <w:rPr>
          <w:rtl/>
        </w:rPr>
      </w:pPr>
      <w:r>
        <w:rPr>
          <w:rFonts w:hint="cs"/>
          <w:rtl/>
        </w:rPr>
        <w:t>תהליך הכשרה בתחום הפסיכולוגיה הקלינית, כולל לימודי תואר בוגר ("</w:t>
      </w:r>
      <w:r w:rsidR="00BD1961">
        <w:rPr>
          <w:rFonts w:hint="cs"/>
          <w:rtl/>
        </w:rPr>
        <w:t xml:space="preserve">תואר </w:t>
      </w:r>
      <w:r>
        <w:rPr>
          <w:rFonts w:hint="cs"/>
          <w:rtl/>
        </w:rPr>
        <w:t>ראשון"), תואר מוסמך ותקופת התמחות, הנמשכת שנתיים במשרה מלאה, אולם הלכה למעשה נמשכת ארבע שנים מאחר שבשל מחסור במקומות התמחות, מרבית המתמחים מועסקים במשרה חלקית. כך התהליך שאמור להימשך כתשע שנים, נמשך כ-11 שנים</w:t>
      </w:r>
      <w:r>
        <w:rPr>
          <w:rStyle w:val="FootnoteReference"/>
          <w:rtl/>
        </w:rPr>
        <w:footnoteReference w:id="118"/>
      </w:r>
      <w:r w:rsidRPr="002549F1">
        <w:rPr>
          <w:rtl/>
        </w:rPr>
        <w:t>.</w:t>
      </w:r>
      <w:r>
        <w:rPr>
          <w:rFonts w:hint="cs"/>
          <w:rtl/>
        </w:rPr>
        <w:t xml:space="preserve"> תהליך ההכשרה הארוך מביא לכך שמעטים בלבד מסיימים את התמחותם הקלינית מדי שנה.</w:t>
      </w:r>
      <w:r>
        <w:rPr>
          <w:rFonts w:hint="cs"/>
          <w:color w:val="FF0000"/>
          <w:rtl/>
        </w:rPr>
        <w:t xml:space="preserve"> </w:t>
      </w:r>
      <w:r w:rsidRPr="00D32C29">
        <w:rPr>
          <w:rFonts w:hint="cs"/>
          <w:rtl/>
        </w:rPr>
        <w:t xml:space="preserve">לאחר כניסת הרפורמה לתוקף, עלתה </w:t>
      </w:r>
      <w:r w:rsidRPr="00D32C29">
        <w:rPr>
          <w:rtl/>
        </w:rPr>
        <w:t>כמות המלגות</w:t>
      </w:r>
      <w:r>
        <w:rPr>
          <w:rFonts w:hint="cs"/>
          <w:rtl/>
        </w:rPr>
        <w:t>, המשמשות להכשרת המתמחים</w:t>
      </w:r>
      <w:r w:rsidRPr="00F037EC">
        <w:rPr>
          <w:rFonts w:hint="cs"/>
          <w:rtl/>
        </w:rPr>
        <w:t xml:space="preserve"> </w:t>
      </w:r>
      <w:r>
        <w:rPr>
          <w:rFonts w:hint="cs"/>
          <w:rtl/>
        </w:rPr>
        <w:t>ולהעסקתם,</w:t>
      </w:r>
      <w:r w:rsidRPr="00D32C29">
        <w:rPr>
          <w:rtl/>
        </w:rPr>
        <w:t xml:space="preserve"> מ-325 מלגות בשנת 2015 ל-542 מלגות בשנת 2019, בעוד התקציב לנושא נשאר כמעט ללא שינוי. </w:t>
      </w:r>
      <w:r>
        <w:rPr>
          <w:rFonts w:hint="cs"/>
          <w:rtl/>
        </w:rPr>
        <w:t>מספר</w:t>
      </w:r>
      <w:r w:rsidRPr="00D32C29">
        <w:rPr>
          <w:rtl/>
        </w:rPr>
        <w:t xml:space="preserve"> המתמחים הממתינים לקבלת מלגה עומד נכון לאוגוסט 2019 על כ-480 מתמחים, אך בכל שנה נקלטים במערכת כ-350 מתמחים בלבד.</w:t>
      </w:r>
    </w:p>
    <w:p w14:paraId="265ADE8F" w14:textId="77777777" w:rsidR="00B51F5B" w:rsidRDefault="00B51F5B" w:rsidP="009B6E28">
      <w:pPr>
        <w:pStyle w:val="100"/>
        <w:rPr>
          <w:rtl/>
        </w:rPr>
      </w:pPr>
      <w:r w:rsidRPr="005829C3">
        <w:rPr>
          <w:rtl/>
        </w:rPr>
        <w:t>לפי הערכות</w:t>
      </w:r>
      <w:r>
        <w:rPr>
          <w:rFonts w:hint="cs"/>
          <w:rtl/>
        </w:rPr>
        <w:t xml:space="preserve"> מומחים ניכר</w:t>
      </w:r>
      <w:r w:rsidRPr="005829C3">
        <w:rPr>
          <w:rtl/>
        </w:rPr>
        <w:t xml:space="preserve"> </w:t>
      </w:r>
      <w:r>
        <w:rPr>
          <w:rFonts w:hint="cs"/>
          <w:rtl/>
        </w:rPr>
        <w:t>מחסור חמור בפסיכולוגים קליניים בשירות הציבורי - במרפאות הממשלתיות ובקופות החולים. בשנת 2013 הוערך המחסור</w:t>
      </w:r>
      <w:r w:rsidRPr="005829C3">
        <w:rPr>
          <w:rtl/>
        </w:rPr>
        <w:t xml:space="preserve"> </w:t>
      </w:r>
      <w:r>
        <w:rPr>
          <w:rFonts w:hint="cs"/>
          <w:rtl/>
        </w:rPr>
        <w:t xml:space="preserve">בהיקף </w:t>
      </w:r>
      <w:r w:rsidRPr="005829C3">
        <w:rPr>
          <w:rtl/>
        </w:rPr>
        <w:t>של כ-300 פסיכולוגים למבוגרים וכ-200 לילדים</w:t>
      </w:r>
      <w:r>
        <w:rPr>
          <w:rFonts w:hint="cs"/>
          <w:rtl/>
        </w:rPr>
        <w:t>, כלומר סך הכול חוסר של 500 תקני פסיכולוגים (מדובר בכ-1,000 פסיכולוגים שכן רובם מועסקים בהיקף של חצי משרה). הסתדרות הפסיכולוגים מסרה למשרד מבקר המדינה בדצמבר 2019 כי להערכתה חסרים כ-1,770 תקנים של פסיכולוגים קליניים בשירות הציבורי. בשנת 2019 העריך האגף לבריאות הנפש את המחסור בכ-400 פסיכותרפיסטים (פסיכולוגים ועובדים סוציאליים)</w:t>
      </w:r>
      <w:r w:rsidRPr="005829C3">
        <w:rPr>
          <w:rtl/>
        </w:rPr>
        <w:t>.</w:t>
      </w:r>
      <w:r>
        <w:rPr>
          <w:rFonts w:hint="cs"/>
          <w:rtl/>
        </w:rPr>
        <w:t xml:space="preserve"> </w:t>
      </w:r>
    </w:p>
    <w:p w14:paraId="5D6249DD" w14:textId="77777777" w:rsidR="00B51F5B" w:rsidRDefault="00B51F5B" w:rsidP="009B6E28">
      <w:pPr>
        <w:pStyle w:val="100"/>
        <w:rPr>
          <w:rtl/>
        </w:rPr>
      </w:pPr>
      <w:r>
        <w:rPr>
          <w:rFonts w:hint="cs"/>
          <w:rtl/>
        </w:rPr>
        <w:t>ארגונים מקצועיים</w:t>
      </w:r>
      <w:r>
        <w:rPr>
          <w:rStyle w:val="FootnoteReference"/>
          <w:rtl/>
        </w:rPr>
        <w:footnoteReference w:id="119"/>
      </w:r>
      <w:r>
        <w:rPr>
          <w:rFonts w:hint="cs"/>
          <w:rtl/>
        </w:rPr>
        <w:t xml:space="preserve"> הצביעו על שתי סיבות למחסור בפסיכולוגים קליניים</w:t>
      </w:r>
      <w:r>
        <w:t xml:space="preserve"> </w:t>
      </w:r>
      <w:r>
        <w:rPr>
          <w:rFonts w:hint="cs"/>
          <w:rtl/>
        </w:rPr>
        <w:t xml:space="preserve">בשירות הציבורי שבגללן יעדיפו לעבוד במגזר הפרטי: הסיבה הראשונה היא שקופות החולים אינן מגייסות די פסיכולוגים קליניים כשכירים למתן השירות והן מסיטות חלק מהתקציב המיועד למימון הרפורמה בבריאות הנפש למטרות אחרות. המענה שניתן למטופלים הוא לפנות למסלול המטפלים העצמאיים. אפשרות זו כדאית לקופות כאמור מהבחינה הכלכלית והיא מפחיתה את התמריץ שלהן להקים מרפאות רב-מקצועיות, אשר ייתנו מענה לבעיות מורכבות. הסיבה השנייה נעוצה בקושי לאייש משרות קיימות בשל תנאי שכר והעסקה נמוכים, מאחר </w:t>
      </w:r>
      <w:r w:rsidRPr="009C584D">
        <w:rPr>
          <w:rFonts w:hint="eastAsia"/>
          <w:rtl/>
        </w:rPr>
        <w:t>ששכר</w:t>
      </w:r>
      <w:r>
        <w:rPr>
          <w:rFonts w:hint="cs"/>
          <w:rtl/>
        </w:rPr>
        <w:t xml:space="preserve"> פסיכולוג בשירות הציבורי אינו הולם את שנות הלימוד, ההכשרה והאחריות הרבה הנדרשות ממנו</w:t>
      </w:r>
      <w:r>
        <w:rPr>
          <w:rStyle w:val="FootnoteReference"/>
          <w:rtl/>
        </w:rPr>
        <w:footnoteReference w:id="120"/>
      </w:r>
      <w:r>
        <w:rPr>
          <w:rFonts w:hint="cs"/>
          <w:rtl/>
        </w:rPr>
        <w:t>. נוסף על כך, רובם המכריע של הפסיכולוגים מועסקים במשרות חלקיות ושכרם הוא בהתאם לכך</w:t>
      </w:r>
      <w:r>
        <w:rPr>
          <w:rStyle w:val="FootnoteReference"/>
          <w:rtl/>
        </w:rPr>
        <w:footnoteReference w:id="121"/>
      </w:r>
      <w:r>
        <w:rPr>
          <w:rFonts w:hint="cs"/>
          <w:rtl/>
        </w:rPr>
        <w:t xml:space="preserve">. </w:t>
      </w:r>
    </w:p>
    <w:p w14:paraId="6EC2A8AB" w14:textId="6CAECCE4" w:rsidR="00B51F5B" w:rsidRDefault="00B51F5B" w:rsidP="009B6E28">
      <w:pPr>
        <w:pStyle w:val="af5"/>
        <w:rPr>
          <w:rtl/>
        </w:rPr>
      </w:pPr>
      <w:r>
        <w:rPr>
          <w:rFonts w:hint="cs"/>
          <w:rtl/>
        </w:rPr>
        <w:t xml:space="preserve">המחסור בכוח </w:t>
      </w:r>
      <w:r w:rsidRPr="00F7108E">
        <w:rPr>
          <w:rFonts w:hint="cs"/>
          <w:rtl/>
        </w:rPr>
        <w:t xml:space="preserve">אדם </w:t>
      </w:r>
      <w:r w:rsidRPr="005A46E3">
        <w:rPr>
          <w:rFonts w:hint="cs"/>
          <w:rtl/>
        </w:rPr>
        <w:t xml:space="preserve">ייעודי לטיפולי פסיכותרפיה </w:t>
      </w:r>
      <w:r w:rsidRPr="00F7108E">
        <w:rPr>
          <w:rFonts w:hint="cs"/>
          <w:rtl/>
        </w:rPr>
        <w:t xml:space="preserve">בשירות הציבורי </w:t>
      </w:r>
      <w:r>
        <w:rPr>
          <w:rFonts w:hint="cs"/>
          <w:rtl/>
        </w:rPr>
        <w:t>(ל</w:t>
      </w:r>
      <w:r w:rsidRPr="00F7108E">
        <w:rPr>
          <w:rFonts w:hint="cs"/>
          <w:rtl/>
        </w:rPr>
        <w:t xml:space="preserve">טיפולים ללא </w:t>
      </w:r>
      <w:r>
        <w:rPr>
          <w:rFonts w:hint="cs"/>
          <w:rtl/>
        </w:rPr>
        <w:t>דמי השתתפות עצמית)</w:t>
      </w:r>
      <w:r w:rsidRPr="002C28D5">
        <w:rPr>
          <w:rFonts w:hint="cs"/>
          <w:rtl/>
        </w:rPr>
        <w:t xml:space="preserve"> </w:t>
      </w:r>
      <w:r w:rsidRPr="005A46E3">
        <w:rPr>
          <w:rFonts w:hint="cs"/>
          <w:rtl/>
        </w:rPr>
        <w:t>הנובע, בין היתר, מכך שקופות החולים לא העסיקו מספיק פסיכותרפיסטים</w:t>
      </w:r>
      <w:r w:rsidRPr="00F7108E">
        <w:rPr>
          <w:rFonts w:hint="cs"/>
          <w:rtl/>
        </w:rPr>
        <w:t>, גורם לתורי המתנה ארוכים</w:t>
      </w:r>
      <w:r>
        <w:rPr>
          <w:rFonts w:hint="cs"/>
          <w:rtl/>
        </w:rPr>
        <w:t>,</w:t>
      </w:r>
      <w:r w:rsidRPr="00F7108E">
        <w:rPr>
          <w:rFonts w:hint="cs"/>
          <w:rtl/>
        </w:rPr>
        <w:t xml:space="preserve"> העומדים על פי פרסומי משרד הבריאות על כ-150 יום בממוצע לשנת 2018</w:t>
      </w:r>
      <w:r>
        <w:rPr>
          <w:rFonts w:hint="cs"/>
          <w:rtl/>
        </w:rPr>
        <w:t xml:space="preserve"> לאחר ההמתנה לאבחון המבוצע לעיתים על ידי פסיכולוג קליני</w:t>
      </w:r>
      <w:r w:rsidRPr="00F7108E">
        <w:rPr>
          <w:rFonts w:hint="cs"/>
          <w:rtl/>
        </w:rPr>
        <w:t xml:space="preserve"> (כאמור לעיל בפרק בנושא </w:t>
      </w:r>
      <w:r w:rsidR="00FE49CB">
        <w:rPr>
          <w:rFonts w:hint="cs"/>
          <w:rtl/>
        </w:rPr>
        <w:t>"</w:t>
      </w:r>
      <w:r w:rsidRPr="00F7108E">
        <w:rPr>
          <w:rtl/>
        </w:rPr>
        <w:t>זמני המתנה לקבלת טיפול במערך בריאות הנפש</w:t>
      </w:r>
      <w:r w:rsidR="00FE49CB">
        <w:rPr>
          <w:rFonts w:hint="cs"/>
          <w:rtl/>
        </w:rPr>
        <w:t>"</w:t>
      </w:r>
      <w:r w:rsidRPr="00F7108E">
        <w:rPr>
          <w:rFonts w:hint="cs"/>
          <w:rtl/>
        </w:rPr>
        <w:t>).</w:t>
      </w:r>
    </w:p>
    <w:p w14:paraId="3CCD9DD5" w14:textId="77777777" w:rsidR="00B51F5B" w:rsidRDefault="00B51F5B" w:rsidP="009B6E28">
      <w:pPr>
        <w:pStyle w:val="100"/>
        <w:rPr>
          <w:rtl/>
        </w:rPr>
      </w:pPr>
      <w:r>
        <w:rPr>
          <w:rFonts w:hint="cs"/>
          <w:rtl/>
        </w:rPr>
        <w:t>משרד הבריאות מסר בתשובתו כי אין בארץ</w:t>
      </w:r>
      <w:r>
        <w:rPr>
          <w:rtl/>
        </w:rPr>
        <w:t xml:space="preserve"> מחסור בפסיכותרפיסטים</w:t>
      </w:r>
      <w:r>
        <w:rPr>
          <w:rFonts w:hint="cs"/>
          <w:rtl/>
        </w:rPr>
        <w:t xml:space="preserve"> </w:t>
      </w:r>
      <w:r w:rsidRPr="00C52D31">
        <w:rPr>
          <w:rtl/>
        </w:rPr>
        <w:t>(</w:t>
      </w:r>
      <w:r>
        <w:rPr>
          <w:rFonts w:hint="cs"/>
          <w:rtl/>
        </w:rPr>
        <w:t xml:space="preserve">בעיקר </w:t>
      </w:r>
      <w:r>
        <w:rPr>
          <w:rtl/>
        </w:rPr>
        <w:t>פסיכולוגים</w:t>
      </w:r>
      <w:r w:rsidRPr="00C52D31">
        <w:rPr>
          <w:rtl/>
        </w:rPr>
        <w:t xml:space="preserve"> </w:t>
      </w:r>
      <w:r>
        <w:rPr>
          <w:rFonts w:hint="cs"/>
          <w:rtl/>
        </w:rPr>
        <w:t>ו</w:t>
      </w:r>
      <w:r w:rsidRPr="00C52D31">
        <w:rPr>
          <w:rtl/>
        </w:rPr>
        <w:t>עובדים סוציאליים)</w:t>
      </w:r>
      <w:r>
        <w:rPr>
          <w:rFonts w:hint="cs"/>
          <w:rtl/>
        </w:rPr>
        <w:t xml:space="preserve"> שאותם יכולות קופות החולים להעסיק</w:t>
      </w:r>
      <w:r w:rsidRPr="00C52D31">
        <w:rPr>
          <w:rtl/>
        </w:rPr>
        <w:t xml:space="preserve"> </w:t>
      </w:r>
      <w:r>
        <w:rPr>
          <w:rFonts w:hint="cs"/>
          <w:rtl/>
        </w:rPr>
        <w:t xml:space="preserve">וכאמור, </w:t>
      </w:r>
      <w:r>
        <w:rPr>
          <w:rtl/>
        </w:rPr>
        <w:t xml:space="preserve">המשרד פועל להפחתת הכדאיות הכלכלית של </w:t>
      </w:r>
      <w:r>
        <w:rPr>
          <w:rFonts w:hint="cs"/>
          <w:rtl/>
        </w:rPr>
        <w:t>ה</w:t>
      </w:r>
      <w:r>
        <w:rPr>
          <w:rtl/>
        </w:rPr>
        <w:t xml:space="preserve">קופות </w:t>
      </w:r>
      <w:r>
        <w:rPr>
          <w:rFonts w:hint="cs"/>
          <w:rtl/>
        </w:rPr>
        <w:t>ב</w:t>
      </w:r>
      <w:r>
        <w:rPr>
          <w:rtl/>
        </w:rPr>
        <w:t>מסלול המטפלים העצמאיים על ידי הפחתת ההשתתפות העצמית.</w:t>
      </w:r>
      <w:r>
        <w:rPr>
          <w:rFonts w:hint="cs"/>
          <w:rtl/>
        </w:rPr>
        <w:t xml:space="preserve"> לדברי המשרד, </w:t>
      </w:r>
      <w:r>
        <w:rPr>
          <w:rtl/>
        </w:rPr>
        <w:t>בשנ</w:t>
      </w:r>
      <w:r>
        <w:rPr>
          <w:rFonts w:hint="cs"/>
          <w:rtl/>
        </w:rPr>
        <w:t>ת 2019</w:t>
      </w:r>
      <w:r>
        <w:rPr>
          <w:rtl/>
        </w:rPr>
        <w:t xml:space="preserve"> הצליחו חלק מ</w:t>
      </w:r>
      <w:r>
        <w:rPr>
          <w:rFonts w:hint="cs"/>
          <w:rtl/>
        </w:rPr>
        <w:t>ה</w:t>
      </w:r>
      <w:r>
        <w:rPr>
          <w:rtl/>
        </w:rPr>
        <w:t xml:space="preserve">קופות להרחיב את מספר </w:t>
      </w:r>
      <w:r>
        <w:rPr>
          <w:rFonts w:hint="cs"/>
          <w:rtl/>
        </w:rPr>
        <w:t>הפסיכותרפיסטים</w:t>
      </w:r>
      <w:r>
        <w:rPr>
          <w:rtl/>
        </w:rPr>
        <w:t xml:space="preserve"> על ידי הרחבת מספר התקנים ולא בהכרח על ידי העלאת שכר</w:t>
      </w:r>
      <w:r>
        <w:rPr>
          <w:rFonts w:hint="cs"/>
          <w:rtl/>
        </w:rPr>
        <w:t>ם</w:t>
      </w:r>
      <w:r>
        <w:rPr>
          <w:rtl/>
        </w:rPr>
        <w:t>.</w:t>
      </w:r>
      <w:r>
        <w:rPr>
          <w:rFonts w:hint="cs"/>
          <w:rtl/>
        </w:rPr>
        <w:t xml:space="preserve"> המשרד גם ה</w:t>
      </w:r>
      <w:r>
        <w:rPr>
          <w:rtl/>
        </w:rPr>
        <w:t>דג</w:t>
      </w:r>
      <w:r>
        <w:rPr>
          <w:rFonts w:hint="cs"/>
          <w:rtl/>
        </w:rPr>
        <w:t>י</w:t>
      </w:r>
      <w:r>
        <w:rPr>
          <w:rtl/>
        </w:rPr>
        <w:t xml:space="preserve">ש כי הסמכות לקביעת שכרם של עובדי המדינה ובכללם שכר המטפלים בבריאות הנפש מצויה אצל </w:t>
      </w:r>
      <w:r>
        <w:rPr>
          <w:rFonts w:hint="cs"/>
          <w:rtl/>
        </w:rPr>
        <w:t xml:space="preserve">הממונה על השכר במשרד האוצר. </w:t>
      </w:r>
    </w:p>
    <w:p w14:paraId="4F00F438" w14:textId="77777777" w:rsidR="00B51F5B" w:rsidRPr="00E33E74" w:rsidRDefault="00B51F5B" w:rsidP="009B6E28">
      <w:pPr>
        <w:pStyle w:val="100"/>
        <w:rPr>
          <w:rtl/>
        </w:rPr>
      </w:pPr>
      <w:r w:rsidRPr="00E33E74">
        <w:rPr>
          <w:rFonts w:hint="eastAsia"/>
          <w:rtl/>
        </w:rPr>
        <w:t>הכללית</w:t>
      </w:r>
      <w:r w:rsidRPr="00E33E74">
        <w:rPr>
          <w:rtl/>
        </w:rPr>
        <w:t xml:space="preserve"> </w:t>
      </w:r>
      <w:r w:rsidRPr="00E33E74">
        <w:rPr>
          <w:rFonts w:hint="eastAsia"/>
          <w:rtl/>
        </w:rPr>
        <w:t>מסרה</w:t>
      </w:r>
      <w:r w:rsidRPr="00E33E74">
        <w:rPr>
          <w:rtl/>
        </w:rPr>
        <w:t xml:space="preserve"> </w:t>
      </w:r>
      <w:r w:rsidRPr="00E33E74">
        <w:rPr>
          <w:rFonts w:hint="eastAsia"/>
          <w:rtl/>
        </w:rPr>
        <w:t>בתשובתה</w:t>
      </w:r>
      <w:r w:rsidRPr="00E33E74">
        <w:rPr>
          <w:rtl/>
        </w:rPr>
        <w:t xml:space="preserve"> כי פעלה להכרה במרפאות בריאות הנפש החדשות כמוכרות להתמחות כדי לעודד פסיכולוגים מומחים ומדריכים להישאר במערכת, </w:t>
      </w:r>
      <w:r w:rsidRPr="00E33E74">
        <w:rPr>
          <w:rFonts w:hint="eastAsia"/>
          <w:rtl/>
        </w:rPr>
        <w:t>ל</w:t>
      </w:r>
      <w:r w:rsidRPr="00E33E74">
        <w:rPr>
          <w:rtl/>
        </w:rPr>
        <w:t xml:space="preserve">הגדלת כמות </w:t>
      </w:r>
      <w:r w:rsidRPr="00E33E74">
        <w:rPr>
          <w:rFonts w:hint="eastAsia"/>
          <w:rtl/>
        </w:rPr>
        <w:t>ה</w:t>
      </w:r>
      <w:r w:rsidRPr="00E33E74">
        <w:rPr>
          <w:rtl/>
        </w:rPr>
        <w:t xml:space="preserve">מתמחים ולשיפור תנאי שכר לפסיכולוגים. </w:t>
      </w:r>
    </w:p>
    <w:p w14:paraId="622AA800" w14:textId="77777777" w:rsidR="00B51F5B" w:rsidRDefault="00B51F5B" w:rsidP="009B6E28">
      <w:pPr>
        <w:pStyle w:val="100"/>
        <w:rPr>
          <w:bCs/>
          <w:rtl/>
        </w:rPr>
      </w:pPr>
      <w:r>
        <w:rPr>
          <w:rFonts w:hint="cs"/>
          <w:rtl/>
        </w:rPr>
        <w:t xml:space="preserve">לאומית מסרה בתשובתה כי היא מתקשה לגייס פסיכולוגים קליניים בשל הגבלות על שכרם כפי שקבע </w:t>
      </w:r>
      <w:r w:rsidRPr="00EF1DAB">
        <w:rPr>
          <w:rtl/>
        </w:rPr>
        <w:t>הממונה על השכר באוצר</w:t>
      </w:r>
      <w:r>
        <w:rPr>
          <w:rFonts w:hint="cs"/>
          <w:rtl/>
        </w:rPr>
        <w:t>.</w:t>
      </w:r>
    </w:p>
    <w:p w14:paraId="44D815A2" w14:textId="77777777" w:rsidR="00B51F5B" w:rsidRPr="00697CC2" w:rsidRDefault="00B51F5B" w:rsidP="009B6E28">
      <w:pPr>
        <w:pStyle w:val="100"/>
        <w:rPr>
          <w:rtl/>
        </w:rPr>
      </w:pPr>
      <w:r w:rsidRPr="009B6E28">
        <w:rPr>
          <w:rStyle w:val="Heading7Char"/>
          <w:rFonts w:hint="eastAsia"/>
          <w:color w:val="004E6C"/>
          <w:spacing w:val="0"/>
          <w:rtl/>
        </w:rPr>
        <w:t>מחסור</w:t>
      </w:r>
      <w:r w:rsidRPr="009B6E28">
        <w:rPr>
          <w:rStyle w:val="Heading7Char"/>
          <w:color w:val="004E6C"/>
          <w:spacing w:val="0"/>
          <w:rtl/>
        </w:rPr>
        <w:t xml:space="preserve"> </w:t>
      </w:r>
      <w:r w:rsidRPr="009B6E28">
        <w:rPr>
          <w:rStyle w:val="Heading7Char"/>
          <w:rFonts w:hint="eastAsia"/>
          <w:color w:val="004E6C"/>
          <w:spacing w:val="0"/>
          <w:rtl/>
        </w:rPr>
        <w:t>בפסיכותרפיסטים</w:t>
      </w:r>
      <w:r w:rsidRPr="009B6E28">
        <w:rPr>
          <w:rStyle w:val="Heading7Char"/>
          <w:color w:val="004E6C"/>
          <w:spacing w:val="0"/>
          <w:rtl/>
        </w:rPr>
        <w:t xml:space="preserve"> </w:t>
      </w:r>
      <w:r w:rsidRPr="009B6E28">
        <w:rPr>
          <w:rStyle w:val="Heading7Char"/>
          <w:rFonts w:hint="eastAsia"/>
          <w:color w:val="004E6C"/>
          <w:spacing w:val="0"/>
          <w:rtl/>
        </w:rPr>
        <w:t>במגזר</w:t>
      </w:r>
      <w:r w:rsidRPr="009B6E28">
        <w:rPr>
          <w:rStyle w:val="Heading7Char"/>
          <w:color w:val="004E6C"/>
          <w:spacing w:val="0"/>
          <w:rtl/>
        </w:rPr>
        <w:t xml:space="preserve"> </w:t>
      </w:r>
      <w:r w:rsidRPr="009B6E28">
        <w:rPr>
          <w:rStyle w:val="Heading7Char"/>
          <w:rFonts w:hint="eastAsia"/>
          <w:color w:val="004E6C"/>
          <w:spacing w:val="0"/>
          <w:rtl/>
        </w:rPr>
        <w:t>הערבי</w:t>
      </w:r>
      <w:r w:rsidRPr="009B6E28">
        <w:rPr>
          <w:rStyle w:val="Heading7Char"/>
          <w:rFonts w:hint="cs"/>
          <w:color w:val="004E6C"/>
          <w:spacing w:val="0"/>
          <w:rtl/>
        </w:rPr>
        <w:t>:</w:t>
      </w:r>
      <w:r w:rsidRPr="009B6E28">
        <w:rPr>
          <w:rFonts w:hint="cs"/>
          <w:color w:val="004E6C"/>
          <w:rtl/>
        </w:rPr>
        <w:t xml:space="preserve"> </w:t>
      </w:r>
      <w:r>
        <w:rPr>
          <w:rFonts w:hint="cs"/>
          <w:rtl/>
        </w:rPr>
        <w:t xml:space="preserve">הרחבת השירותים </w:t>
      </w:r>
      <w:r w:rsidRPr="00C55BBE">
        <w:rPr>
          <w:rtl/>
        </w:rPr>
        <w:t>בקהילה במסגרת הרפורמה העל</w:t>
      </w:r>
      <w:r>
        <w:rPr>
          <w:rFonts w:hint="cs"/>
          <w:rtl/>
        </w:rPr>
        <w:t>ת</w:t>
      </w:r>
      <w:r w:rsidRPr="00C55BBE">
        <w:rPr>
          <w:rtl/>
        </w:rPr>
        <w:t>ה ל</w:t>
      </w:r>
      <w:r>
        <w:rPr>
          <w:rFonts w:hint="cs"/>
          <w:rtl/>
        </w:rPr>
        <w:t>מודעות</w:t>
      </w:r>
      <w:r w:rsidRPr="00C55BBE">
        <w:rPr>
          <w:rtl/>
        </w:rPr>
        <w:t xml:space="preserve"> את המחסור בנותני שירותים מהחברה הערבית בתחום בריאות הנפש</w:t>
      </w:r>
      <w:r>
        <w:rPr>
          <w:rFonts w:hint="cs"/>
          <w:rtl/>
        </w:rPr>
        <w:t xml:space="preserve"> ואת היעדר המענה המתאים לצורכי האוכלוסייה</w:t>
      </w:r>
      <w:r w:rsidRPr="00C55BBE">
        <w:rPr>
          <w:rtl/>
        </w:rPr>
        <w:t xml:space="preserve">. </w:t>
      </w:r>
      <w:r w:rsidRPr="003F08BD">
        <w:rPr>
          <w:rFonts w:hint="cs"/>
          <w:rtl/>
        </w:rPr>
        <w:t>העיסוק בפסיכותרפיה חדש יחסית בחברה הערבית</w:t>
      </w:r>
      <w:r>
        <w:rPr>
          <w:rFonts w:hint="cs"/>
          <w:rtl/>
        </w:rPr>
        <w:t>,</w:t>
      </w:r>
      <w:r w:rsidRPr="003F08BD">
        <w:rPr>
          <w:rFonts w:hint="cs"/>
          <w:rtl/>
        </w:rPr>
        <w:t xml:space="preserve"> ונתפס כלא רווחי ודורש מסלול לימודים ארוך ללא ודאות לגבי השלמתו. </w:t>
      </w:r>
      <w:r>
        <w:rPr>
          <w:rFonts w:hint="cs"/>
          <w:rtl/>
        </w:rPr>
        <w:t>שיעור</w:t>
      </w:r>
      <w:r w:rsidRPr="003F08BD">
        <w:rPr>
          <w:rFonts w:hint="cs"/>
          <w:rtl/>
        </w:rPr>
        <w:t xml:space="preserve"> הנשירה גבוה בעיקר בשל דרישות אקדמאיות גבוהות ופער</w:t>
      </w:r>
      <w:r>
        <w:rPr>
          <w:rFonts w:hint="cs"/>
          <w:rtl/>
        </w:rPr>
        <w:t>ים</w:t>
      </w:r>
      <w:r w:rsidRPr="003F08BD">
        <w:rPr>
          <w:rFonts w:hint="cs"/>
          <w:rtl/>
        </w:rPr>
        <w:t xml:space="preserve"> </w:t>
      </w:r>
      <w:r>
        <w:rPr>
          <w:rFonts w:hint="cs"/>
          <w:rtl/>
        </w:rPr>
        <w:t>ב</w:t>
      </w:r>
      <w:r w:rsidRPr="003F08BD">
        <w:rPr>
          <w:rFonts w:hint="cs"/>
          <w:rtl/>
        </w:rPr>
        <w:t>תרבות</w:t>
      </w:r>
      <w:r>
        <w:rPr>
          <w:rFonts w:hint="cs"/>
          <w:rtl/>
        </w:rPr>
        <w:t xml:space="preserve"> ובשפה.</w:t>
      </w:r>
      <w:r w:rsidRPr="003F08BD">
        <w:rPr>
          <w:rFonts w:hint="cs"/>
          <w:rtl/>
        </w:rPr>
        <w:t xml:space="preserve"> קשיים אלו מתעצמים בקבלה לתואר </w:t>
      </w:r>
      <w:r>
        <w:rPr>
          <w:rFonts w:hint="cs"/>
          <w:rtl/>
        </w:rPr>
        <w:t>מוסמך</w:t>
      </w:r>
      <w:r w:rsidRPr="003F08BD">
        <w:rPr>
          <w:rFonts w:hint="cs"/>
          <w:rtl/>
        </w:rPr>
        <w:t xml:space="preserve"> ובמהלך הלימודים.</w:t>
      </w:r>
      <w:r>
        <w:rPr>
          <w:rFonts w:hint="cs"/>
          <w:rtl/>
        </w:rPr>
        <w:t xml:space="preserve"> המחסור בפסיכותרפיסטים מהמגזר נידון במינהלת הרפורמה, שבמסגרתה צוין כי מתוך מחסור של כ-300 פסיכולוגים למבוגרים וכ-200 לילדים, 207 מהם חסרים במגזר הערבי. </w:t>
      </w:r>
      <w:r w:rsidRPr="003F08BD">
        <w:rPr>
          <w:rFonts w:hint="cs"/>
          <w:rtl/>
        </w:rPr>
        <w:t>מנתוני משרד הבריאות עולה כי נכון לשנת 2015</w:t>
      </w:r>
      <w:r>
        <w:rPr>
          <w:rFonts w:hint="cs"/>
          <w:rtl/>
        </w:rPr>
        <w:t>,</w:t>
      </w:r>
      <w:r w:rsidRPr="003F08BD">
        <w:rPr>
          <w:rFonts w:hint="cs"/>
          <w:rtl/>
        </w:rPr>
        <w:t xml:space="preserve"> במגזר הערבי יש 58 פסיכולוגים קליניים </w:t>
      </w:r>
      <w:r>
        <w:rPr>
          <w:rFonts w:hint="cs"/>
          <w:rtl/>
        </w:rPr>
        <w:t>שהם</w:t>
      </w:r>
      <w:r w:rsidRPr="003F08BD">
        <w:rPr>
          <w:rFonts w:hint="cs"/>
          <w:rtl/>
        </w:rPr>
        <w:t xml:space="preserve"> 1.4% מכלל הפסיכולוגים </w:t>
      </w:r>
      <w:r w:rsidRPr="00697CC2">
        <w:rPr>
          <w:rFonts w:hint="cs"/>
          <w:rtl/>
        </w:rPr>
        <w:t>הקליניים בארץ</w:t>
      </w:r>
      <w:r>
        <w:rPr>
          <w:rStyle w:val="FootnoteReference"/>
          <w:b/>
          <w:rtl/>
        </w:rPr>
        <w:footnoteReference w:id="122"/>
      </w:r>
      <w:r w:rsidRPr="00697CC2">
        <w:rPr>
          <w:rFonts w:hint="cs"/>
          <w:rtl/>
        </w:rPr>
        <w:t xml:space="preserve">. </w:t>
      </w:r>
      <w:r>
        <w:rPr>
          <w:rFonts w:hint="cs"/>
          <w:rtl/>
        </w:rPr>
        <w:t>כמו כן</w:t>
      </w:r>
      <w:r w:rsidRPr="00697CC2">
        <w:rPr>
          <w:rFonts w:hint="cs"/>
          <w:rtl/>
        </w:rPr>
        <w:t>, יש 30 עובדים סוציאליים מהמגזר המועסקים בתחום בריאות הנפש בשירות הממשלתי</w:t>
      </w:r>
      <w:r>
        <w:rPr>
          <w:rStyle w:val="FootnoteReference"/>
          <w:b/>
          <w:rtl/>
        </w:rPr>
        <w:footnoteReference w:id="123"/>
      </w:r>
      <w:r>
        <w:rPr>
          <w:rFonts w:hint="cs"/>
          <w:rtl/>
        </w:rPr>
        <w:t>,</w:t>
      </w:r>
      <w:r w:rsidRPr="00697CC2">
        <w:rPr>
          <w:rFonts w:hint="cs"/>
          <w:rtl/>
        </w:rPr>
        <w:t xml:space="preserve"> מתוך כ-550 עובדים סוציאליים</w:t>
      </w:r>
      <w:r>
        <w:rPr>
          <w:rFonts w:hint="cs"/>
          <w:rtl/>
        </w:rPr>
        <w:t xml:space="preserve">, כלומר </w:t>
      </w:r>
      <w:r w:rsidRPr="00697CC2">
        <w:rPr>
          <w:rFonts w:hint="cs"/>
          <w:rtl/>
        </w:rPr>
        <w:t>כ-</w:t>
      </w:r>
      <w:r>
        <w:rPr>
          <w:rFonts w:hint="cs"/>
          <w:rtl/>
        </w:rPr>
        <w:t xml:space="preserve">5.5% בלבד. כאמור, </w:t>
      </w:r>
      <w:r w:rsidRPr="00697CC2">
        <w:rPr>
          <w:rFonts w:hint="cs"/>
          <w:rtl/>
        </w:rPr>
        <w:t xml:space="preserve">המגזר הערבי מהווה כ-21% מאוכלוסיית המדינה. </w:t>
      </w:r>
    </w:p>
    <w:p w14:paraId="3B84A9DA" w14:textId="77777777" w:rsidR="00B51F5B" w:rsidRDefault="00B51F5B" w:rsidP="009B6E28">
      <w:pPr>
        <w:pStyle w:val="100"/>
        <w:rPr>
          <w:b/>
          <w:rtl/>
        </w:rPr>
      </w:pPr>
      <w:r w:rsidRPr="003F08BD">
        <w:rPr>
          <w:rFonts w:hint="cs"/>
          <w:b/>
          <w:rtl/>
        </w:rPr>
        <w:t xml:space="preserve">במפגש </w:t>
      </w:r>
      <w:r>
        <w:rPr>
          <w:rFonts w:hint="cs"/>
          <w:b/>
          <w:rtl/>
        </w:rPr>
        <w:t>שהתקיים בפברואר 2016 במשרד הבריאות</w:t>
      </w:r>
      <w:r>
        <w:rPr>
          <w:rStyle w:val="FootnoteReference"/>
          <w:b/>
          <w:rtl/>
        </w:rPr>
        <w:footnoteReference w:id="124"/>
      </w:r>
      <w:r>
        <w:rPr>
          <w:rFonts w:hint="cs"/>
          <w:b/>
          <w:rtl/>
        </w:rPr>
        <w:t xml:space="preserve"> </w:t>
      </w:r>
      <w:r w:rsidRPr="003F08BD">
        <w:rPr>
          <w:rFonts w:hint="cs"/>
          <w:b/>
          <w:rtl/>
        </w:rPr>
        <w:t xml:space="preserve">בנושא </w:t>
      </w:r>
      <w:r w:rsidRPr="00E409BB">
        <w:rPr>
          <w:b/>
          <w:rtl/>
        </w:rPr>
        <w:t xml:space="preserve">יישום </w:t>
      </w:r>
      <w:r w:rsidRPr="003F08BD">
        <w:rPr>
          <w:rFonts w:hint="cs"/>
          <w:b/>
          <w:rtl/>
        </w:rPr>
        <w:t xml:space="preserve">הרפורמה </w:t>
      </w:r>
      <w:r>
        <w:rPr>
          <w:rFonts w:hint="cs"/>
          <w:b/>
          <w:rtl/>
        </w:rPr>
        <w:t xml:space="preserve">בבריאות הנפש </w:t>
      </w:r>
      <w:r w:rsidRPr="003F08BD">
        <w:rPr>
          <w:rFonts w:hint="cs"/>
          <w:b/>
          <w:rtl/>
        </w:rPr>
        <w:t>במגזר הערבי</w:t>
      </w:r>
      <w:r>
        <w:rPr>
          <w:rFonts w:hint="cs"/>
          <w:b/>
          <w:rtl/>
        </w:rPr>
        <w:t>,</w:t>
      </w:r>
      <w:r w:rsidRPr="003F08BD">
        <w:rPr>
          <w:rFonts w:hint="cs"/>
          <w:b/>
          <w:rtl/>
        </w:rPr>
        <w:t xml:space="preserve"> </w:t>
      </w:r>
      <w:r>
        <w:rPr>
          <w:rFonts w:hint="cs"/>
          <w:b/>
          <w:rtl/>
        </w:rPr>
        <w:t>הועלו כמה</w:t>
      </w:r>
      <w:r w:rsidRPr="003F08BD">
        <w:rPr>
          <w:rFonts w:hint="cs"/>
          <w:b/>
          <w:rtl/>
        </w:rPr>
        <w:t xml:space="preserve"> המלצות להעלאת היצע הפסיכותרפיסטים הערבים</w:t>
      </w:r>
      <w:r>
        <w:rPr>
          <w:rFonts w:hint="cs"/>
          <w:b/>
          <w:rtl/>
        </w:rPr>
        <w:t>,</w:t>
      </w:r>
      <w:r w:rsidRPr="003F08BD">
        <w:rPr>
          <w:rFonts w:hint="cs"/>
          <w:b/>
          <w:rtl/>
        </w:rPr>
        <w:t xml:space="preserve"> </w:t>
      </w:r>
      <w:r>
        <w:rPr>
          <w:rFonts w:hint="cs"/>
          <w:b/>
          <w:rtl/>
        </w:rPr>
        <w:t>ו</w:t>
      </w:r>
      <w:r w:rsidRPr="003F08BD">
        <w:rPr>
          <w:rFonts w:hint="cs"/>
          <w:b/>
          <w:rtl/>
        </w:rPr>
        <w:t xml:space="preserve">ביניהן: הגברת </w:t>
      </w:r>
      <w:r>
        <w:rPr>
          <w:rFonts w:hint="cs"/>
          <w:b/>
          <w:rtl/>
        </w:rPr>
        <w:t>המודעות</w:t>
      </w:r>
      <w:r w:rsidRPr="003F08BD">
        <w:rPr>
          <w:rFonts w:hint="cs"/>
          <w:b/>
          <w:rtl/>
        </w:rPr>
        <w:t xml:space="preserve"> ו</w:t>
      </w:r>
      <w:r>
        <w:rPr>
          <w:rFonts w:hint="cs"/>
          <w:b/>
          <w:rtl/>
        </w:rPr>
        <w:t>ה</w:t>
      </w:r>
      <w:r w:rsidRPr="003F08BD">
        <w:rPr>
          <w:rFonts w:hint="cs"/>
          <w:b/>
          <w:rtl/>
        </w:rPr>
        <w:t xml:space="preserve">חשיפה למקצועות בריאות הנפש; העלאת שיעור המועמדים והמתקבלים לתואר </w:t>
      </w:r>
      <w:r>
        <w:rPr>
          <w:rFonts w:hint="cs"/>
          <w:b/>
          <w:rtl/>
        </w:rPr>
        <w:t>בוגר</w:t>
      </w:r>
      <w:r w:rsidRPr="003F08BD">
        <w:rPr>
          <w:rFonts w:hint="cs"/>
          <w:b/>
          <w:rtl/>
        </w:rPr>
        <w:t xml:space="preserve"> ו</w:t>
      </w:r>
      <w:r>
        <w:rPr>
          <w:rFonts w:hint="cs"/>
          <w:b/>
          <w:rtl/>
        </w:rPr>
        <w:t>לתואר מוסמך</w:t>
      </w:r>
      <w:r>
        <w:rPr>
          <w:rStyle w:val="FootnoteReference"/>
          <w:b/>
          <w:rtl/>
        </w:rPr>
        <w:footnoteReference w:id="125"/>
      </w:r>
      <w:r w:rsidRPr="003F08BD">
        <w:rPr>
          <w:rFonts w:hint="cs"/>
          <w:b/>
          <w:rtl/>
        </w:rPr>
        <w:t xml:space="preserve"> וצמצום נשירה באמצעות הקמת מסלול ישיר </w:t>
      </w:r>
      <w:r>
        <w:rPr>
          <w:rFonts w:hint="cs"/>
          <w:b/>
          <w:rtl/>
        </w:rPr>
        <w:t xml:space="preserve">בפריפריה </w:t>
      </w:r>
      <w:r w:rsidRPr="003F08BD">
        <w:rPr>
          <w:rFonts w:hint="cs"/>
          <w:b/>
          <w:rtl/>
        </w:rPr>
        <w:t>לת</w:t>
      </w:r>
      <w:r>
        <w:rPr>
          <w:rFonts w:hint="cs"/>
          <w:b/>
          <w:rtl/>
        </w:rPr>
        <w:t>ואר מוסמך המותאם תרבותית לאוכלוסייה הערבית;</w:t>
      </w:r>
      <w:r w:rsidRPr="003F08BD">
        <w:rPr>
          <w:rFonts w:hint="cs"/>
          <w:b/>
          <w:rtl/>
        </w:rPr>
        <w:t xml:space="preserve"> </w:t>
      </w:r>
      <w:r>
        <w:rPr>
          <w:rFonts w:hint="cs"/>
          <w:b/>
          <w:rtl/>
        </w:rPr>
        <w:t xml:space="preserve">חלוקת </w:t>
      </w:r>
      <w:r w:rsidRPr="003F08BD">
        <w:rPr>
          <w:rFonts w:hint="cs"/>
          <w:b/>
          <w:rtl/>
        </w:rPr>
        <w:t>מלגות לסטודנטים ערבים לתואר</w:t>
      </w:r>
      <w:r>
        <w:rPr>
          <w:rFonts w:hint="cs"/>
          <w:b/>
          <w:rtl/>
        </w:rPr>
        <w:t xml:space="preserve"> בוגר</w:t>
      </w:r>
      <w:r w:rsidRPr="003F08BD">
        <w:rPr>
          <w:rFonts w:hint="cs"/>
          <w:b/>
          <w:rtl/>
        </w:rPr>
        <w:t xml:space="preserve"> ו</w:t>
      </w:r>
      <w:r>
        <w:rPr>
          <w:rFonts w:hint="cs"/>
          <w:b/>
          <w:rtl/>
        </w:rPr>
        <w:t xml:space="preserve">לתואר מוסמך </w:t>
      </w:r>
      <w:r w:rsidRPr="003F08BD">
        <w:rPr>
          <w:rFonts w:hint="cs"/>
          <w:b/>
          <w:rtl/>
        </w:rPr>
        <w:t>בסוציולוגיה ול</w:t>
      </w:r>
      <w:r>
        <w:rPr>
          <w:rFonts w:hint="cs"/>
          <w:b/>
          <w:rtl/>
        </w:rPr>
        <w:t>תואר מוסמך בעבודה סוציאלית קלינית;</w:t>
      </w:r>
      <w:r w:rsidRPr="003F08BD">
        <w:rPr>
          <w:rFonts w:hint="cs"/>
          <w:b/>
          <w:rtl/>
        </w:rPr>
        <w:t xml:space="preserve"> בחינת ה</w:t>
      </w:r>
      <w:r>
        <w:rPr>
          <w:rFonts w:hint="cs"/>
          <w:b/>
          <w:rtl/>
        </w:rPr>
        <w:t>י</w:t>
      </w:r>
      <w:r w:rsidRPr="003F08BD">
        <w:rPr>
          <w:rFonts w:hint="cs"/>
          <w:b/>
          <w:rtl/>
        </w:rPr>
        <w:t xml:space="preserve">תכנות להעדפה מתקנת או </w:t>
      </w:r>
      <w:r>
        <w:rPr>
          <w:rFonts w:hint="cs"/>
          <w:b/>
          <w:rtl/>
        </w:rPr>
        <w:t>ל</w:t>
      </w:r>
      <w:r w:rsidRPr="003F08BD">
        <w:rPr>
          <w:rFonts w:hint="cs"/>
          <w:b/>
          <w:rtl/>
        </w:rPr>
        <w:t>מכסה בקבלה ללימודים;</w:t>
      </w:r>
      <w:r>
        <w:rPr>
          <w:rFonts w:hint="cs"/>
          <w:bCs/>
          <w:rtl/>
        </w:rPr>
        <w:t xml:space="preserve"> </w:t>
      </w:r>
      <w:r w:rsidRPr="005C1A1B">
        <w:rPr>
          <w:rFonts w:hint="cs"/>
          <w:b/>
          <w:rtl/>
        </w:rPr>
        <w:t>הגדלת מלגות ההתמחות</w:t>
      </w:r>
      <w:r w:rsidRPr="003F08BD">
        <w:rPr>
          <w:rFonts w:hint="cs"/>
          <w:b/>
          <w:rtl/>
        </w:rPr>
        <w:t xml:space="preserve"> בפסיכולוגיה</w:t>
      </w:r>
      <w:r>
        <w:rPr>
          <w:rFonts w:hint="cs"/>
          <w:b/>
          <w:rtl/>
        </w:rPr>
        <w:t>; בחינת האפשרות לתוכנית הכשרה והשלמה אקדמיות לבוגרי חו"ל בעלי תואר מוסמך בפסיכולוגיה, שאינם עונים על דרישות הקבלה להתמחות בפסיכולוגיה קלינית;</w:t>
      </w:r>
      <w:r w:rsidRPr="003F08BD">
        <w:rPr>
          <w:rFonts w:hint="cs"/>
          <w:b/>
          <w:rtl/>
        </w:rPr>
        <w:t xml:space="preserve"> הכשרת פסיכולוגים ועובדים סוציאליים ממגזרים אחרים לכשירות תרבותית ו</w:t>
      </w:r>
      <w:r>
        <w:rPr>
          <w:rFonts w:hint="cs"/>
          <w:b/>
          <w:rtl/>
        </w:rPr>
        <w:t>ל</w:t>
      </w:r>
      <w:r w:rsidRPr="003F08BD">
        <w:rPr>
          <w:rFonts w:hint="cs"/>
          <w:b/>
          <w:rtl/>
        </w:rPr>
        <w:t xml:space="preserve">רכישת בסיס בשפה </w:t>
      </w:r>
      <w:r w:rsidRPr="00EE59C5">
        <w:rPr>
          <w:rFonts w:hint="cs"/>
          <w:b/>
          <w:rtl/>
        </w:rPr>
        <w:t>הערבית</w:t>
      </w:r>
      <w:r>
        <w:rPr>
          <w:rFonts w:hint="cs"/>
          <w:b/>
          <w:rtl/>
        </w:rPr>
        <w:t>,</w:t>
      </w:r>
      <w:r w:rsidRPr="003F08BD">
        <w:rPr>
          <w:rFonts w:hint="cs"/>
          <w:b/>
          <w:rtl/>
        </w:rPr>
        <w:t xml:space="preserve"> דבר החשוב בעיקר לטיפול בילדים</w:t>
      </w:r>
      <w:r>
        <w:rPr>
          <w:rFonts w:hint="cs"/>
          <w:b/>
          <w:rtl/>
        </w:rPr>
        <w:t>;</w:t>
      </w:r>
      <w:r w:rsidRPr="003F08BD">
        <w:rPr>
          <w:rFonts w:hint="cs"/>
          <w:b/>
          <w:rtl/>
        </w:rPr>
        <w:t xml:space="preserve"> ועידוד עובדים סוציאלי</w:t>
      </w:r>
      <w:r>
        <w:rPr>
          <w:rFonts w:hint="cs"/>
          <w:b/>
          <w:rtl/>
        </w:rPr>
        <w:t>י</w:t>
      </w:r>
      <w:r w:rsidRPr="003F08BD">
        <w:rPr>
          <w:rFonts w:hint="cs"/>
          <w:b/>
          <w:rtl/>
        </w:rPr>
        <w:t>ם בעלי תואר</w:t>
      </w:r>
      <w:r>
        <w:rPr>
          <w:rFonts w:hint="cs"/>
          <w:b/>
          <w:rtl/>
        </w:rPr>
        <w:t xml:space="preserve"> בוגר</w:t>
      </w:r>
      <w:r w:rsidRPr="003F08BD">
        <w:rPr>
          <w:rFonts w:hint="cs"/>
          <w:b/>
          <w:rtl/>
        </w:rPr>
        <w:t xml:space="preserve"> מהמגזר</w:t>
      </w:r>
      <w:r>
        <w:rPr>
          <w:rFonts w:hint="cs"/>
          <w:b/>
          <w:rtl/>
        </w:rPr>
        <w:t xml:space="preserve"> הערבי</w:t>
      </w:r>
      <w:r w:rsidRPr="003F08BD">
        <w:rPr>
          <w:rFonts w:hint="cs"/>
          <w:b/>
          <w:rtl/>
        </w:rPr>
        <w:t xml:space="preserve"> להמשיך ללימודי תואר </w:t>
      </w:r>
      <w:r>
        <w:rPr>
          <w:rFonts w:hint="cs"/>
          <w:b/>
          <w:rtl/>
        </w:rPr>
        <w:t>מוסמך</w:t>
      </w:r>
      <w:r w:rsidRPr="003F08BD">
        <w:rPr>
          <w:rFonts w:hint="cs"/>
          <w:b/>
          <w:rtl/>
        </w:rPr>
        <w:t xml:space="preserve"> בתחום.</w:t>
      </w:r>
      <w:r>
        <w:rPr>
          <w:rFonts w:hint="cs"/>
          <w:b/>
          <w:rtl/>
        </w:rPr>
        <w:t xml:space="preserve"> </w:t>
      </w:r>
    </w:p>
    <w:p w14:paraId="2BEB0116" w14:textId="7A530D2F" w:rsidR="00B51F5B" w:rsidRPr="009B6E28" w:rsidRDefault="00B51F5B" w:rsidP="009B6E28">
      <w:pPr>
        <w:pStyle w:val="100"/>
        <w:rPr>
          <w:b/>
          <w:rtl/>
        </w:rPr>
      </w:pPr>
      <w:r>
        <w:rPr>
          <w:rFonts w:hint="cs"/>
          <w:b/>
          <w:rtl/>
        </w:rPr>
        <w:t>בעקבות ההמלצות פרסם משרד הבריאות, באוגוסט 2018, קול קורא לתוכנית הכשרה לפסיכותרפיה לעובדים סוציאליים ערבים בעלי תואר מוסמך, המחזור הראשון נפתח בפברואר 2019 ומשתתפים בו 13 סטודנטים. באוקטובר 2019 נפתחה במכללת אחווה הממוקמת ליד קריית מלאכי, תוכנית לימודים לתואר מוסמך ל"פסיכולוגיה קלינית רגישת תרבות". הצעה לתמיכה תקציבית של המשרד תועלה לבחינה בשנות התקציב הבאות. המשרד פעל מול המל"ג להרחבת התמיכה באוניברסיטאות ובמכללות בנושא פסיכולוגים קליניים מהמגזר הערבי, והוועדה לתכנון ותקצוב של המועצה להשכלה גבוהה (להלן - הוות"ת) פרסמה בינואר 2018 קול קורא למוסדות אקדמיים שיגישו תוכנית לליווי ותמיכה בסטודנטים ערבים בלימודי פסיכולוגיה לתארים בוגר ומוסמך. אוניברסיטאות חיפה</w:t>
      </w:r>
      <w:r>
        <w:rPr>
          <w:rStyle w:val="FootnoteReference"/>
          <w:b/>
          <w:rtl/>
        </w:rPr>
        <w:footnoteReference w:id="126"/>
      </w:r>
      <w:r>
        <w:rPr>
          <w:rFonts w:hint="cs"/>
          <w:b/>
          <w:rtl/>
        </w:rPr>
        <w:t xml:space="preserve"> וירושלים פועלות על פי התוכנית, ואוניברסיטת תל אביב מסרה באוגוסט 2019 כי הגישה בקשה לתמיכה, אולם לא קיבלה אישור. מעבר לכך, חלק מן האוניברסיטאות פועלות בדרכים שונות לתמיכה בסטודנטים מהמגזר להכשרתם כפסיכולוגים, כגון: הקלה בתנאי הקבלה בלי לפגוע ברמת הלימודים; קורסי תגבור לשיפור הציונים; קורסים בנושאי שונות רב-תרבותית, דתית, עדתית ומגדרית; ומתן מלגות. </w:t>
      </w:r>
    </w:p>
    <w:p w14:paraId="0EB50378" w14:textId="777CA43B" w:rsidR="00B51F5B" w:rsidRDefault="00B51F5B" w:rsidP="009B6E28">
      <w:pPr>
        <w:pStyle w:val="af5"/>
        <w:rPr>
          <w:rtl/>
        </w:rPr>
      </w:pPr>
      <w:r w:rsidRPr="003360FB">
        <w:rPr>
          <w:rFonts w:hint="eastAsia"/>
          <w:rtl/>
        </w:rPr>
        <w:t>יש</w:t>
      </w:r>
      <w:r w:rsidRPr="003360FB">
        <w:rPr>
          <w:rtl/>
        </w:rPr>
        <w:t xml:space="preserve"> </w:t>
      </w:r>
      <w:r w:rsidRPr="003360FB">
        <w:rPr>
          <w:rFonts w:hint="eastAsia"/>
          <w:rtl/>
        </w:rPr>
        <w:t>לראות</w:t>
      </w:r>
      <w:r w:rsidRPr="003360FB">
        <w:rPr>
          <w:rtl/>
        </w:rPr>
        <w:t xml:space="preserve"> </w:t>
      </w:r>
      <w:r w:rsidRPr="003360FB">
        <w:rPr>
          <w:rFonts w:hint="eastAsia"/>
          <w:rtl/>
        </w:rPr>
        <w:t>בחיוב</w:t>
      </w:r>
      <w:r w:rsidRPr="003360FB">
        <w:rPr>
          <w:rtl/>
        </w:rPr>
        <w:t xml:space="preserve"> </w:t>
      </w:r>
      <w:r w:rsidRPr="003360FB">
        <w:rPr>
          <w:rFonts w:hint="eastAsia"/>
          <w:rtl/>
        </w:rPr>
        <w:t>צעדים</w:t>
      </w:r>
      <w:r w:rsidRPr="003360FB">
        <w:rPr>
          <w:rtl/>
        </w:rPr>
        <w:t xml:space="preserve"> </w:t>
      </w:r>
      <w:r w:rsidRPr="003360FB">
        <w:rPr>
          <w:rFonts w:hint="eastAsia"/>
          <w:rtl/>
        </w:rPr>
        <w:t>אל</w:t>
      </w:r>
      <w:r>
        <w:rPr>
          <w:rFonts w:hint="cs"/>
          <w:rtl/>
        </w:rPr>
        <w:t>ה,</w:t>
      </w:r>
      <w:r w:rsidRPr="003360FB">
        <w:rPr>
          <w:rtl/>
        </w:rPr>
        <w:t xml:space="preserve"> </w:t>
      </w:r>
      <w:r w:rsidRPr="003360FB">
        <w:rPr>
          <w:rFonts w:hint="eastAsia"/>
          <w:rtl/>
        </w:rPr>
        <w:t>ועל</w:t>
      </w:r>
      <w:r w:rsidRPr="003360FB">
        <w:rPr>
          <w:rtl/>
        </w:rPr>
        <w:t xml:space="preserve"> </w:t>
      </w:r>
      <w:r w:rsidRPr="003360FB">
        <w:rPr>
          <w:rFonts w:hint="eastAsia"/>
          <w:rtl/>
        </w:rPr>
        <w:t>משרד</w:t>
      </w:r>
      <w:r w:rsidRPr="003360FB">
        <w:rPr>
          <w:rtl/>
        </w:rPr>
        <w:t xml:space="preserve"> </w:t>
      </w:r>
      <w:r>
        <w:rPr>
          <w:rFonts w:hint="cs"/>
          <w:rtl/>
        </w:rPr>
        <w:t xml:space="preserve">הבריאות </w:t>
      </w:r>
      <w:r w:rsidRPr="003360FB">
        <w:rPr>
          <w:rFonts w:hint="eastAsia"/>
          <w:rtl/>
        </w:rPr>
        <w:t>לעקוב</w:t>
      </w:r>
      <w:r w:rsidRPr="003360FB">
        <w:rPr>
          <w:rtl/>
        </w:rPr>
        <w:t xml:space="preserve"> </w:t>
      </w:r>
      <w:r w:rsidRPr="003360FB">
        <w:rPr>
          <w:rFonts w:hint="eastAsia"/>
          <w:rtl/>
        </w:rPr>
        <w:t>אחר</w:t>
      </w:r>
      <w:r w:rsidRPr="003360FB">
        <w:rPr>
          <w:rtl/>
        </w:rPr>
        <w:t xml:space="preserve"> </w:t>
      </w:r>
      <w:r w:rsidRPr="003360FB">
        <w:rPr>
          <w:rFonts w:hint="eastAsia"/>
          <w:rtl/>
        </w:rPr>
        <w:t>תוצאותיהם</w:t>
      </w:r>
      <w:r>
        <w:rPr>
          <w:rFonts w:hint="cs"/>
          <w:rtl/>
        </w:rPr>
        <w:t xml:space="preserve"> ולבחון אם הם הביאו לגידול בכוח האדם הנדרש לאספקת השירותים בתחום במגזר הערבי.</w:t>
      </w:r>
    </w:p>
    <w:p w14:paraId="5152D1C2" w14:textId="77777777" w:rsidR="00B51F5B" w:rsidRPr="004B3F38" w:rsidRDefault="00B51F5B" w:rsidP="009B6E28">
      <w:pPr>
        <w:pStyle w:val="100"/>
        <w:rPr>
          <w:rtl/>
        </w:rPr>
      </w:pPr>
      <w:r>
        <w:rPr>
          <w:rFonts w:hint="cs"/>
          <w:rtl/>
        </w:rPr>
        <w:t xml:space="preserve">הכללית מסרה בתשובתה, כי </w:t>
      </w:r>
      <w:r>
        <w:rPr>
          <w:rtl/>
        </w:rPr>
        <w:t>ה</w:t>
      </w:r>
      <w:r w:rsidRPr="004B3F38">
        <w:rPr>
          <w:rtl/>
        </w:rPr>
        <w:t>קצ</w:t>
      </w:r>
      <w:r>
        <w:rPr>
          <w:rFonts w:hint="cs"/>
          <w:rtl/>
        </w:rPr>
        <w:t>תה</w:t>
      </w:r>
      <w:r w:rsidRPr="004B3F38">
        <w:rPr>
          <w:rtl/>
        </w:rPr>
        <w:t xml:space="preserve"> תקני מתמחים להכשרת פסיכולוגים קליניים מהמגזר</w:t>
      </w:r>
      <w:r>
        <w:rPr>
          <w:rFonts w:hint="cs"/>
          <w:rtl/>
        </w:rPr>
        <w:t xml:space="preserve"> ולהמשך העסקתם כמומחים, פעלה ל</w:t>
      </w:r>
      <w:r>
        <w:rPr>
          <w:rtl/>
        </w:rPr>
        <w:t xml:space="preserve">השלמת פערי </w:t>
      </w:r>
      <w:r w:rsidRPr="0007381D">
        <w:rPr>
          <w:rtl/>
        </w:rPr>
        <w:t>ידע</w:t>
      </w:r>
      <w:r>
        <w:rPr>
          <w:rFonts w:hint="cs"/>
          <w:rtl/>
        </w:rPr>
        <w:t xml:space="preserve"> למומחים מהמגזר שלמדו בחו"ל,</w:t>
      </w:r>
      <w:r w:rsidRPr="0007381D">
        <w:rPr>
          <w:rtl/>
        </w:rPr>
        <w:t xml:space="preserve"> </w:t>
      </w:r>
      <w:r>
        <w:rPr>
          <w:rFonts w:hint="cs"/>
          <w:rtl/>
        </w:rPr>
        <w:t>וחתמה</w:t>
      </w:r>
      <w:r>
        <w:rPr>
          <w:rtl/>
        </w:rPr>
        <w:t xml:space="preserve"> הסכמים עם ספקי</w:t>
      </w:r>
      <w:r w:rsidRPr="004B3F38">
        <w:rPr>
          <w:rtl/>
        </w:rPr>
        <w:t xml:space="preserve"> שירות </w:t>
      </w:r>
      <w:r>
        <w:rPr>
          <w:rFonts w:hint="cs"/>
          <w:rtl/>
        </w:rPr>
        <w:t>בהתאם.</w:t>
      </w:r>
    </w:p>
    <w:p w14:paraId="2063E1F4" w14:textId="4B3EF704" w:rsidR="00B51F5B" w:rsidRPr="00915CEB" w:rsidRDefault="00B51F5B" w:rsidP="009B6E28">
      <w:pPr>
        <w:pStyle w:val="100"/>
        <w:rPr>
          <w:rtl/>
        </w:rPr>
      </w:pPr>
      <w:r w:rsidRPr="009B6E28">
        <w:rPr>
          <w:rStyle w:val="Heading7Char"/>
          <w:rFonts w:hint="eastAsia"/>
          <w:color w:val="004E6C"/>
          <w:spacing w:val="0"/>
          <w:rtl/>
        </w:rPr>
        <w:t>מחסור</w:t>
      </w:r>
      <w:r w:rsidRPr="009B6E28">
        <w:rPr>
          <w:rStyle w:val="Heading7Char"/>
          <w:color w:val="004E6C"/>
          <w:spacing w:val="0"/>
          <w:rtl/>
        </w:rPr>
        <w:t xml:space="preserve"> בפסיכותרפיסטים במגזר החרדי</w:t>
      </w:r>
      <w:r w:rsidRPr="009B6E28">
        <w:rPr>
          <w:rStyle w:val="Heading7Char"/>
          <w:rFonts w:hint="cs"/>
          <w:color w:val="004E6C"/>
          <w:spacing w:val="0"/>
          <w:rtl/>
        </w:rPr>
        <w:t>:</w:t>
      </w:r>
      <w:r>
        <w:rPr>
          <w:rFonts w:hint="cs"/>
          <w:rtl/>
        </w:rPr>
        <w:t xml:space="preserve"> </w:t>
      </w:r>
      <w:r w:rsidRPr="001E6456">
        <w:rPr>
          <w:rFonts w:hint="cs"/>
          <w:rtl/>
        </w:rPr>
        <w:t xml:space="preserve">לאור </w:t>
      </w:r>
      <w:r>
        <w:rPr>
          <w:rFonts w:hint="cs"/>
          <w:rtl/>
        </w:rPr>
        <w:t>הצורך בהגדלת היצע הפסיכולוגים במגזר החרדי</w:t>
      </w:r>
      <w:r w:rsidR="001379FE">
        <w:rPr>
          <w:rFonts w:hint="cs"/>
          <w:rtl/>
        </w:rPr>
        <w:t>,</w:t>
      </w:r>
      <w:r>
        <w:rPr>
          <w:rFonts w:hint="cs"/>
          <w:rtl/>
        </w:rPr>
        <w:t xml:space="preserve"> בהתאם לצרכיה הייחודים של אוכלוסיי</w:t>
      </w:r>
      <w:r>
        <w:rPr>
          <w:rFonts w:hint="eastAsia"/>
          <w:rtl/>
        </w:rPr>
        <w:t>ה</w:t>
      </w:r>
      <w:r>
        <w:rPr>
          <w:rFonts w:hint="cs"/>
          <w:rtl/>
        </w:rPr>
        <w:t xml:space="preserve"> זו ולאור קומץ הסטודנטים החרדים הלומדים לתואר בוגר בפסיכולוגיה קלינית, יש צורך להגדיל את מספר הסטודנטים הלומדים לתואר זה תוך כדי התאמת הכלים הטיפוליים לצרכיו ולמאפייניו הייחודים של המגזר. </w:t>
      </w:r>
    </w:p>
    <w:p w14:paraId="57DF5ED3" w14:textId="77777777" w:rsidR="00B51F5B" w:rsidRDefault="00B51F5B" w:rsidP="009B6E28">
      <w:pPr>
        <w:pStyle w:val="100"/>
        <w:rPr>
          <w:rtl/>
        </w:rPr>
      </w:pPr>
      <w:r>
        <w:rPr>
          <w:rFonts w:hint="cs"/>
          <w:rtl/>
        </w:rPr>
        <w:t>בינואר 2013 אישרה הוות"ת תוכנית לעידוד קליטת סטודנטים חרדים במוסדות המתוקצבים להשכלה גבוהה במטרה לסייע להם להשתלב בלימודי מגמות טיפוליות לתואר מוסמך בפסיכולוגיה בתוכניות הלימודיות הקיימות ולפתח כלי טיפול ייעודיי</w:t>
      </w:r>
      <w:r>
        <w:rPr>
          <w:rFonts w:hint="eastAsia"/>
          <w:rtl/>
        </w:rPr>
        <w:t>ם</w:t>
      </w:r>
      <w:r>
        <w:rPr>
          <w:rFonts w:hint="cs"/>
          <w:rtl/>
        </w:rPr>
        <w:t xml:space="preserve"> לאוכלוסיי</w:t>
      </w:r>
      <w:r>
        <w:rPr>
          <w:rFonts w:hint="eastAsia"/>
          <w:rtl/>
        </w:rPr>
        <w:t>ה</w:t>
      </w:r>
      <w:r>
        <w:rPr>
          <w:rFonts w:hint="cs"/>
          <w:rtl/>
        </w:rPr>
        <w:t xml:space="preserve"> זו, ואף פורסם קול קורא בנושא על פיו פעלה התוכנית בשנות הלימודים התשע"ד-התשע"ט ובמסגרתה החלו בלימודים כ-15 סטודנטים בכל שנה במוסדות שהשתתפו בתוכנית: האוניברסיטה העברית בירושלים, אוניברסיטת בר-אילן ואוניברסיטת בן גוריון בנגב.</w:t>
      </w:r>
    </w:p>
    <w:p w14:paraId="40083241" w14:textId="59F6BE12" w:rsidR="00B51F5B" w:rsidRDefault="00B51F5B" w:rsidP="009B6E28">
      <w:pPr>
        <w:pStyle w:val="100"/>
        <w:rPr>
          <w:rtl/>
        </w:rPr>
      </w:pPr>
      <w:r w:rsidRPr="004E29A8">
        <w:rPr>
          <w:rtl/>
        </w:rPr>
        <w:t xml:space="preserve">בשנת 2019 הגישה אוניברסיטת חיפה </w:t>
      </w:r>
      <w:r>
        <w:rPr>
          <w:rFonts w:hint="cs"/>
          <w:rtl/>
        </w:rPr>
        <w:t>ל</w:t>
      </w:r>
      <w:r w:rsidRPr="004E29A8">
        <w:rPr>
          <w:rtl/>
        </w:rPr>
        <w:t>ו</w:t>
      </w:r>
      <w:r>
        <w:rPr>
          <w:rFonts w:hint="cs"/>
          <w:rtl/>
        </w:rPr>
        <w:t>ו</w:t>
      </w:r>
      <w:r w:rsidRPr="004E29A8">
        <w:rPr>
          <w:rtl/>
        </w:rPr>
        <w:t xml:space="preserve">ת"ת בקשה לפתיחת </w:t>
      </w:r>
      <w:r>
        <w:rPr>
          <w:rFonts w:hint="cs"/>
          <w:rtl/>
        </w:rPr>
        <w:t>ה</w:t>
      </w:r>
      <w:r w:rsidRPr="004E29A8">
        <w:rPr>
          <w:rtl/>
        </w:rPr>
        <w:t xml:space="preserve">תוכנית לחרדים לתואר </w:t>
      </w:r>
      <w:r>
        <w:rPr>
          <w:rFonts w:hint="cs"/>
          <w:rtl/>
        </w:rPr>
        <w:t>מוסמך</w:t>
      </w:r>
      <w:r w:rsidRPr="004E29A8">
        <w:rPr>
          <w:rtl/>
        </w:rPr>
        <w:t xml:space="preserve"> בפסיכולוגיה, </w:t>
      </w:r>
      <w:r>
        <w:rPr>
          <w:rFonts w:hint="cs"/>
          <w:rtl/>
        </w:rPr>
        <w:t xml:space="preserve">אך </w:t>
      </w:r>
      <w:r w:rsidRPr="004E29A8">
        <w:rPr>
          <w:rtl/>
        </w:rPr>
        <w:t>נ</w:t>
      </w:r>
      <w:r>
        <w:rPr>
          <w:rtl/>
        </w:rPr>
        <w:t>כון למועד סיום הביקורת</w:t>
      </w:r>
      <w:r>
        <w:rPr>
          <w:rFonts w:hint="cs"/>
          <w:rtl/>
        </w:rPr>
        <w:t xml:space="preserve"> טרם אושרה</w:t>
      </w:r>
      <w:r>
        <w:rPr>
          <w:rtl/>
        </w:rPr>
        <w:t xml:space="preserve"> התוכנית</w:t>
      </w:r>
      <w:r>
        <w:rPr>
          <w:rFonts w:hint="cs"/>
          <w:rtl/>
        </w:rPr>
        <w:t>.</w:t>
      </w:r>
      <w:r w:rsidRPr="004E29A8">
        <w:rPr>
          <w:rtl/>
        </w:rPr>
        <w:t xml:space="preserve"> </w:t>
      </w:r>
      <w:r>
        <w:rPr>
          <w:rFonts w:hint="cs"/>
          <w:rtl/>
        </w:rPr>
        <w:t xml:space="preserve">אוניברסיטת תל אביב מסרה באוגוסט 2019 כי לא הגישה בקשה לפתיחת תוכנית כיוון שאין באפשרותה למלא את דרישת התוכנית לקלוט ארבעה סטודנטים לפחות בכל שנה. </w:t>
      </w:r>
      <w:r>
        <w:rPr>
          <w:rtl/>
        </w:rPr>
        <w:t xml:space="preserve">החל </w:t>
      </w:r>
      <w:r>
        <w:rPr>
          <w:rFonts w:hint="cs"/>
          <w:rtl/>
        </w:rPr>
        <w:t>בשנת</w:t>
      </w:r>
      <w:r>
        <w:rPr>
          <w:rtl/>
        </w:rPr>
        <w:t xml:space="preserve"> </w:t>
      </w:r>
      <w:r>
        <w:rPr>
          <w:rFonts w:hint="cs"/>
          <w:rtl/>
        </w:rPr>
        <w:t>הלימודים ה</w:t>
      </w:r>
      <w:r>
        <w:rPr>
          <w:rtl/>
        </w:rPr>
        <w:t>תש"</w:t>
      </w:r>
      <w:r>
        <w:rPr>
          <w:rFonts w:hint="cs"/>
          <w:rtl/>
        </w:rPr>
        <w:t>ף (2020-2019) פועל</w:t>
      </w:r>
      <w:r>
        <w:rPr>
          <w:rtl/>
        </w:rPr>
        <w:t xml:space="preserve"> </w:t>
      </w:r>
      <w:r>
        <w:rPr>
          <w:rFonts w:hint="cs"/>
          <w:rtl/>
        </w:rPr>
        <w:t>ב</w:t>
      </w:r>
      <w:r>
        <w:rPr>
          <w:rtl/>
        </w:rPr>
        <w:t>מוסדות האקדמיים האוניברסיטה העברית</w:t>
      </w:r>
      <w:r>
        <w:rPr>
          <w:rFonts w:hint="cs"/>
          <w:rtl/>
        </w:rPr>
        <w:t xml:space="preserve"> בירושלים</w:t>
      </w:r>
      <w:r>
        <w:rPr>
          <w:rtl/>
        </w:rPr>
        <w:t>, אוניברסיטת</w:t>
      </w:r>
      <w:r w:rsidR="000B09A1">
        <w:rPr>
          <w:rtl/>
        </w:rPr>
        <w:br/>
      </w:r>
      <w:r>
        <w:rPr>
          <w:rtl/>
        </w:rPr>
        <w:t>בר</w:t>
      </w:r>
      <w:r>
        <w:rPr>
          <w:rFonts w:hint="cs"/>
          <w:rtl/>
        </w:rPr>
        <w:t>-</w:t>
      </w:r>
      <w:r>
        <w:rPr>
          <w:rtl/>
        </w:rPr>
        <w:t>אילן ואוניברסיטת חיפה</w:t>
      </w:r>
      <w:r>
        <w:rPr>
          <w:rFonts w:hint="cs"/>
          <w:rtl/>
        </w:rPr>
        <w:t xml:space="preserve"> </w:t>
      </w:r>
      <w:r w:rsidRPr="00497D43">
        <w:rPr>
          <w:rtl/>
        </w:rPr>
        <w:t xml:space="preserve">מודל תמיכה אשר ממשיך את עקרונותיו של </w:t>
      </w:r>
      <w:r>
        <w:rPr>
          <w:rFonts w:hint="cs"/>
          <w:rtl/>
        </w:rPr>
        <w:t>ה</w:t>
      </w:r>
      <w:r w:rsidRPr="00497D43">
        <w:rPr>
          <w:rtl/>
        </w:rPr>
        <w:t xml:space="preserve">קול </w:t>
      </w:r>
      <w:r>
        <w:rPr>
          <w:rFonts w:hint="cs"/>
          <w:rtl/>
        </w:rPr>
        <w:t>ה</w:t>
      </w:r>
      <w:r w:rsidRPr="00497D43">
        <w:rPr>
          <w:rtl/>
        </w:rPr>
        <w:t>קורא</w:t>
      </w:r>
      <w:r>
        <w:rPr>
          <w:rFonts w:hint="cs"/>
          <w:rtl/>
        </w:rPr>
        <w:t xml:space="preserve"> כאמור.</w:t>
      </w:r>
    </w:p>
    <w:p w14:paraId="157CD11E" w14:textId="77777777" w:rsidR="00B51F5B" w:rsidRDefault="00B51F5B" w:rsidP="009B6E28">
      <w:pPr>
        <w:pStyle w:val="100"/>
        <w:rPr>
          <w:b/>
          <w:rtl/>
        </w:rPr>
      </w:pPr>
      <w:r>
        <w:rPr>
          <w:rFonts w:hint="cs"/>
          <w:b/>
          <w:rtl/>
        </w:rPr>
        <w:t xml:space="preserve">נוסף על כך, </w:t>
      </w:r>
      <w:r w:rsidRPr="00B8409F">
        <w:rPr>
          <w:b/>
          <w:rtl/>
        </w:rPr>
        <w:t xml:space="preserve">מאז </w:t>
      </w:r>
      <w:r>
        <w:rPr>
          <w:rFonts w:hint="cs"/>
          <w:b/>
          <w:rtl/>
        </w:rPr>
        <w:t>שנת הלימודים התשע"ו</w:t>
      </w:r>
      <w:r w:rsidRPr="00B8409F">
        <w:rPr>
          <w:b/>
          <w:rtl/>
        </w:rPr>
        <w:t xml:space="preserve"> </w:t>
      </w:r>
      <w:r>
        <w:rPr>
          <w:rFonts w:hint="cs"/>
          <w:b/>
          <w:rtl/>
        </w:rPr>
        <w:t>(2016-2015)</w:t>
      </w:r>
      <w:r w:rsidRPr="00B8409F">
        <w:rPr>
          <w:b/>
          <w:rtl/>
        </w:rPr>
        <w:t xml:space="preserve"> </w:t>
      </w:r>
      <w:r>
        <w:rPr>
          <w:rFonts w:hint="cs"/>
          <w:b/>
          <w:rtl/>
        </w:rPr>
        <w:t xml:space="preserve">מפעילה אוניברסיטת בר-אילן </w:t>
      </w:r>
      <w:r w:rsidRPr="00B8409F">
        <w:rPr>
          <w:b/>
          <w:rtl/>
        </w:rPr>
        <w:t xml:space="preserve">קמפוס חרדי ללימודי פסיכולוגיה לתואר </w:t>
      </w:r>
      <w:r>
        <w:rPr>
          <w:rFonts w:hint="cs"/>
          <w:b/>
          <w:rtl/>
        </w:rPr>
        <w:t>בוגר</w:t>
      </w:r>
      <w:r w:rsidRPr="00B8409F">
        <w:rPr>
          <w:b/>
          <w:rtl/>
        </w:rPr>
        <w:t xml:space="preserve"> עבור נשים</w:t>
      </w:r>
      <w:r>
        <w:rPr>
          <w:rFonts w:hint="cs"/>
          <w:b/>
          <w:rtl/>
        </w:rPr>
        <w:t>,</w:t>
      </w:r>
      <w:r w:rsidRPr="00B8409F">
        <w:rPr>
          <w:b/>
          <w:rtl/>
        </w:rPr>
        <w:t xml:space="preserve"> </w:t>
      </w:r>
      <w:r>
        <w:rPr>
          <w:rFonts w:hint="cs"/>
          <w:b/>
          <w:rtl/>
        </w:rPr>
        <w:t>ו</w:t>
      </w:r>
      <w:r w:rsidRPr="00B8409F">
        <w:rPr>
          <w:b/>
          <w:rtl/>
        </w:rPr>
        <w:t xml:space="preserve">מספר הבוגרות מדי שנה </w:t>
      </w:r>
      <w:r>
        <w:rPr>
          <w:rFonts w:hint="cs"/>
          <w:b/>
          <w:rtl/>
        </w:rPr>
        <w:t>הוא 25-19</w:t>
      </w:r>
      <w:r w:rsidRPr="00B8409F">
        <w:rPr>
          <w:b/>
          <w:rtl/>
        </w:rPr>
        <w:t>.</w:t>
      </w:r>
      <w:r w:rsidRPr="0062664B">
        <w:rPr>
          <w:b/>
          <w:rtl/>
        </w:rPr>
        <w:t xml:space="preserve"> </w:t>
      </w:r>
      <w:r w:rsidRPr="0009760C">
        <w:rPr>
          <w:b/>
          <w:rtl/>
        </w:rPr>
        <w:t xml:space="preserve">תוכנית </w:t>
      </w:r>
      <w:r>
        <w:rPr>
          <w:rFonts w:hint="cs"/>
          <w:b/>
          <w:rtl/>
        </w:rPr>
        <w:t>ה</w:t>
      </w:r>
      <w:r w:rsidRPr="0009760C">
        <w:rPr>
          <w:b/>
          <w:rtl/>
        </w:rPr>
        <w:t>לימודים לתואר מוסמך ל"פסיכולוגיה קלינית עם רגישות תרבות"</w:t>
      </w:r>
      <w:r>
        <w:rPr>
          <w:rFonts w:hint="cs"/>
          <w:b/>
          <w:rtl/>
        </w:rPr>
        <w:t>, ש</w:t>
      </w:r>
      <w:r w:rsidRPr="0009760C">
        <w:rPr>
          <w:b/>
          <w:rtl/>
        </w:rPr>
        <w:t>נפתחה במכללת אחווה</w:t>
      </w:r>
      <w:r>
        <w:rPr>
          <w:rFonts w:hint="cs"/>
          <w:b/>
          <w:rtl/>
        </w:rPr>
        <w:t xml:space="preserve"> כוללת תכנים העוסקים במאפיינים הייחודים לטיפול באוכלוסייה החרדית.</w:t>
      </w:r>
      <w:r w:rsidRPr="0009760C">
        <w:rPr>
          <w:b/>
          <w:rtl/>
        </w:rPr>
        <w:t xml:space="preserve"> </w:t>
      </w:r>
    </w:p>
    <w:p w14:paraId="4CA91D65" w14:textId="19165D26" w:rsidR="00B51F5B" w:rsidRDefault="00B51F5B" w:rsidP="009B6E28">
      <w:pPr>
        <w:pStyle w:val="100"/>
        <w:rPr>
          <w:rtl/>
        </w:rPr>
      </w:pPr>
      <w:r>
        <w:rPr>
          <w:rFonts w:hint="cs"/>
          <w:rtl/>
        </w:rPr>
        <w:t>הטיפולים הפסיכותרפיים יכולים להינתן גם על ידי עובדים סוציאליים בוגרי תואר מוסמך במסלול קליני שסיימו בית ספר לפסיכותרפיה. אוניברסיטת חיפה מפעילה מסלול ייחודי ללימודי עבודה סוציאלית למגזר החרדי שבו למדו בשנת הלימודים התשע"ז (2017-2016) 85 סטודנטים לתואר מוסמך. באוניברסיטת בר-אילן לומדים במסלול הקליני לתואר מוסמך שלושה סטודנטים מהמגזר החרדי.</w:t>
      </w:r>
    </w:p>
    <w:p w14:paraId="48D0907E" w14:textId="4893FCEF" w:rsidR="00B51F5B" w:rsidRDefault="00B51F5B" w:rsidP="009B6E28">
      <w:pPr>
        <w:pStyle w:val="100"/>
        <w:rPr>
          <w:rtl/>
        </w:rPr>
      </w:pPr>
      <w:r>
        <w:rPr>
          <w:rFonts w:hint="cs"/>
          <w:rtl/>
        </w:rPr>
        <w:t xml:space="preserve">הכללית מסרה בתשובתה כי היא פועלת </w:t>
      </w:r>
      <w:r w:rsidRPr="006145BC">
        <w:rPr>
          <w:rtl/>
        </w:rPr>
        <w:t>לגיי</w:t>
      </w:r>
      <w:r>
        <w:rPr>
          <w:rtl/>
        </w:rPr>
        <w:t>ס מטפלים מהמגזר החרדי</w:t>
      </w:r>
      <w:r>
        <w:rPr>
          <w:rFonts w:hint="cs"/>
          <w:rtl/>
        </w:rPr>
        <w:t>,</w:t>
      </w:r>
      <w:r w:rsidRPr="006145BC">
        <w:rPr>
          <w:rtl/>
        </w:rPr>
        <w:t xml:space="preserve"> הקצ</w:t>
      </w:r>
      <w:r>
        <w:rPr>
          <w:rFonts w:hint="cs"/>
          <w:rtl/>
        </w:rPr>
        <w:t>תה לכך</w:t>
      </w:r>
      <w:r w:rsidRPr="006145BC">
        <w:rPr>
          <w:rtl/>
        </w:rPr>
        <w:t xml:space="preserve"> תקני מתמחים</w:t>
      </w:r>
      <w:r>
        <w:rPr>
          <w:rFonts w:hint="cs"/>
          <w:rtl/>
        </w:rPr>
        <w:t xml:space="preserve"> ו</w:t>
      </w:r>
      <w:r w:rsidRPr="006145BC">
        <w:rPr>
          <w:rtl/>
        </w:rPr>
        <w:t>חתמ</w:t>
      </w:r>
      <w:r>
        <w:rPr>
          <w:rFonts w:hint="cs"/>
          <w:rtl/>
        </w:rPr>
        <w:t>ה</w:t>
      </w:r>
      <w:r w:rsidRPr="006145BC">
        <w:rPr>
          <w:rtl/>
        </w:rPr>
        <w:t xml:space="preserve"> הס</w:t>
      </w:r>
      <w:r>
        <w:rPr>
          <w:rFonts w:hint="cs"/>
          <w:rtl/>
        </w:rPr>
        <w:t>כ</w:t>
      </w:r>
      <w:r>
        <w:rPr>
          <w:rtl/>
        </w:rPr>
        <w:t>מים עם ספקי</w:t>
      </w:r>
      <w:r>
        <w:rPr>
          <w:rFonts w:hint="cs"/>
          <w:rtl/>
        </w:rPr>
        <w:t xml:space="preserve"> שירות בהתאם. </w:t>
      </w:r>
    </w:p>
    <w:p w14:paraId="04441728" w14:textId="77777777" w:rsidR="00B51F5B" w:rsidRDefault="00B51F5B" w:rsidP="009B6E28">
      <w:pPr>
        <w:pStyle w:val="100"/>
        <w:rPr>
          <w:color w:val="FF0000"/>
          <w:rtl/>
        </w:rPr>
      </w:pPr>
      <w:r w:rsidRPr="009B6E28">
        <w:rPr>
          <w:rStyle w:val="Heading7Char"/>
          <w:rFonts w:hint="eastAsia"/>
          <w:color w:val="004E6C"/>
          <w:spacing w:val="0"/>
          <w:rtl/>
        </w:rPr>
        <w:t>מחסור</w:t>
      </w:r>
      <w:r w:rsidRPr="009B6E28">
        <w:rPr>
          <w:rStyle w:val="Heading7Char"/>
          <w:color w:val="004E6C"/>
          <w:spacing w:val="0"/>
          <w:rtl/>
        </w:rPr>
        <w:t xml:space="preserve"> </w:t>
      </w:r>
      <w:r w:rsidRPr="009B6E28">
        <w:rPr>
          <w:rStyle w:val="Heading7Char"/>
          <w:rFonts w:hint="eastAsia"/>
          <w:color w:val="004E6C"/>
          <w:spacing w:val="0"/>
          <w:rtl/>
        </w:rPr>
        <w:t>בפסיכותרפיסטים</w:t>
      </w:r>
      <w:r w:rsidRPr="009B6E28">
        <w:rPr>
          <w:rStyle w:val="Heading7Char"/>
          <w:color w:val="004E6C"/>
          <w:spacing w:val="0"/>
          <w:rtl/>
        </w:rPr>
        <w:t xml:space="preserve"> </w:t>
      </w:r>
      <w:r w:rsidRPr="009B6E28">
        <w:rPr>
          <w:rStyle w:val="Heading7Char"/>
          <w:rFonts w:hint="eastAsia"/>
          <w:color w:val="004E6C"/>
          <w:spacing w:val="0"/>
          <w:rtl/>
        </w:rPr>
        <w:t>בעדה</w:t>
      </w:r>
      <w:r w:rsidRPr="009B6E28">
        <w:rPr>
          <w:rStyle w:val="Heading7Char"/>
          <w:color w:val="004E6C"/>
          <w:spacing w:val="0"/>
          <w:rtl/>
        </w:rPr>
        <w:t xml:space="preserve"> </w:t>
      </w:r>
      <w:r w:rsidRPr="009B6E28">
        <w:rPr>
          <w:rStyle w:val="Heading7Char"/>
          <w:rFonts w:hint="eastAsia"/>
          <w:color w:val="004E6C"/>
          <w:spacing w:val="0"/>
          <w:rtl/>
        </w:rPr>
        <w:t>האתיופית</w:t>
      </w:r>
      <w:r w:rsidRPr="009B6E28">
        <w:rPr>
          <w:rStyle w:val="Heading7Char"/>
          <w:rFonts w:hint="cs"/>
          <w:color w:val="004E6C"/>
          <w:spacing w:val="0"/>
          <w:rtl/>
        </w:rPr>
        <w:t>:</w:t>
      </w:r>
      <w:r w:rsidRPr="009B6E28">
        <w:rPr>
          <w:rFonts w:hint="cs"/>
          <w:color w:val="004E6C"/>
          <w:rtl/>
        </w:rPr>
        <w:t xml:space="preserve"> </w:t>
      </w:r>
      <w:r w:rsidRPr="008804B2">
        <w:rPr>
          <w:rtl/>
        </w:rPr>
        <w:t>מערכת</w:t>
      </w:r>
      <w:r>
        <w:rPr>
          <w:rFonts w:hint="cs"/>
          <w:rtl/>
        </w:rPr>
        <w:t xml:space="preserve"> בריאות הנפש</w:t>
      </w:r>
      <w:r w:rsidRPr="008804B2">
        <w:rPr>
          <w:rtl/>
        </w:rPr>
        <w:t xml:space="preserve"> </w:t>
      </w:r>
      <w:r>
        <w:rPr>
          <w:rFonts w:hint="cs"/>
          <w:rtl/>
        </w:rPr>
        <w:t>אינה</w:t>
      </w:r>
      <w:r w:rsidRPr="008804B2">
        <w:rPr>
          <w:rtl/>
        </w:rPr>
        <w:t xml:space="preserve"> </w:t>
      </w:r>
      <w:r>
        <w:rPr>
          <w:rFonts w:hint="cs"/>
          <w:rtl/>
        </w:rPr>
        <w:t>מותאמת לטיפול בבני העדה</w:t>
      </w:r>
      <w:r w:rsidRPr="008804B2">
        <w:rPr>
          <w:rtl/>
        </w:rPr>
        <w:t xml:space="preserve"> </w:t>
      </w:r>
      <w:r>
        <w:rPr>
          <w:rFonts w:hint="cs"/>
          <w:rtl/>
        </w:rPr>
        <w:t xml:space="preserve">בשל תרבותם ושפתם הייחודיות. לפיכך חברי קופות החולים אינם נוהגים לפנות לקבלת טיפול נפשי </w:t>
      </w:r>
      <w:r w:rsidRPr="008804B2">
        <w:rPr>
          <w:rtl/>
        </w:rPr>
        <w:t xml:space="preserve">אלא </w:t>
      </w:r>
      <w:r>
        <w:rPr>
          <w:rFonts w:hint="cs"/>
          <w:rtl/>
        </w:rPr>
        <w:t xml:space="preserve">רק </w:t>
      </w:r>
      <w:r w:rsidRPr="008804B2">
        <w:rPr>
          <w:rtl/>
        </w:rPr>
        <w:t>במצבים קיצוניים של אלימות, התמכרויות, התנגשויות עם החוק, הזנחה עצמית קשה ואובד</w:t>
      </w:r>
      <w:r>
        <w:rPr>
          <w:rFonts w:hint="cs"/>
          <w:rtl/>
        </w:rPr>
        <w:t>נ</w:t>
      </w:r>
      <w:r w:rsidRPr="008804B2">
        <w:rPr>
          <w:rtl/>
        </w:rPr>
        <w:t>ות.</w:t>
      </w:r>
      <w:r>
        <w:rPr>
          <w:rFonts w:hint="cs"/>
          <w:color w:val="FF0000"/>
          <w:rtl/>
        </w:rPr>
        <w:t xml:space="preserve"> </w:t>
      </w:r>
      <w:r w:rsidRPr="00FF6770">
        <w:rPr>
          <w:rtl/>
        </w:rPr>
        <w:t xml:space="preserve">בשנת 2017 כ-4.4% </w:t>
      </w:r>
      <w:r>
        <w:rPr>
          <w:rFonts w:hint="cs"/>
          <w:rtl/>
        </w:rPr>
        <w:t>מבני העדה</w:t>
      </w:r>
      <w:r w:rsidRPr="00FF6770">
        <w:rPr>
          <w:rtl/>
        </w:rPr>
        <w:t xml:space="preserve"> </w:t>
      </w:r>
      <w:r>
        <w:rPr>
          <w:rFonts w:hint="cs"/>
          <w:rtl/>
        </w:rPr>
        <w:t xml:space="preserve">התקבלו </w:t>
      </w:r>
      <w:r w:rsidRPr="00FF6770">
        <w:rPr>
          <w:rtl/>
        </w:rPr>
        <w:t>לאשפוז פסיכיאטרי</w:t>
      </w:r>
      <w:r>
        <w:rPr>
          <w:rFonts w:hint="cs"/>
          <w:rtl/>
        </w:rPr>
        <w:t>, אף שהם רק</w:t>
      </w:r>
      <w:r w:rsidRPr="00FF6770">
        <w:rPr>
          <w:rtl/>
        </w:rPr>
        <w:t xml:space="preserve"> כ-1.7% מהאוכלוסייה.</w:t>
      </w:r>
      <w:r>
        <w:rPr>
          <w:rFonts w:hint="cs"/>
          <w:rtl/>
        </w:rPr>
        <w:t xml:space="preserve"> ניכר</w:t>
      </w:r>
      <w:r w:rsidRPr="009A3E86">
        <w:rPr>
          <w:rFonts w:hint="cs"/>
          <w:rtl/>
        </w:rPr>
        <w:t xml:space="preserve"> מיעוט של עובדים סוציאליים בני העדה</w:t>
      </w:r>
      <w:r>
        <w:rPr>
          <w:rFonts w:hint="cs"/>
          <w:rtl/>
        </w:rPr>
        <w:t xml:space="preserve"> </w:t>
      </w:r>
      <w:r w:rsidRPr="009A3E86">
        <w:rPr>
          <w:rFonts w:hint="cs"/>
          <w:rtl/>
        </w:rPr>
        <w:t xml:space="preserve">ועוד פחות מזה </w:t>
      </w:r>
      <w:r>
        <w:rPr>
          <w:rFonts w:hint="cs"/>
          <w:rtl/>
        </w:rPr>
        <w:t xml:space="preserve">של </w:t>
      </w:r>
      <w:r w:rsidRPr="009A3E86">
        <w:rPr>
          <w:rFonts w:hint="cs"/>
          <w:rtl/>
        </w:rPr>
        <w:t>פסיכולוגים</w:t>
      </w:r>
      <w:r>
        <w:rPr>
          <w:rFonts w:hint="cs"/>
          <w:rtl/>
        </w:rPr>
        <w:t>. נמצא כי בכללית יש מטפל עצמאי אחד בלבד שהוא דובר השפה האמהרית, ובשאר הקופות אין בכלל מטפלים דוברי השפה. הפסיכולוג הראשי במשרד הבריאות מסר כי בשנת 2016 לא היו בקרב מקבלי המלגות בפסיכולוגיה מתמחים בני העדה האתיופית, בשנת 2017 היה מתמחה אחד, ובשנת 2018 היו שני מתמחים.</w:t>
      </w:r>
      <w:r>
        <w:rPr>
          <w:rFonts w:hint="cs"/>
          <w:color w:val="FF0000"/>
          <w:rtl/>
        </w:rPr>
        <w:t xml:space="preserve"> </w:t>
      </w:r>
    </w:p>
    <w:p w14:paraId="7D53474D" w14:textId="77777777" w:rsidR="00B51F5B" w:rsidRPr="0062664B" w:rsidRDefault="00B51F5B" w:rsidP="009B6E28">
      <w:pPr>
        <w:pStyle w:val="100"/>
        <w:rPr>
          <w:b/>
          <w:rtl/>
        </w:rPr>
      </w:pPr>
      <w:r>
        <w:rPr>
          <w:rFonts w:hint="cs"/>
          <w:rtl/>
        </w:rPr>
        <w:t>כדי לסייע לבני העדה האתיופית להשתלב ב</w:t>
      </w:r>
      <w:r w:rsidRPr="000C625B">
        <w:rPr>
          <w:rFonts w:hint="cs"/>
          <w:rtl/>
        </w:rPr>
        <w:t>לימודי הפסיכולוגיה</w:t>
      </w:r>
      <w:r>
        <w:rPr>
          <w:rFonts w:hint="cs"/>
          <w:rtl/>
        </w:rPr>
        <w:t>,</w:t>
      </w:r>
      <w:r w:rsidRPr="000C625B">
        <w:rPr>
          <w:rFonts w:hint="cs"/>
          <w:rtl/>
        </w:rPr>
        <w:t xml:space="preserve"> אוניברסיטת תל אביב </w:t>
      </w:r>
      <w:r>
        <w:rPr>
          <w:rFonts w:hint="cs"/>
          <w:rtl/>
        </w:rPr>
        <w:t xml:space="preserve">מקילה </w:t>
      </w:r>
      <w:r w:rsidRPr="000C625B">
        <w:rPr>
          <w:rFonts w:hint="cs"/>
          <w:rtl/>
        </w:rPr>
        <w:t>ב</w:t>
      </w:r>
      <w:r>
        <w:rPr>
          <w:rFonts w:hint="cs"/>
          <w:rtl/>
        </w:rPr>
        <w:t>תנאי ה</w:t>
      </w:r>
      <w:r w:rsidRPr="000C625B">
        <w:rPr>
          <w:rFonts w:hint="cs"/>
          <w:rtl/>
        </w:rPr>
        <w:t>קבל</w:t>
      </w:r>
      <w:r>
        <w:rPr>
          <w:rFonts w:hint="cs"/>
          <w:rtl/>
        </w:rPr>
        <w:t xml:space="preserve">ה של </w:t>
      </w:r>
      <w:r w:rsidRPr="000C625B">
        <w:rPr>
          <w:rFonts w:hint="cs"/>
          <w:rtl/>
        </w:rPr>
        <w:t>יוצאי אתיופיה בהתאם להנחיות המל"ג</w:t>
      </w:r>
      <w:r>
        <w:rPr>
          <w:rFonts w:hint="cs"/>
          <w:rtl/>
        </w:rPr>
        <w:t>.</w:t>
      </w:r>
      <w:r w:rsidRPr="000C625B">
        <w:rPr>
          <w:rFonts w:hint="cs"/>
          <w:rtl/>
        </w:rPr>
        <w:t xml:space="preserve"> </w:t>
      </w:r>
      <w:r>
        <w:rPr>
          <w:rFonts w:hint="cs"/>
          <w:rtl/>
        </w:rPr>
        <w:t xml:space="preserve">גם אוניברסיטת </w:t>
      </w:r>
      <w:r w:rsidRPr="000C625B">
        <w:rPr>
          <w:rFonts w:hint="cs"/>
          <w:rtl/>
        </w:rPr>
        <w:t>בר</w:t>
      </w:r>
      <w:r>
        <w:rPr>
          <w:rFonts w:hint="cs"/>
          <w:rtl/>
        </w:rPr>
        <w:t>-</w:t>
      </w:r>
      <w:r w:rsidRPr="000C625B">
        <w:rPr>
          <w:rFonts w:hint="cs"/>
          <w:rtl/>
        </w:rPr>
        <w:t>אילן</w:t>
      </w:r>
      <w:r>
        <w:rPr>
          <w:rFonts w:hint="cs"/>
          <w:rtl/>
        </w:rPr>
        <w:t xml:space="preserve"> והאוניברסיטה העברית בירושלים</w:t>
      </w:r>
      <w:r w:rsidRPr="000C625B">
        <w:rPr>
          <w:rFonts w:hint="cs"/>
          <w:rtl/>
        </w:rPr>
        <w:t xml:space="preserve"> </w:t>
      </w:r>
      <w:r>
        <w:rPr>
          <w:rFonts w:hint="cs"/>
          <w:rtl/>
        </w:rPr>
        <w:t xml:space="preserve">מסייעות לסטודנטים בני העדה האתיופית, באמצעות </w:t>
      </w:r>
      <w:r w:rsidRPr="000C625B">
        <w:rPr>
          <w:rFonts w:hint="cs"/>
          <w:rtl/>
        </w:rPr>
        <w:t>תוכנית</w:t>
      </w:r>
      <w:r>
        <w:rPr>
          <w:rFonts w:hint="cs"/>
          <w:rtl/>
        </w:rPr>
        <w:t xml:space="preserve"> פוירשטיין</w:t>
      </w:r>
      <w:r>
        <w:rPr>
          <w:rStyle w:val="FootnoteReference"/>
          <w:rtl/>
        </w:rPr>
        <w:footnoteReference w:id="127"/>
      </w:r>
      <w:r>
        <w:rPr>
          <w:rFonts w:hint="cs"/>
          <w:rtl/>
        </w:rPr>
        <w:t xml:space="preserve">. </w:t>
      </w:r>
      <w:r w:rsidRPr="0009760C">
        <w:rPr>
          <w:b/>
          <w:rtl/>
        </w:rPr>
        <w:t xml:space="preserve">תוכנית </w:t>
      </w:r>
      <w:r>
        <w:rPr>
          <w:rFonts w:hint="cs"/>
          <w:b/>
          <w:rtl/>
        </w:rPr>
        <w:t>ה</w:t>
      </w:r>
      <w:r w:rsidRPr="0009760C">
        <w:rPr>
          <w:b/>
          <w:rtl/>
        </w:rPr>
        <w:t>לימודים</w:t>
      </w:r>
      <w:r>
        <w:rPr>
          <w:rFonts w:hint="cs"/>
          <w:b/>
          <w:rtl/>
        </w:rPr>
        <w:t>,</w:t>
      </w:r>
      <w:r w:rsidRPr="0009760C">
        <w:rPr>
          <w:b/>
          <w:rtl/>
        </w:rPr>
        <w:t xml:space="preserve"> </w:t>
      </w:r>
      <w:r>
        <w:rPr>
          <w:rFonts w:hint="cs"/>
          <w:b/>
          <w:rtl/>
        </w:rPr>
        <w:t>ש</w:t>
      </w:r>
      <w:r w:rsidRPr="0009760C">
        <w:rPr>
          <w:b/>
          <w:rtl/>
        </w:rPr>
        <w:t>נפתחה במכללת אחווה</w:t>
      </w:r>
      <w:r>
        <w:rPr>
          <w:rFonts w:hint="cs"/>
          <w:b/>
          <w:rtl/>
        </w:rPr>
        <w:t xml:space="preserve"> כאמור, כוללת תכנים העוסקים במאפיינים הייחודיים לטיפול גם באוכלוסייה זו.</w:t>
      </w:r>
      <w:r w:rsidRPr="0009760C">
        <w:rPr>
          <w:b/>
          <w:rtl/>
        </w:rPr>
        <w:t xml:space="preserve"> </w:t>
      </w:r>
    </w:p>
    <w:p w14:paraId="736F83D9" w14:textId="77777777" w:rsidR="00B51F5B" w:rsidRDefault="00B51F5B" w:rsidP="009B6E28">
      <w:pPr>
        <w:pStyle w:val="100"/>
        <w:rPr>
          <w:rtl/>
        </w:rPr>
      </w:pPr>
      <w:r>
        <w:rPr>
          <w:rFonts w:hint="cs"/>
          <w:rtl/>
        </w:rPr>
        <w:t>משרד הבריאות מסר בתשובתו כי הוא</w:t>
      </w:r>
      <w:r w:rsidRPr="001C79E9">
        <w:rPr>
          <w:rtl/>
        </w:rPr>
        <w:t xml:space="preserve"> מפעיל </w:t>
      </w:r>
      <w:r>
        <w:rPr>
          <w:rFonts w:hint="cs"/>
          <w:rtl/>
        </w:rPr>
        <w:t>ניסוי חלוץ ("</w:t>
      </w:r>
      <w:r w:rsidRPr="001C79E9">
        <w:rPr>
          <w:rtl/>
        </w:rPr>
        <w:t>פיילוט</w:t>
      </w:r>
      <w:r>
        <w:rPr>
          <w:rFonts w:hint="cs"/>
          <w:rtl/>
        </w:rPr>
        <w:t>")</w:t>
      </w:r>
      <w:r w:rsidRPr="001C79E9">
        <w:rPr>
          <w:rtl/>
        </w:rPr>
        <w:t xml:space="preserve"> בנושא הנגשת שירותים בבריאות הנפש</w:t>
      </w:r>
      <w:r>
        <w:rPr>
          <w:rFonts w:hint="cs"/>
          <w:rtl/>
        </w:rPr>
        <w:t xml:space="preserve"> באמצעות</w:t>
      </w:r>
      <w:r w:rsidRPr="001C79E9">
        <w:rPr>
          <w:rtl/>
        </w:rPr>
        <w:t xml:space="preserve"> מגשרים יוצאי הקהילה האתיופית </w:t>
      </w:r>
      <w:r>
        <w:rPr>
          <w:rFonts w:hint="cs"/>
          <w:rtl/>
        </w:rPr>
        <w:t>המעניקים</w:t>
      </w:r>
      <w:r w:rsidDel="00F037EC">
        <w:rPr>
          <w:rFonts w:hint="cs"/>
          <w:rtl/>
        </w:rPr>
        <w:t xml:space="preserve"> </w:t>
      </w:r>
      <w:r>
        <w:rPr>
          <w:rtl/>
        </w:rPr>
        <w:t>שירות גישור בשפה אמהרית</w:t>
      </w:r>
      <w:r w:rsidRPr="001C79E9">
        <w:rPr>
          <w:rtl/>
        </w:rPr>
        <w:t xml:space="preserve"> </w:t>
      </w:r>
      <w:r>
        <w:rPr>
          <w:rFonts w:hint="cs"/>
          <w:rtl/>
        </w:rPr>
        <w:t>ב</w:t>
      </w:r>
      <w:r>
        <w:rPr>
          <w:rtl/>
        </w:rPr>
        <w:t>בתי חולים פסיכיאטריים ממשלתיים</w:t>
      </w:r>
      <w:r w:rsidRPr="001C79E9">
        <w:rPr>
          <w:rtl/>
        </w:rPr>
        <w:t xml:space="preserve"> </w:t>
      </w:r>
      <w:r>
        <w:rPr>
          <w:rFonts w:hint="cs"/>
          <w:rtl/>
        </w:rPr>
        <w:t>ו</w:t>
      </w:r>
      <w:r w:rsidRPr="001C79E9">
        <w:rPr>
          <w:rtl/>
        </w:rPr>
        <w:t>ב</w:t>
      </w:r>
      <w:r>
        <w:rPr>
          <w:rFonts w:hint="cs"/>
          <w:rtl/>
        </w:rPr>
        <w:t>ב</w:t>
      </w:r>
      <w:r w:rsidRPr="001C79E9">
        <w:rPr>
          <w:rtl/>
        </w:rPr>
        <w:t xml:space="preserve">תי חולים כלליים </w:t>
      </w:r>
      <w:r>
        <w:rPr>
          <w:rFonts w:hint="cs"/>
          <w:rtl/>
        </w:rPr>
        <w:t>שבהם</w:t>
      </w:r>
      <w:r w:rsidRPr="001C79E9">
        <w:rPr>
          <w:rtl/>
        </w:rPr>
        <w:t xml:space="preserve"> מחלקות פסיכיאטריות</w:t>
      </w:r>
      <w:r>
        <w:rPr>
          <w:rStyle w:val="FootnoteReference"/>
          <w:rtl/>
        </w:rPr>
        <w:footnoteReference w:id="128"/>
      </w:r>
      <w:r w:rsidRPr="001C79E9">
        <w:rPr>
          <w:rtl/>
        </w:rPr>
        <w:t>.</w:t>
      </w:r>
      <w:r>
        <w:rPr>
          <w:rFonts w:hint="cs"/>
          <w:rtl/>
        </w:rPr>
        <w:t xml:space="preserve"> </w:t>
      </w:r>
    </w:p>
    <w:p w14:paraId="6B840617" w14:textId="77777777" w:rsidR="00B51F5B" w:rsidRDefault="00B51F5B" w:rsidP="009B6E28">
      <w:pPr>
        <w:pStyle w:val="100"/>
        <w:rPr>
          <w:rtl/>
        </w:rPr>
      </w:pPr>
      <w:r>
        <w:rPr>
          <w:rFonts w:hint="cs"/>
          <w:rtl/>
        </w:rPr>
        <w:t xml:space="preserve">הכללית מסרה בתשובתה כי </w:t>
      </w:r>
      <w:r w:rsidRPr="0026361C">
        <w:rPr>
          <w:rtl/>
        </w:rPr>
        <w:t xml:space="preserve">הקצתה מלגות מחיה ייחודיות לפסיכולוגים מהעדה האתיופית, </w:t>
      </w:r>
      <w:r>
        <w:rPr>
          <w:rFonts w:hint="cs"/>
          <w:rtl/>
        </w:rPr>
        <w:t xml:space="preserve">כדי לשפר ולהנגיש </w:t>
      </w:r>
      <w:r w:rsidRPr="0026361C">
        <w:rPr>
          <w:rtl/>
        </w:rPr>
        <w:t>את הש</w:t>
      </w:r>
      <w:r>
        <w:rPr>
          <w:rFonts w:hint="cs"/>
          <w:rtl/>
        </w:rPr>
        <w:t>י</w:t>
      </w:r>
      <w:r w:rsidRPr="0026361C">
        <w:rPr>
          <w:rtl/>
        </w:rPr>
        <w:t>רות באשדוד ובירושלים</w:t>
      </w:r>
      <w:r>
        <w:rPr>
          <w:rFonts w:hint="cs"/>
          <w:rtl/>
        </w:rPr>
        <w:t>.</w:t>
      </w:r>
    </w:p>
    <w:p w14:paraId="42EA849C" w14:textId="77777777" w:rsidR="00B51F5B" w:rsidRPr="00415A85" w:rsidRDefault="00B51F5B" w:rsidP="009B6E28">
      <w:pPr>
        <w:pStyle w:val="aff0"/>
        <w:rPr>
          <w:rFonts w:ascii="Arial" w:hAnsi="Arial" w:cs="Arial"/>
          <w:rtl/>
        </w:rPr>
      </w:pPr>
      <w:r w:rsidRPr="00415A85">
        <w:rPr>
          <w:rFonts w:hint="cs"/>
          <w:rtl/>
        </w:rPr>
        <w:t>✰</w:t>
      </w:r>
    </w:p>
    <w:p w14:paraId="39EE3003" w14:textId="705B38AF" w:rsidR="00B51F5B" w:rsidRPr="00415A85" w:rsidRDefault="00B51F5B" w:rsidP="00B51F5B">
      <w:pPr>
        <w:pStyle w:val="aff8"/>
        <w:spacing w:line="269" w:lineRule="auto"/>
        <w:rPr>
          <w:rtl/>
        </w:rPr>
      </w:pPr>
    </w:p>
    <w:p w14:paraId="01B4A6AE" w14:textId="77777777" w:rsidR="00B51F5B" w:rsidRDefault="00B51F5B" w:rsidP="009B6E28">
      <w:pPr>
        <w:pStyle w:val="af5"/>
        <w:rPr>
          <w:rtl/>
        </w:rPr>
      </w:pPr>
      <w:r w:rsidRPr="008F3BAF">
        <w:rPr>
          <w:rFonts w:hint="cs"/>
          <w:rtl/>
        </w:rPr>
        <w:t>המחסור בכוח האדם הפסיכותרפי בשירות הציבורי (לטיפולים ללא דמי השתתפות עצמית) הנובע, בין היתר, מכך שקופות החולים לא העסיקו מספיק פסיכותרפיסטים,</w:t>
      </w:r>
      <w:r>
        <w:rPr>
          <w:rFonts w:hint="cs"/>
          <w:rtl/>
        </w:rPr>
        <w:t xml:space="preserve"> </w:t>
      </w:r>
      <w:r w:rsidRPr="00415A85">
        <w:rPr>
          <w:rFonts w:hint="cs"/>
          <w:rtl/>
        </w:rPr>
        <w:t>גורם לתורי המתנה ארוכים.</w:t>
      </w:r>
      <w:r w:rsidRPr="0088084A">
        <w:rPr>
          <w:rFonts w:hint="cs"/>
          <w:rtl/>
        </w:rPr>
        <w:t xml:space="preserve"> נדרש ש</w:t>
      </w:r>
      <w:r w:rsidRPr="0088084A">
        <w:rPr>
          <w:rFonts w:hint="eastAsia"/>
          <w:rtl/>
        </w:rPr>
        <w:t>משרד</w:t>
      </w:r>
      <w:r w:rsidRPr="0088084A">
        <w:rPr>
          <w:rtl/>
        </w:rPr>
        <w:t xml:space="preserve"> </w:t>
      </w:r>
      <w:r>
        <w:rPr>
          <w:rFonts w:hint="cs"/>
          <w:rtl/>
        </w:rPr>
        <w:t xml:space="preserve">הבריאות </w:t>
      </w:r>
      <w:r w:rsidRPr="0088084A">
        <w:rPr>
          <w:rFonts w:hint="cs"/>
          <w:rtl/>
        </w:rPr>
        <w:t xml:space="preserve">יקבע </w:t>
      </w:r>
      <w:r w:rsidRPr="0088084A">
        <w:rPr>
          <w:rFonts w:hint="eastAsia"/>
          <w:rtl/>
        </w:rPr>
        <w:t>יעדי</w:t>
      </w:r>
      <w:r w:rsidRPr="0088084A">
        <w:rPr>
          <w:rFonts w:hint="cs"/>
          <w:rtl/>
        </w:rPr>
        <w:t>ם</w:t>
      </w:r>
      <w:r w:rsidRPr="0088084A">
        <w:rPr>
          <w:rtl/>
        </w:rPr>
        <w:t xml:space="preserve"> </w:t>
      </w:r>
      <w:r w:rsidRPr="0088084A">
        <w:rPr>
          <w:rFonts w:hint="cs"/>
          <w:rtl/>
        </w:rPr>
        <w:t>ל</w:t>
      </w:r>
      <w:r w:rsidRPr="0088084A">
        <w:rPr>
          <w:rtl/>
        </w:rPr>
        <w:t>העסקת כוח אדם</w:t>
      </w:r>
      <w:r w:rsidRPr="0088084A">
        <w:rPr>
          <w:rFonts w:hint="cs"/>
          <w:rtl/>
        </w:rPr>
        <w:t xml:space="preserve"> בתחום</w:t>
      </w:r>
      <w:r w:rsidRPr="006F1929">
        <w:rPr>
          <w:rFonts w:hint="cs"/>
          <w:rtl/>
        </w:rPr>
        <w:t xml:space="preserve"> הפסיכותרפיה ו</w:t>
      </w:r>
      <w:r>
        <w:rPr>
          <w:rFonts w:hint="cs"/>
          <w:rtl/>
        </w:rPr>
        <w:t>ש</w:t>
      </w:r>
      <w:r w:rsidRPr="006F1929">
        <w:rPr>
          <w:rFonts w:hint="cs"/>
          <w:rtl/>
        </w:rPr>
        <w:t xml:space="preserve">יבחן </w:t>
      </w:r>
      <w:r w:rsidRPr="006F1929">
        <w:rPr>
          <w:rtl/>
        </w:rPr>
        <w:t xml:space="preserve">אם קופות </w:t>
      </w:r>
      <w:r>
        <w:rPr>
          <w:rFonts w:hint="cs"/>
          <w:rtl/>
        </w:rPr>
        <w:t xml:space="preserve">החולים </w:t>
      </w:r>
      <w:r w:rsidRPr="006F1929">
        <w:rPr>
          <w:rFonts w:hint="cs"/>
          <w:rtl/>
        </w:rPr>
        <w:t>עושות די בכל הנוגע לניצול התקציב להעסקת כוח אדם לייעודו</w:t>
      </w:r>
      <w:r w:rsidRPr="007A0AA0">
        <w:rPr>
          <w:rFonts w:hint="cs"/>
          <w:rtl/>
        </w:rPr>
        <w:t>.</w:t>
      </w:r>
    </w:p>
    <w:p w14:paraId="4819C037" w14:textId="77777777" w:rsidR="00B51F5B" w:rsidRDefault="00B51F5B" w:rsidP="009B6E28">
      <w:pPr>
        <w:pStyle w:val="af5"/>
        <w:rPr>
          <w:b/>
          <w:rtl/>
        </w:rPr>
      </w:pPr>
      <w:r w:rsidRPr="00A17C56">
        <w:rPr>
          <w:rFonts w:hint="cs"/>
          <w:b/>
          <w:rtl/>
        </w:rPr>
        <w:t xml:space="preserve">נמצא כי </w:t>
      </w:r>
      <w:r>
        <w:rPr>
          <w:rFonts w:hint="cs"/>
          <w:b/>
          <w:rtl/>
        </w:rPr>
        <w:t>ניכר</w:t>
      </w:r>
      <w:r w:rsidRPr="00A17C56">
        <w:rPr>
          <w:rFonts w:hint="cs"/>
          <w:b/>
          <w:rtl/>
        </w:rPr>
        <w:t xml:space="preserve"> מחסור חמור </w:t>
      </w:r>
      <w:r>
        <w:rPr>
          <w:rFonts w:hint="cs"/>
          <w:b/>
          <w:rtl/>
        </w:rPr>
        <w:t xml:space="preserve">במיוחד </w:t>
      </w:r>
      <w:r w:rsidRPr="00A17C56">
        <w:rPr>
          <w:rFonts w:hint="cs"/>
          <w:b/>
          <w:rtl/>
        </w:rPr>
        <w:t>בכ</w:t>
      </w:r>
      <w:r>
        <w:rPr>
          <w:rFonts w:hint="cs"/>
          <w:b/>
          <w:rtl/>
        </w:rPr>
        <w:t>ו</w:t>
      </w:r>
      <w:r w:rsidRPr="00A17C56">
        <w:rPr>
          <w:rFonts w:hint="cs"/>
          <w:b/>
          <w:rtl/>
        </w:rPr>
        <w:t xml:space="preserve">ח אדם פסיכותרפי במגזר הערבי, </w:t>
      </w:r>
      <w:r>
        <w:rPr>
          <w:rFonts w:hint="cs"/>
          <w:b/>
          <w:rtl/>
        </w:rPr>
        <w:t xml:space="preserve">במגזר </w:t>
      </w:r>
      <w:r w:rsidRPr="00A17C56">
        <w:rPr>
          <w:rFonts w:hint="cs"/>
          <w:b/>
          <w:rtl/>
        </w:rPr>
        <w:t>החרדי ובעדה האתיופית</w:t>
      </w:r>
      <w:r>
        <w:rPr>
          <w:rFonts w:hint="cs"/>
          <w:b/>
          <w:rtl/>
        </w:rPr>
        <w:t>,</w:t>
      </w:r>
      <w:r w:rsidRPr="00A17C56">
        <w:rPr>
          <w:rFonts w:hint="cs"/>
          <w:b/>
          <w:rtl/>
        </w:rPr>
        <w:t xml:space="preserve"> ו</w:t>
      </w:r>
      <w:r>
        <w:rPr>
          <w:rFonts w:hint="cs"/>
          <w:b/>
          <w:rtl/>
        </w:rPr>
        <w:t xml:space="preserve">כי </w:t>
      </w:r>
      <w:r w:rsidRPr="00A17C56">
        <w:rPr>
          <w:rFonts w:hint="cs"/>
          <w:b/>
          <w:rtl/>
        </w:rPr>
        <w:t xml:space="preserve">הפעולות שנעשות </w:t>
      </w:r>
      <w:r>
        <w:rPr>
          <w:rFonts w:hint="cs"/>
          <w:b/>
          <w:rtl/>
        </w:rPr>
        <w:t>טרם צלחו</w:t>
      </w:r>
      <w:r w:rsidRPr="00A17C56">
        <w:rPr>
          <w:rFonts w:hint="cs"/>
          <w:b/>
          <w:rtl/>
        </w:rPr>
        <w:t xml:space="preserve">. </w:t>
      </w:r>
      <w:r w:rsidRPr="00AE3145">
        <w:rPr>
          <w:b/>
          <w:rtl/>
        </w:rPr>
        <w:t xml:space="preserve">למשל: בקרב האוכלוסייה הבדואית </w:t>
      </w:r>
      <w:r>
        <w:rPr>
          <w:rFonts w:hint="cs"/>
          <w:b/>
          <w:rtl/>
        </w:rPr>
        <w:t>יש</w:t>
      </w:r>
      <w:r w:rsidRPr="00AE3145">
        <w:rPr>
          <w:b/>
          <w:rtl/>
        </w:rPr>
        <w:t xml:space="preserve"> </w:t>
      </w:r>
      <w:r>
        <w:rPr>
          <w:rFonts w:hint="cs"/>
          <w:b/>
          <w:rtl/>
        </w:rPr>
        <w:t>2</w:t>
      </w:r>
      <w:r w:rsidRPr="00AE3145">
        <w:rPr>
          <w:b/>
          <w:rtl/>
        </w:rPr>
        <w:t xml:space="preserve"> פסיכולוגים בדואים בלבד; במסגרת המטפלים העצמאיים בכללית מתוך כ-380 מטפלים </w:t>
      </w:r>
      <w:r w:rsidRPr="00AE3145">
        <w:rPr>
          <w:rFonts w:hint="eastAsia"/>
          <w:b/>
          <w:rtl/>
        </w:rPr>
        <w:t>רק</w:t>
      </w:r>
      <w:r w:rsidRPr="00AE3145">
        <w:rPr>
          <w:b/>
          <w:rtl/>
        </w:rPr>
        <w:t xml:space="preserve"> כ-20 </w:t>
      </w:r>
      <w:r w:rsidRPr="00AE3145">
        <w:rPr>
          <w:rFonts w:hint="eastAsia"/>
          <w:b/>
          <w:rtl/>
        </w:rPr>
        <w:t>הם</w:t>
      </w:r>
      <w:r w:rsidRPr="00AE3145">
        <w:rPr>
          <w:b/>
          <w:rtl/>
        </w:rPr>
        <w:t xml:space="preserve"> דוברי ערבית, </w:t>
      </w:r>
      <w:r>
        <w:rPr>
          <w:rFonts w:hint="cs"/>
          <w:b/>
          <w:rtl/>
        </w:rPr>
        <w:t>2</w:t>
      </w:r>
      <w:r w:rsidRPr="00AE3145">
        <w:rPr>
          <w:b/>
          <w:rtl/>
        </w:rPr>
        <w:t xml:space="preserve"> דוברי יידיש (</w:t>
      </w:r>
      <w:r w:rsidRPr="00AE3145">
        <w:rPr>
          <w:rFonts w:hint="eastAsia"/>
          <w:b/>
          <w:rtl/>
        </w:rPr>
        <w:t>שפה</w:t>
      </w:r>
      <w:r w:rsidRPr="00AE3145">
        <w:rPr>
          <w:b/>
          <w:rtl/>
        </w:rPr>
        <w:t xml:space="preserve"> </w:t>
      </w:r>
      <w:r w:rsidRPr="00AE3145">
        <w:rPr>
          <w:rFonts w:hint="eastAsia"/>
          <w:b/>
          <w:rtl/>
        </w:rPr>
        <w:t>נדרשת</w:t>
      </w:r>
      <w:r w:rsidRPr="00AE3145">
        <w:rPr>
          <w:b/>
          <w:rtl/>
        </w:rPr>
        <w:t xml:space="preserve"> </w:t>
      </w:r>
      <w:r w:rsidRPr="00AE3145">
        <w:rPr>
          <w:rFonts w:hint="eastAsia"/>
          <w:b/>
          <w:rtl/>
        </w:rPr>
        <w:t>לחלק</w:t>
      </w:r>
      <w:r w:rsidRPr="00AE3145">
        <w:rPr>
          <w:b/>
          <w:rtl/>
        </w:rPr>
        <w:t xml:space="preserve"> </w:t>
      </w:r>
      <w:r w:rsidRPr="00AE3145">
        <w:rPr>
          <w:rFonts w:hint="eastAsia"/>
          <w:b/>
          <w:rtl/>
        </w:rPr>
        <w:t>מהאוכלוסייה</w:t>
      </w:r>
      <w:r w:rsidRPr="00AE3145">
        <w:rPr>
          <w:b/>
          <w:rtl/>
        </w:rPr>
        <w:t xml:space="preserve"> </w:t>
      </w:r>
      <w:r w:rsidRPr="00AE3145">
        <w:rPr>
          <w:rFonts w:hint="eastAsia"/>
          <w:b/>
          <w:rtl/>
        </w:rPr>
        <w:t>החרדית</w:t>
      </w:r>
      <w:r>
        <w:rPr>
          <w:rFonts w:hint="cs"/>
          <w:b/>
          <w:rtl/>
        </w:rPr>
        <w:t>)</w:t>
      </w:r>
      <w:r w:rsidRPr="00AE3145">
        <w:rPr>
          <w:b/>
          <w:rtl/>
        </w:rPr>
        <w:t xml:space="preserve"> ודובר אמהרית אחד בלבד; במכבי מתוך כ-300 מטפלים יש </w:t>
      </w:r>
      <w:r w:rsidRPr="000A6A9B">
        <w:rPr>
          <w:b/>
          <w:rtl/>
        </w:rPr>
        <w:t>כ</w:t>
      </w:r>
      <w:r w:rsidRPr="00AE3145">
        <w:rPr>
          <w:b/>
          <w:rtl/>
        </w:rPr>
        <w:t xml:space="preserve">-10 דוברי ערבית, </w:t>
      </w:r>
      <w:r>
        <w:rPr>
          <w:rFonts w:hint="cs"/>
          <w:b/>
          <w:rtl/>
        </w:rPr>
        <w:t>4</w:t>
      </w:r>
      <w:r w:rsidRPr="00AE3145">
        <w:rPr>
          <w:b/>
          <w:rtl/>
        </w:rPr>
        <w:t xml:space="preserve"> דוברי יידיש ואין </w:t>
      </w:r>
      <w:r w:rsidRPr="00AE3145">
        <w:rPr>
          <w:rFonts w:hint="eastAsia"/>
          <w:b/>
          <w:rtl/>
        </w:rPr>
        <w:t>כלל</w:t>
      </w:r>
      <w:r w:rsidRPr="00AE3145">
        <w:rPr>
          <w:b/>
          <w:rtl/>
        </w:rPr>
        <w:t xml:space="preserve"> דוברי אמהרית; במאוחדת מתוך כ-280 מטפלים יש </w:t>
      </w:r>
      <w:r w:rsidRPr="000A6A9B">
        <w:rPr>
          <w:b/>
          <w:rtl/>
        </w:rPr>
        <w:t>כ-</w:t>
      </w:r>
      <w:r>
        <w:rPr>
          <w:rFonts w:hint="cs"/>
          <w:b/>
          <w:rtl/>
        </w:rPr>
        <w:t>5</w:t>
      </w:r>
      <w:r w:rsidRPr="00AE3145">
        <w:rPr>
          <w:b/>
          <w:rtl/>
        </w:rPr>
        <w:t xml:space="preserve"> דוברי ערבית, </w:t>
      </w:r>
      <w:r>
        <w:rPr>
          <w:rFonts w:hint="cs"/>
          <w:b/>
          <w:rtl/>
        </w:rPr>
        <w:t>2</w:t>
      </w:r>
      <w:r w:rsidRPr="00AE3145">
        <w:rPr>
          <w:b/>
          <w:rtl/>
        </w:rPr>
        <w:t xml:space="preserve"> דוברי יידיש ואין דוברי אמהרית</w:t>
      </w:r>
      <w:r>
        <w:rPr>
          <w:rFonts w:hint="cs"/>
          <w:b/>
          <w:rtl/>
        </w:rPr>
        <w:t xml:space="preserve"> כלל</w:t>
      </w:r>
      <w:r w:rsidRPr="00AE3145">
        <w:rPr>
          <w:b/>
          <w:rtl/>
        </w:rPr>
        <w:t>; ב</w:t>
      </w:r>
      <w:r w:rsidRPr="00AE3145">
        <w:rPr>
          <w:rFonts w:hint="eastAsia"/>
          <w:b/>
          <w:rtl/>
        </w:rPr>
        <w:t>מאג</w:t>
      </w:r>
      <w:r>
        <w:rPr>
          <w:rFonts w:hint="cs"/>
          <w:b/>
          <w:rtl/>
        </w:rPr>
        <w:t>ר</w:t>
      </w:r>
      <w:r w:rsidRPr="00AE3145">
        <w:rPr>
          <w:rFonts w:hint="eastAsia"/>
          <w:b/>
          <w:rtl/>
        </w:rPr>
        <w:t>י</w:t>
      </w:r>
      <w:r w:rsidRPr="00AE3145">
        <w:rPr>
          <w:b/>
          <w:rtl/>
        </w:rPr>
        <w:t xml:space="preserve"> המידע של לאומית </w:t>
      </w:r>
      <w:r w:rsidRPr="00AE3145">
        <w:rPr>
          <w:rFonts w:hint="eastAsia"/>
          <w:b/>
          <w:rtl/>
        </w:rPr>
        <w:t>אין</w:t>
      </w:r>
      <w:r w:rsidRPr="00AE3145">
        <w:rPr>
          <w:b/>
          <w:rtl/>
        </w:rPr>
        <w:t xml:space="preserve"> נתונים </w:t>
      </w:r>
      <w:r w:rsidRPr="00AE3145">
        <w:rPr>
          <w:rFonts w:hint="eastAsia"/>
          <w:b/>
          <w:rtl/>
        </w:rPr>
        <w:t>על</w:t>
      </w:r>
      <w:r w:rsidRPr="00AE3145">
        <w:rPr>
          <w:b/>
          <w:rtl/>
        </w:rPr>
        <w:t xml:space="preserve"> שפ</w:t>
      </w:r>
      <w:r w:rsidRPr="00AE3145">
        <w:rPr>
          <w:rFonts w:hint="eastAsia"/>
          <w:b/>
          <w:rtl/>
        </w:rPr>
        <w:t>ת</w:t>
      </w:r>
      <w:r w:rsidRPr="00AE3145">
        <w:rPr>
          <w:b/>
          <w:rtl/>
        </w:rPr>
        <w:t xml:space="preserve"> ה</w:t>
      </w:r>
      <w:r w:rsidRPr="00AE3145">
        <w:rPr>
          <w:rFonts w:hint="eastAsia"/>
          <w:b/>
          <w:rtl/>
        </w:rPr>
        <w:t>מטפלים</w:t>
      </w:r>
      <w:r w:rsidRPr="00AE3145">
        <w:rPr>
          <w:b/>
          <w:rtl/>
        </w:rPr>
        <w:t xml:space="preserve"> העצמאיים</w:t>
      </w:r>
      <w:r>
        <w:rPr>
          <w:rFonts w:hint="cs"/>
          <w:b/>
          <w:rtl/>
        </w:rPr>
        <w:t>, ולכן אין אפשרות להעריך אם לאומית מסוגלת לספק שירות ייחודי למבוטחיה</w:t>
      </w:r>
      <w:r w:rsidRPr="00AE3145">
        <w:rPr>
          <w:b/>
          <w:rtl/>
        </w:rPr>
        <w:t>.</w:t>
      </w:r>
    </w:p>
    <w:p w14:paraId="36352160" w14:textId="2F3389F2" w:rsidR="00B51F5B" w:rsidRPr="00941454" w:rsidRDefault="00B51F5B" w:rsidP="00941454">
      <w:pPr>
        <w:pStyle w:val="af5"/>
        <w:rPr>
          <w:b/>
          <w:rtl/>
        </w:rPr>
      </w:pPr>
      <w:r>
        <w:rPr>
          <w:rFonts w:hint="cs"/>
          <w:b/>
          <w:rtl/>
        </w:rPr>
        <w:t>נדרש</w:t>
      </w:r>
      <w:r w:rsidRPr="00A17C56">
        <w:rPr>
          <w:rFonts w:hint="cs"/>
          <w:b/>
          <w:rtl/>
        </w:rPr>
        <w:t xml:space="preserve"> </w:t>
      </w:r>
      <w:r>
        <w:rPr>
          <w:rFonts w:hint="cs"/>
          <w:b/>
          <w:rtl/>
        </w:rPr>
        <w:t>ש</w:t>
      </w:r>
      <w:r w:rsidRPr="00A17C56">
        <w:rPr>
          <w:rFonts w:hint="cs"/>
          <w:b/>
          <w:rtl/>
        </w:rPr>
        <w:t xml:space="preserve">משרד הבריאות בשיתוף קופות החולים </w:t>
      </w:r>
      <w:r>
        <w:rPr>
          <w:rFonts w:hint="cs"/>
          <w:b/>
          <w:rtl/>
        </w:rPr>
        <w:t>י</w:t>
      </w:r>
      <w:r w:rsidRPr="00A17C56">
        <w:rPr>
          <w:rFonts w:hint="cs"/>
          <w:b/>
          <w:rtl/>
        </w:rPr>
        <w:t xml:space="preserve">מפו </w:t>
      </w:r>
      <w:r>
        <w:rPr>
          <w:rFonts w:hint="cs"/>
          <w:b/>
          <w:rtl/>
        </w:rPr>
        <w:t>את החוסרים ב</w:t>
      </w:r>
      <w:r w:rsidRPr="00A17C56">
        <w:rPr>
          <w:rFonts w:hint="cs"/>
          <w:b/>
          <w:rtl/>
        </w:rPr>
        <w:t>פסיכותרפיסטים מהמגזרים השונים</w:t>
      </w:r>
      <w:r>
        <w:rPr>
          <w:rFonts w:hint="cs"/>
          <w:b/>
          <w:rtl/>
        </w:rPr>
        <w:t>,</w:t>
      </w:r>
      <w:r w:rsidRPr="00A17C56">
        <w:rPr>
          <w:rFonts w:hint="cs"/>
          <w:b/>
          <w:rtl/>
        </w:rPr>
        <w:t xml:space="preserve"> ו</w:t>
      </w:r>
      <w:r>
        <w:rPr>
          <w:rFonts w:hint="cs"/>
          <w:b/>
          <w:rtl/>
        </w:rPr>
        <w:t xml:space="preserve">כי הם יפעלו </w:t>
      </w:r>
      <w:r w:rsidRPr="00A17C56">
        <w:rPr>
          <w:rFonts w:hint="cs"/>
          <w:b/>
          <w:rtl/>
        </w:rPr>
        <w:t xml:space="preserve">בשיתוף המל"ג, </w:t>
      </w:r>
      <w:r>
        <w:rPr>
          <w:rFonts w:hint="cs"/>
          <w:b/>
          <w:rtl/>
        </w:rPr>
        <w:t>ה</w:t>
      </w:r>
      <w:r w:rsidRPr="00A17C56">
        <w:rPr>
          <w:rFonts w:hint="cs"/>
          <w:b/>
          <w:rtl/>
        </w:rPr>
        <w:t>ו</w:t>
      </w:r>
      <w:r>
        <w:rPr>
          <w:rFonts w:hint="cs"/>
          <w:b/>
          <w:rtl/>
        </w:rPr>
        <w:t>ו</w:t>
      </w:r>
      <w:r w:rsidRPr="00A17C56">
        <w:rPr>
          <w:rFonts w:hint="cs"/>
          <w:b/>
          <w:rtl/>
        </w:rPr>
        <w:t xml:space="preserve">ת"ת והמוסדות להשכלה גבוהה </w:t>
      </w:r>
      <w:r>
        <w:rPr>
          <w:rFonts w:hint="cs"/>
          <w:b/>
          <w:rtl/>
        </w:rPr>
        <w:t xml:space="preserve">להכנת תוכנית סדורה, רב-שנתית </w:t>
      </w:r>
      <w:r w:rsidRPr="00A17C56">
        <w:rPr>
          <w:rFonts w:hint="cs"/>
          <w:b/>
          <w:rtl/>
        </w:rPr>
        <w:t>להגדלת מספר הסטודנטים אשר ישתלבו במערכת בריאות הנפש</w:t>
      </w:r>
      <w:r w:rsidRPr="000150A1">
        <w:rPr>
          <w:rStyle w:val="FootnoteReference"/>
          <w:rtl/>
        </w:rPr>
        <w:footnoteReference w:id="129"/>
      </w:r>
      <w:r w:rsidRPr="000150A1">
        <w:rPr>
          <w:rFonts w:hint="cs"/>
          <w:rtl/>
        </w:rPr>
        <w:t>.</w:t>
      </w:r>
      <w:r w:rsidRPr="00434CD7">
        <w:rPr>
          <w:rtl/>
        </w:rPr>
        <w:t xml:space="preserve"> </w:t>
      </w:r>
      <w:r w:rsidRPr="0088084A">
        <w:rPr>
          <w:rFonts w:hint="cs"/>
          <w:b/>
          <w:rtl/>
        </w:rPr>
        <w:t>נדרש שהם יכללו</w:t>
      </w:r>
      <w:r w:rsidRPr="0062664B">
        <w:rPr>
          <w:rtl/>
        </w:rPr>
        <w:t xml:space="preserve"> </w:t>
      </w:r>
      <w:r w:rsidRPr="00DE6176">
        <w:rPr>
          <w:rFonts w:hint="cs"/>
          <w:b/>
          <w:rtl/>
        </w:rPr>
        <w:t>בתוכנית יעדים שנתיים להתקדמות</w:t>
      </w:r>
      <w:r>
        <w:rPr>
          <w:rFonts w:hint="cs"/>
          <w:b/>
          <w:rtl/>
        </w:rPr>
        <w:t>,</w:t>
      </w:r>
      <w:r w:rsidRPr="00DE6176">
        <w:rPr>
          <w:rFonts w:hint="cs"/>
          <w:b/>
          <w:rtl/>
        </w:rPr>
        <w:t xml:space="preserve"> ו</w:t>
      </w:r>
      <w:r>
        <w:rPr>
          <w:rFonts w:hint="cs"/>
          <w:b/>
          <w:rtl/>
        </w:rPr>
        <w:t xml:space="preserve">כי </w:t>
      </w:r>
      <w:r w:rsidRPr="00DE6176">
        <w:rPr>
          <w:rFonts w:hint="cs"/>
          <w:b/>
          <w:rtl/>
        </w:rPr>
        <w:t xml:space="preserve">המשרד </w:t>
      </w:r>
      <w:r>
        <w:rPr>
          <w:rFonts w:hint="cs"/>
          <w:b/>
          <w:rtl/>
        </w:rPr>
        <w:t>י</w:t>
      </w:r>
      <w:r w:rsidRPr="00DE6176">
        <w:rPr>
          <w:rFonts w:hint="cs"/>
          <w:b/>
          <w:rtl/>
        </w:rPr>
        <w:t xml:space="preserve">עקוב אחר השגתם. </w:t>
      </w:r>
      <w:r>
        <w:rPr>
          <w:rFonts w:hint="cs"/>
          <w:b/>
          <w:rtl/>
        </w:rPr>
        <w:t>ראוי גם ש</w:t>
      </w:r>
      <w:r w:rsidRPr="00DE6176">
        <w:rPr>
          <w:rFonts w:hint="cs"/>
          <w:b/>
          <w:rtl/>
        </w:rPr>
        <w:t xml:space="preserve">המשרד </w:t>
      </w:r>
      <w:r>
        <w:rPr>
          <w:rFonts w:hint="cs"/>
          <w:b/>
          <w:rtl/>
        </w:rPr>
        <w:t>י</w:t>
      </w:r>
      <w:r w:rsidRPr="00DE6176">
        <w:rPr>
          <w:rFonts w:hint="cs"/>
          <w:b/>
          <w:rtl/>
        </w:rPr>
        <w:t>פיק לקחים שנתיים מ</w:t>
      </w:r>
      <w:r>
        <w:rPr>
          <w:rFonts w:hint="cs"/>
          <w:b/>
          <w:rtl/>
        </w:rPr>
        <w:t xml:space="preserve">ן </w:t>
      </w:r>
      <w:r w:rsidRPr="00DE6176">
        <w:rPr>
          <w:rFonts w:hint="cs"/>
          <w:b/>
          <w:rtl/>
        </w:rPr>
        <w:t>התוכנית ו</w:t>
      </w:r>
      <w:r>
        <w:rPr>
          <w:rFonts w:hint="cs"/>
          <w:b/>
          <w:rtl/>
        </w:rPr>
        <w:t>י</w:t>
      </w:r>
      <w:r w:rsidRPr="00DE6176">
        <w:rPr>
          <w:rFonts w:hint="cs"/>
          <w:b/>
          <w:rtl/>
        </w:rPr>
        <w:t xml:space="preserve">עדכנה </w:t>
      </w:r>
      <w:r>
        <w:rPr>
          <w:rFonts w:hint="cs"/>
          <w:b/>
          <w:rtl/>
        </w:rPr>
        <w:t>במידת הצורך</w:t>
      </w:r>
      <w:r w:rsidRPr="00DE6176">
        <w:rPr>
          <w:rFonts w:hint="cs"/>
          <w:b/>
          <w:rtl/>
        </w:rPr>
        <w:t xml:space="preserve">. </w:t>
      </w:r>
      <w:r>
        <w:rPr>
          <w:rFonts w:hint="cs"/>
          <w:b/>
          <w:rtl/>
        </w:rPr>
        <w:t>כדי</w:t>
      </w:r>
      <w:r w:rsidRPr="00FD2CD9">
        <w:rPr>
          <w:b/>
          <w:rtl/>
        </w:rPr>
        <w:t xml:space="preserve"> להתגבר על המחסור הקיים ועד שיוכשר כוח האדם המתאים, ראוי כי במרכזי </w:t>
      </w:r>
      <w:r>
        <w:rPr>
          <w:rFonts w:hint="cs"/>
          <w:b/>
          <w:rtl/>
        </w:rPr>
        <w:t>ה</w:t>
      </w:r>
      <w:r w:rsidRPr="00FD2CD9">
        <w:rPr>
          <w:b/>
          <w:rtl/>
        </w:rPr>
        <w:t>אוכלוסי</w:t>
      </w:r>
      <w:r w:rsidRPr="00FD2CD9">
        <w:rPr>
          <w:rFonts w:hint="cs"/>
          <w:b/>
          <w:rtl/>
        </w:rPr>
        <w:t>ות</w:t>
      </w:r>
      <w:r w:rsidRPr="00FD2CD9">
        <w:rPr>
          <w:b/>
          <w:rtl/>
        </w:rPr>
        <w:t xml:space="preserve"> </w:t>
      </w:r>
      <w:r>
        <w:rPr>
          <w:rFonts w:hint="cs"/>
          <w:b/>
          <w:rtl/>
        </w:rPr>
        <w:t>הללו</w:t>
      </w:r>
      <w:r w:rsidRPr="00FD2CD9">
        <w:rPr>
          <w:b/>
          <w:rtl/>
        </w:rPr>
        <w:t xml:space="preserve">, ישולב בטיפול גם גורם מתווך (דוגמת אחות, </w:t>
      </w:r>
      <w:r>
        <w:rPr>
          <w:rFonts w:hint="cs"/>
          <w:b/>
          <w:rtl/>
        </w:rPr>
        <w:t>עובד סוציאלי</w:t>
      </w:r>
      <w:r w:rsidRPr="00FD2CD9">
        <w:rPr>
          <w:b/>
          <w:rtl/>
        </w:rPr>
        <w:t xml:space="preserve"> או איש </w:t>
      </w:r>
      <w:r>
        <w:rPr>
          <w:rFonts w:hint="cs"/>
          <w:b/>
          <w:rtl/>
        </w:rPr>
        <w:t>מינהלה</w:t>
      </w:r>
      <w:r w:rsidRPr="00FD2CD9">
        <w:rPr>
          <w:b/>
          <w:rtl/>
        </w:rPr>
        <w:t>) מהמגזר שיסייע להנגיש את הטיפול בהתאם לשפה ולתרבות.</w:t>
      </w:r>
      <w:r w:rsidRPr="00FD2CD9">
        <w:rPr>
          <w:rFonts w:hint="cs"/>
          <w:b/>
          <w:rtl/>
        </w:rPr>
        <w:t xml:space="preserve"> גורם זה יוכל לסייע גם במתן טיפולים פסיכיאטרי</w:t>
      </w:r>
      <w:r>
        <w:rPr>
          <w:rFonts w:hint="cs"/>
          <w:b/>
          <w:rtl/>
        </w:rPr>
        <w:t>י</w:t>
      </w:r>
      <w:r w:rsidRPr="00FD2CD9">
        <w:rPr>
          <w:rFonts w:hint="cs"/>
          <w:b/>
          <w:rtl/>
        </w:rPr>
        <w:t>ם הניתנים</w:t>
      </w:r>
      <w:r>
        <w:rPr>
          <w:rFonts w:hint="cs"/>
          <w:b/>
          <w:rtl/>
        </w:rPr>
        <w:t xml:space="preserve"> למטופלים ממגזרים אלו על ידי פסיכיאטרים שאינם בני אותו המגזר וחסרים את ההיכרות עם השפה ועם התרבות.</w:t>
      </w:r>
    </w:p>
    <w:p w14:paraId="2F4E2A21" w14:textId="77777777" w:rsidR="00B51F5B" w:rsidRDefault="00B51F5B" w:rsidP="00941454">
      <w:pPr>
        <w:pStyle w:val="316"/>
        <w:rPr>
          <w:rtl/>
        </w:rPr>
      </w:pPr>
      <w:r>
        <w:rPr>
          <w:rFonts w:hint="cs"/>
          <w:rtl/>
        </w:rPr>
        <w:t>סיכום</w:t>
      </w:r>
    </w:p>
    <w:p w14:paraId="442EEF4D" w14:textId="77777777" w:rsidR="00B51F5B" w:rsidRPr="00EE257B" w:rsidRDefault="00B51F5B" w:rsidP="00941454">
      <w:pPr>
        <w:pStyle w:val="af5"/>
        <w:rPr>
          <w:rtl/>
        </w:rPr>
      </w:pPr>
      <w:r w:rsidRPr="00EE257B">
        <w:rPr>
          <w:rFonts w:hint="eastAsia"/>
          <w:rtl/>
        </w:rPr>
        <w:t>היקף</w:t>
      </w:r>
      <w:r w:rsidRPr="00EE257B">
        <w:rPr>
          <w:rtl/>
        </w:rPr>
        <w:t xml:space="preserve"> הסובלים מבעיות נפשיות </w:t>
      </w:r>
      <w:r w:rsidRPr="00EE257B">
        <w:rPr>
          <w:rFonts w:hint="eastAsia"/>
          <w:rtl/>
        </w:rPr>
        <w:t>גדל</w:t>
      </w:r>
      <w:r w:rsidRPr="00EE257B">
        <w:rPr>
          <w:rtl/>
        </w:rPr>
        <w:t xml:space="preserve"> </w:t>
      </w:r>
      <w:r w:rsidRPr="00EE257B">
        <w:rPr>
          <w:rFonts w:hint="eastAsia"/>
          <w:rtl/>
        </w:rPr>
        <w:t>והולך</w:t>
      </w:r>
      <w:r w:rsidRPr="00EE257B">
        <w:rPr>
          <w:rtl/>
        </w:rPr>
        <w:t xml:space="preserve">, </w:t>
      </w:r>
      <w:r w:rsidRPr="00EE257B">
        <w:rPr>
          <w:rFonts w:hint="eastAsia"/>
          <w:rtl/>
        </w:rPr>
        <w:t>וההערכות</w:t>
      </w:r>
      <w:r w:rsidRPr="00EE257B">
        <w:rPr>
          <w:rtl/>
        </w:rPr>
        <w:t xml:space="preserve"> </w:t>
      </w:r>
      <w:r w:rsidRPr="00EE257B">
        <w:rPr>
          <w:rFonts w:hint="eastAsia"/>
          <w:rtl/>
        </w:rPr>
        <w:t>הן</w:t>
      </w:r>
      <w:r w:rsidRPr="00EE257B">
        <w:rPr>
          <w:rtl/>
        </w:rPr>
        <w:t xml:space="preserve"> </w:t>
      </w:r>
      <w:r w:rsidRPr="00EE257B">
        <w:rPr>
          <w:rFonts w:hint="eastAsia"/>
          <w:rtl/>
        </w:rPr>
        <w:t>כי</w:t>
      </w:r>
      <w:r w:rsidRPr="00EE257B">
        <w:rPr>
          <w:rtl/>
        </w:rPr>
        <w:t xml:space="preserve"> </w:t>
      </w:r>
      <w:r w:rsidRPr="00EE257B">
        <w:rPr>
          <w:rFonts w:hint="eastAsia"/>
          <w:rtl/>
        </w:rPr>
        <w:t>כ</w:t>
      </w:r>
      <w:r w:rsidRPr="00EE257B">
        <w:rPr>
          <w:rtl/>
        </w:rPr>
        <w:t xml:space="preserve">-18% מהאוכלוסייה </w:t>
      </w:r>
      <w:r w:rsidRPr="00EE257B">
        <w:rPr>
          <w:rFonts w:hint="eastAsia"/>
          <w:rtl/>
        </w:rPr>
        <w:t>בעולם</w:t>
      </w:r>
      <w:r w:rsidRPr="00EE257B">
        <w:rPr>
          <w:rtl/>
        </w:rPr>
        <w:t xml:space="preserve"> סובלים מדיכאון או </w:t>
      </w:r>
      <w:r w:rsidRPr="00EE257B">
        <w:rPr>
          <w:rFonts w:hint="eastAsia"/>
          <w:rtl/>
        </w:rPr>
        <w:t>מ</w:t>
      </w:r>
      <w:r w:rsidRPr="00EE257B">
        <w:rPr>
          <w:rtl/>
        </w:rPr>
        <w:t xml:space="preserve">חרדה במהלך החיים. בכל זמן נתון כ-10% מהאוכלוסייה סובלים </w:t>
      </w:r>
      <w:r w:rsidRPr="00EE257B">
        <w:rPr>
          <w:rFonts w:hint="eastAsia"/>
          <w:rtl/>
        </w:rPr>
        <w:t>מהפרעות</w:t>
      </w:r>
      <w:r w:rsidRPr="00EE257B">
        <w:rPr>
          <w:rtl/>
        </w:rPr>
        <w:t xml:space="preserve"> </w:t>
      </w:r>
      <w:r w:rsidRPr="00EE257B">
        <w:rPr>
          <w:rFonts w:hint="eastAsia"/>
          <w:rtl/>
        </w:rPr>
        <w:t>אלו</w:t>
      </w:r>
      <w:r w:rsidRPr="00EE257B">
        <w:rPr>
          <w:rtl/>
        </w:rPr>
        <w:t xml:space="preserve">, </w:t>
      </w:r>
      <w:r w:rsidRPr="00EE257B">
        <w:rPr>
          <w:rFonts w:hint="eastAsia"/>
          <w:rtl/>
        </w:rPr>
        <w:t>ומתוכם</w:t>
      </w:r>
      <w:r w:rsidRPr="00EE257B">
        <w:rPr>
          <w:rtl/>
        </w:rPr>
        <w:t xml:space="preserve"> 1%-2% מהאוכלוסייה סובלים ממחלות נפש קשות או ממושכות. מדובר באוכלוסייה שברירית חסרת ישע הזקוקה לכתף תומכת ולאוזן קשבת. </w:t>
      </w:r>
      <w:r w:rsidRPr="00EE257B">
        <w:rPr>
          <w:rFonts w:hint="eastAsia"/>
          <w:rtl/>
        </w:rPr>
        <w:t>למרות</w:t>
      </w:r>
      <w:r w:rsidRPr="00EE257B">
        <w:rPr>
          <w:rtl/>
        </w:rPr>
        <w:t xml:space="preserve"> </w:t>
      </w:r>
      <w:r w:rsidRPr="00EE257B">
        <w:rPr>
          <w:rFonts w:hint="eastAsia"/>
          <w:rtl/>
        </w:rPr>
        <w:t>זאת</w:t>
      </w:r>
      <w:r w:rsidRPr="00EE257B">
        <w:rPr>
          <w:rtl/>
        </w:rPr>
        <w:t xml:space="preserve"> </w:t>
      </w:r>
      <w:r w:rsidRPr="00EE257B">
        <w:rPr>
          <w:rFonts w:hint="eastAsia"/>
          <w:rtl/>
        </w:rPr>
        <w:t>אוכלוסייה</w:t>
      </w:r>
      <w:r w:rsidRPr="00EE257B">
        <w:rPr>
          <w:rtl/>
        </w:rPr>
        <w:t xml:space="preserve"> </w:t>
      </w:r>
      <w:r w:rsidRPr="00EE257B">
        <w:rPr>
          <w:rFonts w:hint="eastAsia"/>
          <w:rtl/>
        </w:rPr>
        <w:t>זו</w:t>
      </w:r>
      <w:r w:rsidRPr="00EE257B">
        <w:rPr>
          <w:rtl/>
        </w:rPr>
        <w:t xml:space="preserve"> </w:t>
      </w:r>
      <w:r w:rsidRPr="00EE257B">
        <w:rPr>
          <w:rFonts w:hint="eastAsia"/>
          <w:rtl/>
        </w:rPr>
        <w:t>נמנעת</w:t>
      </w:r>
      <w:r w:rsidRPr="00EE257B">
        <w:rPr>
          <w:rtl/>
        </w:rPr>
        <w:t xml:space="preserve"> </w:t>
      </w:r>
      <w:r w:rsidRPr="00EE257B">
        <w:rPr>
          <w:rFonts w:hint="eastAsia"/>
          <w:rtl/>
        </w:rPr>
        <w:t>פעמים</w:t>
      </w:r>
      <w:r w:rsidRPr="00EE257B">
        <w:rPr>
          <w:rtl/>
        </w:rPr>
        <w:t xml:space="preserve"> </w:t>
      </w:r>
      <w:r w:rsidRPr="00EE257B">
        <w:rPr>
          <w:rFonts w:hint="eastAsia"/>
          <w:rtl/>
        </w:rPr>
        <w:t>רבות</w:t>
      </w:r>
      <w:r w:rsidRPr="00EE257B">
        <w:rPr>
          <w:rtl/>
        </w:rPr>
        <w:t xml:space="preserve"> </w:t>
      </w:r>
      <w:r w:rsidRPr="00EE257B">
        <w:rPr>
          <w:rFonts w:hint="eastAsia"/>
          <w:rtl/>
        </w:rPr>
        <w:t>מקבלת</w:t>
      </w:r>
      <w:r w:rsidRPr="00EE257B">
        <w:rPr>
          <w:rtl/>
        </w:rPr>
        <w:t xml:space="preserve"> </w:t>
      </w:r>
      <w:r w:rsidRPr="00EE257B">
        <w:rPr>
          <w:rFonts w:hint="eastAsia"/>
          <w:rtl/>
        </w:rPr>
        <w:t>טיפול</w:t>
      </w:r>
      <w:r w:rsidRPr="00EE257B">
        <w:rPr>
          <w:rtl/>
        </w:rPr>
        <w:t xml:space="preserve">, </w:t>
      </w:r>
      <w:r w:rsidRPr="00EE257B">
        <w:rPr>
          <w:rFonts w:hint="eastAsia"/>
          <w:rtl/>
        </w:rPr>
        <w:t>בין</w:t>
      </w:r>
      <w:r w:rsidRPr="00EE257B">
        <w:rPr>
          <w:rtl/>
        </w:rPr>
        <w:t xml:space="preserve"> </w:t>
      </w:r>
      <w:r w:rsidRPr="00EE257B">
        <w:rPr>
          <w:rFonts w:hint="eastAsia"/>
          <w:rtl/>
        </w:rPr>
        <w:t>היתר</w:t>
      </w:r>
      <w:r w:rsidRPr="00EE257B">
        <w:rPr>
          <w:rtl/>
        </w:rPr>
        <w:t xml:space="preserve">, </w:t>
      </w:r>
      <w:r w:rsidRPr="00EE257B">
        <w:rPr>
          <w:rFonts w:hint="eastAsia"/>
          <w:rtl/>
        </w:rPr>
        <w:t>בשל</w:t>
      </w:r>
      <w:r w:rsidRPr="00EE257B">
        <w:rPr>
          <w:rtl/>
        </w:rPr>
        <w:t xml:space="preserve"> </w:t>
      </w:r>
      <w:r w:rsidRPr="00EE257B">
        <w:rPr>
          <w:rFonts w:hint="eastAsia"/>
          <w:rtl/>
        </w:rPr>
        <w:t>חשש</w:t>
      </w:r>
      <w:r w:rsidRPr="00EE257B">
        <w:rPr>
          <w:rtl/>
        </w:rPr>
        <w:t xml:space="preserve"> </w:t>
      </w:r>
      <w:r w:rsidRPr="00EE257B">
        <w:rPr>
          <w:rFonts w:hint="eastAsia"/>
          <w:rtl/>
        </w:rPr>
        <w:t>מתווית</w:t>
      </w:r>
      <w:r w:rsidRPr="00EE257B">
        <w:rPr>
          <w:rtl/>
        </w:rPr>
        <w:t xml:space="preserve"> </w:t>
      </w:r>
      <w:r w:rsidRPr="00EE257B">
        <w:rPr>
          <w:rFonts w:hint="eastAsia"/>
          <w:rtl/>
        </w:rPr>
        <w:t>שלילית</w:t>
      </w:r>
      <w:r w:rsidRPr="00EE257B">
        <w:rPr>
          <w:rtl/>
        </w:rPr>
        <w:t xml:space="preserve"> </w:t>
      </w:r>
      <w:r w:rsidRPr="00EE257B">
        <w:rPr>
          <w:rFonts w:hint="eastAsia"/>
          <w:rtl/>
        </w:rPr>
        <w:t>ומהדרה</w:t>
      </w:r>
      <w:r w:rsidRPr="00EE257B">
        <w:rPr>
          <w:rtl/>
        </w:rPr>
        <w:t xml:space="preserve"> </w:t>
      </w:r>
      <w:r w:rsidRPr="00EE257B">
        <w:rPr>
          <w:rFonts w:hint="eastAsia"/>
          <w:rtl/>
        </w:rPr>
        <w:t>חברתית</w:t>
      </w:r>
      <w:r w:rsidRPr="00EE257B">
        <w:rPr>
          <w:rtl/>
        </w:rPr>
        <w:t xml:space="preserve">. </w:t>
      </w:r>
      <w:r w:rsidRPr="00EE257B">
        <w:rPr>
          <w:rFonts w:hint="eastAsia"/>
          <w:rtl/>
        </w:rPr>
        <w:t>על</w:t>
      </w:r>
      <w:r w:rsidRPr="00EE257B">
        <w:rPr>
          <w:rtl/>
        </w:rPr>
        <w:t xml:space="preserve"> </w:t>
      </w:r>
      <w:r w:rsidRPr="00EE257B">
        <w:rPr>
          <w:rFonts w:hint="eastAsia"/>
          <w:rtl/>
        </w:rPr>
        <w:t>כך</w:t>
      </w:r>
      <w:r w:rsidRPr="00EE257B">
        <w:rPr>
          <w:rtl/>
        </w:rPr>
        <w:t xml:space="preserve"> </w:t>
      </w:r>
      <w:r w:rsidRPr="00EE257B">
        <w:rPr>
          <w:rFonts w:hint="eastAsia"/>
          <w:rtl/>
        </w:rPr>
        <w:t>נוספים</w:t>
      </w:r>
      <w:r w:rsidRPr="00EE257B">
        <w:rPr>
          <w:rtl/>
        </w:rPr>
        <w:t xml:space="preserve"> </w:t>
      </w:r>
      <w:r w:rsidRPr="00EE257B">
        <w:rPr>
          <w:rFonts w:hint="eastAsia"/>
          <w:rtl/>
        </w:rPr>
        <w:t>קשיים</w:t>
      </w:r>
      <w:r w:rsidRPr="00EE257B">
        <w:rPr>
          <w:rtl/>
        </w:rPr>
        <w:t xml:space="preserve"> </w:t>
      </w:r>
      <w:r w:rsidRPr="00EE257B">
        <w:rPr>
          <w:rFonts w:hint="eastAsia"/>
          <w:rtl/>
        </w:rPr>
        <w:t>אובייקטיביים</w:t>
      </w:r>
      <w:r w:rsidRPr="00EE257B">
        <w:rPr>
          <w:rtl/>
        </w:rPr>
        <w:t xml:space="preserve"> </w:t>
      </w:r>
      <w:r w:rsidRPr="00EE257B">
        <w:rPr>
          <w:rFonts w:hint="eastAsia"/>
          <w:rtl/>
        </w:rPr>
        <w:t>היוצרים</w:t>
      </w:r>
      <w:r w:rsidRPr="00EE257B">
        <w:rPr>
          <w:rtl/>
        </w:rPr>
        <w:t xml:space="preserve"> </w:t>
      </w:r>
      <w:r w:rsidRPr="00EE257B">
        <w:rPr>
          <w:rFonts w:hint="eastAsia"/>
          <w:rtl/>
        </w:rPr>
        <w:t>חסמים</w:t>
      </w:r>
      <w:r w:rsidRPr="00EE257B">
        <w:rPr>
          <w:rtl/>
        </w:rPr>
        <w:t xml:space="preserve"> </w:t>
      </w:r>
      <w:r w:rsidRPr="00EE257B">
        <w:rPr>
          <w:rFonts w:hint="eastAsia"/>
          <w:rtl/>
        </w:rPr>
        <w:t>מקבלת</w:t>
      </w:r>
      <w:r w:rsidRPr="00EE257B">
        <w:rPr>
          <w:rtl/>
        </w:rPr>
        <w:t xml:space="preserve"> </w:t>
      </w:r>
      <w:r w:rsidRPr="00EE257B">
        <w:rPr>
          <w:rFonts w:hint="eastAsia"/>
          <w:rtl/>
        </w:rPr>
        <w:t>טיפול</w:t>
      </w:r>
      <w:r w:rsidRPr="00EE257B">
        <w:rPr>
          <w:rtl/>
        </w:rPr>
        <w:t>.</w:t>
      </w:r>
      <w:r w:rsidRPr="009404A6">
        <w:rPr>
          <w:rtl/>
        </w:rPr>
        <w:t xml:space="preserve"> </w:t>
      </w:r>
      <w:r w:rsidRPr="00EE257B">
        <w:rPr>
          <w:rtl/>
        </w:rPr>
        <w:t>חברה בריאה יכולה וצריכה לדאוג לחוליה החלשה שבקרבה.</w:t>
      </w:r>
    </w:p>
    <w:p w14:paraId="101B115A" w14:textId="77777777" w:rsidR="00B51F5B" w:rsidRPr="00EE257B" w:rsidRDefault="00B51F5B" w:rsidP="00941454">
      <w:pPr>
        <w:pStyle w:val="af5"/>
        <w:rPr>
          <w:rtl/>
        </w:rPr>
      </w:pPr>
      <w:r w:rsidRPr="00EE257B">
        <w:rPr>
          <w:rFonts w:hint="eastAsia"/>
          <w:rtl/>
        </w:rPr>
        <w:t>דוח</w:t>
      </w:r>
      <w:r w:rsidRPr="00EE257B">
        <w:rPr>
          <w:rtl/>
        </w:rPr>
        <w:t xml:space="preserve"> ביקורת זה, המתמקד בשירות הניתן בקהילה עם כניסת הרפורמה </w:t>
      </w:r>
      <w:r w:rsidRPr="00EE257B">
        <w:rPr>
          <w:rFonts w:hint="eastAsia"/>
          <w:rtl/>
        </w:rPr>
        <w:t>שבמסגרתה</w:t>
      </w:r>
      <w:r w:rsidRPr="00EE257B">
        <w:rPr>
          <w:rtl/>
        </w:rPr>
        <w:t xml:space="preserve"> </w:t>
      </w:r>
      <w:r w:rsidRPr="00EE257B">
        <w:rPr>
          <w:rFonts w:hint="eastAsia"/>
          <w:rtl/>
        </w:rPr>
        <w:t>הועברה</w:t>
      </w:r>
      <w:r w:rsidRPr="00EE257B">
        <w:rPr>
          <w:rtl/>
        </w:rPr>
        <w:t xml:space="preserve"> האחריות </w:t>
      </w:r>
      <w:r w:rsidRPr="00EE257B">
        <w:rPr>
          <w:rFonts w:hint="eastAsia"/>
          <w:rtl/>
        </w:rPr>
        <w:t>הביטוחית</w:t>
      </w:r>
      <w:r w:rsidRPr="00EE257B">
        <w:rPr>
          <w:rtl/>
        </w:rPr>
        <w:t xml:space="preserve"> לקופות החולים, מצטרף לסדרת דוחות שעסקו בסוגיה זו, לרבות בנושאי שיקום נכי נפש והאשפוז בבתי חולים </w:t>
      </w:r>
      <w:r w:rsidRPr="00EE257B">
        <w:rPr>
          <w:rFonts w:hint="eastAsia"/>
          <w:rtl/>
        </w:rPr>
        <w:t>פסיכיאטריים</w:t>
      </w:r>
      <w:r w:rsidRPr="00EE257B">
        <w:rPr>
          <w:rtl/>
        </w:rPr>
        <w:t xml:space="preserve">. </w:t>
      </w:r>
      <w:r w:rsidRPr="00EE257B">
        <w:rPr>
          <w:rFonts w:hint="eastAsia"/>
          <w:rtl/>
        </w:rPr>
        <w:t>חוק</w:t>
      </w:r>
      <w:r w:rsidRPr="00EE257B">
        <w:rPr>
          <w:rtl/>
        </w:rPr>
        <w:t xml:space="preserve"> </w:t>
      </w:r>
      <w:r w:rsidRPr="00EE257B">
        <w:rPr>
          <w:rFonts w:hint="eastAsia"/>
          <w:rtl/>
        </w:rPr>
        <w:t>ביטוח</w:t>
      </w:r>
      <w:r w:rsidRPr="00EE257B">
        <w:rPr>
          <w:rtl/>
        </w:rPr>
        <w:t xml:space="preserve"> </w:t>
      </w:r>
      <w:r w:rsidRPr="00EE257B">
        <w:rPr>
          <w:rFonts w:hint="eastAsia"/>
          <w:rtl/>
        </w:rPr>
        <w:t>בריאות</w:t>
      </w:r>
      <w:r w:rsidRPr="00EE257B">
        <w:rPr>
          <w:rtl/>
        </w:rPr>
        <w:t xml:space="preserve"> </w:t>
      </w:r>
      <w:r w:rsidRPr="00EE257B">
        <w:rPr>
          <w:rFonts w:hint="eastAsia"/>
          <w:rtl/>
        </w:rPr>
        <w:t>קבע</w:t>
      </w:r>
      <w:r w:rsidRPr="00EE257B">
        <w:rPr>
          <w:rtl/>
        </w:rPr>
        <w:t xml:space="preserve"> </w:t>
      </w:r>
      <w:r w:rsidRPr="00EE257B">
        <w:rPr>
          <w:rFonts w:hint="eastAsia"/>
          <w:rtl/>
        </w:rPr>
        <w:t>כי</w:t>
      </w:r>
      <w:r w:rsidRPr="00EE257B">
        <w:rPr>
          <w:rtl/>
        </w:rPr>
        <w:t xml:space="preserve"> </w:t>
      </w:r>
      <w:r w:rsidRPr="00EE257B">
        <w:rPr>
          <w:rFonts w:hint="eastAsia"/>
          <w:rtl/>
        </w:rPr>
        <w:t>קופות</w:t>
      </w:r>
      <w:r w:rsidRPr="00EE257B">
        <w:rPr>
          <w:rtl/>
        </w:rPr>
        <w:t xml:space="preserve"> </w:t>
      </w:r>
      <w:r w:rsidRPr="00EE257B">
        <w:rPr>
          <w:rFonts w:hint="eastAsia"/>
          <w:rtl/>
        </w:rPr>
        <w:t>החולים</w:t>
      </w:r>
      <w:r w:rsidRPr="00EE257B">
        <w:rPr>
          <w:rtl/>
        </w:rPr>
        <w:t xml:space="preserve"> </w:t>
      </w:r>
      <w:r w:rsidRPr="00EE257B">
        <w:rPr>
          <w:rFonts w:hint="eastAsia"/>
          <w:rtl/>
        </w:rPr>
        <w:t>יספקו</w:t>
      </w:r>
      <w:r w:rsidRPr="00EE257B">
        <w:rPr>
          <w:rtl/>
        </w:rPr>
        <w:t xml:space="preserve"> </w:t>
      </w:r>
      <w:r w:rsidRPr="00EE257B">
        <w:rPr>
          <w:rFonts w:hint="eastAsia"/>
          <w:rtl/>
        </w:rPr>
        <w:t>למטופלים</w:t>
      </w:r>
      <w:r w:rsidRPr="00EE257B">
        <w:rPr>
          <w:rtl/>
        </w:rPr>
        <w:t xml:space="preserve"> שירות בזמן סביר ובמרחק סביר. עם זאת, מהביקורת עולה כי השירות שמקבלים המטופלים אינו מיטבי.</w:t>
      </w:r>
    </w:p>
    <w:p w14:paraId="28923AFE" w14:textId="77777777" w:rsidR="00B51F5B" w:rsidRPr="00EE257B" w:rsidRDefault="00B51F5B" w:rsidP="00941454">
      <w:pPr>
        <w:pStyle w:val="af5"/>
        <w:rPr>
          <w:rtl/>
        </w:rPr>
      </w:pPr>
      <w:r w:rsidRPr="00EE257B">
        <w:rPr>
          <w:rFonts w:hint="eastAsia"/>
          <w:rtl/>
        </w:rPr>
        <w:t>משרד</w:t>
      </w:r>
      <w:r w:rsidRPr="00EE257B">
        <w:rPr>
          <w:rtl/>
        </w:rPr>
        <w:t xml:space="preserve"> </w:t>
      </w:r>
      <w:r w:rsidRPr="00EE257B">
        <w:rPr>
          <w:rFonts w:hint="eastAsia"/>
          <w:rtl/>
        </w:rPr>
        <w:t>הבריאות</w:t>
      </w:r>
      <w:r w:rsidRPr="00EE257B">
        <w:rPr>
          <w:rtl/>
        </w:rPr>
        <w:t xml:space="preserve"> </w:t>
      </w:r>
      <w:r w:rsidRPr="00EE257B">
        <w:rPr>
          <w:rFonts w:hint="eastAsia"/>
          <w:rtl/>
        </w:rPr>
        <w:t>אינו</w:t>
      </w:r>
      <w:r w:rsidRPr="00EE257B">
        <w:rPr>
          <w:rtl/>
        </w:rPr>
        <w:t xml:space="preserve"> </w:t>
      </w:r>
      <w:r w:rsidRPr="00EE257B">
        <w:rPr>
          <w:rFonts w:hint="eastAsia"/>
          <w:rtl/>
        </w:rPr>
        <w:t>יכול</w:t>
      </w:r>
      <w:r w:rsidRPr="00EE257B">
        <w:rPr>
          <w:rtl/>
        </w:rPr>
        <w:t xml:space="preserve"> </w:t>
      </w:r>
      <w:r w:rsidRPr="00EE257B">
        <w:rPr>
          <w:rFonts w:hint="eastAsia"/>
          <w:rtl/>
        </w:rPr>
        <w:t>לאמוד</w:t>
      </w:r>
      <w:r w:rsidRPr="00EE257B">
        <w:rPr>
          <w:rtl/>
        </w:rPr>
        <w:t xml:space="preserve"> </w:t>
      </w:r>
      <w:r w:rsidRPr="00EE257B">
        <w:rPr>
          <w:rFonts w:hint="eastAsia"/>
          <w:rtl/>
        </w:rPr>
        <w:t>את</w:t>
      </w:r>
      <w:r w:rsidRPr="00EE257B">
        <w:rPr>
          <w:rtl/>
        </w:rPr>
        <w:t xml:space="preserve"> </w:t>
      </w:r>
      <w:r w:rsidRPr="00EE257B">
        <w:rPr>
          <w:rFonts w:hint="eastAsia"/>
          <w:rtl/>
        </w:rPr>
        <w:t>הישגי</w:t>
      </w:r>
      <w:r w:rsidRPr="00EE257B">
        <w:rPr>
          <w:rtl/>
        </w:rPr>
        <w:t xml:space="preserve"> </w:t>
      </w:r>
      <w:r w:rsidRPr="00EE257B">
        <w:rPr>
          <w:rFonts w:hint="eastAsia"/>
          <w:rtl/>
        </w:rPr>
        <w:t>הרפורמה</w:t>
      </w:r>
      <w:r w:rsidRPr="00EE257B">
        <w:rPr>
          <w:rtl/>
        </w:rPr>
        <w:t xml:space="preserve"> </w:t>
      </w:r>
      <w:r w:rsidRPr="00EE257B">
        <w:rPr>
          <w:rFonts w:hint="eastAsia"/>
          <w:rtl/>
        </w:rPr>
        <w:t>כיוון</w:t>
      </w:r>
      <w:r w:rsidRPr="00EE257B">
        <w:rPr>
          <w:rtl/>
        </w:rPr>
        <w:t xml:space="preserve"> </w:t>
      </w:r>
      <w:r w:rsidRPr="00EE257B">
        <w:rPr>
          <w:rFonts w:hint="eastAsia"/>
          <w:rtl/>
        </w:rPr>
        <w:t>שהוא</w:t>
      </w:r>
      <w:r w:rsidRPr="00EE257B">
        <w:rPr>
          <w:rtl/>
        </w:rPr>
        <w:t xml:space="preserve"> </w:t>
      </w:r>
      <w:r w:rsidRPr="00EE257B">
        <w:rPr>
          <w:rFonts w:hint="eastAsia"/>
          <w:rtl/>
        </w:rPr>
        <w:t>לא</w:t>
      </w:r>
      <w:r w:rsidRPr="00EE257B">
        <w:rPr>
          <w:rtl/>
        </w:rPr>
        <w:t xml:space="preserve"> </w:t>
      </w:r>
      <w:r w:rsidRPr="00EE257B">
        <w:rPr>
          <w:rFonts w:hint="eastAsia"/>
          <w:rtl/>
        </w:rPr>
        <w:t>קבע</w:t>
      </w:r>
      <w:r w:rsidRPr="00EE257B">
        <w:rPr>
          <w:rtl/>
        </w:rPr>
        <w:t xml:space="preserve"> </w:t>
      </w:r>
      <w:r w:rsidRPr="00EE257B">
        <w:rPr>
          <w:rFonts w:hint="eastAsia"/>
          <w:rtl/>
        </w:rPr>
        <w:t>לה</w:t>
      </w:r>
      <w:r w:rsidRPr="00EE257B">
        <w:rPr>
          <w:rtl/>
        </w:rPr>
        <w:t xml:space="preserve"> </w:t>
      </w:r>
      <w:r w:rsidRPr="00EE257B">
        <w:rPr>
          <w:rFonts w:hint="eastAsia"/>
          <w:rtl/>
        </w:rPr>
        <w:t>יעדים</w:t>
      </w:r>
      <w:r w:rsidRPr="00EE257B">
        <w:rPr>
          <w:rtl/>
        </w:rPr>
        <w:t xml:space="preserve">, ומכיוון שקופות החולים אינן מעבירות לו נתונים מלאים ושלמים על אודות הטיפולים שניתנו ועל האופן שבו נוצל תקציב הרפורמה. זמני ההמתנה לקבלת טיפול בקהילה ארוכים ביותר ומגיעים </w:t>
      </w:r>
      <w:r w:rsidRPr="00EE257B">
        <w:rPr>
          <w:rFonts w:hint="eastAsia"/>
          <w:rtl/>
        </w:rPr>
        <w:t>ל</w:t>
      </w:r>
      <w:r w:rsidRPr="00EE257B">
        <w:rPr>
          <w:rtl/>
        </w:rPr>
        <w:t xml:space="preserve">-12 </w:t>
      </w:r>
      <w:r w:rsidRPr="00EE257B">
        <w:rPr>
          <w:rFonts w:hint="eastAsia"/>
          <w:rtl/>
        </w:rPr>
        <w:t>עד</w:t>
      </w:r>
      <w:r w:rsidRPr="00EE257B">
        <w:rPr>
          <w:rtl/>
        </w:rPr>
        <w:t xml:space="preserve"> 16 </w:t>
      </w:r>
      <w:r w:rsidRPr="00EE257B">
        <w:rPr>
          <w:rFonts w:hint="eastAsia"/>
          <w:rtl/>
        </w:rPr>
        <w:t>חודשים</w:t>
      </w:r>
      <w:r w:rsidRPr="00EE257B">
        <w:rPr>
          <w:rtl/>
        </w:rPr>
        <w:t xml:space="preserve">, </w:t>
      </w:r>
      <w:r w:rsidRPr="00EE257B">
        <w:rPr>
          <w:rFonts w:hint="eastAsia"/>
          <w:rtl/>
        </w:rPr>
        <w:t>מצב</w:t>
      </w:r>
      <w:r w:rsidRPr="00EE257B">
        <w:rPr>
          <w:rtl/>
        </w:rPr>
        <w:t xml:space="preserve"> </w:t>
      </w:r>
      <w:r w:rsidRPr="00EE257B">
        <w:rPr>
          <w:rFonts w:hint="eastAsia"/>
          <w:rtl/>
        </w:rPr>
        <w:t>הגורם</w:t>
      </w:r>
      <w:r w:rsidRPr="00EE257B">
        <w:rPr>
          <w:rtl/>
        </w:rPr>
        <w:t xml:space="preserve"> לסבל רב ולהחמרת מצבם הנפשי של המטופלים ושל סביבתם ולהפחתת השפעת הטיפול; פריסת השירותים אינה מספיקה למתן שירותים לכלל האוכלוסייה, ובעיקר לזו הנמצאת בפריפריה ובמגזרים החרדי והערבי; על אף התוספת התקציבית המשמעותית, שניתנה במסגרת הרפורמה לטובת פיתוח הטיפול במסגרת הקהילה, נראה כי קופות החולים לא סיפקו את מלוא הטיפולים שהן תוקצבו בגינם, לא העסיקו מספיק פסיכותרפיסטים ו</w:t>
      </w:r>
      <w:r w:rsidRPr="00EE257B">
        <w:rPr>
          <w:rFonts w:hint="eastAsia"/>
          <w:rtl/>
        </w:rPr>
        <w:t>מטופלים</w:t>
      </w:r>
      <w:r w:rsidRPr="00EE257B">
        <w:rPr>
          <w:rtl/>
        </w:rPr>
        <w:t xml:space="preserve"> </w:t>
      </w:r>
      <w:r w:rsidRPr="00EE257B">
        <w:rPr>
          <w:rFonts w:hint="eastAsia"/>
          <w:rtl/>
        </w:rPr>
        <w:t>רבים</w:t>
      </w:r>
      <w:r w:rsidRPr="00EE257B">
        <w:rPr>
          <w:rtl/>
        </w:rPr>
        <w:t xml:space="preserve"> </w:t>
      </w:r>
      <w:r w:rsidRPr="00EE257B">
        <w:rPr>
          <w:rFonts w:hint="eastAsia"/>
          <w:rtl/>
        </w:rPr>
        <w:t>מדי</w:t>
      </w:r>
      <w:r w:rsidRPr="00EE257B">
        <w:rPr>
          <w:rtl/>
        </w:rPr>
        <w:t xml:space="preserve"> </w:t>
      </w:r>
      <w:r w:rsidRPr="00EE257B">
        <w:rPr>
          <w:rFonts w:hint="eastAsia"/>
          <w:rtl/>
        </w:rPr>
        <w:t>נאלצו</w:t>
      </w:r>
      <w:r w:rsidRPr="00EE257B">
        <w:rPr>
          <w:rtl/>
        </w:rPr>
        <w:t xml:space="preserve"> </w:t>
      </w:r>
      <w:r w:rsidRPr="00EE257B">
        <w:rPr>
          <w:rFonts w:hint="eastAsia"/>
          <w:rtl/>
        </w:rPr>
        <w:t>לפנות</w:t>
      </w:r>
      <w:r w:rsidRPr="00EE257B">
        <w:rPr>
          <w:rtl/>
        </w:rPr>
        <w:t xml:space="preserve"> </w:t>
      </w:r>
      <w:r w:rsidRPr="00EE257B">
        <w:rPr>
          <w:rFonts w:hint="eastAsia"/>
          <w:rtl/>
        </w:rPr>
        <w:t>לקבלת</w:t>
      </w:r>
      <w:r w:rsidRPr="00EE257B">
        <w:rPr>
          <w:rtl/>
        </w:rPr>
        <w:t xml:space="preserve"> </w:t>
      </w:r>
      <w:r w:rsidRPr="00EE257B">
        <w:rPr>
          <w:rFonts w:hint="eastAsia"/>
          <w:rtl/>
        </w:rPr>
        <w:t>טיפול</w:t>
      </w:r>
      <w:r w:rsidRPr="00EE257B">
        <w:rPr>
          <w:rtl/>
        </w:rPr>
        <w:t xml:space="preserve"> </w:t>
      </w:r>
      <w:r w:rsidRPr="00EE257B">
        <w:rPr>
          <w:rFonts w:hint="eastAsia"/>
          <w:rtl/>
        </w:rPr>
        <w:t>אצל</w:t>
      </w:r>
      <w:r w:rsidRPr="00EE257B">
        <w:rPr>
          <w:rtl/>
        </w:rPr>
        <w:t xml:space="preserve"> </w:t>
      </w:r>
      <w:r w:rsidRPr="00EE257B">
        <w:rPr>
          <w:rFonts w:hint="eastAsia"/>
          <w:rtl/>
        </w:rPr>
        <w:t>מטפלים</w:t>
      </w:r>
      <w:r w:rsidRPr="00EE257B">
        <w:rPr>
          <w:rtl/>
        </w:rPr>
        <w:t xml:space="preserve"> </w:t>
      </w:r>
      <w:r w:rsidRPr="00EE257B">
        <w:rPr>
          <w:rFonts w:hint="eastAsia"/>
          <w:rtl/>
        </w:rPr>
        <w:t>עצמאיים</w:t>
      </w:r>
      <w:r w:rsidRPr="00EE257B">
        <w:rPr>
          <w:rtl/>
        </w:rPr>
        <w:t xml:space="preserve">; </w:t>
      </w:r>
      <w:r w:rsidRPr="00EE257B">
        <w:rPr>
          <w:rFonts w:hint="eastAsia"/>
          <w:rtl/>
        </w:rPr>
        <w:t>מחסור</w:t>
      </w:r>
      <w:r w:rsidRPr="00EE257B">
        <w:rPr>
          <w:rtl/>
        </w:rPr>
        <w:t xml:space="preserve"> </w:t>
      </w:r>
      <w:r w:rsidRPr="00EE257B">
        <w:rPr>
          <w:rFonts w:hint="eastAsia"/>
          <w:rtl/>
        </w:rPr>
        <w:t>בפסיכיאטרים</w:t>
      </w:r>
      <w:r w:rsidRPr="00EE257B">
        <w:rPr>
          <w:rtl/>
        </w:rPr>
        <w:t xml:space="preserve"> הוא אחת הסיבות </w:t>
      </w:r>
      <w:r w:rsidRPr="00EE257B">
        <w:rPr>
          <w:rFonts w:hint="eastAsia"/>
          <w:rtl/>
        </w:rPr>
        <w:t>להתארכות</w:t>
      </w:r>
      <w:r w:rsidRPr="00EE257B">
        <w:rPr>
          <w:rtl/>
        </w:rPr>
        <w:t xml:space="preserve"> </w:t>
      </w:r>
      <w:r w:rsidRPr="00EE257B">
        <w:rPr>
          <w:rFonts w:hint="eastAsia"/>
          <w:rtl/>
        </w:rPr>
        <w:t>התורים</w:t>
      </w:r>
      <w:r w:rsidRPr="00EE257B">
        <w:rPr>
          <w:rtl/>
        </w:rPr>
        <w:t xml:space="preserve"> </w:t>
      </w:r>
      <w:r w:rsidRPr="00EE257B">
        <w:rPr>
          <w:rFonts w:hint="eastAsia"/>
          <w:rtl/>
        </w:rPr>
        <w:t>לקבלת</w:t>
      </w:r>
      <w:r w:rsidRPr="00EE257B">
        <w:rPr>
          <w:rtl/>
        </w:rPr>
        <w:t xml:space="preserve"> </w:t>
      </w:r>
      <w:r w:rsidRPr="00EE257B">
        <w:rPr>
          <w:rFonts w:hint="eastAsia"/>
          <w:rtl/>
        </w:rPr>
        <w:t>הטיפול</w:t>
      </w:r>
      <w:r w:rsidRPr="00EE257B">
        <w:rPr>
          <w:rtl/>
        </w:rPr>
        <w:t xml:space="preserve">. מחסור </w:t>
      </w:r>
      <w:r w:rsidRPr="00EE257B">
        <w:rPr>
          <w:rFonts w:hint="eastAsia"/>
          <w:rtl/>
        </w:rPr>
        <w:t>משמעותי</w:t>
      </w:r>
      <w:r w:rsidRPr="00EE257B">
        <w:rPr>
          <w:rtl/>
        </w:rPr>
        <w:t xml:space="preserve"> </w:t>
      </w:r>
      <w:r w:rsidRPr="00EE257B">
        <w:rPr>
          <w:rFonts w:hint="eastAsia"/>
          <w:rtl/>
        </w:rPr>
        <w:t>קיים</w:t>
      </w:r>
      <w:r w:rsidRPr="00EE257B">
        <w:rPr>
          <w:rtl/>
        </w:rPr>
        <w:t xml:space="preserve"> </w:t>
      </w:r>
      <w:r w:rsidRPr="00EE257B">
        <w:rPr>
          <w:rFonts w:hint="eastAsia"/>
          <w:rtl/>
        </w:rPr>
        <w:t>במגזר</w:t>
      </w:r>
      <w:r w:rsidRPr="00EE257B">
        <w:rPr>
          <w:rtl/>
        </w:rPr>
        <w:t xml:space="preserve"> </w:t>
      </w:r>
      <w:r w:rsidRPr="00EE257B">
        <w:rPr>
          <w:rFonts w:hint="eastAsia"/>
          <w:rtl/>
        </w:rPr>
        <w:t>הערבי</w:t>
      </w:r>
      <w:r w:rsidRPr="00EE257B">
        <w:rPr>
          <w:rtl/>
        </w:rPr>
        <w:t xml:space="preserve">, </w:t>
      </w:r>
      <w:r w:rsidRPr="00EE257B">
        <w:rPr>
          <w:rFonts w:hint="eastAsia"/>
          <w:rtl/>
        </w:rPr>
        <w:t>במגזר</w:t>
      </w:r>
      <w:r w:rsidRPr="00EE257B">
        <w:rPr>
          <w:rtl/>
        </w:rPr>
        <w:t xml:space="preserve"> </w:t>
      </w:r>
      <w:r w:rsidRPr="00EE257B">
        <w:rPr>
          <w:rFonts w:hint="eastAsia"/>
          <w:rtl/>
        </w:rPr>
        <w:t>החרדי</w:t>
      </w:r>
      <w:r w:rsidRPr="00EE257B">
        <w:rPr>
          <w:rtl/>
        </w:rPr>
        <w:t xml:space="preserve"> </w:t>
      </w:r>
      <w:r w:rsidRPr="00EE257B">
        <w:rPr>
          <w:rFonts w:hint="eastAsia"/>
          <w:rtl/>
        </w:rPr>
        <w:t>ובקרב</w:t>
      </w:r>
      <w:r w:rsidRPr="00EE257B">
        <w:rPr>
          <w:rtl/>
        </w:rPr>
        <w:t xml:space="preserve"> </w:t>
      </w:r>
      <w:r w:rsidRPr="00EE257B">
        <w:rPr>
          <w:rFonts w:hint="eastAsia"/>
          <w:rtl/>
        </w:rPr>
        <w:t>העדה</w:t>
      </w:r>
      <w:r w:rsidRPr="00EE257B">
        <w:rPr>
          <w:rtl/>
        </w:rPr>
        <w:t xml:space="preserve"> </w:t>
      </w:r>
      <w:r w:rsidRPr="00EE257B">
        <w:rPr>
          <w:rFonts w:hint="eastAsia"/>
          <w:rtl/>
        </w:rPr>
        <w:t>האתיופית</w:t>
      </w:r>
      <w:r w:rsidRPr="00EE257B">
        <w:rPr>
          <w:rtl/>
        </w:rPr>
        <w:t xml:space="preserve">. </w:t>
      </w:r>
    </w:p>
    <w:p w14:paraId="46B132F8" w14:textId="73421B9C" w:rsidR="008C0B8B" w:rsidRDefault="00B51F5B" w:rsidP="0059087A">
      <w:pPr>
        <w:pStyle w:val="af5"/>
        <w:rPr>
          <w:rtl/>
        </w:rPr>
      </w:pPr>
      <w:r w:rsidRPr="00EE257B">
        <w:rPr>
          <w:rFonts w:hint="eastAsia"/>
          <w:rtl/>
        </w:rPr>
        <w:t>משרד</w:t>
      </w:r>
      <w:r w:rsidRPr="00EE257B">
        <w:rPr>
          <w:rtl/>
        </w:rPr>
        <w:t xml:space="preserve"> הבריאות שבע רצון מהפעלת הרפורמה, אם כי לדעתו וכפי שעלה גם בביקורת, יש תחומים הנדרשים לשיפור. כדי לשפר את המערך, על כל העוסקים במלאכה לקבוע יעדים ארוכי טווח לצורך המשך בניית מערך בריאות הנפש בקהילה. עליהם לפעול למתן טיפול זמין ונגיש לכלל חלקי האוכלוסייה בהתאם לעקרון השוויון הקבוע בחוק ביטוח בריאות.</w:t>
      </w:r>
      <w:bookmarkEnd w:id="2"/>
      <w:bookmarkEnd w:id="3"/>
      <w:bookmarkEnd w:id="4"/>
    </w:p>
    <w:sectPr w:rsidR="008C0B8B" w:rsidSect="00CA4D91">
      <w:footerReference w:type="default" r:id="rId36"/>
      <w:headerReference w:type="first" r:id="rId37"/>
      <w:footerReference w:type="first" r:id="rId38"/>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D62253" w:rsidRDefault="00D62253">
      <w:pPr>
        <w:spacing w:line="240" w:lineRule="auto"/>
      </w:pPr>
      <w:r>
        <w:separator/>
      </w:r>
    </w:p>
    <w:p w14:paraId="7FDB7CBE" w14:textId="77777777" w:rsidR="00D62253" w:rsidRDefault="00D62253"/>
  </w:endnote>
  <w:endnote w:type="continuationSeparator" w:id="0">
    <w:p w14:paraId="6956BE62" w14:textId="77777777" w:rsidR="00D62253" w:rsidRDefault="00D62253">
      <w:pPr>
        <w:spacing w:line="240" w:lineRule="auto"/>
      </w:pPr>
      <w:r>
        <w:continuationSeparator/>
      </w:r>
    </w:p>
    <w:p w14:paraId="2BC251DF" w14:textId="77777777" w:rsidR="00D62253" w:rsidRDefault="00D62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25539213" w:rsidR="00D62253" w:rsidRPr="006668CA" w:rsidRDefault="00D62253"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ברפורמה להעברת האחריות הביטוחית בבריאות הנפש</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0CE64F8" w:rsidR="00D62253" w:rsidRPr="00E57D84" w:rsidRDefault="00D62253" w:rsidP="00E57D84">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ברפורמה להעברת האחריות הביטוחית בבריאות הנפש</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62253" w:rsidRPr="00D15500" w:rsidRDefault="00D62253" w:rsidP="00D15500">
    <w:pPr>
      <w:pStyle w:val="Footer"/>
      <w:spacing w:after="120" w:line="312" w:lineRule="auto"/>
      <w:jc w:val="right"/>
      <w:rPr>
        <w:rFonts w:ascii="Tahoma" w:hAnsi="Tahoma" w:cs="Tahoma"/>
        <w:color w:val="002060"/>
        <w:sz w:val="18"/>
        <w:szCs w:val="18"/>
      </w:rPr>
    </w:pPr>
    <w:bookmarkStart w:id="5" w:name="tempMark"/>
    <w:bookmarkEnd w:id="5"/>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D62253" w:rsidRDefault="00D62253" w:rsidP="00C23CC9">
      <w:pPr>
        <w:spacing w:line="240" w:lineRule="auto"/>
      </w:pPr>
      <w:r>
        <w:separator/>
      </w:r>
    </w:p>
  </w:footnote>
  <w:footnote w:type="continuationSeparator" w:id="0">
    <w:p w14:paraId="10B5AFA0" w14:textId="77777777" w:rsidR="00D62253" w:rsidRDefault="00D62253" w:rsidP="00C23CC9">
      <w:pPr>
        <w:spacing w:line="240" w:lineRule="auto"/>
      </w:pPr>
      <w:r>
        <w:continuationSeparator/>
      </w:r>
    </w:p>
    <w:p w14:paraId="095B6F42" w14:textId="77777777" w:rsidR="00D62253" w:rsidRDefault="00D62253"/>
  </w:footnote>
  <w:footnote w:id="1">
    <w:p w14:paraId="3FD11C2C" w14:textId="77777777" w:rsidR="00D62253" w:rsidRPr="001D0A16" w:rsidRDefault="00D62253" w:rsidP="001D0A16">
      <w:pPr>
        <w:pStyle w:val="a9"/>
        <w:rPr>
          <w:rtl/>
        </w:rPr>
      </w:pPr>
      <w:r w:rsidRPr="001D0A16">
        <w:footnoteRef/>
      </w:r>
      <w:r w:rsidRPr="001D0A16">
        <w:rPr>
          <w:rtl/>
        </w:rPr>
        <w:t xml:space="preserve"> </w:t>
      </w:r>
      <w:r w:rsidRPr="001D0A16">
        <w:rPr>
          <w:rtl/>
        </w:rPr>
        <w:tab/>
      </w:r>
      <w:r w:rsidRPr="001D0A16">
        <w:rPr>
          <w:rFonts w:hint="cs"/>
          <w:rtl/>
        </w:rPr>
        <w:t xml:space="preserve">הפרעות אלה </w:t>
      </w:r>
      <w:r w:rsidRPr="001D0A16">
        <w:rPr>
          <w:rtl/>
        </w:rPr>
        <w:t xml:space="preserve">מוגדרות בסיווג </w:t>
      </w:r>
      <w:r w:rsidRPr="001D0A16">
        <w:t>ICD-10</w:t>
      </w:r>
      <w:r w:rsidRPr="001D0A16">
        <w:rPr>
          <w:rFonts w:hint="cs"/>
          <w:rtl/>
        </w:rPr>
        <w:t xml:space="preserve"> (</w:t>
      </w:r>
      <w:r w:rsidRPr="001D0A16">
        <w:rPr>
          <w:rtl/>
        </w:rPr>
        <w:t xml:space="preserve">מסמך </w:t>
      </w:r>
      <w:r w:rsidRPr="001D0A16">
        <w:rPr>
          <w:rFonts w:hint="cs"/>
          <w:rtl/>
        </w:rPr>
        <w:t>של ארגון הבריאות העולמי ה</w:t>
      </w:r>
      <w:r w:rsidRPr="001D0A16">
        <w:rPr>
          <w:rtl/>
        </w:rPr>
        <w:t>מכיל קטלוג של כל המחלות הידועות כולל הפרעות נפשיות</w:t>
      </w:r>
      <w:r w:rsidRPr="001D0A16">
        <w:rPr>
          <w:rFonts w:hint="cs"/>
          <w:rtl/>
        </w:rPr>
        <w:t xml:space="preserve">) </w:t>
      </w:r>
      <w:r w:rsidRPr="001D0A16">
        <w:rPr>
          <w:rtl/>
        </w:rPr>
        <w:t>וב-</w:t>
      </w:r>
      <w:r w:rsidRPr="001D0A16">
        <w:t>DSM-5</w:t>
      </w:r>
      <w:r w:rsidRPr="001D0A16">
        <w:rPr>
          <w:rFonts w:hint="cs"/>
          <w:rtl/>
        </w:rPr>
        <w:t xml:space="preserve"> (</w:t>
      </w:r>
      <w:r w:rsidRPr="001D0A16">
        <w:rPr>
          <w:rtl/>
        </w:rPr>
        <w:t>ספר האבחנות הפסיכיאטריות האמריק</w:t>
      </w:r>
      <w:r w:rsidRPr="001D0A16">
        <w:rPr>
          <w:rFonts w:hint="cs"/>
          <w:rtl/>
        </w:rPr>
        <w:t>נ</w:t>
      </w:r>
      <w:r w:rsidRPr="001D0A16">
        <w:rPr>
          <w:rtl/>
        </w:rPr>
        <w:t xml:space="preserve">י </w:t>
      </w:r>
      <w:r w:rsidRPr="001D0A16">
        <w:rPr>
          <w:rFonts w:hint="cs"/>
          <w:rtl/>
        </w:rPr>
        <w:t>המ</w:t>
      </w:r>
      <w:r w:rsidRPr="001D0A16">
        <w:rPr>
          <w:rtl/>
        </w:rPr>
        <w:t xml:space="preserve">אבחן </w:t>
      </w:r>
      <w:r w:rsidRPr="001D0A16">
        <w:rPr>
          <w:rFonts w:hint="cs"/>
          <w:rtl/>
        </w:rPr>
        <w:t>ומ</w:t>
      </w:r>
      <w:r w:rsidRPr="001D0A16">
        <w:rPr>
          <w:rtl/>
        </w:rPr>
        <w:t>סווג את הפרעות הנפש על פי תסמיניהן</w:t>
      </w:r>
      <w:r w:rsidRPr="001D0A16">
        <w:rPr>
          <w:rFonts w:hint="cs"/>
          <w:rtl/>
        </w:rPr>
        <w:t>)</w:t>
      </w:r>
      <w:r w:rsidRPr="001D0A16">
        <w:rPr>
          <w:rtl/>
        </w:rPr>
        <w:t xml:space="preserve">. </w:t>
      </w:r>
    </w:p>
  </w:footnote>
  <w:footnote w:id="2">
    <w:p w14:paraId="5432A504" w14:textId="77777777" w:rsidR="00D62253" w:rsidRPr="001D0A16"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t>כגון ס</w:t>
      </w:r>
      <w:r w:rsidRPr="001D0A16">
        <w:rPr>
          <w:rFonts w:hint="cs"/>
          <w:rtl/>
        </w:rPr>
        <w:t>כ</w:t>
      </w:r>
      <w:r w:rsidRPr="001D0A16">
        <w:rPr>
          <w:rtl/>
        </w:rPr>
        <w:t>יזופרניה (שסעת - הפרעה נפשית כרונית מורכבת השייכת לקבוצת מחלות פסיכוטיות) ו</w:t>
      </w:r>
      <w:r w:rsidRPr="001D0A16">
        <w:rPr>
          <w:rFonts w:hint="cs"/>
          <w:rtl/>
        </w:rPr>
        <w:t>הפרעה דו-קוטבית</w:t>
      </w:r>
      <w:r w:rsidRPr="001D0A16">
        <w:rPr>
          <w:rtl/>
        </w:rPr>
        <w:t xml:space="preserve"> (מאניה דיפרס</w:t>
      </w:r>
      <w:r w:rsidRPr="001D0A16">
        <w:rPr>
          <w:rFonts w:hint="cs"/>
          <w:rtl/>
        </w:rPr>
        <w:t>י</w:t>
      </w:r>
      <w:r w:rsidRPr="001D0A16">
        <w:rPr>
          <w:rtl/>
        </w:rPr>
        <w:t>ה - הפרעה נפשית המתאפיינת בשינויים במצב הרוח).</w:t>
      </w:r>
    </w:p>
  </w:footnote>
  <w:footnote w:id="3">
    <w:p w14:paraId="35F16CE9" w14:textId="77777777" w:rsidR="00D62253" w:rsidRDefault="00D62253" w:rsidP="001D0A16">
      <w:pPr>
        <w:pStyle w:val="a9"/>
      </w:pPr>
      <w:r w:rsidRPr="001D0A16">
        <w:rPr>
          <w:rStyle w:val="FootnoteReference"/>
          <w:vertAlign w:val="baseline"/>
        </w:rPr>
        <w:footnoteRef/>
      </w:r>
      <w:r w:rsidRPr="001D0A16">
        <w:rPr>
          <w:rtl/>
        </w:rPr>
        <w:t xml:space="preserve"> </w:t>
      </w:r>
      <w:r w:rsidRPr="001D0A16">
        <w:rPr>
          <w:rtl/>
        </w:rPr>
        <w:tab/>
      </w:r>
      <w:r w:rsidRPr="001D0A16">
        <w:rPr>
          <w:rFonts w:hint="cs"/>
          <w:rtl/>
        </w:rPr>
        <w:t>אורי אבירם ושגית אזארי-ויזל,</w:t>
      </w:r>
      <w:r w:rsidRPr="001D0A16">
        <w:rPr>
          <w:rtl/>
        </w:rPr>
        <w:t xml:space="preserve"> "הרפורמה בבריאות הנפש</w:t>
      </w:r>
      <w:r w:rsidRPr="001D0A16">
        <w:rPr>
          <w:rFonts w:hint="cs"/>
          <w:rtl/>
        </w:rPr>
        <w:t>: סיכויים וסיכונים</w:t>
      </w:r>
      <w:r w:rsidRPr="001D0A16">
        <w:rPr>
          <w:rtl/>
        </w:rPr>
        <w:t>",</w:t>
      </w:r>
      <w:r w:rsidRPr="001D0A16">
        <w:rPr>
          <w:rFonts w:hint="cs"/>
          <w:rtl/>
        </w:rPr>
        <w:t xml:space="preserve"> </w:t>
      </w:r>
      <w:r w:rsidRPr="001D0A16">
        <w:rPr>
          <w:rtl/>
        </w:rPr>
        <w:t>נייר מדיניות מס'</w:t>
      </w:r>
      <w:r w:rsidRPr="001D0A16">
        <w:rPr>
          <w:rFonts w:hint="cs"/>
          <w:rtl/>
        </w:rPr>
        <w:t xml:space="preserve"> 2015.02,</w:t>
      </w:r>
      <w:r w:rsidRPr="001D0A16">
        <w:rPr>
          <w:rtl/>
        </w:rPr>
        <w:t xml:space="preserve"> </w:t>
      </w:r>
      <w:r w:rsidRPr="001D0A16">
        <w:rPr>
          <w:rFonts w:hint="cs"/>
          <w:rtl/>
        </w:rPr>
        <w:t>מרכז טאוב</w:t>
      </w:r>
      <w:r>
        <w:rPr>
          <w:rFonts w:hint="cs"/>
          <w:rtl/>
        </w:rPr>
        <w:t xml:space="preserve"> לחקר המדיניות החברתית בישראל</w:t>
      </w:r>
      <w:r w:rsidRPr="005F44B8">
        <w:rPr>
          <w:rtl/>
        </w:rPr>
        <w:t xml:space="preserve"> </w:t>
      </w:r>
      <w:r>
        <w:rPr>
          <w:rFonts w:hint="cs"/>
          <w:rtl/>
        </w:rPr>
        <w:t>(יולי,</w:t>
      </w:r>
      <w:r w:rsidRPr="005F44B8">
        <w:rPr>
          <w:rtl/>
        </w:rPr>
        <w:t xml:space="preserve"> </w:t>
      </w:r>
      <w:r>
        <w:rPr>
          <w:rFonts w:hint="cs"/>
          <w:rtl/>
        </w:rPr>
        <w:t>2015)</w:t>
      </w:r>
      <w:r w:rsidRPr="005F44B8">
        <w:rPr>
          <w:rtl/>
        </w:rPr>
        <w:t>.</w:t>
      </w:r>
    </w:p>
  </w:footnote>
  <w:footnote w:id="4">
    <w:p w14:paraId="66D0E758" w14:textId="229C813F" w:rsidR="00D62253" w:rsidRDefault="00D62253" w:rsidP="001C65E4">
      <w:pPr>
        <w:pStyle w:val="a9"/>
        <w:rPr>
          <w:rtl/>
        </w:rPr>
      </w:pPr>
      <w:r w:rsidRPr="001D0A16">
        <w:footnoteRef/>
      </w:r>
      <w:r w:rsidRPr="001D0A16">
        <w:rPr>
          <w:rtl/>
        </w:rPr>
        <w:t xml:space="preserve"> </w:t>
      </w:r>
      <w:r w:rsidRPr="001D0A16">
        <w:rPr>
          <w:rFonts w:hint="cs"/>
          <w:rtl/>
        </w:rPr>
        <w:tab/>
      </w:r>
      <w:r>
        <w:rPr>
          <w:rFonts w:hint="cs"/>
          <w:rtl/>
        </w:rPr>
        <w:t>מחקרים מראים כי תוחלת החיים של אנשים הסובלים ממחלות נפש קצרה בכ-20 שנה לגברים ובכ-15 שנה לנשים, למשל:</w:t>
      </w:r>
      <w:r w:rsidR="001C65E4">
        <w:rPr>
          <w:rFonts w:hint="cs"/>
          <w:rtl/>
        </w:rPr>
        <w:t xml:space="preserve"> </w:t>
      </w:r>
      <w:r>
        <w:t xml:space="preserve">Graham </w:t>
      </w:r>
      <w:r>
        <w:t>Thornicoft (</w:t>
      </w:r>
      <w:r w:rsidRPr="008F34B8">
        <w:t>2011)</w:t>
      </w:r>
      <w:r w:rsidRPr="008F34B8">
        <w:rPr>
          <w:lang w:val="en-GB"/>
        </w:rPr>
        <w:t>.</w:t>
      </w:r>
      <w:r>
        <w:t xml:space="preserve"> “</w:t>
      </w:r>
      <w:r w:rsidRPr="00EE5A77">
        <w:t>Physical health disparities and mental illness: the scandal of premature mortality</w:t>
      </w:r>
      <w:r>
        <w:t>”,</w:t>
      </w:r>
      <w:r w:rsidRPr="00EE5A77">
        <w:t xml:space="preserve"> </w:t>
      </w:r>
      <w:r w:rsidRPr="00E11BD7">
        <w:rPr>
          <w:b/>
          <w:bCs/>
        </w:rPr>
        <w:t>The British Journal of Psychiatry</w:t>
      </w:r>
      <w:r>
        <w:t xml:space="preserve"> (2011) </w:t>
      </w:r>
      <w:r w:rsidRPr="00E11BD7">
        <w:t>199</w:t>
      </w:r>
      <w:r w:rsidRPr="00EE5A77">
        <w:t>, 441-442</w:t>
      </w:r>
    </w:p>
    <w:p w14:paraId="09EBF40D" w14:textId="1C5D79EA" w:rsidR="00D62253" w:rsidRPr="001D0A16" w:rsidRDefault="00A70CA1" w:rsidP="001C65E4">
      <w:pPr>
        <w:pStyle w:val="a9"/>
        <w:ind w:left="794"/>
        <w:rPr>
          <w:u w:val="single"/>
          <w:rtl/>
        </w:rPr>
      </w:pPr>
      <w:hyperlink r:id="rId1" w:history="1">
        <w:r w:rsidR="00D62253" w:rsidRPr="00D17685">
          <w:rPr>
            <w:rStyle w:val="Hyperlink"/>
          </w:rPr>
          <w:t>https://doi.org/10.1192/bjp.bp.111.092718</w:t>
        </w:r>
      </w:hyperlink>
      <w:r w:rsidR="00BD0A60" w:rsidRPr="00BD0A60">
        <w:rPr>
          <w:rStyle w:val="Hyperlink"/>
          <w:u w:val="none"/>
        </w:rPr>
        <w:t>.</w:t>
      </w:r>
    </w:p>
  </w:footnote>
  <w:footnote w:id="5">
    <w:p w14:paraId="3BFE3C30" w14:textId="6CDCCD53" w:rsidR="00D62253" w:rsidRPr="001D0A16"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t>בין היתר</w:t>
      </w:r>
      <w:r w:rsidRPr="001D0A16">
        <w:rPr>
          <w:rFonts w:hint="cs"/>
          <w:rtl/>
        </w:rPr>
        <w:t>:</w:t>
      </w:r>
      <w:r w:rsidRPr="001D0A16">
        <w:rPr>
          <w:rtl/>
        </w:rPr>
        <w:t xml:space="preserve"> טיפול קוגניטיבי-התנהגותי</w:t>
      </w:r>
      <w:r w:rsidRPr="001D0A16">
        <w:rPr>
          <w:rFonts w:hint="cs"/>
          <w:rtl/>
        </w:rPr>
        <w:t xml:space="preserve"> קצר מועד (</w:t>
      </w:r>
      <w:r w:rsidRPr="001D0A16">
        <w:rPr>
          <w:rFonts w:hint="cs"/>
        </w:rPr>
        <w:t>C</w:t>
      </w:r>
      <w:r w:rsidRPr="001D0A16">
        <w:t>BT</w:t>
      </w:r>
      <w:r w:rsidRPr="001D0A16">
        <w:rPr>
          <w:rFonts w:hint="cs"/>
          <w:rtl/>
        </w:rPr>
        <w:t>)</w:t>
      </w:r>
      <w:r w:rsidRPr="001D0A16">
        <w:rPr>
          <w:rtl/>
        </w:rPr>
        <w:t>, טיפול דינמי, טיפול באומנות,</w:t>
      </w:r>
      <w:r w:rsidRPr="001D0A16">
        <w:rPr>
          <w:rFonts w:hint="cs"/>
          <w:rtl/>
        </w:rPr>
        <w:t xml:space="preserve"> פסיכואנליזה, טיפול בהפרעות אישיות גבוליות (</w:t>
      </w:r>
      <w:r w:rsidRPr="001D0A16">
        <w:rPr>
          <w:rFonts w:hint="cs"/>
        </w:rPr>
        <w:t>DBT</w:t>
      </w:r>
      <w:r w:rsidRPr="001D0A16">
        <w:rPr>
          <w:rFonts w:hint="cs"/>
          <w:rtl/>
        </w:rPr>
        <w:t xml:space="preserve">), </w:t>
      </w:r>
      <w:r w:rsidRPr="001D0A16">
        <w:rPr>
          <w:rtl/>
        </w:rPr>
        <w:t>טיפול לסובלים מהפרעה פוסט</w:t>
      </w:r>
      <w:r w:rsidRPr="001D0A16">
        <w:rPr>
          <w:rFonts w:hint="cs"/>
          <w:rtl/>
        </w:rPr>
        <w:t>-</w:t>
      </w:r>
      <w:r w:rsidRPr="001D0A16">
        <w:rPr>
          <w:rtl/>
        </w:rPr>
        <w:t>טראומטית</w:t>
      </w:r>
      <w:r w:rsidRPr="001D0A16">
        <w:rPr>
          <w:rFonts w:hint="cs"/>
          <w:rtl/>
        </w:rPr>
        <w:t xml:space="preserve"> (</w:t>
      </w:r>
      <w:r w:rsidRPr="001D0A16">
        <w:rPr>
          <w:rFonts w:hint="cs"/>
        </w:rPr>
        <w:t>EMDR</w:t>
      </w:r>
      <w:r>
        <w:t xml:space="preserve"> </w:t>
      </w:r>
      <w:r w:rsidRPr="001D0A16">
        <w:rPr>
          <w:rFonts w:hint="cs"/>
        </w:rPr>
        <w:t>,PE</w:t>
      </w:r>
      <w:r w:rsidRPr="001D0A16">
        <w:rPr>
          <w:rFonts w:hint="cs"/>
          <w:rtl/>
        </w:rPr>
        <w:t>), טיפול בנטיות אובדניות (</w:t>
      </w:r>
      <w:r w:rsidRPr="001D0A16">
        <w:rPr>
          <w:rFonts w:hint="cs"/>
        </w:rPr>
        <w:t>IPTA</w:t>
      </w:r>
      <w:r w:rsidRPr="001D0A16">
        <w:rPr>
          <w:rFonts w:hint="cs"/>
          <w:rtl/>
        </w:rPr>
        <w:t>).</w:t>
      </w:r>
    </w:p>
  </w:footnote>
  <w:footnote w:id="6">
    <w:p w14:paraId="2357D063" w14:textId="77777777" w:rsidR="00D62253"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t xml:space="preserve">פסיכולוגים קליניים נדרשים </w:t>
      </w:r>
      <w:r w:rsidRPr="001D0A16">
        <w:rPr>
          <w:rFonts w:hint="cs"/>
          <w:rtl/>
        </w:rPr>
        <w:t>להעניק</w:t>
      </w:r>
      <w:r w:rsidRPr="001D0A16">
        <w:rPr>
          <w:rtl/>
        </w:rPr>
        <w:t xml:space="preserve"> חלק מסוגי הטיפולים, </w:t>
      </w:r>
      <w:r w:rsidRPr="001D0A16">
        <w:rPr>
          <w:rFonts w:hint="cs"/>
          <w:rtl/>
        </w:rPr>
        <w:t>לבצע</w:t>
      </w:r>
      <w:r w:rsidRPr="001D0A16">
        <w:rPr>
          <w:rtl/>
        </w:rPr>
        <w:t xml:space="preserve"> פסיכו-דיאגנוסטיקה ו</w:t>
      </w:r>
      <w:r w:rsidRPr="001D0A16">
        <w:rPr>
          <w:rFonts w:hint="cs"/>
          <w:rtl/>
        </w:rPr>
        <w:t>להדריך</w:t>
      </w:r>
      <w:r w:rsidRPr="001D0A16">
        <w:rPr>
          <w:rtl/>
        </w:rPr>
        <w:t xml:space="preserve"> מתמחים</w:t>
      </w:r>
      <w:r w:rsidRPr="001D0A16">
        <w:rPr>
          <w:rFonts w:hint="cs"/>
          <w:rtl/>
        </w:rPr>
        <w:t>.</w:t>
      </w:r>
      <w:r w:rsidRPr="001D0A16">
        <w:rPr>
          <w:rtl/>
        </w:rPr>
        <w:t xml:space="preserve"> עובדים סוציאלי</w:t>
      </w:r>
      <w:r w:rsidRPr="001D0A16">
        <w:rPr>
          <w:rFonts w:hint="cs"/>
          <w:rtl/>
        </w:rPr>
        <w:t>י</w:t>
      </w:r>
      <w:r w:rsidRPr="001D0A16">
        <w:rPr>
          <w:rtl/>
        </w:rPr>
        <w:t xml:space="preserve">ם </w:t>
      </w:r>
      <w:r w:rsidRPr="001D0A16">
        <w:rPr>
          <w:rFonts w:hint="cs"/>
          <w:rtl/>
        </w:rPr>
        <w:t xml:space="preserve">מתמקדים </w:t>
      </w:r>
      <w:r w:rsidRPr="001D0A16">
        <w:rPr>
          <w:rtl/>
        </w:rPr>
        <w:t>בטיפו</w:t>
      </w:r>
      <w:r w:rsidRPr="001D0A16">
        <w:rPr>
          <w:rFonts w:hint="cs"/>
          <w:rtl/>
        </w:rPr>
        <w:t>ליהם</w:t>
      </w:r>
      <w:r w:rsidRPr="001D0A16">
        <w:rPr>
          <w:rtl/>
        </w:rPr>
        <w:t xml:space="preserve"> </w:t>
      </w:r>
      <w:r w:rsidRPr="001D0A16">
        <w:rPr>
          <w:rFonts w:hint="cs"/>
          <w:rtl/>
        </w:rPr>
        <w:t>ב</w:t>
      </w:r>
      <w:r w:rsidRPr="001D0A16">
        <w:rPr>
          <w:rtl/>
        </w:rPr>
        <w:t>סביבת המטופל, בני משפחתו והקהילה</w:t>
      </w:r>
      <w:r w:rsidRPr="001D0A16">
        <w:rPr>
          <w:rFonts w:hint="cs"/>
          <w:rtl/>
        </w:rPr>
        <w:t xml:space="preserve"> ועוסקים גם בנושא מיצוי זכויות,</w:t>
      </w:r>
      <w:r>
        <w:rPr>
          <w:rFonts w:hint="cs"/>
          <w:rtl/>
        </w:rPr>
        <w:t xml:space="preserve"> סל שיקום ועוד</w:t>
      </w:r>
      <w:r w:rsidRPr="003C7B6C">
        <w:rPr>
          <w:rtl/>
        </w:rPr>
        <w:t>.</w:t>
      </w:r>
    </w:p>
  </w:footnote>
  <w:footnote w:id="7">
    <w:p w14:paraId="7AE21C5C" w14:textId="4E4410E0" w:rsidR="00D62253" w:rsidRPr="00AA24F9" w:rsidRDefault="00D62253" w:rsidP="001C65E4">
      <w:pPr>
        <w:pStyle w:val="a9"/>
        <w:rPr>
          <w:rtl/>
        </w:rPr>
      </w:pPr>
      <w:r w:rsidRPr="001D0A16">
        <w:footnoteRef/>
      </w:r>
      <w:r w:rsidRPr="001D0A16">
        <w:rPr>
          <w:rtl/>
        </w:rPr>
        <w:t xml:space="preserve"> </w:t>
      </w:r>
      <w:r w:rsidRPr="001D0A16">
        <w:rPr>
          <w:rtl/>
        </w:rPr>
        <w:tab/>
      </w:r>
      <w:r w:rsidRPr="001D0A16">
        <w:t xml:space="preserve">E. Mumford, H. J. Schlesinger, G. V. Glass, C. Patrick, and T. </w:t>
      </w:r>
      <w:r w:rsidRPr="001D0A16">
        <w:t>Cuerdon, (1984). “A new look at evidence</w:t>
      </w:r>
      <w:r w:rsidRPr="00AA24F9">
        <w:t xml:space="preserve"> about reduced cost of medical utilization following mental health treatment”, </w:t>
      </w:r>
      <w:r w:rsidRPr="00B049B8">
        <w:rPr>
          <w:b/>
        </w:rPr>
        <w:t>American Journal of Psychiatry</w:t>
      </w:r>
      <w:r w:rsidRPr="00AA24F9">
        <w:t>, 141(10), 1145-1158</w:t>
      </w:r>
      <w:r w:rsidR="00C54D2B">
        <w:t>.</w:t>
      </w:r>
    </w:p>
  </w:footnote>
  <w:footnote w:id="8">
    <w:p w14:paraId="4F66F0AE" w14:textId="5F23A6A1" w:rsidR="00D62253" w:rsidRPr="008C6666" w:rsidRDefault="00D62253" w:rsidP="001C65E4">
      <w:pPr>
        <w:pStyle w:val="a9"/>
        <w:rPr>
          <w:rtl/>
        </w:rPr>
      </w:pPr>
      <w:r w:rsidRPr="001D0A16">
        <w:footnoteRef/>
      </w:r>
      <w:r w:rsidRPr="001D0A16">
        <w:rPr>
          <w:rtl/>
        </w:rPr>
        <w:t xml:space="preserve"> </w:t>
      </w:r>
      <w:r w:rsidRPr="001D0A16">
        <w:rPr>
          <w:rtl/>
        </w:rPr>
        <w:tab/>
      </w:r>
      <w:r w:rsidRPr="001D0A16">
        <w:t xml:space="preserve">H. M. </w:t>
      </w:r>
      <w:r w:rsidRPr="001D0A16">
        <w:t>Vasiliadis, A. Dezetter, E. Latimer, M. Drapeau, and A. Lesage (2017). “Assessing the costs and benefits</w:t>
      </w:r>
      <w:r>
        <w:t xml:space="preserve"> of insuring psychological services as part of Medicare for depression in Canada”, </w:t>
      </w:r>
      <w:r w:rsidRPr="00572E80">
        <w:rPr>
          <w:b/>
        </w:rPr>
        <w:t xml:space="preserve">Psychiatric </w:t>
      </w:r>
      <w:r w:rsidRPr="00222603">
        <w:rPr>
          <w:b/>
          <w:bCs/>
        </w:rPr>
        <w:t>Services</w:t>
      </w:r>
      <w:r>
        <w:t xml:space="preserve">, 68(9), 899-906. </w:t>
      </w:r>
      <w:hyperlink r:id="rId2" w:history="1">
        <w:r w:rsidRPr="00731486">
          <w:rPr>
            <w:rStyle w:val="Hyperlink"/>
          </w:rPr>
          <w:t>https://doi.org/10.1176/appi.ps.201600395</w:t>
        </w:r>
      </w:hyperlink>
      <w:r w:rsidR="00C54D2B" w:rsidRPr="00C54D2B">
        <w:rPr>
          <w:b/>
          <w:bCs/>
        </w:rPr>
        <w:t>.</w:t>
      </w:r>
    </w:p>
  </w:footnote>
  <w:footnote w:id="9">
    <w:p w14:paraId="3B2C1568" w14:textId="4F05FD93" w:rsidR="00D62253" w:rsidRDefault="00D62253" w:rsidP="001C65E4">
      <w:pPr>
        <w:pStyle w:val="a9"/>
        <w:rPr>
          <w:rtl/>
        </w:rPr>
      </w:pPr>
      <w:r w:rsidRPr="001D0A16">
        <w:footnoteRef/>
      </w:r>
      <w:r w:rsidRPr="001D0A16">
        <w:rPr>
          <w:rtl/>
        </w:rPr>
        <w:t xml:space="preserve"> </w:t>
      </w:r>
      <w:r w:rsidR="00C54D2B">
        <w:rPr>
          <w:rtl/>
        </w:rPr>
        <w:tab/>
      </w:r>
      <w:r w:rsidRPr="001D0A16">
        <w:t xml:space="preserve">A. </w:t>
      </w:r>
      <w:r w:rsidRPr="001D0A16">
        <w:t xml:space="preserve">Dezetter, X. Briffault, C. Ben Lakhdar, </w:t>
      </w:r>
      <w:r w:rsidRPr="00B057FE">
        <w:t>and</w:t>
      </w:r>
      <w:r w:rsidRPr="001D0A16">
        <w:t xml:space="preserve"> V. Kovess-Masfety (2013). “Costs and be</w:t>
      </w:r>
      <w:r w:rsidR="00B057FE">
        <w:t xml:space="preserve"> </w:t>
      </w:r>
      <w:r w:rsidRPr="001D0A16">
        <w:t>nefits of improving</w:t>
      </w:r>
      <w:r>
        <w:t xml:space="preserve"> access to psychotherapies for common mental disorders”, </w:t>
      </w:r>
      <w:r w:rsidRPr="00EE257B">
        <w:rPr>
          <w:b/>
          <w:bCs/>
        </w:rPr>
        <w:t>J. Ment Health Policy Econ</w:t>
      </w:r>
      <w:r>
        <w:t>, 16(4), 161-177</w:t>
      </w:r>
      <w:r w:rsidR="00C54D2B">
        <w:t>.</w:t>
      </w:r>
      <w:r>
        <w:rPr>
          <w:rFonts w:hint="cs"/>
          <w:rtl/>
        </w:rPr>
        <w:t xml:space="preserve"> </w:t>
      </w:r>
    </w:p>
  </w:footnote>
  <w:footnote w:id="10">
    <w:p w14:paraId="253E1A96" w14:textId="77777777" w:rsidR="00D62253" w:rsidRPr="001D0A16" w:rsidRDefault="00D62253" w:rsidP="001D0A16">
      <w:pPr>
        <w:pStyle w:val="a9"/>
      </w:pPr>
      <w:r w:rsidRPr="001D0A16">
        <w:footnoteRef/>
      </w:r>
      <w:r w:rsidRPr="001D0A16">
        <w:rPr>
          <w:rtl/>
        </w:rPr>
        <w:t xml:space="preserve"> </w:t>
      </w:r>
      <w:r w:rsidRPr="001D0A16">
        <w:rPr>
          <w:rtl/>
        </w:rPr>
        <w:tab/>
        <w:t>מטא-אנליזה היא מגוון שיטות שמטרתן להשוות ולצרף תוצאות שהושגו במספר מחקרים</w:t>
      </w:r>
      <w:r w:rsidRPr="001D0A16">
        <w:rPr>
          <w:rFonts w:hint="cs"/>
          <w:rtl/>
        </w:rPr>
        <w:t>.</w:t>
      </w:r>
    </w:p>
  </w:footnote>
  <w:footnote w:id="11">
    <w:p w14:paraId="5A8EC43B" w14:textId="77777777" w:rsidR="00D62253" w:rsidRPr="00DF3C29" w:rsidRDefault="00D62253" w:rsidP="001C65E4">
      <w:pPr>
        <w:pStyle w:val="a9"/>
        <w:jc w:val="left"/>
        <w:rPr>
          <w:rtl/>
        </w:rPr>
      </w:pPr>
      <w:r w:rsidRPr="001D0A16">
        <w:rPr>
          <w:rStyle w:val="FootnoteReference"/>
          <w:vertAlign w:val="baseline"/>
        </w:rPr>
        <w:footnoteRef/>
      </w:r>
      <w:r w:rsidRPr="001D0A16">
        <w:rPr>
          <w:rtl/>
        </w:rPr>
        <w:t xml:space="preserve"> </w:t>
      </w:r>
      <w:r w:rsidRPr="001D0A16">
        <w:rPr>
          <w:rtl/>
        </w:rPr>
        <w:tab/>
      </w:r>
      <w:r w:rsidRPr="001D0A16">
        <w:t>G. O., Gabbard, S. G. Lazar, J. Hornberger, and D. Spiegel (1997). “The economic imp</w:t>
      </w:r>
      <w:r w:rsidRPr="00DF3C29">
        <w:t xml:space="preserve">act of </w:t>
      </w:r>
    </w:p>
    <w:p w14:paraId="320B002C" w14:textId="2960E8A5" w:rsidR="00D62253" w:rsidRPr="00AA24F9" w:rsidRDefault="00D62253" w:rsidP="001C65E4">
      <w:pPr>
        <w:pStyle w:val="a9"/>
        <w:ind w:firstLine="0"/>
        <w:rPr>
          <w:rtl/>
        </w:rPr>
      </w:pPr>
      <w:r w:rsidRPr="00DF3C29">
        <w:t>Psychotherapy: a review</w:t>
      </w:r>
      <w:r>
        <w:t>”,</w:t>
      </w:r>
      <w:r w:rsidRPr="00DF3C29">
        <w:t xml:space="preserve"> </w:t>
      </w:r>
      <w:r w:rsidRPr="00384028">
        <w:rPr>
          <w:b/>
          <w:bCs/>
        </w:rPr>
        <w:t>American</w:t>
      </w:r>
      <w:r w:rsidRPr="00572E80">
        <w:rPr>
          <w:b/>
        </w:rPr>
        <w:t xml:space="preserve"> Journal of psychiatry</w:t>
      </w:r>
      <w:r w:rsidRPr="00DF3C29">
        <w:t>, 154(2), 147-155</w:t>
      </w:r>
      <w:r>
        <w:t xml:space="preserve">; </w:t>
      </w:r>
      <w:r w:rsidRPr="00DF3C29">
        <w:t>J. A.</w:t>
      </w:r>
      <w:r>
        <w:t xml:space="preserve"> </w:t>
      </w:r>
      <w:r w:rsidRPr="00DF3C29">
        <w:t>Chiles,</w:t>
      </w:r>
      <w:r>
        <w:t xml:space="preserve"> </w:t>
      </w:r>
      <w:r w:rsidRPr="00DF3C29">
        <w:t>M. J.</w:t>
      </w:r>
      <w:r>
        <w:t xml:space="preserve"> </w:t>
      </w:r>
      <w:r w:rsidRPr="00DF3C29">
        <w:t>Lambert,</w:t>
      </w:r>
      <w:r>
        <w:t>and</w:t>
      </w:r>
      <w:r w:rsidRPr="0034450F">
        <w:t xml:space="preserve"> </w:t>
      </w:r>
      <w:r w:rsidRPr="00DF3C29">
        <w:t xml:space="preserve">A. L. Hatch (1999). </w:t>
      </w:r>
      <w:r>
        <w:t>“</w:t>
      </w:r>
      <w:r w:rsidRPr="00DF3C29">
        <w:t>The impact of psychological interventions on medical cost offset: A meta</w:t>
      </w:r>
      <w:r w:rsidRPr="00DF3C29">
        <w:rPr>
          <w:rFonts w:ascii="Cambria Math" w:hAnsi="Cambria Math" w:cs="Cambria Math"/>
        </w:rPr>
        <w:t>‐</w:t>
      </w:r>
      <w:r w:rsidRPr="00DF3C29">
        <w:t>analytic review</w:t>
      </w:r>
      <w:r>
        <w:t>”,</w:t>
      </w:r>
      <w:r w:rsidRPr="00DF3C29">
        <w:t xml:space="preserve"> </w:t>
      </w:r>
      <w:r w:rsidRPr="00572E80">
        <w:rPr>
          <w:b/>
        </w:rPr>
        <w:t>Clinical Psychology: Science and Practice</w:t>
      </w:r>
      <w:r w:rsidRPr="00DF3C29">
        <w:t>, 6(2), 204-220</w:t>
      </w:r>
      <w:r w:rsidR="00C54D2B">
        <w:t>.</w:t>
      </w:r>
    </w:p>
  </w:footnote>
  <w:footnote w:id="12">
    <w:p w14:paraId="6B1271AC" w14:textId="33DDE0A5" w:rsidR="00D62253" w:rsidRDefault="00D62253" w:rsidP="001C65E4">
      <w:pPr>
        <w:pStyle w:val="a9"/>
        <w:rPr>
          <w:rtl/>
        </w:rPr>
      </w:pPr>
      <w:r w:rsidRPr="001D0A16">
        <w:footnoteRef/>
      </w:r>
      <w:r w:rsidRPr="001D0A16">
        <w:rPr>
          <w:rtl/>
        </w:rPr>
        <w:t xml:space="preserve"> </w:t>
      </w:r>
      <w:r w:rsidRPr="001D0A16">
        <w:rPr>
          <w:rtl/>
        </w:rPr>
        <w:tab/>
      </w:r>
      <w:r w:rsidRPr="001D0A16">
        <w:t xml:space="preserve">U. Altmann, A. Zimmermann, H. A. </w:t>
      </w:r>
      <w:r w:rsidRPr="001D0A16">
        <w:t>Kirchmann, D. Kramer, A. Fembacher, E. Bruckmayer, I. Pfaffinger,</w:t>
      </w:r>
      <w:r>
        <w:t xml:space="preserve"> F. Von Heymann, E. Auch, R. Steyer, and B. M. Strauss, (2016). “Outpatient</w:t>
      </w:r>
      <w:r>
        <w:rPr>
          <w:rFonts w:hint="cs"/>
          <w:rtl/>
        </w:rPr>
        <w:t xml:space="preserve"> </w:t>
      </w:r>
      <w:r>
        <w:t>Psychotherapy reduces health-care costs: a study of 22,294 insurants over 5 Years</w:t>
      </w:r>
      <w:r w:rsidRPr="00F01C54">
        <w:t xml:space="preserve">”, </w:t>
      </w:r>
      <w:r w:rsidRPr="00572E80">
        <w:rPr>
          <w:b/>
        </w:rPr>
        <w:t>Frontiers in psychiatry</w:t>
      </w:r>
      <w:r>
        <w:t xml:space="preserve">, 7, 98, </w:t>
      </w:r>
      <w:hyperlink r:id="rId3" w:history="1">
        <w:r w:rsidRPr="00FD26E8">
          <w:rPr>
            <w:rStyle w:val="Hyperlink"/>
          </w:rPr>
          <w:t>https://doi.org/10.3389/fpsyt.2016.00098</w:t>
        </w:r>
      </w:hyperlink>
      <w:r w:rsidR="00C54D2B" w:rsidRPr="00C54D2B">
        <w:t>.</w:t>
      </w:r>
    </w:p>
  </w:footnote>
  <w:footnote w:id="13">
    <w:p w14:paraId="3D9FBD95" w14:textId="77777777" w:rsidR="00D62253" w:rsidRPr="001D0A16" w:rsidRDefault="00D62253" w:rsidP="008671F6">
      <w:pPr>
        <w:pStyle w:val="a9"/>
        <w:rPr>
          <w:rtl/>
        </w:rPr>
      </w:pPr>
      <w:r w:rsidRPr="007A2186">
        <w:rPr>
          <w:rStyle w:val="FootnoteReference"/>
          <w:vertAlign w:val="baseline"/>
        </w:rPr>
        <w:footnoteRef/>
      </w:r>
      <w:r w:rsidRPr="007A2186">
        <w:rPr>
          <w:rStyle w:val="FootnoteReference"/>
          <w:vertAlign w:val="baseline"/>
          <w:rtl/>
        </w:rPr>
        <w:t xml:space="preserve"> </w:t>
      </w:r>
      <w:r w:rsidRPr="001D0A16">
        <w:rPr>
          <w:rtl/>
        </w:rPr>
        <w:tab/>
      </w:r>
      <w:r w:rsidRPr="001D0A16">
        <w:t>R. Yonatan-</w:t>
      </w:r>
      <w:r w:rsidRPr="001D0A16">
        <w:t>Leus, A. Strauss, and Kuper Kzaz (2018, June). “Assessing the Association between</w:t>
      </w:r>
      <w:r w:rsidRPr="001D0A16">
        <w:rPr>
          <w:rFonts w:hint="cs"/>
        </w:rPr>
        <w:t xml:space="preserve"> </w:t>
      </w:r>
      <w:r w:rsidRPr="001D0A16">
        <w:t>Outpatient Psychotherapy and Health Care Utilization”, Paper presented in the 49th international annual meeting of the society for psychotherapy research in Amsterdam.</w:t>
      </w:r>
    </w:p>
  </w:footnote>
  <w:footnote w:id="14">
    <w:p w14:paraId="3438DEC3" w14:textId="77777777" w:rsidR="00D62253" w:rsidRPr="001D0A16"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r>
      <w:r w:rsidRPr="001D0A16">
        <w:rPr>
          <w:rFonts w:hint="cs"/>
          <w:rtl/>
        </w:rPr>
        <w:t xml:space="preserve">החלטת ממשלה מס' 4611, </w:t>
      </w:r>
      <w:r w:rsidRPr="001D0A16">
        <w:rPr>
          <w:rtl/>
        </w:rPr>
        <w:t>מיום</w:t>
      </w:r>
      <w:r w:rsidRPr="001D0A16">
        <w:rPr>
          <w:rFonts w:hint="cs"/>
          <w:rtl/>
        </w:rPr>
        <w:t xml:space="preserve"> 10.5.12.</w:t>
      </w:r>
    </w:p>
  </w:footnote>
  <w:footnote w:id="15">
    <w:p w14:paraId="04C6AC52" w14:textId="77777777" w:rsidR="00D62253" w:rsidRPr="001D0A16"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t>צו ביטוח בריאות ממלכתי (שינוי התוספות השנייה והשלישית לחוק), התשע"ב-2012</w:t>
      </w:r>
      <w:r w:rsidRPr="001D0A16">
        <w:rPr>
          <w:rFonts w:hint="cs"/>
          <w:rtl/>
        </w:rPr>
        <w:t>, ק"ת 7154 (29.5.12).</w:t>
      </w:r>
    </w:p>
  </w:footnote>
  <w:footnote w:id="16">
    <w:p w14:paraId="54CD7238" w14:textId="77777777" w:rsidR="00D62253" w:rsidRDefault="00D62253" w:rsidP="001D0A16">
      <w:pPr>
        <w:pStyle w:val="a9"/>
        <w:rPr>
          <w:rtl/>
        </w:rPr>
      </w:pPr>
      <w:r w:rsidRPr="001D0A16">
        <w:footnoteRef/>
      </w:r>
      <w:r w:rsidRPr="001D0A16">
        <w:rPr>
          <w:rtl/>
        </w:rPr>
        <w:t xml:space="preserve"> </w:t>
      </w:r>
      <w:r w:rsidRPr="001D0A16">
        <w:rPr>
          <w:rFonts w:hint="cs"/>
          <w:rtl/>
        </w:rPr>
        <w:tab/>
      </w:r>
      <w:r>
        <w:rPr>
          <w:rFonts w:hint="cs"/>
          <w:rtl/>
        </w:rPr>
        <w:t xml:space="preserve">ראו גם מבקר המדינה, </w:t>
      </w:r>
      <w:r w:rsidRPr="00344A3A">
        <w:rPr>
          <w:rFonts w:hint="cs"/>
          <w:b/>
          <w:bCs/>
          <w:rtl/>
        </w:rPr>
        <w:t>דוח שנתי 66ג</w:t>
      </w:r>
      <w:r>
        <w:rPr>
          <w:rFonts w:hint="cs"/>
          <w:rtl/>
        </w:rPr>
        <w:t xml:space="preserve"> (2016), בפרק "שיקום נכי נפש בקהילה", עמ' 545. </w:t>
      </w:r>
    </w:p>
  </w:footnote>
  <w:footnote w:id="17">
    <w:p w14:paraId="68A3C388" w14:textId="6780C0EE" w:rsidR="00D62253" w:rsidRPr="00927AA8" w:rsidRDefault="00D62253" w:rsidP="008671F6">
      <w:pPr>
        <w:pStyle w:val="a9"/>
        <w:rPr>
          <w:rtl/>
        </w:rPr>
      </w:pPr>
      <w:r w:rsidRPr="001D0A16">
        <w:footnoteRef/>
      </w:r>
      <w:r w:rsidRPr="001D0A16">
        <w:rPr>
          <w:rtl/>
        </w:rPr>
        <w:t xml:space="preserve"> </w:t>
      </w:r>
      <w:r w:rsidRPr="001D0A16">
        <w:rPr>
          <w:rtl/>
        </w:rPr>
        <w:tab/>
      </w:r>
      <w:r w:rsidRPr="001D0A16">
        <w:t xml:space="preserve">N. A., Cummings, and G. R. </w:t>
      </w:r>
      <w:r w:rsidRPr="001D0A16">
        <w:t>VandenBos (1981). “The twenty years Kaiser-Permanente experience with</w:t>
      </w:r>
      <w:r w:rsidRPr="00DF3C29">
        <w:t xml:space="preserve"> psychotherapy and medical utilization: Implications for national health policy and national health insurance</w:t>
      </w:r>
      <w:r>
        <w:t>”,</w:t>
      </w:r>
      <w:r w:rsidRPr="00DF3C29">
        <w:t xml:space="preserve"> </w:t>
      </w:r>
      <w:r w:rsidRPr="00572E80">
        <w:rPr>
          <w:b/>
        </w:rPr>
        <w:t>Health Policy Quarterly</w:t>
      </w:r>
      <w:r w:rsidRPr="00DF3C29">
        <w:t>, 1(2), 159-175</w:t>
      </w:r>
      <w:r w:rsidR="002F2C83">
        <w:t>.</w:t>
      </w:r>
    </w:p>
  </w:footnote>
  <w:footnote w:id="18">
    <w:p w14:paraId="6D91158A" w14:textId="77777777" w:rsidR="00D62253" w:rsidRPr="001D0A16" w:rsidRDefault="00D62253" w:rsidP="001D0A16">
      <w:pPr>
        <w:pStyle w:val="a9"/>
        <w:rPr>
          <w:rtl/>
        </w:rPr>
      </w:pPr>
      <w:r w:rsidRPr="001D0A16">
        <w:footnoteRef/>
      </w:r>
      <w:r w:rsidRPr="001D0A16">
        <w:rPr>
          <w:rtl/>
        </w:rPr>
        <w:t xml:space="preserve"> </w:t>
      </w:r>
      <w:r w:rsidRPr="001D0A16">
        <w:rPr>
          <w:rtl/>
        </w:rPr>
        <w:tab/>
      </w:r>
      <w:r w:rsidRPr="001D0A16">
        <w:rPr>
          <w:rFonts w:hint="cs"/>
          <w:rtl/>
        </w:rPr>
        <w:t>טיפול אמבולטורי הוא טיפול שנעשה בבית חולים או מרפאה וביום הטיפול משתחרר המטופל לביתו.</w:t>
      </w:r>
    </w:p>
  </w:footnote>
  <w:footnote w:id="19">
    <w:p w14:paraId="71F446DE" w14:textId="77777777" w:rsidR="00D62253" w:rsidRPr="001D0A16" w:rsidRDefault="00D62253" w:rsidP="001D0A16">
      <w:pPr>
        <w:pStyle w:val="a9"/>
      </w:pPr>
      <w:r w:rsidRPr="001D0A16">
        <w:rPr>
          <w:rStyle w:val="FootnoteReference"/>
          <w:vertAlign w:val="baseline"/>
        </w:rPr>
        <w:footnoteRef/>
      </w:r>
      <w:r w:rsidRPr="001D0A16">
        <w:rPr>
          <w:rtl/>
        </w:rPr>
        <w:t xml:space="preserve"> </w:t>
      </w:r>
      <w:r w:rsidRPr="001D0A16">
        <w:rPr>
          <w:rtl/>
        </w:rPr>
        <w:tab/>
      </w:r>
      <w:r w:rsidRPr="001D0A16">
        <w:rPr>
          <w:rFonts w:hint="cs"/>
          <w:rtl/>
        </w:rPr>
        <w:t>בראש המינהלת עומד מנכ"ל משרד הבריאות וחברים בה נציגים של משרד הבריאות, משרד האוצר, קופות החולים, עמותות הפועלות בתחום ואנשי מקצוע. המינהלת הפסיקה להתכנס באפריל 2017, ועד מועד סיום הביקורת לא חודשו דיוניה.</w:t>
      </w:r>
    </w:p>
  </w:footnote>
  <w:footnote w:id="20">
    <w:p w14:paraId="434F96AE" w14:textId="77777777" w:rsidR="00D62253" w:rsidRPr="001D0A16" w:rsidRDefault="00D62253" w:rsidP="001D0A16">
      <w:pPr>
        <w:pStyle w:val="a9"/>
      </w:pPr>
      <w:r w:rsidRPr="001D0A16">
        <w:rPr>
          <w:rStyle w:val="FootnoteReference"/>
          <w:vertAlign w:val="baseline"/>
        </w:rPr>
        <w:footnoteRef/>
      </w:r>
      <w:r w:rsidRPr="001D0A16">
        <w:rPr>
          <w:rtl/>
        </w:rPr>
        <w:t xml:space="preserve"> </w:t>
      </w:r>
      <w:r w:rsidRPr="001D0A16">
        <w:rPr>
          <w:rtl/>
        </w:rPr>
        <w:tab/>
        <w:t>המועצות הלאומיות הן גופים מקצועיים היועצים להנהלת משרד הבריאות בתחומי הרפואה השונים.</w:t>
      </w:r>
    </w:p>
  </w:footnote>
  <w:footnote w:id="21">
    <w:p w14:paraId="5F545791" w14:textId="77777777" w:rsidR="00D62253"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r>
      <w:r>
        <w:rPr>
          <w:rFonts w:hint="cs"/>
          <w:rtl/>
        </w:rPr>
        <w:t xml:space="preserve">החטיבה </w:t>
      </w:r>
      <w:r w:rsidRPr="00326EA2">
        <w:rPr>
          <w:rtl/>
        </w:rPr>
        <w:t>אחראית על 24 בתי חולים</w:t>
      </w:r>
      <w:r>
        <w:rPr>
          <w:rFonts w:hint="cs"/>
          <w:rtl/>
        </w:rPr>
        <w:t xml:space="preserve"> ממשלתיים,</w:t>
      </w:r>
      <w:r w:rsidRPr="00326EA2">
        <w:rPr>
          <w:rtl/>
        </w:rPr>
        <w:t xml:space="preserve"> ובכללם </w:t>
      </w:r>
      <w:r>
        <w:rPr>
          <w:rFonts w:hint="cs"/>
          <w:rtl/>
        </w:rPr>
        <w:t>בתי החולים</w:t>
      </w:r>
      <w:r w:rsidRPr="00326EA2">
        <w:rPr>
          <w:rtl/>
        </w:rPr>
        <w:t xml:space="preserve"> </w:t>
      </w:r>
      <w:r>
        <w:rPr>
          <w:rFonts w:hint="cs"/>
          <w:rtl/>
        </w:rPr>
        <w:t>ל</w:t>
      </w:r>
      <w:r w:rsidRPr="00326EA2">
        <w:rPr>
          <w:rtl/>
        </w:rPr>
        <w:t>בריאות הנפש</w:t>
      </w:r>
      <w:r>
        <w:rPr>
          <w:rFonts w:hint="cs"/>
          <w:rtl/>
        </w:rPr>
        <w:t>.</w:t>
      </w:r>
    </w:p>
  </w:footnote>
  <w:footnote w:id="22">
    <w:p w14:paraId="41B04505" w14:textId="77777777" w:rsidR="00D62253" w:rsidRPr="001D0A16" w:rsidRDefault="00D62253" w:rsidP="001D0A16">
      <w:pPr>
        <w:pStyle w:val="a9"/>
        <w:rPr>
          <w:rtl/>
        </w:rPr>
      </w:pPr>
      <w:r w:rsidRPr="001D0A16">
        <w:footnoteRef/>
      </w:r>
      <w:r w:rsidRPr="001D0A16">
        <w:rPr>
          <w:rtl/>
        </w:rPr>
        <w:t xml:space="preserve"> </w:t>
      </w:r>
      <w:r w:rsidRPr="001D0A16">
        <w:rPr>
          <w:rtl/>
        </w:rPr>
        <w:tab/>
        <w:t xml:space="preserve">מרכזי החוסן </w:t>
      </w:r>
      <w:r w:rsidRPr="001D0A16">
        <w:rPr>
          <w:rFonts w:hint="cs"/>
          <w:rtl/>
        </w:rPr>
        <w:t>מעניקים</w:t>
      </w:r>
      <w:r w:rsidRPr="001D0A16">
        <w:rPr>
          <w:rtl/>
        </w:rPr>
        <w:t xml:space="preserve"> תמיכה וסיוע רב-מקצועי </w:t>
      </w:r>
      <w:r w:rsidRPr="001D0A16">
        <w:rPr>
          <w:rFonts w:hint="cs"/>
          <w:rtl/>
        </w:rPr>
        <w:t>ל</w:t>
      </w:r>
      <w:r w:rsidRPr="001D0A16">
        <w:rPr>
          <w:rtl/>
        </w:rPr>
        <w:t>מתמודדים עם מצבי משבר, חירום ואסון</w:t>
      </w:r>
      <w:r w:rsidRPr="001D0A16">
        <w:rPr>
          <w:rFonts w:hint="cs"/>
          <w:rtl/>
        </w:rPr>
        <w:t>.</w:t>
      </w:r>
    </w:p>
  </w:footnote>
  <w:footnote w:id="23">
    <w:p w14:paraId="2254A783" w14:textId="45EA06E2" w:rsidR="00D62253" w:rsidRPr="001D0A16"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r>
      <w:r w:rsidRPr="001D0A16">
        <w:rPr>
          <w:rFonts w:hint="cs"/>
          <w:rtl/>
        </w:rPr>
        <w:t>מחקר מדעי שבוצע בבריטניה מצא כי ככל שעוברים יותר מארבעה שבועות מהפנייה לטיפול ועד תחילתו, כך השפעת הטיפול פוחתת בהדרגה</w:t>
      </w:r>
      <w:r w:rsidRPr="001D0A16">
        <w:rPr>
          <w:rtl/>
        </w:rPr>
        <w:t xml:space="preserve"> </w:t>
      </w:r>
      <w:r w:rsidRPr="001D0A16">
        <w:t xml:space="preserve">Clark et al. (2017). “Transparency about the outcomes of mental health services (IAPT approach): An analysis of public data”, </w:t>
      </w:r>
      <w:r w:rsidRPr="001D0A16">
        <w:rPr>
          <w:b/>
          <w:bCs/>
        </w:rPr>
        <w:t>The Lancet</w:t>
      </w:r>
      <w:r>
        <w:rPr>
          <w:b/>
          <w:bCs/>
        </w:rPr>
        <w:t xml:space="preserve"> 391 (2018), pp 679-686.</w:t>
      </w:r>
    </w:p>
  </w:footnote>
  <w:footnote w:id="24">
    <w:p w14:paraId="24AB0623" w14:textId="77777777" w:rsidR="00D62253" w:rsidRPr="00DE0BE3" w:rsidRDefault="00D62253" w:rsidP="001D0A16">
      <w:pPr>
        <w:pStyle w:val="a9"/>
        <w:rPr>
          <w:rtl/>
        </w:rPr>
      </w:pPr>
      <w:r w:rsidRPr="001D0A16">
        <w:rPr>
          <w:rStyle w:val="FootnoteReference"/>
          <w:vertAlign w:val="baseline"/>
        </w:rPr>
        <w:footnoteRef/>
      </w:r>
      <w:r w:rsidRPr="001D0A16">
        <w:rPr>
          <w:rtl/>
        </w:rPr>
        <w:t xml:space="preserve"> </w:t>
      </w:r>
      <w:r w:rsidRPr="001D0A16">
        <w:rPr>
          <w:rtl/>
        </w:rPr>
        <w:tab/>
      </w:r>
      <w:r w:rsidRPr="001D0A16">
        <w:rPr>
          <w:rFonts w:hint="cs"/>
          <w:rtl/>
        </w:rPr>
        <w:t>את האבחנה</w:t>
      </w:r>
      <w:r w:rsidRPr="001D0A16">
        <w:rPr>
          <w:rtl/>
        </w:rPr>
        <w:t xml:space="preserve"> </w:t>
      </w:r>
      <w:r w:rsidRPr="001D0A16">
        <w:rPr>
          <w:rFonts w:hint="cs"/>
          <w:rtl/>
        </w:rPr>
        <w:t>שניתנת בעקבות האבחון,</w:t>
      </w:r>
      <w:r w:rsidRPr="001D0A16">
        <w:rPr>
          <w:rtl/>
        </w:rPr>
        <w:t xml:space="preserve"> על בסיס </w:t>
      </w:r>
      <w:r w:rsidRPr="001D0A16">
        <w:rPr>
          <w:rFonts w:hint="cs"/>
          <w:rtl/>
        </w:rPr>
        <w:t>ה</w:t>
      </w:r>
      <w:r w:rsidRPr="001D0A16">
        <w:rPr>
          <w:rtl/>
        </w:rPr>
        <w:t>מדריך הרפואי</w:t>
      </w:r>
      <w:r w:rsidRPr="001D0A16">
        <w:rPr>
          <w:rFonts w:hint="cs"/>
          <w:rtl/>
        </w:rPr>
        <w:t xml:space="preserve"> של</w:t>
      </w:r>
      <w:r w:rsidRPr="001D0A16">
        <w:rPr>
          <w:rtl/>
        </w:rPr>
        <w:t xml:space="preserve"> ארגון הבריאות העולמי </w:t>
      </w:r>
      <w:r w:rsidRPr="001D0A16">
        <w:rPr>
          <w:rFonts w:hint="cs"/>
          <w:rtl/>
        </w:rPr>
        <w:t>ה</w:t>
      </w:r>
      <w:r w:rsidRPr="001D0A16">
        <w:rPr>
          <w:rtl/>
        </w:rPr>
        <w:t>כולל הפרעות</w:t>
      </w:r>
      <w:r w:rsidRPr="00DE0BE3">
        <w:rPr>
          <w:rtl/>
        </w:rPr>
        <w:t xml:space="preserve"> נפשיות</w:t>
      </w:r>
      <w:r>
        <w:rPr>
          <w:rFonts w:hint="cs"/>
          <w:rtl/>
        </w:rPr>
        <w:t xml:space="preserve">, </w:t>
      </w:r>
      <w:r>
        <w:rPr>
          <w:rFonts w:hint="cs"/>
          <w:sz w:val="24"/>
          <w:rtl/>
        </w:rPr>
        <w:t xml:space="preserve">יקבעו במידת הצורך, רק </w:t>
      </w:r>
      <w:r w:rsidRPr="006E2BD8">
        <w:rPr>
          <w:rFonts w:hint="cs"/>
          <w:sz w:val="24"/>
          <w:rtl/>
        </w:rPr>
        <w:t xml:space="preserve">פסיכולוג </w:t>
      </w:r>
      <w:r>
        <w:rPr>
          <w:rFonts w:hint="cs"/>
          <w:sz w:val="24"/>
          <w:rtl/>
        </w:rPr>
        <w:t>א</w:t>
      </w:r>
      <w:r w:rsidRPr="006E2BD8">
        <w:rPr>
          <w:rFonts w:hint="cs"/>
          <w:sz w:val="24"/>
          <w:rtl/>
        </w:rPr>
        <w:t>ו</w:t>
      </w:r>
      <w:r>
        <w:rPr>
          <w:rFonts w:hint="cs"/>
          <w:sz w:val="24"/>
          <w:rtl/>
        </w:rPr>
        <w:t xml:space="preserve"> </w:t>
      </w:r>
      <w:r w:rsidRPr="006E2BD8">
        <w:rPr>
          <w:rFonts w:hint="cs"/>
          <w:sz w:val="24"/>
          <w:rtl/>
        </w:rPr>
        <w:t>פסיכיאטר</w:t>
      </w:r>
      <w:r>
        <w:rPr>
          <w:rFonts w:hint="cs"/>
          <w:rtl/>
        </w:rPr>
        <w:t>.</w:t>
      </w:r>
    </w:p>
  </w:footnote>
  <w:footnote w:id="25">
    <w:p w14:paraId="5017335F" w14:textId="77777777" w:rsidR="00D62253" w:rsidRDefault="00D62253" w:rsidP="00162B36">
      <w:pPr>
        <w:pStyle w:val="a9"/>
        <w:rPr>
          <w:rtl/>
        </w:rPr>
      </w:pPr>
      <w:r w:rsidRPr="00162B36">
        <w:footnoteRef/>
      </w:r>
      <w:r w:rsidRPr="00162B36">
        <w:rPr>
          <w:rtl/>
        </w:rPr>
        <w:t xml:space="preserve"> </w:t>
      </w:r>
      <w:r w:rsidRPr="00162B36">
        <w:rPr>
          <w:rtl/>
        </w:rPr>
        <w:tab/>
      </w:r>
      <w:r>
        <w:rPr>
          <w:rFonts w:hint="cs"/>
          <w:rtl/>
        </w:rPr>
        <w:t xml:space="preserve">מרכזי החוסן פועלים </w:t>
      </w:r>
      <w:r w:rsidRPr="007674A4">
        <w:rPr>
          <w:rtl/>
        </w:rPr>
        <w:t>בשיתוף משרד הבריאות, משרד העבודה הרווחה והשירותים החברתיים, משרד החינוך, משרד העלי</w:t>
      </w:r>
      <w:r>
        <w:rPr>
          <w:rtl/>
        </w:rPr>
        <w:t>יה והקליטה, המשרד לשוויון חברתי</w:t>
      </w:r>
      <w:r w:rsidRPr="007674A4">
        <w:rPr>
          <w:rtl/>
        </w:rPr>
        <w:t xml:space="preserve"> </w:t>
      </w:r>
      <w:r>
        <w:rPr>
          <w:rFonts w:hint="cs"/>
          <w:rtl/>
        </w:rPr>
        <w:t>ו</w:t>
      </w:r>
      <w:r w:rsidRPr="007674A4">
        <w:rPr>
          <w:rtl/>
        </w:rPr>
        <w:t>המוסד לביטוח לאומי</w:t>
      </w:r>
      <w:r>
        <w:rPr>
          <w:rFonts w:hint="cs"/>
          <w:rtl/>
        </w:rPr>
        <w:t>; הקואליציה הישראלית לטראומה</w:t>
      </w:r>
      <w:r w:rsidRPr="00FE272F">
        <w:rPr>
          <w:rtl/>
        </w:rPr>
        <w:t xml:space="preserve"> </w:t>
      </w:r>
      <w:r w:rsidRPr="00A56746">
        <w:rPr>
          <w:rFonts w:hint="cs"/>
          <w:rtl/>
        </w:rPr>
        <w:t xml:space="preserve">הינה </w:t>
      </w:r>
      <w:r>
        <w:rPr>
          <w:rFonts w:hint="cs"/>
          <w:rtl/>
        </w:rPr>
        <w:t>עמותה רשומה</w:t>
      </w:r>
      <w:r w:rsidRPr="00A56746">
        <w:rPr>
          <w:rFonts w:hint="cs"/>
          <w:rtl/>
        </w:rPr>
        <w:t xml:space="preserve"> העוסקת </w:t>
      </w:r>
      <w:r w:rsidRPr="00A56746">
        <w:rPr>
          <w:rFonts w:ascii="Helvetica" w:hAnsi="Helvetica"/>
          <w:color w:val="333333"/>
          <w:shd w:val="clear" w:color="auto" w:fill="FFFFFF"/>
          <w:rtl/>
        </w:rPr>
        <w:t>בתחום החוסן, הערכות לחירום</w:t>
      </w:r>
      <w:r w:rsidRPr="00A56746">
        <w:rPr>
          <w:rFonts w:ascii="Helvetica" w:hAnsi="Helvetica" w:hint="cs"/>
          <w:color w:val="333333"/>
          <w:shd w:val="clear" w:color="auto" w:fill="FFFFFF"/>
          <w:rtl/>
        </w:rPr>
        <w:t>,</w:t>
      </w:r>
      <w:r w:rsidRPr="00A56746">
        <w:rPr>
          <w:rFonts w:ascii="Helvetica" w:hAnsi="Helvetica"/>
          <w:color w:val="333333"/>
          <w:shd w:val="clear" w:color="auto" w:fill="FFFFFF"/>
          <w:rtl/>
        </w:rPr>
        <w:t xml:space="preserve"> מענה פסיכו-סוציאלי</w:t>
      </w:r>
      <w:r w:rsidRPr="00A56746">
        <w:rPr>
          <w:rFonts w:hint="cs"/>
          <w:rtl/>
        </w:rPr>
        <w:t xml:space="preserve"> ו</w:t>
      </w:r>
      <w:r w:rsidRPr="00A56746">
        <w:rPr>
          <w:rtl/>
        </w:rPr>
        <w:t>טיפול</w:t>
      </w:r>
      <w:r w:rsidRPr="00FE272F">
        <w:rPr>
          <w:rtl/>
        </w:rPr>
        <w:t xml:space="preserve"> בטראומות הנובעות ממצבי מצוקה ולחץ</w:t>
      </w:r>
      <w:r>
        <w:rPr>
          <w:rFonts w:hint="cs"/>
          <w:rtl/>
        </w:rPr>
        <w:t>, בשיתוף עשרות ארגונים.</w:t>
      </w:r>
    </w:p>
  </w:footnote>
  <w:footnote w:id="26">
    <w:p w14:paraId="251AA85E" w14:textId="77777777" w:rsidR="00D62253" w:rsidRDefault="00D62253" w:rsidP="00162B36">
      <w:pPr>
        <w:pStyle w:val="a9"/>
        <w:rPr>
          <w:rtl/>
        </w:rPr>
      </w:pPr>
      <w:r w:rsidRPr="00162B36">
        <w:footnoteRef/>
      </w:r>
      <w:r w:rsidRPr="00162B36">
        <w:rPr>
          <w:rtl/>
        </w:rPr>
        <w:t xml:space="preserve"> </w:t>
      </w:r>
      <w:r w:rsidRPr="00162B36">
        <w:rPr>
          <w:rtl/>
        </w:rPr>
        <w:tab/>
      </w:r>
      <w:r w:rsidRPr="008B1C3C">
        <w:rPr>
          <w:rtl/>
        </w:rPr>
        <w:t xml:space="preserve">מבקר המדינה, </w:t>
      </w:r>
      <w:r w:rsidRPr="00D7393E">
        <w:rPr>
          <w:b/>
          <w:bCs/>
          <w:rtl/>
        </w:rPr>
        <w:t>דוח</w:t>
      </w:r>
      <w:r w:rsidRPr="00D7393E">
        <w:rPr>
          <w:rFonts w:hint="eastAsia"/>
          <w:b/>
          <w:bCs/>
          <w:rtl/>
        </w:rPr>
        <w:t>ות</w:t>
      </w:r>
      <w:r w:rsidRPr="00D7393E">
        <w:rPr>
          <w:b/>
          <w:bCs/>
          <w:rtl/>
        </w:rPr>
        <w:t xml:space="preserve"> </w:t>
      </w:r>
      <w:r w:rsidRPr="00D7393E">
        <w:rPr>
          <w:rFonts w:hint="eastAsia"/>
          <w:b/>
          <w:bCs/>
          <w:rtl/>
        </w:rPr>
        <w:t>על</w:t>
      </w:r>
      <w:r w:rsidRPr="00D7393E">
        <w:rPr>
          <w:b/>
          <w:bCs/>
          <w:rtl/>
        </w:rPr>
        <w:t xml:space="preserve"> </w:t>
      </w:r>
      <w:r w:rsidRPr="00D7393E">
        <w:rPr>
          <w:rFonts w:hint="eastAsia"/>
          <w:b/>
          <w:bCs/>
          <w:rtl/>
        </w:rPr>
        <w:t>הביקורת</w:t>
      </w:r>
      <w:r w:rsidRPr="00D7393E">
        <w:rPr>
          <w:b/>
          <w:bCs/>
          <w:rtl/>
        </w:rPr>
        <w:t xml:space="preserve"> </w:t>
      </w:r>
      <w:r w:rsidRPr="00D7393E">
        <w:rPr>
          <w:rFonts w:hint="eastAsia"/>
          <w:b/>
          <w:bCs/>
          <w:rtl/>
        </w:rPr>
        <w:t>בשלטון</w:t>
      </w:r>
      <w:r w:rsidRPr="00D7393E">
        <w:rPr>
          <w:b/>
          <w:bCs/>
          <w:rtl/>
        </w:rPr>
        <w:t xml:space="preserve"> </w:t>
      </w:r>
      <w:r w:rsidRPr="00D7393E">
        <w:rPr>
          <w:rFonts w:hint="eastAsia"/>
          <w:b/>
          <w:bCs/>
          <w:rtl/>
        </w:rPr>
        <w:t>המקומי</w:t>
      </w:r>
      <w:r w:rsidRPr="00D7393E">
        <w:rPr>
          <w:b/>
          <w:bCs/>
          <w:rtl/>
        </w:rPr>
        <w:t xml:space="preserve"> לשנת 2015</w:t>
      </w:r>
      <w:r>
        <w:rPr>
          <w:rFonts w:hint="cs"/>
          <w:rtl/>
        </w:rPr>
        <w:t xml:space="preserve"> (</w:t>
      </w:r>
      <w:r w:rsidRPr="00441773">
        <w:rPr>
          <w:rFonts w:hint="cs"/>
          <w:rtl/>
        </w:rPr>
        <w:t>2015),</w:t>
      </w:r>
      <w:r w:rsidRPr="00441773">
        <w:rPr>
          <w:rtl/>
        </w:rPr>
        <w:t xml:space="preserve"> בפרק</w:t>
      </w:r>
      <w:r w:rsidRPr="008B1C3C">
        <w:rPr>
          <w:rtl/>
        </w:rPr>
        <w:t xml:space="preserve"> "היערכות הרשויות המקומיות לטיפול בנפגעי חרדה בשעת חירום והטיפול בה</w:t>
      </w:r>
      <w:r>
        <w:rPr>
          <w:rtl/>
        </w:rPr>
        <w:t>ם במהלך מבצע צוק איתן ובעקבותיו</w:t>
      </w:r>
      <w:r w:rsidRPr="008B1C3C">
        <w:rPr>
          <w:rtl/>
        </w:rPr>
        <w:t xml:space="preserve">", עמ' </w:t>
      </w:r>
      <w:r>
        <w:rPr>
          <w:rFonts w:hint="cs"/>
          <w:rtl/>
        </w:rPr>
        <w:t>107</w:t>
      </w:r>
      <w:r w:rsidRPr="008B1C3C">
        <w:rPr>
          <w:rtl/>
        </w:rPr>
        <w:t>.</w:t>
      </w:r>
    </w:p>
  </w:footnote>
  <w:footnote w:id="27">
    <w:p w14:paraId="0AB9E45C" w14:textId="2AD2EB1B" w:rsidR="00D62253" w:rsidRPr="00162B36" w:rsidRDefault="00D62253" w:rsidP="00162B36">
      <w:pPr>
        <w:pStyle w:val="a9"/>
        <w:rPr>
          <w:rtl/>
        </w:rPr>
      </w:pPr>
      <w:r w:rsidRPr="00162B36">
        <w:footnoteRef/>
      </w:r>
      <w:r>
        <w:rPr>
          <w:rtl/>
        </w:rPr>
        <w:t xml:space="preserve"> </w:t>
      </w:r>
      <w:r>
        <w:rPr>
          <w:rtl/>
        </w:rPr>
        <w:tab/>
      </w:r>
      <w:r>
        <w:t xml:space="preserve">Guidance to support the introduction of access and waiting time standards for mental health services </w:t>
      </w:r>
      <w:r w:rsidRPr="00162B36">
        <w:t>in 2015/16, NHS England / Medical Directorate / Mental Health Team</w:t>
      </w:r>
      <w:r w:rsidR="00AC1880">
        <w:t>.</w:t>
      </w:r>
      <w:r w:rsidRPr="00162B36">
        <w:t xml:space="preserve"> </w:t>
      </w:r>
    </w:p>
  </w:footnote>
  <w:footnote w:id="28">
    <w:p w14:paraId="187A5878" w14:textId="789228B2" w:rsidR="00D62253" w:rsidRPr="00162B36" w:rsidRDefault="00D62253" w:rsidP="00162B36">
      <w:pPr>
        <w:pStyle w:val="a9"/>
      </w:pPr>
      <w:r w:rsidRPr="00162B36">
        <w:rPr>
          <w:rStyle w:val="FootnoteReference"/>
          <w:vertAlign w:val="baseline"/>
        </w:rPr>
        <w:footnoteRef/>
      </w:r>
      <w:r w:rsidRPr="00162B36">
        <w:rPr>
          <w:rtl/>
        </w:rPr>
        <w:t xml:space="preserve"> </w:t>
      </w:r>
      <w:r w:rsidRPr="00162B36">
        <w:rPr>
          <w:rtl/>
        </w:rPr>
        <w:tab/>
      </w:r>
      <w:r w:rsidRPr="00162B36">
        <w:t>Denmark Ministry of Health, Health care in Denmark - an overview, 2017</w:t>
      </w:r>
      <w:r w:rsidR="00AC1880">
        <w:t>.</w:t>
      </w:r>
    </w:p>
  </w:footnote>
  <w:footnote w:id="29">
    <w:p w14:paraId="28A0AC2B" w14:textId="1A303638" w:rsidR="00D62253" w:rsidRDefault="00D62253" w:rsidP="008671F6">
      <w:pPr>
        <w:pStyle w:val="a9"/>
        <w:rPr>
          <w:rtl/>
        </w:rPr>
      </w:pPr>
      <w:r w:rsidRPr="00162B36">
        <w:rPr>
          <w:rStyle w:val="FootnoteReference"/>
          <w:vertAlign w:val="baseline"/>
        </w:rPr>
        <w:footnoteRef/>
      </w:r>
      <w:r w:rsidRPr="00162B36">
        <w:rPr>
          <w:rtl/>
        </w:rPr>
        <w:t xml:space="preserve"> </w:t>
      </w:r>
      <w:r w:rsidR="004366C4">
        <w:rPr>
          <w:rFonts w:hint="cs"/>
          <w:rtl/>
        </w:rPr>
        <w:t xml:space="preserve">   </w:t>
      </w:r>
      <w:r w:rsidRPr="00162B36">
        <w:rPr>
          <w:rtl/>
        </w:rPr>
        <w:tab/>
      </w:r>
      <w:r w:rsidRPr="00162B36">
        <w:t>Siciliani, L., M. Borowitz and V. Moran (eds.) (2013), "Waiting Time Policies in the Health Sector: What</w:t>
      </w:r>
      <w:r>
        <w:t xml:space="preserve"> Works?" </w:t>
      </w:r>
      <w:r w:rsidRPr="00EE257B">
        <w:rPr>
          <w:b/>
          <w:bCs/>
        </w:rPr>
        <w:t>OECD Health Policy Studies, OECD Publishing</w:t>
      </w:r>
      <w:r w:rsidR="00AC1880" w:rsidRPr="00AC1880">
        <w:t>.</w:t>
      </w:r>
      <w:r w:rsidRPr="00EE257B">
        <w:rPr>
          <w:b/>
          <w:bCs/>
          <w:rtl/>
        </w:rPr>
        <w:t xml:space="preserve"> </w:t>
      </w:r>
    </w:p>
  </w:footnote>
  <w:footnote w:id="30">
    <w:p w14:paraId="36F9A66B" w14:textId="77777777" w:rsidR="00D62253" w:rsidRPr="00162B36" w:rsidRDefault="00D62253" w:rsidP="00162B36">
      <w:pPr>
        <w:pStyle w:val="a9"/>
      </w:pPr>
      <w:r w:rsidRPr="00162B36">
        <w:footnoteRef/>
      </w:r>
      <w:r w:rsidRPr="00162B36">
        <w:rPr>
          <w:rtl/>
        </w:rPr>
        <w:t xml:space="preserve"> </w:t>
      </w:r>
      <w:r w:rsidRPr="00162B36">
        <w:rPr>
          <w:rtl/>
        </w:rPr>
        <w:tab/>
      </w:r>
      <w:r w:rsidRPr="00162B36">
        <w:rPr>
          <w:rFonts w:hint="cs"/>
          <w:rtl/>
        </w:rPr>
        <w:t>בפברואר</w:t>
      </w:r>
      <w:r w:rsidRPr="00162B36">
        <w:rPr>
          <w:rtl/>
        </w:rPr>
        <w:t xml:space="preserve"> 2020 כיהן כשר הבריאות</w:t>
      </w:r>
      <w:r w:rsidRPr="00162B36">
        <w:rPr>
          <w:rFonts w:hint="cs"/>
          <w:rtl/>
        </w:rPr>
        <w:t xml:space="preserve"> ולמען הנוחות מכונה סגן השר בדוח זה.</w:t>
      </w:r>
    </w:p>
  </w:footnote>
  <w:footnote w:id="31">
    <w:p w14:paraId="22722493" w14:textId="77777777" w:rsidR="00D62253" w:rsidRPr="00162B36" w:rsidRDefault="00D62253" w:rsidP="00162B36">
      <w:pPr>
        <w:pStyle w:val="a9"/>
        <w:rPr>
          <w:rtl/>
        </w:rPr>
      </w:pPr>
      <w:r w:rsidRPr="00162B36">
        <w:rPr>
          <w:rStyle w:val="FootnoteReference"/>
          <w:vertAlign w:val="baseline"/>
        </w:rPr>
        <w:footnoteRef/>
      </w:r>
      <w:r w:rsidRPr="00162B36">
        <w:rPr>
          <w:rtl/>
        </w:rPr>
        <w:t xml:space="preserve"> </w:t>
      </w:r>
      <w:r w:rsidRPr="00162B36">
        <w:rPr>
          <w:rtl/>
        </w:rPr>
        <w:tab/>
      </w:r>
      <w:r w:rsidRPr="00162B36">
        <w:rPr>
          <w:rFonts w:hint="cs"/>
          <w:rtl/>
        </w:rPr>
        <w:t>מכתב מיום 25.2.19 לכמה עמותות בתחום בריאות הנפש בנושא סטנדרט זמינות לטיפול נפשי בקהילה.</w:t>
      </w:r>
    </w:p>
  </w:footnote>
  <w:footnote w:id="32">
    <w:p w14:paraId="0FF1DCBE" w14:textId="77777777" w:rsidR="00D62253" w:rsidRDefault="00D62253" w:rsidP="00162B36">
      <w:pPr>
        <w:pStyle w:val="a9"/>
        <w:rPr>
          <w:rtl/>
        </w:rPr>
      </w:pPr>
      <w:r w:rsidRPr="00162B36">
        <w:rPr>
          <w:rStyle w:val="FootnoteReference"/>
          <w:vertAlign w:val="baseline"/>
        </w:rPr>
        <w:footnoteRef/>
      </w:r>
      <w:r w:rsidRPr="00162B36">
        <w:rPr>
          <w:rtl/>
        </w:rPr>
        <w:t xml:space="preserve"> </w:t>
      </w:r>
      <w:r w:rsidRPr="00162B36">
        <w:rPr>
          <w:rtl/>
        </w:rPr>
        <w:tab/>
      </w:r>
      <w:r w:rsidRPr="00162B36">
        <w:rPr>
          <w:rFonts w:hint="cs"/>
          <w:rtl/>
        </w:rPr>
        <w:t xml:space="preserve">טיוטת חוזר ראש חטיבת רגולציה, בריאות דיגיטלית ומחשוב: </w:t>
      </w:r>
      <w:r w:rsidRPr="00162B36">
        <w:rPr>
          <w:rtl/>
        </w:rPr>
        <w:t>"פרסום יעדי קופות החולים למשך תור לשירותים רפ</w:t>
      </w:r>
      <w:r w:rsidRPr="001546A9">
        <w:rPr>
          <w:rtl/>
        </w:rPr>
        <w:t>ואיים"</w:t>
      </w:r>
      <w:r>
        <w:rPr>
          <w:rFonts w:hint="cs"/>
          <w:rtl/>
        </w:rPr>
        <w:t>, (20.8.19).</w:t>
      </w:r>
    </w:p>
  </w:footnote>
  <w:footnote w:id="33">
    <w:p w14:paraId="4CAE277C" w14:textId="77777777" w:rsidR="00D62253" w:rsidRPr="0064685B" w:rsidRDefault="00D62253" w:rsidP="00162B36">
      <w:pPr>
        <w:pStyle w:val="a9"/>
        <w:rPr>
          <w:rtl/>
        </w:rPr>
      </w:pPr>
      <w:r w:rsidRPr="00162B36">
        <w:footnoteRef/>
      </w:r>
      <w:r w:rsidRPr="00162B36">
        <w:rPr>
          <w:rtl/>
        </w:rPr>
        <w:t xml:space="preserve"> </w:t>
      </w:r>
      <w:r w:rsidRPr="00162B36">
        <w:rPr>
          <w:rtl/>
        </w:rPr>
        <w:tab/>
      </w:r>
      <w:r w:rsidRPr="00162B36">
        <w:rPr>
          <w:rFonts w:hint="cs"/>
          <w:rtl/>
        </w:rPr>
        <w:t xml:space="preserve">למשל: חוזר סמנכ"ל לפיקוח על קופות חולים ושירותי בריאות נוספים מס' 12/10, "שירותי רפואת השיניים לילדים בחוק ביטוח בריאות ממלכתי - קווים מנחים לקביעת סטנדרט השירות" (12.9.10); חוזר </w:t>
      </w:r>
      <w:r w:rsidRPr="00162B36">
        <w:rPr>
          <w:rtl/>
        </w:rPr>
        <w:t>סמנכ"ל לפיקוח על קופות החולים ושירותי בריאות נוספים</w:t>
      </w:r>
      <w:r w:rsidRPr="00162B36">
        <w:rPr>
          <w:rFonts w:hint="cs"/>
          <w:rtl/>
        </w:rPr>
        <w:t xml:space="preserve"> מס'</w:t>
      </w:r>
      <w:r w:rsidRPr="00162B36">
        <w:rPr>
          <w:rtl/>
        </w:rPr>
        <w:t xml:space="preserve"> 1/10</w:t>
      </w:r>
      <w:r w:rsidRPr="00162B36">
        <w:rPr>
          <w:rFonts w:hint="cs"/>
          <w:rtl/>
        </w:rPr>
        <w:t xml:space="preserve"> </w:t>
      </w:r>
      <w:r w:rsidRPr="00162B36">
        <w:rPr>
          <w:rtl/>
        </w:rPr>
        <w:t>- "שירותים בתחום התפתחות הילד</w:t>
      </w:r>
      <w:r w:rsidRPr="00162B36">
        <w:rPr>
          <w:rFonts w:hint="cs"/>
          <w:rtl/>
        </w:rPr>
        <w:t>" (12.1.10); חוזר המנהל הכללי מס' 9/2018, "זמני המתנה לניתוחים ופרוצדורות בבתי חולים" (28.3.18</w:t>
      </w:r>
      <w:r>
        <w:rPr>
          <w:rFonts w:hint="cs"/>
          <w:rtl/>
        </w:rPr>
        <w:t>)</w:t>
      </w:r>
      <w:r w:rsidRPr="0064685B">
        <w:rPr>
          <w:rFonts w:hint="cs"/>
          <w:rtl/>
        </w:rPr>
        <w:t>.</w:t>
      </w:r>
      <w:r>
        <w:rPr>
          <w:rFonts w:hint="cs"/>
          <w:rtl/>
        </w:rPr>
        <w:t xml:space="preserve"> </w:t>
      </w:r>
    </w:p>
  </w:footnote>
  <w:footnote w:id="34">
    <w:p w14:paraId="502D9E4E" w14:textId="77777777" w:rsidR="00D62253" w:rsidRPr="00162B36" w:rsidRDefault="00D62253" w:rsidP="00162B36">
      <w:pPr>
        <w:pStyle w:val="a9"/>
      </w:pPr>
      <w:r w:rsidRPr="00162B36">
        <w:rPr>
          <w:rStyle w:val="FootnoteReference"/>
          <w:vertAlign w:val="baseline"/>
        </w:rPr>
        <w:footnoteRef/>
      </w:r>
      <w:r w:rsidRPr="00162B36">
        <w:rPr>
          <w:rtl/>
        </w:rPr>
        <w:t xml:space="preserve"> </w:t>
      </w:r>
      <w:r w:rsidRPr="00162B36">
        <w:rPr>
          <w:rtl/>
        </w:rPr>
        <w:tab/>
        <w:t>עיניים, אורתופדיה, נשים, אף אוזן גרון ועו</w:t>
      </w:r>
      <w:r w:rsidRPr="00162B36">
        <w:rPr>
          <w:rFonts w:hint="cs"/>
          <w:rtl/>
        </w:rPr>
        <w:t>ר.</w:t>
      </w:r>
    </w:p>
  </w:footnote>
  <w:footnote w:id="35">
    <w:p w14:paraId="011F0383" w14:textId="77777777" w:rsidR="00D62253" w:rsidRDefault="00D62253" w:rsidP="00162B36">
      <w:pPr>
        <w:pStyle w:val="a9"/>
        <w:rPr>
          <w:rtl/>
        </w:rPr>
      </w:pPr>
      <w:r w:rsidRPr="00162B36">
        <w:footnoteRef/>
      </w:r>
      <w:r w:rsidRPr="00162B36">
        <w:rPr>
          <w:rtl/>
        </w:rPr>
        <w:t xml:space="preserve"> </w:t>
      </w:r>
      <w:r w:rsidRPr="00162B36">
        <w:rPr>
          <w:rtl/>
        </w:rPr>
        <w:tab/>
      </w:r>
      <w:r w:rsidRPr="00162B36">
        <w:rPr>
          <w:rFonts w:hint="cs"/>
          <w:rtl/>
        </w:rPr>
        <w:t>השירותים בבריאות הנפש ניתנים במרפאות למבוגרים או לילדים המספקות מגוון רחב של השירותים בתחום או בשלוחות</w:t>
      </w:r>
      <w:r>
        <w:rPr>
          <w:rFonts w:hint="cs"/>
          <w:rtl/>
        </w:rPr>
        <w:t xml:space="preserve"> המספקות רק חלק מהשירותים בהיקף ובתדירות משתנים.</w:t>
      </w:r>
    </w:p>
  </w:footnote>
  <w:footnote w:id="36">
    <w:p w14:paraId="1DD65EA8" w14:textId="77777777" w:rsidR="00D62253" w:rsidRPr="005A77C4" w:rsidRDefault="00D62253" w:rsidP="002D390C">
      <w:pPr>
        <w:pStyle w:val="a9"/>
      </w:pPr>
      <w:r w:rsidRPr="002D390C">
        <w:footnoteRef/>
      </w:r>
      <w:r w:rsidRPr="002D390C">
        <w:rPr>
          <w:rtl/>
        </w:rPr>
        <w:t xml:space="preserve"> </w:t>
      </w:r>
      <w:r w:rsidRPr="002D390C">
        <w:rPr>
          <w:rtl/>
        </w:rPr>
        <w:tab/>
      </w:r>
      <w:r w:rsidRPr="005A77C4">
        <w:rPr>
          <w:rFonts w:hint="cs"/>
          <w:rtl/>
        </w:rPr>
        <w:t xml:space="preserve">הלשכה המרכזית לסטטיסטיקה, </w:t>
      </w:r>
      <w:r w:rsidRPr="00977887">
        <w:rPr>
          <w:rFonts w:hint="eastAsia"/>
          <w:b/>
          <w:bCs/>
          <w:rtl/>
        </w:rPr>
        <w:t>שנתון</w:t>
      </w:r>
      <w:r w:rsidRPr="00977887">
        <w:rPr>
          <w:b/>
          <w:bCs/>
          <w:rtl/>
        </w:rPr>
        <w:t xml:space="preserve"> </w:t>
      </w:r>
      <w:r w:rsidRPr="00977887">
        <w:rPr>
          <w:rFonts w:hint="eastAsia"/>
          <w:b/>
          <w:bCs/>
          <w:rtl/>
        </w:rPr>
        <w:t>סטטיסטי</w:t>
      </w:r>
      <w:r w:rsidRPr="00977887">
        <w:rPr>
          <w:b/>
          <w:bCs/>
          <w:rtl/>
        </w:rPr>
        <w:t xml:space="preserve"> </w:t>
      </w:r>
      <w:r w:rsidRPr="00977887">
        <w:rPr>
          <w:rFonts w:hint="eastAsia"/>
          <w:b/>
          <w:bCs/>
          <w:rtl/>
        </w:rPr>
        <w:t>לישראל</w:t>
      </w:r>
      <w:r w:rsidRPr="00977887">
        <w:rPr>
          <w:b/>
          <w:bCs/>
          <w:rtl/>
        </w:rPr>
        <w:t xml:space="preserve"> 2013</w:t>
      </w:r>
      <w:r w:rsidRPr="005A77C4">
        <w:rPr>
          <w:rFonts w:hint="cs"/>
          <w:rtl/>
        </w:rPr>
        <w:t>, לוח 2.3.</w:t>
      </w:r>
    </w:p>
  </w:footnote>
  <w:footnote w:id="37">
    <w:p w14:paraId="43FA1100" w14:textId="77777777" w:rsidR="00D62253" w:rsidRPr="002D390C" w:rsidRDefault="00D62253" w:rsidP="002D390C">
      <w:pPr>
        <w:pStyle w:val="a9"/>
        <w:rPr>
          <w:rtl/>
        </w:rPr>
      </w:pPr>
      <w:r w:rsidRPr="002D390C">
        <w:rPr>
          <w:rStyle w:val="FootnoteReference"/>
          <w:vertAlign w:val="baseline"/>
        </w:rPr>
        <w:footnoteRef/>
      </w:r>
      <w:r w:rsidRPr="002D390C">
        <w:rPr>
          <w:rtl/>
        </w:rPr>
        <w:t xml:space="preserve"> </w:t>
      </w:r>
      <w:r w:rsidRPr="002D390C">
        <w:rPr>
          <w:rtl/>
        </w:rPr>
        <w:tab/>
        <w:t>גדעון זעירא</w:t>
      </w:r>
      <w:r w:rsidRPr="002D390C">
        <w:rPr>
          <w:rFonts w:hint="cs"/>
          <w:rtl/>
        </w:rPr>
        <w:t>,</w:t>
      </w:r>
      <w:r w:rsidRPr="002D390C">
        <w:rPr>
          <w:rtl/>
        </w:rPr>
        <w:t xml:space="preserve"> מרכז המחקר והמידע של הכנסת בנושא מרפאות בריאות הנפש במגזר הערבי</w:t>
      </w:r>
      <w:r w:rsidRPr="002D390C">
        <w:rPr>
          <w:rFonts w:hint="cs"/>
          <w:rtl/>
        </w:rPr>
        <w:t xml:space="preserve"> (30.7.14).</w:t>
      </w:r>
    </w:p>
  </w:footnote>
  <w:footnote w:id="38">
    <w:p w14:paraId="6B6AF44B" w14:textId="77777777" w:rsidR="00D62253" w:rsidRDefault="00D62253" w:rsidP="002D390C">
      <w:pPr>
        <w:pStyle w:val="a9"/>
      </w:pPr>
      <w:r w:rsidRPr="002D390C">
        <w:rPr>
          <w:rStyle w:val="FootnoteReference"/>
          <w:vertAlign w:val="baseline"/>
        </w:rPr>
        <w:footnoteRef/>
      </w:r>
      <w:r w:rsidRPr="002D390C">
        <w:rPr>
          <w:rtl/>
        </w:rPr>
        <w:t xml:space="preserve"> </w:t>
      </w:r>
      <w:r w:rsidRPr="002D390C">
        <w:rPr>
          <w:rtl/>
        </w:rPr>
        <w:tab/>
        <w:t>הלשכה</w:t>
      </w:r>
      <w:r w:rsidRPr="005A77C4">
        <w:rPr>
          <w:rtl/>
        </w:rPr>
        <w:t xml:space="preserve"> המרכזית לסטטיסטיקה, </w:t>
      </w:r>
      <w:r w:rsidRPr="00977887">
        <w:rPr>
          <w:b/>
          <w:bCs/>
          <w:rtl/>
        </w:rPr>
        <w:t>שנתון סטטיסטי לישראל 2018</w:t>
      </w:r>
      <w:r w:rsidRPr="005A77C4">
        <w:rPr>
          <w:rtl/>
        </w:rPr>
        <w:t>, לוח 2.3.</w:t>
      </w:r>
    </w:p>
  </w:footnote>
  <w:footnote w:id="39">
    <w:p w14:paraId="012AC7C1" w14:textId="77777777" w:rsidR="00D62253" w:rsidRDefault="00D62253" w:rsidP="00D545F7">
      <w:pPr>
        <w:pStyle w:val="a9"/>
      </w:pPr>
      <w:r w:rsidRPr="00D545F7">
        <w:footnoteRef/>
      </w:r>
      <w:r w:rsidRPr="00D545F7">
        <w:rPr>
          <w:rtl/>
        </w:rPr>
        <w:t xml:space="preserve"> </w:t>
      </w:r>
      <w:r w:rsidRPr="00D545F7">
        <w:rPr>
          <w:rtl/>
        </w:rPr>
        <w:tab/>
      </w:r>
      <w:r w:rsidRPr="00D545F7">
        <w:rPr>
          <w:rFonts w:hint="cs"/>
          <w:rtl/>
        </w:rPr>
        <w:t>דוגמת פרויקט "אל הנפש" שמפעילה עמותת ידידות טורונטו, ובמסגרתו מוענקים טיפולים פסיכותרפיים למגזר החרדי בעבודה משותפת עם מוסדות חינוך וללא מימון קופות החולים; עמותת "בית חם" הפועלת משנת 1997 ומפעילה</w:t>
      </w:r>
      <w:r>
        <w:rPr>
          <w:rFonts w:hint="cs"/>
          <w:rtl/>
        </w:rPr>
        <w:t xml:space="preserve"> שש מרפאות ביישובים אלעד, אשדוד, </w:t>
      </w:r>
      <w:r w:rsidRPr="00B173DF">
        <w:rPr>
          <w:rtl/>
        </w:rPr>
        <w:t>בית</w:t>
      </w:r>
      <w:r>
        <w:rPr>
          <w:rFonts w:hint="cs"/>
          <w:rtl/>
        </w:rPr>
        <w:t xml:space="preserve"> </w:t>
      </w:r>
      <w:r w:rsidRPr="00B173DF">
        <w:rPr>
          <w:rtl/>
        </w:rPr>
        <w:t>שמש</w:t>
      </w:r>
      <w:r>
        <w:rPr>
          <w:rFonts w:hint="cs"/>
          <w:rtl/>
        </w:rPr>
        <w:t>,</w:t>
      </w:r>
      <w:r w:rsidRPr="00B173DF">
        <w:rPr>
          <w:rtl/>
        </w:rPr>
        <w:t xml:space="preserve"> </w:t>
      </w:r>
      <w:r>
        <w:rPr>
          <w:rFonts w:hint="cs"/>
          <w:rtl/>
        </w:rPr>
        <w:t>בני ברק, ירושלים ומ</w:t>
      </w:r>
      <w:r w:rsidRPr="00B173DF">
        <w:rPr>
          <w:rtl/>
        </w:rPr>
        <w:t>ודיעין ע</w:t>
      </w:r>
      <w:r>
        <w:rPr>
          <w:rFonts w:hint="cs"/>
          <w:rtl/>
        </w:rPr>
        <w:t>י</w:t>
      </w:r>
      <w:r w:rsidRPr="00B173DF">
        <w:rPr>
          <w:rtl/>
        </w:rPr>
        <w:t>לית</w:t>
      </w:r>
      <w:r>
        <w:rPr>
          <w:rFonts w:hint="cs"/>
          <w:rtl/>
        </w:rPr>
        <w:t>.</w:t>
      </w:r>
    </w:p>
  </w:footnote>
  <w:footnote w:id="40">
    <w:p w14:paraId="613DD6CE" w14:textId="77777777" w:rsidR="00D62253" w:rsidRPr="00D545F7" w:rsidRDefault="00D62253" w:rsidP="00D545F7">
      <w:pPr>
        <w:pStyle w:val="a9"/>
      </w:pPr>
      <w:r w:rsidRPr="00D545F7">
        <w:rPr>
          <w:rStyle w:val="FootnoteReference"/>
          <w:vertAlign w:val="baseline"/>
        </w:rPr>
        <w:footnoteRef/>
      </w:r>
      <w:r w:rsidRPr="00D545F7">
        <w:rPr>
          <w:rtl/>
        </w:rPr>
        <w:t xml:space="preserve"> </w:t>
      </w:r>
      <w:r w:rsidRPr="00D545F7">
        <w:rPr>
          <w:rtl/>
        </w:rPr>
        <w:tab/>
        <w:t>נלקחו יישובים שבהם מעל 1,000 חברי קופות החולים מהאוכלוסייה הרלוונטית כדי להימנע מהטעיות סטטיסטיות בקבוצות אוכלוסייה קטנות</w:t>
      </w:r>
      <w:r w:rsidRPr="00D545F7">
        <w:rPr>
          <w:rFonts w:hint="cs"/>
          <w:rtl/>
        </w:rPr>
        <w:t xml:space="preserve">. </w:t>
      </w:r>
    </w:p>
  </w:footnote>
  <w:footnote w:id="41">
    <w:p w14:paraId="1C6696AC" w14:textId="46353141" w:rsidR="00D62253" w:rsidRDefault="00D62253" w:rsidP="00D545F7">
      <w:pPr>
        <w:pStyle w:val="a9"/>
        <w:rPr>
          <w:rtl/>
        </w:rPr>
      </w:pPr>
      <w:r w:rsidRPr="00D545F7">
        <w:footnoteRef/>
      </w:r>
      <w:r w:rsidRPr="00D545F7">
        <w:rPr>
          <w:rtl/>
        </w:rPr>
        <w:t xml:space="preserve"> </w:t>
      </w:r>
      <w:r w:rsidRPr="00D545F7">
        <w:rPr>
          <w:rFonts w:hint="cs"/>
          <w:rtl/>
        </w:rPr>
        <w:tab/>
      </w:r>
      <w:r w:rsidRPr="009C6FD2">
        <w:t>A.</w:t>
      </w:r>
      <w:r>
        <w:t xml:space="preserve"> </w:t>
      </w:r>
      <w:r w:rsidRPr="009C6FD2">
        <w:t>M</w:t>
      </w:r>
      <w:r>
        <w:t>.</w:t>
      </w:r>
      <w:r w:rsidRPr="009C6FD2">
        <w:t xml:space="preserve"> </w:t>
      </w:r>
      <w:r w:rsidRPr="009C6FD2">
        <w:t xml:space="preserve">Ponizovsky </w:t>
      </w:r>
      <w:r w:rsidRPr="000D6DD0">
        <w:t>et al.</w:t>
      </w:r>
      <w:r w:rsidRPr="009C6FD2">
        <w:t xml:space="preserve">, </w:t>
      </w:r>
      <w:r>
        <w:rPr>
          <w:iCs/>
        </w:rPr>
        <w:t>“</w:t>
      </w:r>
      <w:r w:rsidRPr="000D6DD0">
        <w:t>Trends in dual diagnosis of severe mental illness and substance use disorders,1996-2010</w:t>
      </w:r>
      <w:r>
        <w:rPr>
          <w:iCs/>
        </w:rPr>
        <w:t>”</w:t>
      </w:r>
      <w:r w:rsidRPr="00FC033C">
        <w:rPr>
          <w:iCs/>
        </w:rPr>
        <w:t>,</w:t>
      </w:r>
      <w:r w:rsidRPr="000D6DD0">
        <w:t xml:space="preserve"> Israel</w:t>
      </w:r>
      <w:r w:rsidRPr="00FC033C">
        <w:rPr>
          <w:iCs/>
        </w:rPr>
        <w:t>,</w:t>
      </w:r>
      <w:r w:rsidRPr="009C6FD2">
        <w:t xml:space="preserve"> </w:t>
      </w:r>
      <w:r w:rsidRPr="00EE257B">
        <w:rPr>
          <w:b/>
          <w:bCs/>
        </w:rPr>
        <w:t>Drug Alcohol Depend</w:t>
      </w:r>
      <w:r w:rsidRPr="009C6FD2">
        <w:t xml:space="preserve"> (2015)</w:t>
      </w:r>
      <w:r w:rsidR="00491C06">
        <w:t>.</w:t>
      </w:r>
      <w:r>
        <w:t xml:space="preserve"> </w:t>
      </w:r>
    </w:p>
  </w:footnote>
  <w:footnote w:id="42">
    <w:p w14:paraId="26AF10C3" w14:textId="77777777" w:rsidR="00D62253" w:rsidRDefault="00D62253" w:rsidP="00D545F7">
      <w:pPr>
        <w:pStyle w:val="a9"/>
        <w:rPr>
          <w:rtl/>
        </w:rPr>
      </w:pPr>
      <w:r w:rsidRPr="00D545F7">
        <w:footnoteRef/>
      </w:r>
      <w:r w:rsidRPr="00D545F7">
        <w:rPr>
          <w:rtl/>
        </w:rPr>
        <w:t xml:space="preserve"> </w:t>
      </w:r>
      <w:r w:rsidRPr="00D545F7">
        <w:rPr>
          <w:rFonts w:hint="cs"/>
          <w:rtl/>
        </w:rPr>
        <w:tab/>
      </w:r>
      <w:r>
        <w:rPr>
          <w:rFonts w:hint="cs"/>
          <w:rtl/>
        </w:rPr>
        <w:t xml:space="preserve">ראו גם מבקר המדינה, </w:t>
      </w:r>
      <w:r w:rsidRPr="0024068E">
        <w:rPr>
          <w:rFonts w:hint="cs"/>
          <w:b/>
          <w:bCs/>
          <w:rtl/>
        </w:rPr>
        <w:t>דוח שנתי 68ג</w:t>
      </w:r>
      <w:r>
        <w:rPr>
          <w:rFonts w:hint="cs"/>
          <w:rtl/>
        </w:rPr>
        <w:t xml:space="preserve"> (2018), בפרק "</w:t>
      </w:r>
      <w:r w:rsidRPr="0024068E">
        <w:rPr>
          <w:rtl/>
        </w:rPr>
        <w:t>מערך האשפוז בבתי החולים הממשלתיים לבריאות הנפש</w:t>
      </w:r>
      <w:r>
        <w:rPr>
          <w:rFonts w:hint="cs"/>
          <w:rtl/>
        </w:rPr>
        <w:t>", עמ' 531;</w:t>
      </w:r>
      <w:r w:rsidRPr="0024068E">
        <w:rPr>
          <w:rFonts w:hint="cs"/>
          <w:rtl/>
        </w:rPr>
        <w:t xml:space="preserve"> </w:t>
      </w:r>
      <w:r w:rsidRPr="00344A3A">
        <w:rPr>
          <w:rFonts w:hint="cs"/>
          <w:b/>
          <w:bCs/>
          <w:rtl/>
        </w:rPr>
        <w:t>דוח שנתי 66ג</w:t>
      </w:r>
      <w:r>
        <w:rPr>
          <w:rFonts w:hint="cs"/>
          <w:rtl/>
        </w:rPr>
        <w:t xml:space="preserve"> (2016), בפרק "שיקום נכי נפש בקהילה", עמ' 575; </w:t>
      </w:r>
      <w:r w:rsidRPr="00344A3A">
        <w:rPr>
          <w:rFonts w:hint="cs"/>
          <w:b/>
          <w:bCs/>
          <w:rtl/>
        </w:rPr>
        <w:t xml:space="preserve">דוח שנתי 60ב </w:t>
      </w:r>
      <w:r w:rsidRPr="002D11E5">
        <w:rPr>
          <w:rFonts w:hint="cs"/>
          <w:rtl/>
        </w:rPr>
        <w:t>(2010),</w:t>
      </w:r>
      <w:r>
        <w:rPr>
          <w:rFonts w:hint="cs"/>
          <w:rtl/>
        </w:rPr>
        <w:t xml:space="preserve"> בפרק "סוגיות בתחום בריאות הנפש", עמ' 545. </w:t>
      </w:r>
    </w:p>
  </w:footnote>
  <w:footnote w:id="43">
    <w:p w14:paraId="2522DF3C" w14:textId="77777777" w:rsidR="00D62253" w:rsidRDefault="00D62253" w:rsidP="00013754">
      <w:pPr>
        <w:pStyle w:val="a9"/>
      </w:pPr>
      <w:r w:rsidRPr="00013754">
        <w:footnoteRef/>
      </w:r>
      <w:r w:rsidRPr="00013754">
        <w:rPr>
          <w:rtl/>
        </w:rPr>
        <w:t xml:space="preserve"> </w:t>
      </w:r>
      <w:r w:rsidRPr="00013754">
        <w:rPr>
          <w:rtl/>
        </w:rPr>
        <w:tab/>
      </w:r>
      <w:r>
        <w:rPr>
          <w:rFonts w:hint="cs"/>
          <w:rtl/>
        </w:rPr>
        <w:t xml:space="preserve">מבקר המדינה, </w:t>
      </w:r>
      <w:r w:rsidRPr="00021603">
        <w:rPr>
          <w:rFonts w:hint="cs"/>
          <w:b/>
          <w:bCs/>
          <w:rtl/>
        </w:rPr>
        <w:t>דוח</w:t>
      </w:r>
      <w:r>
        <w:rPr>
          <w:rFonts w:hint="cs"/>
          <w:rtl/>
        </w:rPr>
        <w:t xml:space="preserve"> </w:t>
      </w:r>
      <w:r w:rsidRPr="00812CD2">
        <w:rPr>
          <w:rFonts w:hint="cs"/>
          <w:b/>
          <w:bCs/>
          <w:rtl/>
        </w:rPr>
        <w:t>שנתי 69ב</w:t>
      </w:r>
      <w:r>
        <w:rPr>
          <w:rFonts w:hint="cs"/>
          <w:rtl/>
        </w:rPr>
        <w:t xml:space="preserve"> (2019), בפרק "</w:t>
      </w:r>
      <w:r w:rsidRPr="00812CD2">
        <w:rPr>
          <w:rtl/>
        </w:rPr>
        <w:t>היבטים בטיפול המדינה בהתמכרויות למיניהן</w:t>
      </w:r>
      <w:r>
        <w:rPr>
          <w:rFonts w:hint="cs"/>
          <w:rtl/>
        </w:rPr>
        <w:t xml:space="preserve">", עמ' 1455. </w:t>
      </w:r>
    </w:p>
  </w:footnote>
  <w:footnote w:id="44">
    <w:p w14:paraId="45DAC4D5" w14:textId="77777777" w:rsidR="00D62253" w:rsidRPr="00013754" w:rsidRDefault="00D62253" w:rsidP="00013754">
      <w:pPr>
        <w:pStyle w:val="a9"/>
      </w:pPr>
      <w:r w:rsidRPr="00013754">
        <w:rPr>
          <w:rStyle w:val="FootnoteReference"/>
          <w:vertAlign w:val="baseline"/>
        </w:rPr>
        <w:footnoteRef/>
      </w:r>
      <w:r w:rsidRPr="00013754">
        <w:rPr>
          <w:rtl/>
        </w:rPr>
        <w:t xml:space="preserve"> </w:t>
      </w:r>
      <w:r w:rsidRPr="00013754">
        <w:rPr>
          <w:rtl/>
        </w:rPr>
        <w:tab/>
      </w:r>
      <w:r w:rsidRPr="00013754">
        <w:rPr>
          <w:rFonts w:hint="cs"/>
          <w:rtl/>
        </w:rPr>
        <w:t>לעומת זאת, הפנייה לחדרי מיון בבתי חולים כלליים, שבהם יש מחלקות פסיכיאטריות, כרוכה בתשלום.</w:t>
      </w:r>
    </w:p>
  </w:footnote>
  <w:footnote w:id="45">
    <w:p w14:paraId="74BDF685" w14:textId="20DB4410"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 xml:space="preserve">למשל: </w:t>
      </w:r>
      <w:r>
        <w:rPr>
          <w:rFonts w:hint="cs"/>
          <w:rtl/>
        </w:rPr>
        <w:t xml:space="preserve">המרכז לבריאות הנפש על שם </w:t>
      </w:r>
      <w:r w:rsidR="00E110B3">
        <w:rPr>
          <w:rFonts w:hint="cs"/>
          <w:rtl/>
        </w:rPr>
        <w:t xml:space="preserve">י. </w:t>
      </w:r>
      <w:r w:rsidRPr="00B55D7C">
        <w:rPr>
          <w:rFonts w:hint="cs"/>
          <w:rtl/>
        </w:rPr>
        <w:t>אברבנאל</w:t>
      </w:r>
      <w:r>
        <w:rPr>
          <w:rFonts w:hint="cs"/>
          <w:rtl/>
        </w:rPr>
        <w:t xml:space="preserve"> (להלן-אברבנאל)</w:t>
      </w:r>
      <w:r w:rsidRPr="00B55D7C">
        <w:rPr>
          <w:rFonts w:hint="cs"/>
          <w:rtl/>
        </w:rPr>
        <w:t xml:space="preserve">, המרכז הירושלמי לבריאות הנפש, המרכז לבריאות הנפש באר שבע, מרכז קהילתי לבריאות הנפש יפו. </w:t>
      </w:r>
    </w:p>
  </w:footnote>
  <w:footnote w:id="46">
    <w:p w14:paraId="36A72FAC"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לפי נתונים שפרסם משרד הבריאות בשנתון הסטטיסטי 2012 לבריאות הנפש, בשנת 2011 בוצעו במרפאות הממשלתיות 532,809 מגעים, 0.6% מסך המגעים שניתנו היו ביקורי בית שהם כ-3,200 מגעים.</w:t>
      </w:r>
    </w:p>
  </w:footnote>
  <w:footnote w:id="47">
    <w:p w14:paraId="46DCADEE"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t xml:space="preserve">על פי נתונים שפרסם משרד הבריאות בשנתון הסטטיסטי </w:t>
      </w:r>
      <w:r w:rsidRPr="00B55D7C">
        <w:rPr>
          <w:rFonts w:hint="cs"/>
          <w:rtl/>
        </w:rPr>
        <w:t>2015</w:t>
      </w:r>
      <w:r w:rsidRPr="00B55D7C">
        <w:rPr>
          <w:rtl/>
        </w:rPr>
        <w:t xml:space="preserve"> לבריאות הנפש</w:t>
      </w:r>
      <w:r w:rsidRPr="00B55D7C">
        <w:rPr>
          <w:rFonts w:hint="cs"/>
          <w:rtl/>
        </w:rPr>
        <w:t>,</w:t>
      </w:r>
      <w:r w:rsidRPr="00B55D7C">
        <w:rPr>
          <w:rtl/>
        </w:rPr>
        <w:t xml:space="preserve"> בשנ</w:t>
      </w:r>
      <w:r w:rsidRPr="00B55D7C">
        <w:rPr>
          <w:rFonts w:hint="cs"/>
          <w:rtl/>
        </w:rPr>
        <w:t xml:space="preserve">ה זו </w:t>
      </w:r>
      <w:r w:rsidRPr="00B55D7C">
        <w:rPr>
          <w:rtl/>
        </w:rPr>
        <w:t xml:space="preserve">בוצעו </w:t>
      </w:r>
      <w:r w:rsidRPr="00B55D7C">
        <w:rPr>
          <w:rFonts w:hint="cs"/>
          <w:rtl/>
        </w:rPr>
        <w:t>בבתי חולים פסיכיאטריים וכלליים בבעלות ממשלתית, בשירותי בריאות כללית ובהדסה 1,043,969</w:t>
      </w:r>
      <w:r w:rsidRPr="00B55D7C">
        <w:rPr>
          <w:rtl/>
        </w:rPr>
        <w:t xml:space="preserve"> מגעים, 0.</w:t>
      </w:r>
      <w:r w:rsidRPr="00B55D7C">
        <w:rPr>
          <w:rFonts w:hint="cs"/>
          <w:rtl/>
        </w:rPr>
        <w:t>3</w:t>
      </w:r>
      <w:r w:rsidRPr="00B55D7C">
        <w:rPr>
          <w:rtl/>
        </w:rPr>
        <w:t xml:space="preserve">% מסך המגעים </w:t>
      </w:r>
      <w:r w:rsidRPr="00B55D7C">
        <w:rPr>
          <w:rFonts w:hint="cs"/>
          <w:rtl/>
        </w:rPr>
        <w:t>ש</w:t>
      </w:r>
      <w:r w:rsidRPr="00B55D7C">
        <w:rPr>
          <w:rtl/>
        </w:rPr>
        <w:t xml:space="preserve">ניתנו היו ביקורי בית </w:t>
      </w:r>
      <w:r w:rsidRPr="00B55D7C">
        <w:rPr>
          <w:rFonts w:hint="cs"/>
          <w:rtl/>
        </w:rPr>
        <w:t>שהם</w:t>
      </w:r>
      <w:r w:rsidRPr="00B55D7C">
        <w:rPr>
          <w:rtl/>
        </w:rPr>
        <w:t xml:space="preserve"> כ-3,</w:t>
      </w:r>
      <w:r w:rsidRPr="00B55D7C">
        <w:rPr>
          <w:rFonts w:hint="cs"/>
          <w:rtl/>
        </w:rPr>
        <w:t>1</w:t>
      </w:r>
      <w:r w:rsidRPr="00B55D7C">
        <w:rPr>
          <w:rtl/>
        </w:rPr>
        <w:t>00 מגעים.</w:t>
      </w:r>
    </w:p>
  </w:footnote>
  <w:footnote w:id="48">
    <w:p w14:paraId="1B095223"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בהתאם לנתונים שהתקבלו מ</w:t>
      </w:r>
      <w:r w:rsidRPr="00B55D7C">
        <w:rPr>
          <w:rtl/>
        </w:rPr>
        <w:t>חטיבת המרכזים הרפואיים הממשלתיים</w:t>
      </w:r>
      <w:r w:rsidRPr="00B55D7C">
        <w:rPr>
          <w:rFonts w:hint="cs"/>
          <w:rtl/>
        </w:rPr>
        <w:t>, בשנת 2017 ביצעו כ-1,000 טיפולי בית באברבנאל; 180 במרכז לבריאות הנפש באר שבע; 167 במרכז הירושלמי לבריאות הנפש; 7 במרכז הרפואי לבריאות הנפש מעלה הכרמל; 110 במרכז קהילתי לבריאות הנפש יפו. שאר המרכזים לבריאות הנפש כגון: לב השרון, שער מנשה ובאר יעקב הפסיקו לבצע ביקורי בית.</w:t>
      </w:r>
    </w:p>
  </w:footnote>
  <w:footnote w:id="49">
    <w:p w14:paraId="4FA0D7EA" w14:textId="77777777" w:rsidR="00D62253" w:rsidRDefault="00D62253" w:rsidP="00B55D7C">
      <w:pPr>
        <w:pStyle w:val="a9"/>
        <w:rPr>
          <w:rtl/>
        </w:rPr>
      </w:pPr>
      <w:r w:rsidRPr="00B55D7C">
        <w:rPr>
          <w:rStyle w:val="FootnoteReference"/>
          <w:vertAlign w:val="baseline"/>
        </w:rPr>
        <w:footnoteRef/>
      </w:r>
      <w:r w:rsidRPr="00B55D7C">
        <w:rPr>
          <w:rtl/>
        </w:rPr>
        <w:t xml:space="preserve"> </w:t>
      </w:r>
      <w:r w:rsidRPr="00B55D7C">
        <w:rPr>
          <w:rtl/>
        </w:rPr>
        <w:tab/>
        <w:t xml:space="preserve">כמות </w:t>
      </w:r>
      <w:r w:rsidRPr="00B55D7C">
        <w:rPr>
          <w:rFonts w:hint="cs"/>
          <w:rtl/>
        </w:rPr>
        <w:t>ב</w:t>
      </w:r>
      <w:r w:rsidRPr="00B55D7C">
        <w:rPr>
          <w:rtl/>
        </w:rPr>
        <w:t>יקורי</w:t>
      </w:r>
      <w:r w:rsidRPr="00B55D7C">
        <w:rPr>
          <w:rFonts w:hint="cs"/>
          <w:rtl/>
        </w:rPr>
        <w:t xml:space="preserve"> הבית שביצעו המרפאות הממשלתיות</w:t>
      </w:r>
      <w:r w:rsidRPr="00B55D7C">
        <w:rPr>
          <w:rtl/>
        </w:rPr>
        <w:t xml:space="preserve"> בשנים 201</w:t>
      </w:r>
      <w:r w:rsidRPr="00B55D7C">
        <w:rPr>
          <w:rFonts w:hint="cs"/>
          <w:rtl/>
        </w:rPr>
        <w:t>7</w:t>
      </w:r>
      <w:r w:rsidRPr="00B55D7C">
        <w:rPr>
          <w:rtl/>
        </w:rPr>
        <w:t>-201</w:t>
      </w:r>
      <w:r w:rsidRPr="00B55D7C">
        <w:rPr>
          <w:rFonts w:hint="cs"/>
          <w:rtl/>
        </w:rPr>
        <w:t>6</w:t>
      </w:r>
      <w:r w:rsidRPr="00B55D7C">
        <w:rPr>
          <w:rtl/>
        </w:rPr>
        <w:t xml:space="preserve"> </w:t>
      </w:r>
      <w:r w:rsidRPr="00B55D7C">
        <w:rPr>
          <w:rFonts w:hint="cs"/>
          <w:rtl/>
        </w:rPr>
        <w:t>מבטאת</w:t>
      </w:r>
      <w:r w:rsidRPr="00B55D7C">
        <w:rPr>
          <w:rtl/>
        </w:rPr>
        <w:t xml:space="preserve"> הערכה על סמך נתונים שמסרה </w:t>
      </w:r>
      <w:r w:rsidRPr="003D0BF5">
        <w:rPr>
          <w:rtl/>
        </w:rPr>
        <w:t>חטיבת המרכזים הרפואיים הממשלתיים.</w:t>
      </w:r>
    </w:p>
  </w:footnote>
  <w:footnote w:id="50">
    <w:p w14:paraId="6888059F"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t xml:space="preserve">מחוז מרכז של מכבי </w:t>
      </w:r>
      <w:r w:rsidRPr="00B55D7C">
        <w:rPr>
          <w:rFonts w:hint="cs"/>
          <w:rtl/>
        </w:rPr>
        <w:t xml:space="preserve">מסר </w:t>
      </w:r>
      <w:r w:rsidRPr="00B55D7C">
        <w:rPr>
          <w:rtl/>
        </w:rPr>
        <w:t>למשרד הבריאות, בנובמבר 2017 ובינואר 2019 כי למרות הצורך הקיים, אין להם מערך המאפשר לקיים ביקורי בית לחולים פסיכיאטריים</w:t>
      </w:r>
      <w:r w:rsidRPr="00B55D7C">
        <w:rPr>
          <w:rFonts w:hint="cs"/>
          <w:rtl/>
        </w:rPr>
        <w:t>.</w:t>
      </w:r>
    </w:p>
  </w:footnote>
  <w:footnote w:id="51">
    <w:p w14:paraId="454C87E4"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בהסכם הרפורמה נקבע כי</w:t>
      </w:r>
      <w:r w:rsidRPr="00B55D7C">
        <w:rPr>
          <w:rtl/>
        </w:rPr>
        <w:t xml:space="preserve"> </w:t>
      </w:r>
      <w:r w:rsidRPr="00B55D7C">
        <w:rPr>
          <w:rFonts w:hint="cs"/>
          <w:rtl/>
        </w:rPr>
        <w:t xml:space="preserve">פעילות </w:t>
      </w:r>
      <w:r w:rsidRPr="00B55D7C">
        <w:rPr>
          <w:rtl/>
        </w:rPr>
        <w:t>קופות</w:t>
      </w:r>
      <w:r w:rsidRPr="00B55D7C">
        <w:rPr>
          <w:rFonts w:hint="cs"/>
          <w:rtl/>
        </w:rPr>
        <w:t xml:space="preserve"> החולים מול בתי החולים תעשה בשיטת המנויים לפיה הן ירכשו</w:t>
      </w:r>
      <w:r w:rsidRPr="00B55D7C">
        <w:rPr>
          <w:rtl/>
        </w:rPr>
        <w:t xml:space="preserve"> מנוי אבחוני</w:t>
      </w:r>
      <w:r w:rsidRPr="00B55D7C">
        <w:rPr>
          <w:rFonts w:hint="cs"/>
          <w:rtl/>
        </w:rPr>
        <w:t xml:space="preserve"> (2 פגישות)</w:t>
      </w:r>
      <w:r w:rsidRPr="00B55D7C">
        <w:rPr>
          <w:rtl/>
        </w:rPr>
        <w:t>, קצר</w:t>
      </w:r>
      <w:r w:rsidRPr="00B55D7C">
        <w:rPr>
          <w:rFonts w:hint="cs"/>
          <w:rtl/>
        </w:rPr>
        <w:t xml:space="preserve"> (6 </w:t>
      </w:r>
      <w:r w:rsidRPr="00B55D7C">
        <w:rPr>
          <w:rtl/>
        </w:rPr>
        <w:t>מפגשים למבוגר ו-8 לילד</w:t>
      </w:r>
      <w:r w:rsidRPr="00B55D7C">
        <w:rPr>
          <w:rFonts w:hint="cs"/>
          <w:rtl/>
        </w:rPr>
        <w:t>)</w:t>
      </w:r>
      <w:r w:rsidRPr="00B55D7C">
        <w:rPr>
          <w:rtl/>
        </w:rPr>
        <w:t xml:space="preserve"> או ארוך</w:t>
      </w:r>
      <w:r w:rsidRPr="00B55D7C">
        <w:rPr>
          <w:rFonts w:hint="cs"/>
          <w:rtl/>
        </w:rPr>
        <w:t xml:space="preserve"> (עד 30 מפגשים) במחיר הקבוע בהסכם. התשלום עבור ביקור בית המבוצע על ידי צוות של אחות ופסיכיאטר וכולל נסיעה לבית המטופל, מתומחר כביקור אחד בלבד במנוי</w:t>
      </w:r>
      <w:r w:rsidRPr="00B55D7C">
        <w:rPr>
          <w:rtl/>
        </w:rPr>
        <w:t>.</w:t>
      </w:r>
    </w:p>
  </w:footnote>
  <w:footnote w:id="52">
    <w:p w14:paraId="24061B95" w14:textId="77777777" w:rsidR="00D62253" w:rsidRDefault="00D62253" w:rsidP="00B55D7C">
      <w:pPr>
        <w:pStyle w:val="a9"/>
      </w:pPr>
      <w:r w:rsidRPr="00B55D7C">
        <w:rPr>
          <w:rStyle w:val="FootnoteReference"/>
          <w:vertAlign w:val="baseline"/>
        </w:rPr>
        <w:footnoteRef/>
      </w:r>
      <w:r w:rsidRPr="00B55D7C">
        <w:rPr>
          <w:rtl/>
        </w:rPr>
        <w:t xml:space="preserve"> </w:t>
      </w:r>
      <w:r w:rsidRPr="00B55D7C">
        <w:rPr>
          <w:rtl/>
        </w:rPr>
        <w:tab/>
        <w:t>מועצת הבריאות הוקמה מכוח חוק ביטוח בריאות</w:t>
      </w:r>
      <w:r w:rsidRPr="00B55D7C">
        <w:rPr>
          <w:rFonts w:hint="cs"/>
          <w:rtl/>
        </w:rPr>
        <w:t>,</w:t>
      </w:r>
      <w:r w:rsidRPr="00B55D7C">
        <w:rPr>
          <w:rtl/>
        </w:rPr>
        <w:t xml:space="preserve"> </w:t>
      </w:r>
      <w:r w:rsidRPr="00B55D7C">
        <w:rPr>
          <w:rFonts w:hint="cs"/>
          <w:rtl/>
        </w:rPr>
        <w:t>ותפקידה לייעץ לשר הבריאות בנושאים שונים הקבועים</w:t>
      </w:r>
      <w:r>
        <w:rPr>
          <w:rFonts w:hint="cs"/>
          <w:rtl/>
        </w:rPr>
        <w:t xml:space="preserve"> בחוק.</w:t>
      </w:r>
    </w:p>
  </w:footnote>
  <w:footnote w:id="53">
    <w:p w14:paraId="195CF03C" w14:textId="02E5E174"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 xml:space="preserve">על היבטים נוספים בנוגע לאובדנות ראו בדוח זה בפרק "היבטים ביישום התכנית הלאומית למניעת התאבדויות - פעולות משרדי הממשלה", עמ' </w:t>
      </w:r>
      <w:r w:rsidR="00234633">
        <w:rPr>
          <w:rFonts w:hint="cs"/>
          <w:rtl/>
        </w:rPr>
        <w:t>307</w:t>
      </w:r>
      <w:r w:rsidRPr="00B55D7C">
        <w:rPr>
          <w:rFonts w:hint="cs"/>
          <w:rtl/>
        </w:rPr>
        <w:t>.</w:t>
      </w:r>
    </w:p>
  </w:footnote>
  <w:footnote w:id="54">
    <w:p w14:paraId="1D78DDC1"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על פי סעיף 6(א) לחוק הטיפול בחולי נפש, התשנ"א-1991.</w:t>
      </w:r>
    </w:p>
  </w:footnote>
  <w:footnote w:id="55">
    <w:p w14:paraId="40DFF22E" w14:textId="77777777" w:rsidR="00D62253" w:rsidRPr="00B55D7C" w:rsidRDefault="00D62253" w:rsidP="00B55D7C">
      <w:pPr>
        <w:pStyle w:val="a9"/>
      </w:pPr>
      <w:r w:rsidRPr="00B55D7C">
        <w:rPr>
          <w:rStyle w:val="FootnoteReference"/>
          <w:vertAlign w:val="baseline"/>
        </w:rPr>
        <w:footnoteRef/>
      </w:r>
      <w:r w:rsidRPr="00B55D7C">
        <w:rPr>
          <w:rtl/>
        </w:rPr>
        <w:t xml:space="preserve"> </w:t>
      </w:r>
      <w:r w:rsidRPr="00B55D7C">
        <w:rPr>
          <w:rtl/>
        </w:rPr>
        <w:tab/>
      </w:r>
      <w:r w:rsidRPr="00B55D7C">
        <w:rPr>
          <w:rFonts w:hint="cs"/>
          <w:rtl/>
        </w:rPr>
        <w:t>דוח המועצה הלאומית לבריאות הנפש, 2017-2016.</w:t>
      </w:r>
    </w:p>
  </w:footnote>
  <w:footnote w:id="56">
    <w:p w14:paraId="6A5AA9F9" w14:textId="77777777" w:rsidR="00D62253" w:rsidRPr="00B55D7C" w:rsidRDefault="00D62253" w:rsidP="00B55D7C">
      <w:pPr>
        <w:pStyle w:val="a9"/>
        <w:rPr>
          <w:rtl/>
        </w:rPr>
      </w:pPr>
      <w:r w:rsidRPr="00B55D7C">
        <w:rPr>
          <w:rStyle w:val="FootnoteReference"/>
          <w:vertAlign w:val="baseline"/>
        </w:rPr>
        <w:footnoteRef/>
      </w:r>
      <w:r w:rsidRPr="00B55D7C">
        <w:rPr>
          <w:rtl/>
        </w:rPr>
        <w:t xml:space="preserve"> </w:t>
      </w:r>
      <w:r w:rsidRPr="00B55D7C">
        <w:rPr>
          <w:rtl/>
        </w:rPr>
        <w:tab/>
      </w:r>
      <w:r w:rsidRPr="00B55D7C">
        <w:rPr>
          <w:rFonts w:hint="cs"/>
          <w:rtl/>
        </w:rPr>
        <w:t xml:space="preserve">מאגדת את האיגודים: עוצמה-פורום ארצי של משפחות נפגעי נפש (ע"ר); אנוש העמותה הישראלית לבריאות הנפש (ע"ר); לשמ"ה לשילוב מתמודדים והעצמה בבריאות הנפש (ע"ר); </w:t>
      </w:r>
      <w:r w:rsidRPr="00B55D7C">
        <w:rPr>
          <w:rFonts w:hint="eastAsia"/>
          <w:rtl/>
        </w:rPr>
        <w:t>האגודה</w:t>
      </w:r>
      <w:r w:rsidRPr="00B55D7C">
        <w:rPr>
          <w:rtl/>
        </w:rPr>
        <w:t xml:space="preserve"> </w:t>
      </w:r>
      <w:r w:rsidRPr="00B55D7C">
        <w:rPr>
          <w:rFonts w:hint="eastAsia"/>
          <w:rtl/>
        </w:rPr>
        <w:t>לזכויות</w:t>
      </w:r>
      <w:r w:rsidRPr="00B55D7C">
        <w:rPr>
          <w:rtl/>
        </w:rPr>
        <w:t xml:space="preserve"> </w:t>
      </w:r>
      <w:r w:rsidRPr="00B55D7C">
        <w:rPr>
          <w:rFonts w:hint="eastAsia"/>
          <w:rtl/>
        </w:rPr>
        <w:t>החולה</w:t>
      </w:r>
      <w:r w:rsidRPr="00B55D7C">
        <w:rPr>
          <w:rtl/>
        </w:rPr>
        <w:t xml:space="preserve"> </w:t>
      </w:r>
      <w:r w:rsidRPr="00B55D7C">
        <w:rPr>
          <w:rFonts w:hint="eastAsia"/>
          <w:rtl/>
        </w:rPr>
        <w:t>בישראל</w:t>
      </w:r>
      <w:r w:rsidRPr="00B55D7C">
        <w:rPr>
          <w:rFonts w:hint="cs"/>
          <w:rtl/>
        </w:rPr>
        <w:t xml:space="preserve"> (ע"ר);</w:t>
      </w:r>
      <w:r w:rsidRPr="00B55D7C">
        <w:rPr>
          <w:rtl/>
        </w:rPr>
        <w:t xml:space="preserve"> איכות בשיקום לבריאות הנפש בקהילה</w:t>
      </w:r>
      <w:r w:rsidRPr="00B55D7C">
        <w:rPr>
          <w:rFonts w:hint="cs"/>
          <w:rtl/>
        </w:rPr>
        <w:t xml:space="preserve"> (ע"ר);</w:t>
      </w:r>
      <w:r w:rsidRPr="00B55D7C">
        <w:rPr>
          <w:rtl/>
        </w:rPr>
        <w:t xml:space="preserve"> ויספר"א ישראל</w:t>
      </w:r>
      <w:r w:rsidRPr="00B55D7C">
        <w:rPr>
          <w:rFonts w:hint="cs"/>
          <w:rtl/>
        </w:rPr>
        <w:t xml:space="preserve"> (ע"ר)</w:t>
      </w:r>
      <w:r w:rsidRPr="00B55D7C">
        <w:rPr>
          <w:rtl/>
        </w:rPr>
        <w:t>.</w:t>
      </w:r>
    </w:p>
  </w:footnote>
  <w:footnote w:id="57">
    <w:p w14:paraId="33379870" w14:textId="77777777" w:rsidR="00D62253" w:rsidRPr="0081707B" w:rsidRDefault="00D62253" w:rsidP="0081707B">
      <w:pPr>
        <w:pStyle w:val="a9"/>
      </w:pPr>
      <w:r w:rsidRPr="0081707B">
        <w:rPr>
          <w:rStyle w:val="FootnoteReference"/>
          <w:vertAlign w:val="baseline"/>
        </w:rPr>
        <w:footnoteRef/>
      </w:r>
      <w:r w:rsidRPr="0081707B">
        <w:rPr>
          <w:rtl/>
        </w:rPr>
        <w:t xml:space="preserve"> </w:t>
      </w:r>
      <w:r w:rsidRPr="0081707B">
        <w:rPr>
          <w:rtl/>
        </w:rPr>
        <w:tab/>
        <w:t>לטענתם הפעלת הש</w:t>
      </w:r>
      <w:r w:rsidRPr="0081707B">
        <w:rPr>
          <w:rFonts w:hint="cs"/>
          <w:rtl/>
        </w:rPr>
        <w:t>י</w:t>
      </w:r>
      <w:r w:rsidRPr="0081707B">
        <w:rPr>
          <w:rtl/>
        </w:rPr>
        <w:t xml:space="preserve">רות </w:t>
      </w:r>
      <w:r w:rsidRPr="0081707B">
        <w:rPr>
          <w:rFonts w:hint="cs"/>
          <w:rtl/>
        </w:rPr>
        <w:t>הייתה</w:t>
      </w:r>
      <w:r w:rsidRPr="0081707B">
        <w:rPr>
          <w:rtl/>
        </w:rPr>
        <w:t xml:space="preserve"> מונעת את מותו הטרגי של אדם בינואר 2019.</w:t>
      </w:r>
    </w:p>
  </w:footnote>
  <w:footnote w:id="58">
    <w:p w14:paraId="76DFD880" w14:textId="77777777" w:rsidR="00D62253" w:rsidRPr="00231BCE" w:rsidRDefault="00D62253" w:rsidP="0081707B">
      <w:pPr>
        <w:pStyle w:val="a9"/>
        <w:rPr>
          <w:rtl/>
        </w:rPr>
      </w:pPr>
      <w:r w:rsidRPr="0081707B">
        <w:rPr>
          <w:rStyle w:val="FootnoteReference"/>
          <w:vertAlign w:val="baseline"/>
        </w:rPr>
        <w:footnoteRef/>
      </w:r>
      <w:r w:rsidRPr="0081707B">
        <w:rPr>
          <w:rtl/>
        </w:rPr>
        <w:t xml:space="preserve"> </w:t>
      </w:r>
      <w:r w:rsidRPr="0081707B">
        <w:rPr>
          <w:rtl/>
        </w:rPr>
        <w:tab/>
      </w:r>
      <w:r w:rsidRPr="0081707B">
        <w:rPr>
          <w:rFonts w:hint="cs"/>
          <w:rtl/>
        </w:rPr>
        <w:t>במסגרת</w:t>
      </w:r>
      <w:r>
        <w:rPr>
          <w:rFonts w:hint="cs"/>
          <w:rtl/>
        </w:rPr>
        <w:t xml:space="preserve"> </w:t>
      </w:r>
      <w:r w:rsidRPr="00231BCE">
        <w:rPr>
          <w:rtl/>
        </w:rPr>
        <w:t>תוכנית אסטרטגית למרכזים הרפואיים הממשלתיים בבריאות הנפש</w:t>
      </w:r>
      <w:r>
        <w:rPr>
          <w:rFonts w:hint="cs"/>
          <w:rtl/>
        </w:rPr>
        <w:t xml:space="preserve"> (אוקטובר 2018).</w:t>
      </w:r>
    </w:p>
  </w:footnote>
  <w:footnote w:id="59">
    <w:p w14:paraId="0481A236" w14:textId="77777777" w:rsidR="00D62253" w:rsidRPr="00F204BE" w:rsidRDefault="00D62253" w:rsidP="00F204BE">
      <w:pPr>
        <w:pStyle w:val="a9"/>
      </w:pPr>
      <w:r w:rsidRPr="00F204BE">
        <w:rPr>
          <w:rStyle w:val="FootnoteReference"/>
          <w:vertAlign w:val="baseline"/>
        </w:rPr>
        <w:footnoteRef/>
      </w:r>
      <w:r w:rsidRPr="00F204BE">
        <w:rPr>
          <w:rtl/>
        </w:rPr>
        <w:t xml:space="preserve"> </w:t>
      </w:r>
      <w:r w:rsidRPr="00F204BE">
        <w:rPr>
          <w:rtl/>
        </w:rPr>
        <w:tab/>
      </w:r>
      <w:r w:rsidRPr="00F204BE">
        <w:rPr>
          <w:rFonts w:hint="cs"/>
          <w:rtl/>
        </w:rPr>
        <w:t>שמעון כץ, אברהם פרידלנדר ופסח ליכטנברג, "בית סוטריה - שירות חדש למניעת אשפוז פסיכיאטרי", הרפואה-יולי 2019.</w:t>
      </w:r>
    </w:p>
  </w:footnote>
  <w:footnote w:id="60">
    <w:p w14:paraId="7C38A0E5" w14:textId="77777777" w:rsidR="00D62253" w:rsidRDefault="00D62253" w:rsidP="00F204BE">
      <w:pPr>
        <w:pStyle w:val="a9"/>
        <w:rPr>
          <w:rtl/>
        </w:rPr>
      </w:pPr>
      <w:r w:rsidRPr="00F204BE">
        <w:rPr>
          <w:rStyle w:val="FootnoteReference"/>
          <w:vertAlign w:val="baseline"/>
        </w:rPr>
        <w:footnoteRef/>
      </w:r>
      <w:r w:rsidRPr="00F204BE">
        <w:rPr>
          <w:rtl/>
        </w:rPr>
        <w:t xml:space="preserve"> </w:t>
      </w:r>
      <w:r w:rsidRPr="00F204BE">
        <w:rPr>
          <w:rtl/>
        </w:rPr>
        <w:tab/>
      </w:r>
      <w:r w:rsidRPr="00F204BE">
        <w:rPr>
          <w:rFonts w:hint="cs"/>
          <w:rtl/>
        </w:rPr>
        <w:t>נוהל מס' 77.001, "אמות מידה להפעלת שירות 'בית מאזן'", 1.9.17. הנוהל עודכן במסגרת מהדורה מס' 2, אשר בתוקף מ-2.10.19.</w:t>
      </w:r>
      <w:r>
        <w:rPr>
          <w:rFonts w:hint="cs"/>
          <w:rtl/>
        </w:rPr>
        <w:t xml:space="preserve"> </w:t>
      </w:r>
    </w:p>
  </w:footnote>
  <w:footnote w:id="61">
    <w:p w14:paraId="238162A3" w14:textId="2BB33C25" w:rsidR="00D62253" w:rsidRPr="002128F3" w:rsidRDefault="00D62253" w:rsidP="008671F6">
      <w:pPr>
        <w:pStyle w:val="a9"/>
        <w:rPr>
          <w:rtl/>
        </w:rPr>
      </w:pPr>
      <w:r w:rsidRPr="0081707B">
        <w:footnoteRef/>
      </w:r>
      <w:r w:rsidRPr="0081707B">
        <w:rPr>
          <w:rtl/>
        </w:rPr>
        <w:t xml:space="preserve"> </w:t>
      </w:r>
      <w:r w:rsidRPr="0081707B">
        <w:rPr>
          <w:rtl/>
        </w:rPr>
        <w:tab/>
      </w:r>
      <w:r w:rsidRPr="0081707B">
        <w:t xml:space="preserve">T. </w:t>
      </w:r>
      <w:r w:rsidRPr="0081707B">
        <w:t xml:space="preserve">Calton, M. Ferriter, N. Huband, and H. Spandler, “A systematic review of the </w:t>
      </w:r>
      <w:r w:rsidRPr="00491167">
        <w:t>Soteria</w:t>
      </w:r>
      <w:r w:rsidRPr="0081707B">
        <w:t xml:space="preserve"> paradigm for the</w:t>
      </w:r>
      <w:r w:rsidR="008671F6">
        <w:t xml:space="preserve"> </w:t>
      </w:r>
      <w:r w:rsidRPr="008A7779">
        <w:t>treatment of people diagnosed with schizophrenia</w:t>
      </w:r>
      <w:r>
        <w:t>”,</w:t>
      </w:r>
      <w:r w:rsidRPr="008A7779">
        <w:t xml:space="preserve"> </w:t>
      </w:r>
      <w:r w:rsidRPr="00EE257B">
        <w:rPr>
          <w:b/>
          <w:bCs/>
        </w:rPr>
        <w:t>Schizophr Bull</w:t>
      </w:r>
      <w:r w:rsidRPr="008A7779">
        <w:t xml:space="preserve"> </w:t>
      </w:r>
      <w:r>
        <w:t>(</w:t>
      </w:r>
      <w:r w:rsidRPr="008A7779">
        <w:t>2008</w:t>
      </w:r>
      <w:r>
        <w:t xml:space="preserve">) </w:t>
      </w:r>
      <w:r w:rsidRPr="008A7779">
        <w:t>34(1):181-</w:t>
      </w:r>
      <w:r>
        <w:t>92</w:t>
      </w:r>
      <w:r w:rsidR="00255E1E">
        <w:t>.</w:t>
      </w:r>
    </w:p>
  </w:footnote>
  <w:footnote w:id="62">
    <w:p w14:paraId="35B1BAFE" w14:textId="16172F09" w:rsidR="00D62253" w:rsidRPr="0081707B" w:rsidRDefault="00D62253" w:rsidP="002B1B6E">
      <w:pPr>
        <w:pStyle w:val="a9"/>
        <w:rPr>
          <w:rtl/>
        </w:rPr>
      </w:pPr>
      <w:r w:rsidRPr="0081707B">
        <w:rPr>
          <w:rStyle w:val="FootnoteReference"/>
          <w:vertAlign w:val="baseline"/>
        </w:rPr>
        <w:footnoteRef/>
      </w:r>
      <w:r w:rsidRPr="0081707B">
        <w:rPr>
          <w:rtl/>
        </w:rPr>
        <w:t xml:space="preserve"> </w:t>
      </w:r>
      <w:r w:rsidRPr="0081707B">
        <w:rPr>
          <w:rtl/>
        </w:rPr>
        <w:tab/>
      </w:r>
      <w:r w:rsidRPr="0081707B">
        <w:t xml:space="preserve">“UN General Assembly, Report of the Special Rapporteur on the right of everyone to the enjoyment of the highest attainable standard of physical and mental health”, 28.3.2017, A/HRC/35/21, available at: </w:t>
      </w:r>
      <w:r w:rsidRPr="009F5C24">
        <w:rPr>
          <w:rStyle w:val="Hyperlink"/>
        </w:rPr>
        <w:t>http://socialprotection-humanrights.org/resource/report-special-rapporteur-right-everyone-enjoyment-highest-attainable-standard-physical-mental-health-dainius-puras-ahrc3521/</w:t>
      </w:r>
      <w:r w:rsidRPr="0081707B">
        <w:t xml:space="preserve"> [accessed 10 June 2018]</w:t>
      </w:r>
      <w:r w:rsidR="00255E1E">
        <w:t>.</w:t>
      </w:r>
    </w:p>
  </w:footnote>
  <w:footnote w:id="63">
    <w:p w14:paraId="7E5F6974" w14:textId="77777777" w:rsidR="00D62253" w:rsidRPr="00F204BE" w:rsidRDefault="00D62253" w:rsidP="00F204BE">
      <w:pPr>
        <w:pStyle w:val="a9"/>
      </w:pPr>
      <w:r w:rsidRPr="00F204BE">
        <w:rPr>
          <w:rStyle w:val="FootnoteReference"/>
          <w:vertAlign w:val="baseline"/>
        </w:rPr>
        <w:footnoteRef/>
      </w:r>
      <w:r w:rsidRPr="00F204BE">
        <w:rPr>
          <w:rtl/>
        </w:rPr>
        <w:t xml:space="preserve"> </w:t>
      </w:r>
      <w:r w:rsidRPr="00F204BE">
        <w:rPr>
          <w:rtl/>
        </w:rPr>
        <w:tab/>
      </w:r>
      <w:r w:rsidRPr="00F204BE">
        <w:rPr>
          <w:rFonts w:hint="cs"/>
          <w:rtl/>
        </w:rPr>
        <w:t>המחקרים מתבצעים על ידי מאוחדת וסוטריה ירושלים.</w:t>
      </w:r>
    </w:p>
  </w:footnote>
  <w:footnote w:id="64">
    <w:p w14:paraId="2D5D7669" w14:textId="77777777" w:rsidR="00D62253" w:rsidRPr="0081707B" w:rsidRDefault="00D62253" w:rsidP="0081707B">
      <w:pPr>
        <w:pStyle w:val="a9"/>
      </w:pPr>
      <w:r w:rsidRPr="0081707B">
        <w:rPr>
          <w:rStyle w:val="FootnoteReference"/>
          <w:vertAlign w:val="baseline"/>
        </w:rPr>
        <w:footnoteRef/>
      </w:r>
      <w:r w:rsidRPr="0081707B">
        <w:rPr>
          <w:rtl/>
        </w:rPr>
        <w:t xml:space="preserve"> </w:t>
      </w:r>
      <w:r w:rsidRPr="0081707B">
        <w:rPr>
          <w:rtl/>
        </w:rPr>
        <w:tab/>
        <w:t>סוטריה ירושלים (גברים ונשים)</w:t>
      </w:r>
      <w:r w:rsidRPr="0081707B">
        <w:rPr>
          <w:rFonts w:hint="cs"/>
          <w:rtl/>
        </w:rPr>
        <w:t>;</w:t>
      </w:r>
      <w:r w:rsidRPr="0081707B">
        <w:rPr>
          <w:rtl/>
        </w:rPr>
        <w:t xml:space="preserve"> בית של תקווה בכרמיאל</w:t>
      </w:r>
      <w:r w:rsidRPr="0081707B">
        <w:rPr>
          <w:rFonts w:hint="cs"/>
          <w:rtl/>
        </w:rPr>
        <w:t>;</w:t>
      </w:r>
      <w:r w:rsidRPr="0081707B">
        <w:rPr>
          <w:rtl/>
        </w:rPr>
        <w:t xml:space="preserve"> ינוב בשרון</w:t>
      </w:r>
      <w:r w:rsidRPr="0081707B">
        <w:rPr>
          <w:rFonts w:hint="cs"/>
          <w:rtl/>
        </w:rPr>
        <w:t>;</w:t>
      </w:r>
      <w:r w:rsidRPr="0081707B">
        <w:rPr>
          <w:rtl/>
        </w:rPr>
        <w:t xml:space="preserve"> חירם בהרדוף</w:t>
      </w:r>
      <w:r w:rsidRPr="0081707B">
        <w:rPr>
          <w:rFonts w:hint="cs"/>
          <w:rtl/>
        </w:rPr>
        <w:t xml:space="preserve"> בהפעלת מאוחדת;</w:t>
      </w:r>
      <w:r w:rsidRPr="0081707B">
        <w:rPr>
          <w:rtl/>
        </w:rPr>
        <w:t xml:space="preserve"> </w:t>
      </w:r>
      <w:r w:rsidRPr="0081707B">
        <w:rPr>
          <w:rFonts w:hint="cs"/>
          <w:rtl/>
        </w:rPr>
        <w:t>תאנה ב</w:t>
      </w:r>
      <w:r w:rsidRPr="0081707B">
        <w:rPr>
          <w:rtl/>
        </w:rPr>
        <w:t>מושב שדה צבי</w:t>
      </w:r>
      <w:r w:rsidRPr="0081707B">
        <w:rPr>
          <w:rFonts w:hint="cs"/>
          <w:rtl/>
        </w:rPr>
        <w:t xml:space="preserve">; גומא </w:t>
      </w:r>
      <w:r w:rsidRPr="0081707B">
        <w:rPr>
          <w:rtl/>
        </w:rPr>
        <w:t xml:space="preserve">ברחובות בשיתוף </w:t>
      </w:r>
      <w:r w:rsidRPr="0081707B">
        <w:rPr>
          <w:rFonts w:hint="cs"/>
          <w:rtl/>
        </w:rPr>
        <w:t>בית החולים</w:t>
      </w:r>
      <w:r w:rsidRPr="0081707B">
        <w:rPr>
          <w:rtl/>
        </w:rPr>
        <w:t xml:space="preserve"> קפלן</w:t>
      </w:r>
      <w:r w:rsidRPr="0081707B">
        <w:rPr>
          <w:rFonts w:hint="cs"/>
          <w:rtl/>
        </w:rPr>
        <w:t xml:space="preserve">; </w:t>
      </w:r>
      <w:r w:rsidRPr="0081707B">
        <w:rPr>
          <w:rFonts w:hint="eastAsia"/>
          <w:rtl/>
        </w:rPr>
        <w:t>בית</w:t>
      </w:r>
      <w:r w:rsidRPr="0081707B">
        <w:rPr>
          <w:rtl/>
        </w:rPr>
        <w:t xml:space="preserve"> </w:t>
      </w:r>
      <w:r w:rsidRPr="0081707B">
        <w:rPr>
          <w:rFonts w:hint="eastAsia"/>
          <w:rtl/>
        </w:rPr>
        <w:t>מאזן</w:t>
      </w:r>
      <w:r w:rsidRPr="0081707B">
        <w:rPr>
          <w:rtl/>
        </w:rPr>
        <w:t xml:space="preserve"> </w:t>
      </w:r>
      <w:r w:rsidRPr="0081707B">
        <w:rPr>
          <w:rFonts w:hint="eastAsia"/>
          <w:rtl/>
        </w:rPr>
        <w:t>לאוכלוסייה</w:t>
      </w:r>
      <w:r w:rsidRPr="0081707B">
        <w:rPr>
          <w:rtl/>
        </w:rPr>
        <w:t xml:space="preserve"> </w:t>
      </w:r>
      <w:r w:rsidRPr="0081707B">
        <w:rPr>
          <w:rFonts w:hint="eastAsia"/>
          <w:rtl/>
        </w:rPr>
        <w:t>הערבית</w:t>
      </w:r>
      <w:r w:rsidRPr="0081707B">
        <w:rPr>
          <w:rtl/>
        </w:rPr>
        <w:t xml:space="preserve"> </w:t>
      </w:r>
      <w:r w:rsidRPr="0081707B">
        <w:rPr>
          <w:rFonts w:hint="eastAsia"/>
          <w:rtl/>
        </w:rPr>
        <w:t>בכפר</w:t>
      </w:r>
      <w:r w:rsidRPr="0081707B">
        <w:rPr>
          <w:rtl/>
        </w:rPr>
        <w:t xml:space="preserve"> </w:t>
      </w:r>
      <w:r w:rsidRPr="0081707B">
        <w:rPr>
          <w:rFonts w:hint="eastAsia"/>
          <w:rtl/>
        </w:rPr>
        <w:t>סוואעד</w:t>
      </w:r>
      <w:r w:rsidRPr="0081707B">
        <w:rPr>
          <w:rtl/>
        </w:rPr>
        <w:t xml:space="preserve"> </w:t>
      </w:r>
      <w:r w:rsidRPr="0081707B">
        <w:rPr>
          <w:rFonts w:hint="eastAsia"/>
          <w:rtl/>
        </w:rPr>
        <w:t>חמירה</w:t>
      </w:r>
      <w:r w:rsidRPr="0081707B">
        <w:rPr>
          <w:rtl/>
        </w:rPr>
        <w:t xml:space="preserve"> </w:t>
      </w:r>
      <w:r w:rsidRPr="0081707B">
        <w:rPr>
          <w:rFonts w:hint="eastAsia"/>
          <w:rtl/>
        </w:rPr>
        <w:t>בהפעלת</w:t>
      </w:r>
      <w:r w:rsidRPr="0081707B">
        <w:rPr>
          <w:rtl/>
        </w:rPr>
        <w:t xml:space="preserve"> </w:t>
      </w:r>
      <w:r w:rsidRPr="0081707B">
        <w:rPr>
          <w:rFonts w:hint="eastAsia"/>
          <w:rtl/>
        </w:rPr>
        <w:t>מאוחדת</w:t>
      </w:r>
      <w:r w:rsidRPr="0081707B">
        <w:rPr>
          <w:rtl/>
        </w:rPr>
        <w:t>.</w:t>
      </w:r>
    </w:p>
  </w:footnote>
  <w:footnote w:id="65">
    <w:p w14:paraId="759469F1" w14:textId="77777777" w:rsidR="00D62253" w:rsidRPr="0081707B" w:rsidRDefault="00D62253" w:rsidP="0081707B">
      <w:pPr>
        <w:pStyle w:val="a9"/>
      </w:pPr>
      <w:r w:rsidRPr="0081707B">
        <w:rPr>
          <w:rStyle w:val="FootnoteReference"/>
          <w:vertAlign w:val="baseline"/>
        </w:rPr>
        <w:footnoteRef/>
      </w:r>
      <w:r w:rsidRPr="0081707B">
        <w:rPr>
          <w:rtl/>
        </w:rPr>
        <w:t xml:space="preserve"> </w:t>
      </w:r>
      <w:r w:rsidRPr="0081707B">
        <w:rPr>
          <w:rtl/>
        </w:rPr>
        <w:tab/>
      </w:r>
      <w:r w:rsidRPr="0081707B">
        <w:rPr>
          <w:rFonts w:hint="cs"/>
          <w:rtl/>
        </w:rPr>
        <w:t>נתונים כפי שהועברו מבית מאזן סוטריה ירושלים, לאומית ומכבי.</w:t>
      </w:r>
    </w:p>
  </w:footnote>
  <w:footnote w:id="66">
    <w:p w14:paraId="59B12D8C" w14:textId="77777777" w:rsidR="00D62253" w:rsidRPr="0081707B" w:rsidRDefault="00D62253" w:rsidP="0081707B">
      <w:pPr>
        <w:pStyle w:val="a9"/>
      </w:pPr>
      <w:r w:rsidRPr="0081707B">
        <w:rPr>
          <w:rStyle w:val="FootnoteReference"/>
          <w:vertAlign w:val="baseline"/>
        </w:rPr>
        <w:footnoteRef/>
      </w:r>
      <w:r w:rsidRPr="0081707B">
        <w:rPr>
          <w:rtl/>
        </w:rPr>
        <w:t xml:space="preserve"> </w:t>
      </w:r>
      <w:r w:rsidRPr="0081707B">
        <w:rPr>
          <w:rtl/>
        </w:rPr>
        <w:tab/>
        <w:t>מחלקה הקולטת חולים קשים במצבי משבר הזקוקים לטיפול אינטנסיבי ואיזון מי</w:t>
      </w:r>
      <w:r w:rsidRPr="0081707B">
        <w:rPr>
          <w:rFonts w:hint="cs"/>
          <w:rtl/>
        </w:rPr>
        <w:t>י</w:t>
      </w:r>
      <w:r w:rsidRPr="0081707B">
        <w:rPr>
          <w:rtl/>
        </w:rPr>
        <w:t>די של המחלה.</w:t>
      </w:r>
    </w:p>
  </w:footnote>
  <w:footnote w:id="67">
    <w:p w14:paraId="7D2D3C62" w14:textId="77777777" w:rsidR="00D62253" w:rsidRPr="00582E2D" w:rsidRDefault="00D62253" w:rsidP="0081707B">
      <w:pPr>
        <w:pStyle w:val="a9"/>
        <w:rPr>
          <w:color w:val="FF0000"/>
        </w:rPr>
      </w:pPr>
      <w:r w:rsidRPr="0081707B">
        <w:rPr>
          <w:rStyle w:val="FootnoteReference"/>
          <w:vertAlign w:val="baseline"/>
        </w:rPr>
        <w:footnoteRef/>
      </w:r>
      <w:r w:rsidRPr="0081707B">
        <w:rPr>
          <w:rtl/>
        </w:rPr>
        <w:t xml:space="preserve"> </w:t>
      </w:r>
      <w:r w:rsidRPr="0081707B">
        <w:rPr>
          <w:rtl/>
        </w:rPr>
        <w:tab/>
        <w:t>נתוני משרד הבריאות</w:t>
      </w:r>
      <w:r w:rsidRPr="007A0AA0">
        <w:rPr>
          <w:rtl/>
        </w:rPr>
        <w:t xml:space="preserve"> לממוצע ימי אשפוז במחלקות פסיכיאטריה פעילה בשנת 2018.</w:t>
      </w:r>
    </w:p>
  </w:footnote>
  <w:footnote w:id="68">
    <w:p w14:paraId="7E80A822" w14:textId="50515A38" w:rsidR="00D62253" w:rsidRPr="00491E9D" w:rsidRDefault="00D62253" w:rsidP="003A2050">
      <w:pPr>
        <w:pStyle w:val="a9"/>
      </w:pPr>
      <w:r w:rsidRPr="00491E9D">
        <w:rPr>
          <w:rStyle w:val="FootnoteReference"/>
          <w:vertAlign w:val="baseline"/>
        </w:rPr>
        <w:footnoteRef/>
      </w:r>
      <w:r w:rsidRPr="00491E9D">
        <w:rPr>
          <w:rtl/>
        </w:rPr>
        <w:t xml:space="preserve"> </w:t>
      </w:r>
      <w:r w:rsidRPr="00491E9D">
        <w:rPr>
          <w:rtl/>
        </w:rPr>
        <w:tab/>
        <w:t>אתר כל-זכות מופעל ע</w:t>
      </w:r>
      <w:r w:rsidRPr="00491E9D">
        <w:rPr>
          <w:rFonts w:hint="cs"/>
          <w:rtl/>
        </w:rPr>
        <w:t>ל ידי</w:t>
      </w:r>
      <w:r w:rsidRPr="00491E9D">
        <w:rPr>
          <w:rtl/>
        </w:rPr>
        <w:t xml:space="preserve"> כל זכות בע"מ (חל"צ) שפועלת ממחצית 2017 בסיוע מיזם בין משרד המשפטים, מטה ישראל דיגיטלית במשרד לשוויון חברתי והמכון למנהיגות וממשל בג'וינט ישראל. מטרת המיזם היא שיפור המודעות של תושבי</w:t>
      </w:r>
      <w:r w:rsidRPr="00491E9D">
        <w:rPr>
          <w:rFonts w:hint="cs"/>
          <w:rtl/>
        </w:rPr>
        <w:t xml:space="preserve"> ותושבות</w:t>
      </w:r>
      <w:r w:rsidRPr="00491E9D">
        <w:rPr>
          <w:rtl/>
        </w:rPr>
        <w:t xml:space="preserve"> ישראל לזכויותיהם/ן באמצעות אתר כל-זכות </w:t>
      </w:r>
      <w:r w:rsidRPr="00491E9D">
        <w:rPr>
          <w:rFonts w:hint="cs"/>
          <w:rtl/>
        </w:rPr>
        <w:t>המרכז</w:t>
      </w:r>
      <w:r w:rsidRPr="00491E9D">
        <w:rPr>
          <w:rtl/>
        </w:rPr>
        <w:t xml:space="preserve"> מידע מקיף על זכויות שמעניקות רשויות ציבוריות</w:t>
      </w:r>
      <w:r w:rsidRPr="00491E9D">
        <w:rPr>
          <w:rFonts w:hint="cs"/>
          <w:rtl/>
        </w:rPr>
        <w:t>.</w:t>
      </w:r>
    </w:p>
  </w:footnote>
  <w:footnote w:id="69">
    <w:p w14:paraId="28BF1F95" w14:textId="77777777" w:rsidR="00D62253" w:rsidRPr="00491E9D" w:rsidRDefault="00D62253" w:rsidP="00491E9D">
      <w:pPr>
        <w:pStyle w:val="a9"/>
      </w:pPr>
      <w:r w:rsidRPr="00491E9D">
        <w:rPr>
          <w:rStyle w:val="FootnoteReference"/>
          <w:vertAlign w:val="baseline"/>
        </w:rPr>
        <w:footnoteRef/>
      </w:r>
      <w:r w:rsidRPr="00491E9D">
        <w:rPr>
          <w:rtl/>
        </w:rPr>
        <w:t xml:space="preserve"> </w:t>
      </w:r>
      <w:r w:rsidRPr="00491E9D">
        <w:rPr>
          <w:rtl/>
        </w:rPr>
        <w:tab/>
      </w:r>
      <w:r w:rsidRPr="00491E9D">
        <w:rPr>
          <w:rFonts w:hint="cs"/>
          <w:rtl/>
        </w:rPr>
        <w:t>סקר שבוצע עב</w:t>
      </w:r>
      <w:r w:rsidRPr="00491E9D">
        <w:rPr>
          <w:rtl/>
        </w:rPr>
        <w:t>ור עמותת אנוש, העמותה הישראלית לבריאות הנפש</w:t>
      </w:r>
      <w:r w:rsidRPr="00491E9D">
        <w:rPr>
          <w:rFonts w:hint="cs"/>
          <w:rtl/>
        </w:rPr>
        <w:t xml:space="preserve"> על ידי קבוצת גיאוקרטוגרפיה בנושא "טיפול במשברים נפשיים"</w:t>
      </w:r>
      <w:r w:rsidRPr="00491E9D">
        <w:rPr>
          <w:rtl/>
        </w:rPr>
        <w:t xml:space="preserve"> </w:t>
      </w:r>
      <w:r w:rsidRPr="00491E9D">
        <w:rPr>
          <w:rFonts w:hint="cs"/>
          <w:rtl/>
        </w:rPr>
        <w:t>(</w:t>
      </w:r>
      <w:r w:rsidRPr="00491E9D">
        <w:rPr>
          <w:rtl/>
        </w:rPr>
        <w:t>אוגוסט 2018</w:t>
      </w:r>
      <w:r w:rsidRPr="00491E9D">
        <w:rPr>
          <w:rFonts w:hint="cs"/>
          <w:rtl/>
        </w:rPr>
        <w:t>).</w:t>
      </w:r>
    </w:p>
  </w:footnote>
  <w:footnote w:id="70">
    <w:p w14:paraId="472B5B17" w14:textId="77777777" w:rsidR="00D62253" w:rsidRPr="00491E9D" w:rsidRDefault="00D62253" w:rsidP="00491E9D">
      <w:pPr>
        <w:pStyle w:val="a9"/>
        <w:rPr>
          <w:rtl/>
        </w:rPr>
      </w:pPr>
      <w:r w:rsidRPr="00491E9D">
        <w:rPr>
          <w:rStyle w:val="FootnoteReference"/>
          <w:vertAlign w:val="baseline"/>
        </w:rPr>
        <w:footnoteRef/>
      </w:r>
      <w:r w:rsidRPr="00491E9D">
        <w:rPr>
          <w:rtl/>
        </w:rPr>
        <w:t xml:space="preserve"> </w:t>
      </w:r>
      <w:r w:rsidRPr="00491E9D">
        <w:rPr>
          <w:rtl/>
        </w:rPr>
        <w:tab/>
        <w:t>סקר שבוצע עבור עמותת אנוש, העמותה הישראלית לבריאות הנפש על ידי קבוצת גיאוקרטוגרפיה בנושא "</w:t>
      </w:r>
      <w:r w:rsidRPr="00491E9D">
        <w:rPr>
          <w:rFonts w:hint="cs"/>
          <w:rtl/>
        </w:rPr>
        <w:t>הענות לקבל טיפול במערכות לבריאות הנפש</w:t>
      </w:r>
      <w:r w:rsidRPr="00491E9D">
        <w:rPr>
          <w:rtl/>
        </w:rPr>
        <w:t xml:space="preserve">" </w:t>
      </w:r>
      <w:r w:rsidRPr="00491E9D">
        <w:rPr>
          <w:rFonts w:hint="cs"/>
          <w:rtl/>
        </w:rPr>
        <w:t>(מאי-יוני</w:t>
      </w:r>
      <w:r w:rsidRPr="00491E9D">
        <w:rPr>
          <w:rtl/>
        </w:rPr>
        <w:t xml:space="preserve"> </w:t>
      </w:r>
      <w:r w:rsidRPr="00491E9D">
        <w:rPr>
          <w:rFonts w:hint="cs"/>
          <w:rtl/>
        </w:rPr>
        <w:t>2019)</w:t>
      </w:r>
      <w:r w:rsidRPr="00491E9D">
        <w:rPr>
          <w:rtl/>
        </w:rPr>
        <w:t>.</w:t>
      </w:r>
    </w:p>
  </w:footnote>
  <w:footnote w:id="71">
    <w:p w14:paraId="65525187" w14:textId="77777777" w:rsidR="00D62253" w:rsidRPr="003A2050" w:rsidRDefault="00D62253" w:rsidP="003A2050">
      <w:pPr>
        <w:pStyle w:val="a9"/>
      </w:pPr>
      <w:r w:rsidRPr="003A2050">
        <w:rPr>
          <w:rStyle w:val="FootnoteReference"/>
          <w:vertAlign w:val="baseline"/>
        </w:rPr>
        <w:footnoteRef/>
      </w:r>
      <w:r w:rsidRPr="003A2050">
        <w:rPr>
          <w:rtl/>
        </w:rPr>
        <w:t xml:space="preserve"> </w:t>
      </w:r>
      <w:r w:rsidRPr="003A2050">
        <w:rPr>
          <w:rtl/>
        </w:rPr>
        <w:tab/>
        <w:t>מנגד הוספו שירותים מתחומים אחרים לשב"ן</w:t>
      </w:r>
      <w:r w:rsidRPr="003A2050">
        <w:rPr>
          <w:rFonts w:hint="cs"/>
          <w:rtl/>
        </w:rPr>
        <w:t>,</w:t>
      </w:r>
      <w:r w:rsidRPr="003A2050">
        <w:rPr>
          <w:rtl/>
        </w:rPr>
        <w:t xml:space="preserve"> </w:t>
      </w:r>
      <w:r w:rsidRPr="003A2050">
        <w:rPr>
          <w:rFonts w:hint="cs"/>
          <w:rtl/>
        </w:rPr>
        <w:t>כך ש</w:t>
      </w:r>
      <w:r w:rsidRPr="003A2050">
        <w:rPr>
          <w:rtl/>
        </w:rPr>
        <w:t>עלותו נותרה ללא שינוי.</w:t>
      </w:r>
    </w:p>
  </w:footnote>
  <w:footnote w:id="72">
    <w:p w14:paraId="220E8F85" w14:textId="77777777" w:rsidR="00D62253" w:rsidRPr="009751EC" w:rsidRDefault="00D62253" w:rsidP="009751EC">
      <w:pPr>
        <w:pStyle w:val="a9"/>
      </w:pPr>
      <w:r w:rsidRPr="009751EC">
        <w:rPr>
          <w:rStyle w:val="FootnoteReference"/>
          <w:vertAlign w:val="baseline"/>
        </w:rPr>
        <w:footnoteRef/>
      </w:r>
      <w:r w:rsidRPr="009751EC">
        <w:rPr>
          <w:rtl/>
        </w:rPr>
        <w:t xml:space="preserve"> </w:t>
      </w:r>
      <w:r w:rsidRPr="009751EC">
        <w:rPr>
          <w:rtl/>
        </w:rPr>
        <w:tab/>
        <w:t xml:space="preserve">הקווים האופקיים בתרשים משקפים את היעדים, שנקבעו בהסכם הרפורמה לטיפול בילדים ולטיפול במבוגרים. </w:t>
      </w:r>
    </w:p>
  </w:footnote>
  <w:footnote w:id="73">
    <w:p w14:paraId="23A4B53D" w14:textId="77777777" w:rsidR="00D62253" w:rsidRPr="009751EC" w:rsidRDefault="00D62253" w:rsidP="009751EC">
      <w:pPr>
        <w:pStyle w:val="a9"/>
        <w:rPr>
          <w:rtl/>
        </w:rPr>
      </w:pPr>
      <w:r w:rsidRPr="009751EC">
        <w:rPr>
          <w:rStyle w:val="FootnoteReference"/>
          <w:vertAlign w:val="baseline"/>
        </w:rPr>
        <w:footnoteRef/>
      </w:r>
      <w:r w:rsidRPr="009751EC">
        <w:rPr>
          <w:rtl/>
        </w:rPr>
        <w:t xml:space="preserve"> </w:t>
      </w:r>
      <w:r w:rsidRPr="009751EC">
        <w:rPr>
          <w:rtl/>
        </w:rPr>
        <w:tab/>
      </w:r>
      <w:r w:rsidRPr="009751EC">
        <w:rPr>
          <w:rFonts w:hint="cs"/>
          <w:rtl/>
        </w:rPr>
        <w:t>עבור שנת 2018 לא כל קופות החולים העבירו נתונים על אודות כמות המגעים שסופקה, ועל כן נבדקו נתוני שנת 2017.</w:t>
      </w:r>
    </w:p>
  </w:footnote>
  <w:footnote w:id="74">
    <w:p w14:paraId="00C9A96D" w14:textId="085C89F3" w:rsidR="00D62253" w:rsidRPr="009742CF" w:rsidRDefault="00D62253" w:rsidP="009742CF">
      <w:pPr>
        <w:pStyle w:val="a9"/>
      </w:pPr>
      <w:r w:rsidRPr="009751EC">
        <w:rPr>
          <w:rStyle w:val="FootnoteReference"/>
          <w:vertAlign w:val="baseline"/>
        </w:rPr>
        <w:footnoteRef/>
      </w:r>
      <w:r w:rsidRPr="009751EC">
        <w:rPr>
          <w:rtl/>
        </w:rPr>
        <w:t xml:space="preserve"> </w:t>
      </w:r>
      <w:r w:rsidRPr="009751EC">
        <w:rPr>
          <w:rtl/>
        </w:rPr>
        <w:tab/>
      </w:r>
      <w:r w:rsidRPr="009751EC">
        <w:rPr>
          <w:rFonts w:hint="cs"/>
          <w:rtl/>
        </w:rPr>
        <w:t>עם כניסת הרפורמה לתוקף בשנת 2015, העביר משרד הבריאות לקופות החולים הנחיות לגבי האופן שעליהן להעביר אליו דיווחים על המגעים האמבולטוריים</w:t>
      </w:r>
      <w:r w:rsidRPr="00C15029">
        <w:rPr>
          <w:rFonts w:hint="cs"/>
          <w:sz w:val="24"/>
          <w:rtl/>
        </w:rPr>
        <w:t xml:space="preserve"> שביצעו.</w:t>
      </w:r>
      <w:r>
        <w:rPr>
          <w:rFonts w:hint="cs"/>
          <w:rtl/>
        </w:rPr>
        <w:t xml:space="preserve"> כללית, מכבי ולאומית העבירו למשרד את הנתונים והוא ביצע </w:t>
      </w:r>
      <w:r w:rsidRPr="00FA3AF0">
        <w:rPr>
          <w:rtl/>
        </w:rPr>
        <w:t>עיב</w:t>
      </w:r>
      <w:r>
        <w:rPr>
          <w:rFonts w:hint="cs"/>
          <w:rtl/>
        </w:rPr>
        <w:t>ו</w:t>
      </w:r>
      <w:r w:rsidRPr="00FA3AF0">
        <w:rPr>
          <w:rtl/>
        </w:rPr>
        <w:t xml:space="preserve">ד </w:t>
      </w:r>
      <w:r>
        <w:rPr>
          <w:rFonts w:hint="cs"/>
          <w:rtl/>
        </w:rPr>
        <w:t>לנתונים אלו במסגרתו</w:t>
      </w:r>
      <w:r>
        <w:rPr>
          <w:rtl/>
        </w:rPr>
        <w:t xml:space="preserve"> </w:t>
      </w:r>
      <w:r>
        <w:rPr>
          <w:rFonts w:hint="cs"/>
          <w:rtl/>
        </w:rPr>
        <w:t>ה</w:t>
      </w:r>
      <w:r w:rsidRPr="00FA3AF0">
        <w:rPr>
          <w:rtl/>
        </w:rPr>
        <w:t>ס</w:t>
      </w:r>
      <w:r>
        <w:rPr>
          <w:rFonts w:hint="cs"/>
          <w:rtl/>
        </w:rPr>
        <w:t>י</w:t>
      </w:r>
      <w:r w:rsidRPr="00FA3AF0">
        <w:rPr>
          <w:rtl/>
        </w:rPr>
        <w:t>ר מגעים שמצא כי אינם צריכים להיכלל בספירה</w:t>
      </w:r>
      <w:r>
        <w:rPr>
          <w:rFonts w:hint="cs"/>
          <w:rtl/>
        </w:rPr>
        <w:t xml:space="preserve"> - נתונים מטויבים</w:t>
      </w:r>
      <w:r>
        <w:rPr>
          <w:rtl/>
        </w:rPr>
        <w:t>.</w:t>
      </w:r>
      <w:r>
        <w:rPr>
          <w:rFonts w:hint="cs"/>
          <w:rtl/>
        </w:rPr>
        <w:t xml:space="preserve"> </w:t>
      </w:r>
      <w:r w:rsidRPr="009742CF">
        <w:rPr>
          <w:rtl/>
        </w:rPr>
        <w:t xml:space="preserve">לפיכך, </w:t>
      </w:r>
      <w:r w:rsidRPr="009742CF">
        <w:rPr>
          <w:rFonts w:hint="cs"/>
          <w:rtl/>
        </w:rPr>
        <w:t>יש</w:t>
      </w:r>
      <w:r w:rsidRPr="009742CF">
        <w:rPr>
          <w:rtl/>
        </w:rPr>
        <w:t xml:space="preserve"> אי</w:t>
      </w:r>
      <w:r w:rsidRPr="009742CF">
        <w:rPr>
          <w:rFonts w:hint="cs"/>
          <w:rtl/>
        </w:rPr>
        <w:t>-</w:t>
      </w:r>
      <w:r w:rsidRPr="009742CF">
        <w:rPr>
          <w:rtl/>
        </w:rPr>
        <w:t>התאמה בין הנתונים שהעבירו קופות</w:t>
      </w:r>
      <w:r w:rsidRPr="009742CF">
        <w:rPr>
          <w:rFonts w:hint="cs"/>
          <w:rtl/>
        </w:rPr>
        <w:t xml:space="preserve"> אלו</w:t>
      </w:r>
      <w:r w:rsidRPr="009742CF">
        <w:rPr>
          <w:rtl/>
        </w:rPr>
        <w:t xml:space="preserve"> למשרד</w:t>
      </w:r>
      <w:r w:rsidRPr="009742CF">
        <w:rPr>
          <w:rFonts w:hint="cs"/>
          <w:rtl/>
        </w:rPr>
        <w:t xml:space="preserve"> ולביקורת</w:t>
      </w:r>
      <w:r w:rsidRPr="009742CF">
        <w:rPr>
          <w:rtl/>
        </w:rPr>
        <w:t xml:space="preserve"> ל</w:t>
      </w:r>
      <w:r w:rsidRPr="009742CF">
        <w:rPr>
          <w:rFonts w:hint="cs"/>
          <w:rtl/>
        </w:rPr>
        <w:t>בין הנתונים המטויבים</w:t>
      </w:r>
      <w:r w:rsidRPr="009742CF">
        <w:rPr>
          <w:rtl/>
        </w:rPr>
        <w:t xml:space="preserve"> שהמשרד העביר</w:t>
      </w:r>
      <w:r w:rsidRPr="009742CF">
        <w:rPr>
          <w:rFonts w:hint="cs"/>
          <w:rtl/>
        </w:rPr>
        <w:t xml:space="preserve"> לביקורת.</w:t>
      </w:r>
    </w:p>
  </w:footnote>
  <w:footnote w:id="75">
    <w:p w14:paraId="537559EB" w14:textId="77777777" w:rsidR="00D62253" w:rsidRPr="009742CF" w:rsidRDefault="00D62253" w:rsidP="009742CF">
      <w:pPr>
        <w:pStyle w:val="a9"/>
        <w:rPr>
          <w:rtl/>
        </w:rPr>
      </w:pPr>
      <w:r w:rsidRPr="009742CF">
        <w:rPr>
          <w:rStyle w:val="FootnoteReference"/>
          <w:vertAlign w:val="baseline"/>
        </w:rPr>
        <w:footnoteRef/>
      </w:r>
      <w:r w:rsidRPr="009742CF">
        <w:rPr>
          <w:rtl/>
        </w:rPr>
        <w:t xml:space="preserve"> </w:t>
      </w:r>
      <w:r w:rsidRPr="009742CF">
        <w:rPr>
          <w:rtl/>
        </w:rPr>
        <w:tab/>
        <w:t xml:space="preserve">מאחר שהנתונים שמאוחדת העבירה למשרד לא היו לטענתו באיכות מספקת </w:t>
      </w:r>
      <w:r w:rsidRPr="009742CF">
        <w:rPr>
          <w:rFonts w:hint="cs"/>
          <w:rtl/>
        </w:rPr>
        <w:t>כדי</w:t>
      </w:r>
      <w:r w:rsidRPr="009742CF">
        <w:rPr>
          <w:rtl/>
        </w:rPr>
        <w:t xml:space="preserve"> לטייבם כפי שנעשה ליתר </w:t>
      </w:r>
      <w:r w:rsidRPr="009742CF">
        <w:rPr>
          <w:rFonts w:hint="eastAsia"/>
          <w:rtl/>
        </w:rPr>
        <w:t>ה</w:t>
      </w:r>
      <w:r w:rsidRPr="009742CF">
        <w:rPr>
          <w:rtl/>
        </w:rPr>
        <w:t xml:space="preserve">קופות, הנתונים לצורך הביקורת נלקחו מדוח פנימי של הקופה (דוח מגמות) </w:t>
      </w:r>
      <w:r w:rsidRPr="009742CF">
        <w:rPr>
          <w:rFonts w:hint="eastAsia"/>
          <w:rtl/>
        </w:rPr>
        <w:t>מ</w:t>
      </w:r>
      <w:r w:rsidRPr="009742CF">
        <w:rPr>
          <w:rtl/>
        </w:rPr>
        <w:t>יולי 2019</w:t>
      </w:r>
      <w:r w:rsidRPr="009742CF">
        <w:rPr>
          <w:rFonts w:hint="cs"/>
          <w:rtl/>
        </w:rPr>
        <w:t>. בדצמבר 2019 מאוחדת העבירה נתונים אחרים.</w:t>
      </w:r>
      <w:r w:rsidRPr="009742CF">
        <w:rPr>
          <w:rtl/>
        </w:rPr>
        <w:t xml:space="preserve"> </w:t>
      </w:r>
    </w:p>
  </w:footnote>
  <w:footnote w:id="76">
    <w:p w14:paraId="5807635D" w14:textId="77777777" w:rsidR="00D62253" w:rsidRPr="00B635C8" w:rsidRDefault="00D62253" w:rsidP="00B635C8">
      <w:pPr>
        <w:pStyle w:val="a9"/>
      </w:pPr>
      <w:r w:rsidRPr="00B635C8">
        <w:rPr>
          <w:rStyle w:val="FootnoteReference"/>
          <w:vertAlign w:val="baseline"/>
        </w:rPr>
        <w:footnoteRef/>
      </w:r>
      <w:r w:rsidRPr="00B635C8">
        <w:rPr>
          <w:rtl/>
        </w:rPr>
        <w:t xml:space="preserve"> </w:t>
      </w:r>
      <w:r w:rsidRPr="00B635C8">
        <w:rPr>
          <w:rtl/>
        </w:rPr>
        <w:tab/>
        <w:t>כמות המגעים ללא מגעים ברפואה הראשונית (רופאי משפחה ורופאי ילדים) כפי שדיווחו הכללית, מכבי ולאומית למשרד הבריאות. מאוחדת לא מסרה נתונים למשרד</w:t>
      </w:r>
      <w:r w:rsidRPr="00B635C8">
        <w:rPr>
          <w:rFonts w:hint="cs"/>
          <w:rtl/>
        </w:rPr>
        <w:t>,</w:t>
      </w:r>
      <w:r w:rsidRPr="00B635C8">
        <w:rPr>
          <w:rtl/>
        </w:rPr>
        <w:t xml:space="preserve"> ועל כן נלקחו נתונים מדוח פנימי של הקופה (דוח מגמות)</w:t>
      </w:r>
      <w:r w:rsidRPr="00B635C8">
        <w:rPr>
          <w:rFonts w:hint="cs"/>
          <w:rtl/>
        </w:rPr>
        <w:t xml:space="preserve"> לתקופה מאוקטובר 2015 ועד ספטמבר 2016</w:t>
      </w:r>
      <w:r w:rsidRPr="00B635C8">
        <w:rPr>
          <w:rtl/>
        </w:rPr>
        <w:t>.</w:t>
      </w:r>
    </w:p>
  </w:footnote>
  <w:footnote w:id="77">
    <w:p w14:paraId="2E7BC7AB" w14:textId="36E5D350" w:rsidR="00D62253" w:rsidRPr="0052646E" w:rsidRDefault="00D62253" w:rsidP="00B635C8">
      <w:pPr>
        <w:pStyle w:val="a9"/>
      </w:pPr>
      <w:r w:rsidRPr="00B635C8">
        <w:rPr>
          <w:rStyle w:val="FootnoteReference"/>
          <w:vertAlign w:val="baseline"/>
        </w:rPr>
        <w:footnoteRef/>
      </w:r>
      <w:r w:rsidRPr="00B635C8">
        <w:rPr>
          <w:rtl/>
        </w:rPr>
        <w:t xml:space="preserve"> </w:t>
      </w:r>
      <w:r w:rsidRPr="00B635C8">
        <w:rPr>
          <w:rtl/>
        </w:rPr>
        <w:tab/>
      </w:r>
      <w:r w:rsidRPr="00B635C8">
        <w:rPr>
          <w:rFonts w:hint="eastAsia"/>
          <w:rtl/>
        </w:rPr>
        <w:t>מחקרים</w:t>
      </w:r>
      <w:r w:rsidRPr="00B635C8">
        <w:rPr>
          <w:rtl/>
        </w:rPr>
        <w:t xml:space="preserve"> מראים כי עלויות הרפואה הראשונית המושקעות בסובלים מהפרעות נפשיות גבוהות יותר מאשר כלל האוכלוסייה. </w:t>
      </w:r>
      <w:r w:rsidRPr="00B635C8">
        <w:t xml:space="preserve">Gregory Simon, Johan </w:t>
      </w:r>
      <w:r w:rsidRPr="00B635C8">
        <w:t>Ormel, Michael Von Korff, and William</w:t>
      </w:r>
      <w:r w:rsidRPr="0059696A">
        <w:t xml:space="preserve"> Barlow (1995).</w:t>
      </w:r>
      <w:r>
        <w:t xml:space="preserve"> </w:t>
      </w:r>
      <w:r w:rsidRPr="004E4066">
        <w:t xml:space="preserve">“Health Care Costs Associated </w:t>
      </w:r>
      <w:r w:rsidRPr="004E4066">
        <w:t>With Depressive</w:t>
      </w:r>
      <w:r w:rsidRPr="00886E3C">
        <w:t xml:space="preserve"> </w:t>
      </w:r>
      <w:r w:rsidRPr="0059696A">
        <w:t xml:space="preserve">and Anxiety Disorders in Primary Care”, </w:t>
      </w:r>
      <w:r w:rsidRPr="0059696A">
        <w:rPr>
          <w:b/>
          <w:bCs/>
        </w:rPr>
        <w:t>Am J Psychiatry</w:t>
      </w:r>
      <w:r w:rsidRPr="0059696A">
        <w:t xml:space="preserve"> 152 (march 1995): 352-357</w:t>
      </w:r>
      <w:r>
        <w:rPr>
          <w:rFonts w:hint="cs"/>
          <w:rtl/>
        </w:rPr>
        <w:t>.</w:t>
      </w:r>
      <w:r w:rsidRPr="00886E3C">
        <w:rPr>
          <w:rtl/>
        </w:rPr>
        <w:t xml:space="preserve"> </w:t>
      </w:r>
      <w:r>
        <w:rPr>
          <w:rFonts w:hint="cs"/>
          <w:rtl/>
        </w:rPr>
        <w:t xml:space="preserve">לעניין </w:t>
      </w:r>
      <w:r w:rsidRPr="00886E3C">
        <w:rPr>
          <w:rtl/>
        </w:rPr>
        <w:t>שיעור הביקורים אצל רופא ראשוני בקרב בעלי הפרעות נפשיות גבוה</w:t>
      </w:r>
      <w:r>
        <w:rPr>
          <w:rFonts w:hint="cs"/>
          <w:rtl/>
        </w:rPr>
        <w:t xml:space="preserve"> יותר</w:t>
      </w:r>
      <w:r w:rsidRPr="00886E3C">
        <w:rPr>
          <w:rtl/>
        </w:rPr>
        <w:t xml:space="preserve"> מאשר </w:t>
      </w:r>
      <w:r>
        <w:rPr>
          <w:rFonts w:hint="cs"/>
          <w:rtl/>
        </w:rPr>
        <w:t xml:space="preserve">בקרב </w:t>
      </w:r>
      <w:r w:rsidRPr="00886E3C">
        <w:rPr>
          <w:rFonts w:hint="eastAsia"/>
          <w:rtl/>
        </w:rPr>
        <w:t>כלל</w:t>
      </w:r>
      <w:r w:rsidRPr="00886E3C">
        <w:rPr>
          <w:rtl/>
        </w:rPr>
        <w:t xml:space="preserve"> </w:t>
      </w:r>
      <w:r w:rsidRPr="00886E3C">
        <w:rPr>
          <w:rFonts w:hint="eastAsia"/>
          <w:rtl/>
        </w:rPr>
        <w:t>האוכלוסייה</w:t>
      </w:r>
      <w:r w:rsidRPr="00886E3C">
        <w:rPr>
          <w:rtl/>
        </w:rPr>
        <w:t xml:space="preserve">, </w:t>
      </w:r>
      <w:r w:rsidRPr="00886E3C">
        <w:rPr>
          <w:rFonts w:hint="eastAsia"/>
          <w:rtl/>
        </w:rPr>
        <w:t>ראו</w:t>
      </w:r>
      <w:r>
        <w:rPr>
          <w:rFonts w:hint="cs"/>
          <w:rtl/>
        </w:rPr>
        <w:t>:</w:t>
      </w:r>
      <w:r>
        <w:rPr>
          <w:rtl/>
        </w:rPr>
        <w:t xml:space="preserve"> </w:t>
      </w:r>
      <w:r w:rsidRPr="00F8366C">
        <w:rPr>
          <w:spacing w:val="-2"/>
        </w:rPr>
        <w:t xml:space="preserve">Donald Cherry, Michael Albert, and Linda F. McCaig (2018). “Mental Health-related Physician Office Visits by Adults Aged 18 and Over: United States, 2012–2014”, </w:t>
      </w:r>
      <w:r w:rsidRPr="00F8366C">
        <w:rPr>
          <w:b/>
          <w:bCs/>
          <w:spacing w:val="-2"/>
        </w:rPr>
        <w:t>NCHS Data Brief No. 311</w:t>
      </w:r>
      <w:r w:rsidRPr="00F8366C">
        <w:rPr>
          <w:spacing w:val="-2"/>
        </w:rPr>
        <w:t xml:space="preserve"> (June 2018)</w:t>
      </w:r>
      <w:r w:rsidR="00636ACA">
        <w:rPr>
          <w:spacing w:val="-2"/>
        </w:rPr>
        <w:t>.</w:t>
      </w:r>
      <w:r>
        <w:rPr>
          <w:rtl/>
        </w:rPr>
        <w:t xml:space="preserve"> </w:t>
      </w:r>
    </w:p>
  </w:footnote>
  <w:footnote w:id="78">
    <w:p w14:paraId="5DA7BFA4" w14:textId="77777777" w:rsidR="00D62253" w:rsidRPr="00F204BE" w:rsidRDefault="00D62253" w:rsidP="00F204BE">
      <w:pPr>
        <w:pStyle w:val="a9"/>
      </w:pPr>
      <w:r w:rsidRPr="00F204BE">
        <w:rPr>
          <w:rStyle w:val="FootnoteReference"/>
          <w:vertAlign w:val="baseline"/>
        </w:rPr>
        <w:footnoteRef/>
      </w:r>
      <w:r w:rsidRPr="00F204BE">
        <w:rPr>
          <w:rtl/>
        </w:rPr>
        <w:t xml:space="preserve"> </w:t>
      </w:r>
      <w:r w:rsidRPr="00F204BE">
        <w:rPr>
          <w:rtl/>
        </w:rPr>
        <w:tab/>
      </w:r>
      <w:r w:rsidRPr="00F204BE">
        <w:rPr>
          <w:rFonts w:hint="cs"/>
          <w:rtl/>
        </w:rPr>
        <w:t xml:space="preserve">חוזר סמנכ"ל לפיקוח על קופות החולים ושירותי בריאות נוספים מס' 2/15, "הרפורמה בבריאות הנפש - השתתפויות עצמיות ופרסום לציבור על שירותי קופת חולים", 18.5.15; </w:t>
      </w:r>
      <w:r w:rsidRPr="00F204BE">
        <w:rPr>
          <w:rtl/>
        </w:rPr>
        <w:t xml:space="preserve">חוזר סמנכ"ל לפיקוח על קופות החולים ושירותי בריאות נוספים מס' </w:t>
      </w:r>
      <w:r w:rsidRPr="00F204BE">
        <w:rPr>
          <w:rFonts w:hint="cs"/>
          <w:rtl/>
        </w:rPr>
        <w:t>1/19</w:t>
      </w:r>
      <w:r w:rsidRPr="00F204BE">
        <w:rPr>
          <w:rtl/>
        </w:rPr>
        <w:t>, "</w:t>
      </w:r>
      <w:r w:rsidRPr="00F204BE">
        <w:rPr>
          <w:rFonts w:hint="cs"/>
          <w:rtl/>
        </w:rPr>
        <w:t>עדכון תשלומים בעד שירותי בריאות ותרופות לשנת 2019</w:t>
      </w:r>
      <w:r w:rsidRPr="00F204BE">
        <w:rPr>
          <w:rtl/>
        </w:rPr>
        <w:t xml:space="preserve">", </w:t>
      </w:r>
      <w:r w:rsidRPr="00F204BE">
        <w:rPr>
          <w:rFonts w:hint="cs"/>
          <w:rtl/>
        </w:rPr>
        <w:t>19.8.19.</w:t>
      </w:r>
    </w:p>
  </w:footnote>
  <w:footnote w:id="79">
    <w:p w14:paraId="076FCC3A" w14:textId="24657C05" w:rsidR="00D62253" w:rsidRDefault="00D62253" w:rsidP="00F204BE">
      <w:pPr>
        <w:pStyle w:val="a9"/>
        <w:rPr>
          <w:rtl/>
        </w:rPr>
      </w:pPr>
      <w:r w:rsidRPr="00F204BE">
        <w:rPr>
          <w:rStyle w:val="FootnoteReference"/>
          <w:vertAlign w:val="baseline"/>
        </w:rPr>
        <w:footnoteRef/>
      </w:r>
      <w:r w:rsidRPr="00F204BE">
        <w:rPr>
          <w:rtl/>
        </w:rPr>
        <w:t xml:space="preserve"> </w:t>
      </w:r>
      <w:r w:rsidRPr="00F204BE">
        <w:rPr>
          <w:rtl/>
        </w:rPr>
        <w:tab/>
      </w:r>
      <w:r w:rsidRPr="00F204BE">
        <w:rPr>
          <w:rFonts w:hint="cs"/>
          <w:rtl/>
        </w:rPr>
        <w:t>כ</w:t>
      </w:r>
      <w:r>
        <w:rPr>
          <w:rFonts w:hint="cs"/>
          <w:rtl/>
        </w:rPr>
        <w:t>מות המגעים כפי שצוינה בדוח המגמות של מאוחדת. כמות הטיפולים אצל מטפל עצמאי כפי שהועברה בחישוב ההשתתפות העצמית שגבתה מאוחדת.</w:t>
      </w:r>
    </w:p>
  </w:footnote>
  <w:footnote w:id="80">
    <w:p w14:paraId="66FA71C8" w14:textId="77777777" w:rsidR="00D62253" w:rsidRDefault="00D62253" w:rsidP="00F204BE">
      <w:pPr>
        <w:pStyle w:val="a9"/>
        <w:rPr>
          <w:rtl/>
        </w:rPr>
      </w:pPr>
      <w:r w:rsidRPr="009F33AC">
        <w:footnoteRef/>
      </w:r>
      <w:r w:rsidRPr="009F33AC">
        <w:rPr>
          <w:rtl/>
        </w:rPr>
        <w:t xml:space="preserve"> </w:t>
      </w:r>
      <w:r w:rsidRPr="009F33AC">
        <w:rPr>
          <w:rtl/>
        </w:rPr>
        <w:tab/>
      </w:r>
      <w:r w:rsidRPr="00BF2668">
        <w:t>A. W.</w:t>
      </w:r>
      <w:r>
        <w:t xml:space="preserve"> </w:t>
      </w:r>
      <w:r w:rsidRPr="00BF2668">
        <w:t xml:space="preserve">Siegel, (2008). </w:t>
      </w:r>
      <w:r>
        <w:t>“</w:t>
      </w:r>
      <w:r w:rsidRPr="00BF2668">
        <w:t>Inequality, privacy, and mental health</w:t>
      </w:r>
      <w:r>
        <w:t>”,</w:t>
      </w:r>
      <w:r w:rsidRPr="00BF2668">
        <w:t xml:space="preserve"> </w:t>
      </w:r>
      <w:r w:rsidRPr="00C50973">
        <w:rPr>
          <w:b/>
        </w:rPr>
        <w:t>International Journal of Law</w:t>
      </w:r>
      <w:r w:rsidRPr="00BF2668">
        <w:t xml:space="preserve"> </w:t>
      </w:r>
      <w:r w:rsidRPr="00C50973">
        <w:rPr>
          <w:b/>
        </w:rPr>
        <w:t>and Psychiatry,</w:t>
      </w:r>
      <w:r w:rsidRPr="00BF2668">
        <w:t xml:space="preserve"> 31, 150-157</w:t>
      </w:r>
      <w:r w:rsidRPr="00BF2668">
        <w:rPr>
          <w:rtl/>
        </w:rPr>
        <w:t>.</w:t>
      </w:r>
      <w:r>
        <w:rPr>
          <w:rFonts w:hint="cs"/>
          <w:rtl/>
        </w:rPr>
        <w:t xml:space="preserve"> המאמר הוצג על ידי יספר"א האגודה הישראלית לשיקום פסיכיאטרי, עלון מס' 14 (דצמבר 2015).</w:t>
      </w:r>
    </w:p>
  </w:footnote>
  <w:footnote w:id="81">
    <w:p w14:paraId="30EC0602" w14:textId="77777777" w:rsidR="00D62253" w:rsidRDefault="00D62253" w:rsidP="00F204BE">
      <w:pPr>
        <w:pStyle w:val="a9"/>
        <w:rPr>
          <w:rtl/>
        </w:rPr>
      </w:pPr>
      <w:r w:rsidRPr="009F33AC">
        <w:footnoteRef/>
      </w:r>
      <w:r w:rsidRPr="009F33AC">
        <w:rPr>
          <w:rtl/>
        </w:rPr>
        <w:t xml:space="preserve"> </w:t>
      </w:r>
      <w:r w:rsidRPr="009F33AC">
        <w:rPr>
          <w:rtl/>
        </w:rPr>
        <w:tab/>
      </w:r>
      <w:r>
        <w:rPr>
          <w:rFonts w:hint="cs"/>
          <w:rtl/>
        </w:rPr>
        <w:t>שיעור ההשתתפות כולל את ההוצאות כפי שהעבירו הקופות בנטרול הוצאות עבור רופאי משפחה וילדים ותרופות, שלגביהם שוררת מחלוקת בין משרד הבריאות לבין הקופות. ללא נטרול הוצאות אלו השיעור בכללית עומד על 0.4%, 0.7% ו-0.9% בהתאמה ובמאוחדת עומד על 4.5%, 4.2% ו-4.9%, בהתאמה. בשאר הקופות נותר השיעור ללא שינוי.</w:t>
      </w:r>
    </w:p>
  </w:footnote>
  <w:footnote w:id="82">
    <w:p w14:paraId="69AF5A55"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מהנתונים עולה כי בשנת 2017 היו 51% מסך המגעים טיפולי פסיכותרפיה וכי מכלל הטיפולים כ-28% ניתנו במכבי על ידי מטפל עצמאי וכ-9% בכללית. מאחר שמטפלים עצמאיים עוסקים בפסיכותרפיה ניתן להסיק כי כ-55% (28/51) מטיפולי הפסיכותרפיה במכבי וכ-18% (9/51) בכללית ניתנים על ידי מטפל עצמאי.</w:t>
      </w:r>
    </w:p>
  </w:footnote>
  <w:footnote w:id="83">
    <w:p w14:paraId="6903D1C0" w14:textId="71E4F8DC" w:rsidR="00D62253" w:rsidRDefault="00D62253" w:rsidP="009F33AC">
      <w:pPr>
        <w:pStyle w:val="a9"/>
        <w:rPr>
          <w:rtl/>
        </w:rPr>
      </w:pPr>
      <w:r w:rsidRPr="009F33AC">
        <w:footnoteRef/>
      </w:r>
      <w:r w:rsidRPr="009F33AC">
        <w:rPr>
          <w:rtl/>
        </w:rPr>
        <w:t xml:space="preserve"> </w:t>
      </w:r>
      <w:r w:rsidRPr="009F33AC">
        <w:rPr>
          <w:rtl/>
        </w:rPr>
        <w:tab/>
      </w:r>
      <w:r w:rsidRPr="00BB279F">
        <w:rPr>
          <w:rFonts w:hint="cs"/>
          <w:rtl/>
        </w:rPr>
        <w:t xml:space="preserve">מכבי - </w:t>
      </w:r>
      <w:hyperlink r:id="rId4" w:history="1">
        <w:r w:rsidRPr="00BB279F">
          <w:rPr>
            <w:rStyle w:val="Hyperlink"/>
          </w:rPr>
          <w:t>www.maccabi4u.co.il/4493-he/Maccabi.aspx</w:t>
        </w:r>
      </w:hyperlink>
      <w:r>
        <w:rPr>
          <w:rFonts w:hint="cs"/>
          <w:rtl/>
        </w:rPr>
        <w:t xml:space="preserve"> </w:t>
      </w:r>
      <w:r w:rsidRPr="0083433E">
        <w:rPr>
          <w:rtl/>
        </w:rPr>
        <w:t>חיפוש מיום 11.11.19</w:t>
      </w:r>
      <w:r w:rsidRPr="00BB279F">
        <w:rPr>
          <w:rFonts w:hint="cs"/>
          <w:rtl/>
        </w:rPr>
        <w:t>; מאוחדת</w:t>
      </w:r>
      <w:r>
        <w:rPr>
          <w:rFonts w:hint="cs"/>
          <w:rtl/>
        </w:rPr>
        <w:t xml:space="preserve"> -</w:t>
      </w:r>
    </w:p>
    <w:p w14:paraId="07296665" w14:textId="02C9CF00" w:rsidR="00D62253" w:rsidRDefault="00D62253" w:rsidP="009F33AC">
      <w:pPr>
        <w:pStyle w:val="a9"/>
      </w:pPr>
      <w:r w:rsidRPr="00BB279F">
        <w:rPr>
          <w:rFonts w:hint="cs"/>
          <w:rtl/>
        </w:rPr>
        <w:t xml:space="preserve"> </w:t>
      </w:r>
      <w:r>
        <w:tab/>
      </w:r>
      <w:hyperlink r:id="rId5" w:history="1">
        <w:r w:rsidRPr="00A44AC6">
          <w:rPr>
            <w:rStyle w:val="Hyperlink"/>
          </w:rPr>
          <w:t>www.meuhedet.co.il</w:t>
        </w:r>
        <w:r w:rsidRPr="00A44AC6">
          <w:rPr>
            <w:rStyle w:val="Hyperlink"/>
            <w:rtl/>
          </w:rPr>
          <w:t>/זכויות-שירותים-וביטוחים/זכויות-שירותים-וביטוחים/טיפולים/טיפול-נפשי-פרטני-זוגי-משפחתי-או-קבוצתי-ילדים-נוער-ומבוגרים/</w:t>
        </w:r>
      </w:hyperlink>
      <w:r w:rsidRPr="00BB279F">
        <w:rPr>
          <w:rFonts w:hint="cs"/>
          <w:rtl/>
        </w:rPr>
        <w:t xml:space="preserve"> חיפוש מיום </w:t>
      </w:r>
      <w:r>
        <w:rPr>
          <w:rFonts w:hint="cs"/>
          <w:rtl/>
        </w:rPr>
        <w:t>7.1.20</w:t>
      </w:r>
      <w:r w:rsidRPr="00BB279F">
        <w:rPr>
          <w:rFonts w:hint="cs"/>
          <w:rtl/>
        </w:rPr>
        <w:t>.</w:t>
      </w:r>
    </w:p>
  </w:footnote>
  <w:footnote w:id="84">
    <w:p w14:paraId="5A49D94D"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ה</w:t>
      </w:r>
      <w:r w:rsidRPr="009F33AC">
        <w:rPr>
          <w:rtl/>
        </w:rPr>
        <w:t xml:space="preserve">מדריך </w:t>
      </w:r>
      <w:r w:rsidRPr="009F33AC">
        <w:rPr>
          <w:rFonts w:hint="cs"/>
          <w:rtl/>
        </w:rPr>
        <w:t>מ</w:t>
      </w:r>
      <w:r w:rsidRPr="009F33AC">
        <w:rPr>
          <w:rtl/>
        </w:rPr>
        <w:t>תוו</w:t>
      </w:r>
      <w:r w:rsidRPr="009F33AC">
        <w:rPr>
          <w:rFonts w:hint="cs"/>
          <w:rtl/>
        </w:rPr>
        <w:t>ה</w:t>
      </w:r>
      <w:r w:rsidRPr="009F33AC">
        <w:rPr>
          <w:rtl/>
        </w:rPr>
        <w:t xml:space="preserve"> כללי מסגרת ליישום השילוב הנדרש בין תהליכי התכנון לבין תהליכי התקצוב בממשלה</w:t>
      </w:r>
      <w:r w:rsidRPr="009F33AC">
        <w:rPr>
          <w:rFonts w:hint="cs"/>
          <w:rtl/>
        </w:rPr>
        <w:t>.</w:t>
      </w:r>
    </w:p>
  </w:footnote>
  <w:footnote w:id="85">
    <w:p w14:paraId="5E224A0B" w14:textId="77777777" w:rsidR="00D62253"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ראו גם אירית אלרואי ואח', "שירותי בריאות הנפש בקופות החולים שנתיים לאחר הפעלת הרפורמה - בין מדיניות ליישום</w:t>
      </w:r>
      <w:r>
        <w:rPr>
          <w:rFonts w:hint="cs"/>
          <w:rtl/>
        </w:rPr>
        <w:t>", מאיירס-ג'ויינט-ברוקדייל (</w:t>
      </w:r>
      <w:r w:rsidRPr="001D629E">
        <w:rPr>
          <w:rtl/>
        </w:rPr>
        <w:t>ינואר 2019</w:t>
      </w:r>
      <w:r>
        <w:rPr>
          <w:rFonts w:hint="cs"/>
          <w:rtl/>
        </w:rPr>
        <w:t>)</w:t>
      </w:r>
      <w:r w:rsidRPr="001D629E">
        <w:rPr>
          <w:rtl/>
        </w:rPr>
        <w:t>.</w:t>
      </w:r>
      <w:r>
        <w:rPr>
          <w:rtl/>
        </w:rPr>
        <w:t xml:space="preserve"> </w:t>
      </w:r>
    </w:p>
  </w:footnote>
  <w:footnote w:id="86">
    <w:p w14:paraId="647F777D"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w:t>
      </w:r>
      <w:r w:rsidRPr="009F33AC">
        <w:rPr>
          <w:rFonts w:hint="eastAsia"/>
          <w:rtl/>
        </w:rPr>
        <w:t>התוכנית</w:t>
      </w:r>
      <w:r w:rsidRPr="009F33AC">
        <w:rPr>
          <w:rtl/>
        </w:rPr>
        <w:t xml:space="preserve"> </w:t>
      </w:r>
      <w:r w:rsidRPr="009F33AC">
        <w:rPr>
          <w:rFonts w:hint="eastAsia"/>
          <w:rtl/>
        </w:rPr>
        <w:t>הלאומית</w:t>
      </w:r>
      <w:r w:rsidRPr="009F33AC">
        <w:rPr>
          <w:rtl/>
        </w:rPr>
        <w:t xml:space="preserve"> </w:t>
      </w:r>
      <w:r w:rsidRPr="009F33AC">
        <w:rPr>
          <w:rFonts w:hint="eastAsia"/>
          <w:rtl/>
        </w:rPr>
        <w:t>למדדי</w:t>
      </w:r>
      <w:r w:rsidRPr="009F33AC">
        <w:rPr>
          <w:rtl/>
        </w:rPr>
        <w:t xml:space="preserve"> </w:t>
      </w:r>
      <w:r w:rsidRPr="009F33AC">
        <w:rPr>
          <w:rFonts w:hint="eastAsia"/>
          <w:rtl/>
        </w:rPr>
        <w:t>איכות</w:t>
      </w:r>
      <w:r w:rsidRPr="009F33AC">
        <w:rPr>
          <w:rtl/>
        </w:rPr>
        <w:t xml:space="preserve">, </w:t>
      </w:r>
      <w:r w:rsidRPr="009F33AC">
        <w:rPr>
          <w:rFonts w:hint="eastAsia"/>
          <w:rtl/>
        </w:rPr>
        <w:t>בתי</w:t>
      </w:r>
      <w:r w:rsidRPr="009F33AC">
        <w:rPr>
          <w:rtl/>
        </w:rPr>
        <w:t xml:space="preserve"> </w:t>
      </w:r>
      <w:r w:rsidRPr="009F33AC">
        <w:rPr>
          <w:rFonts w:hint="eastAsia"/>
          <w:rtl/>
        </w:rPr>
        <w:t>חולים</w:t>
      </w:r>
      <w:r w:rsidRPr="009F33AC">
        <w:rPr>
          <w:rtl/>
        </w:rPr>
        <w:t xml:space="preserve"> </w:t>
      </w:r>
      <w:r w:rsidRPr="009F33AC">
        <w:rPr>
          <w:rFonts w:hint="eastAsia"/>
          <w:rtl/>
        </w:rPr>
        <w:t>כלליים</w:t>
      </w:r>
      <w:r w:rsidRPr="009F33AC">
        <w:rPr>
          <w:rtl/>
        </w:rPr>
        <w:t xml:space="preserve"> </w:t>
      </w:r>
      <w:r w:rsidRPr="009F33AC">
        <w:rPr>
          <w:rFonts w:hint="eastAsia"/>
          <w:rtl/>
        </w:rPr>
        <w:t>וגריאטריים</w:t>
      </w:r>
      <w:r w:rsidRPr="009F33AC">
        <w:rPr>
          <w:rtl/>
        </w:rPr>
        <w:t xml:space="preserve">, </w:t>
      </w:r>
      <w:r w:rsidRPr="009F33AC">
        <w:rPr>
          <w:rFonts w:hint="eastAsia"/>
          <w:rtl/>
        </w:rPr>
        <w:t>בתי</w:t>
      </w:r>
      <w:r w:rsidRPr="009F33AC">
        <w:rPr>
          <w:rtl/>
        </w:rPr>
        <w:t xml:space="preserve"> </w:t>
      </w:r>
      <w:r w:rsidRPr="009F33AC">
        <w:rPr>
          <w:rFonts w:hint="eastAsia"/>
          <w:rtl/>
        </w:rPr>
        <w:t>חולים</w:t>
      </w:r>
      <w:r w:rsidRPr="009F33AC">
        <w:rPr>
          <w:rtl/>
        </w:rPr>
        <w:t xml:space="preserve"> </w:t>
      </w:r>
      <w:r w:rsidRPr="009F33AC">
        <w:rPr>
          <w:rFonts w:hint="eastAsia"/>
          <w:rtl/>
        </w:rPr>
        <w:t>לבריאות</w:t>
      </w:r>
      <w:r w:rsidRPr="009F33AC">
        <w:rPr>
          <w:rtl/>
        </w:rPr>
        <w:t xml:space="preserve"> </w:t>
      </w:r>
      <w:r w:rsidRPr="009F33AC">
        <w:rPr>
          <w:rFonts w:hint="eastAsia"/>
          <w:rtl/>
        </w:rPr>
        <w:t>הנפש</w:t>
      </w:r>
      <w:r w:rsidRPr="009F33AC">
        <w:rPr>
          <w:rtl/>
        </w:rPr>
        <w:t xml:space="preserve">, </w:t>
      </w:r>
      <w:r w:rsidRPr="009F33AC">
        <w:rPr>
          <w:rFonts w:hint="eastAsia"/>
          <w:rtl/>
        </w:rPr>
        <w:t>טיפות</w:t>
      </w:r>
      <w:r w:rsidRPr="009F33AC">
        <w:rPr>
          <w:rtl/>
        </w:rPr>
        <w:t xml:space="preserve"> </w:t>
      </w:r>
      <w:r w:rsidRPr="009F33AC">
        <w:rPr>
          <w:rFonts w:hint="eastAsia"/>
          <w:rtl/>
        </w:rPr>
        <w:t>חלב</w:t>
      </w:r>
      <w:r w:rsidRPr="009F33AC">
        <w:rPr>
          <w:rtl/>
        </w:rPr>
        <w:t xml:space="preserve"> </w:t>
      </w:r>
      <w:r w:rsidRPr="009F33AC">
        <w:rPr>
          <w:rFonts w:hint="eastAsia"/>
          <w:rtl/>
        </w:rPr>
        <w:t>ושירותי</w:t>
      </w:r>
      <w:r w:rsidRPr="009F33AC">
        <w:rPr>
          <w:rtl/>
        </w:rPr>
        <w:t xml:space="preserve"> </w:t>
      </w:r>
      <w:r w:rsidRPr="009F33AC">
        <w:rPr>
          <w:rFonts w:hint="eastAsia"/>
          <w:rtl/>
        </w:rPr>
        <w:t>חירום</w:t>
      </w:r>
      <w:r w:rsidRPr="009F33AC">
        <w:rPr>
          <w:rtl/>
        </w:rPr>
        <w:t xml:space="preserve"> (אמבולנסים), </w:t>
      </w:r>
      <w:r w:rsidRPr="009F33AC">
        <w:rPr>
          <w:rFonts w:hint="eastAsia"/>
          <w:rtl/>
        </w:rPr>
        <w:t>דוח</w:t>
      </w:r>
      <w:r w:rsidRPr="009F33AC">
        <w:rPr>
          <w:rtl/>
        </w:rPr>
        <w:t xml:space="preserve"> </w:t>
      </w:r>
      <w:r w:rsidRPr="009F33AC">
        <w:rPr>
          <w:rFonts w:hint="eastAsia"/>
          <w:rtl/>
        </w:rPr>
        <w:t>מסכם</w:t>
      </w:r>
      <w:r w:rsidRPr="009F33AC">
        <w:rPr>
          <w:rtl/>
        </w:rPr>
        <w:t xml:space="preserve"> </w:t>
      </w:r>
      <w:r w:rsidRPr="009F33AC">
        <w:rPr>
          <w:rFonts w:hint="eastAsia"/>
          <w:rtl/>
        </w:rPr>
        <w:t>לשנים</w:t>
      </w:r>
      <w:r w:rsidRPr="009F33AC">
        <w:rPr>
          <w:rtl/>
        </w:rPr>
        <w:t xml:space="preserve"> 2017-2013</w:t>
      </w:r>
      <w:r w:rsidRPr="009F33AC">
        <w:rPr>
          <w:rFonts w:hint="cs"/>
          <w:rtl/>
        </w:rPr>
        <w:t>"</w:t>
      </w:r>
      <w:r w:rsidRPr="009F33AC">
        <w:rPr>
          <w:rtl/>
        </w:rPr>
        <w:t xml:space="preserve">, </w:t>
      </w:r>
      <w:r w:rsidRPr="009F33AC">
        <w:rPr>
          <w:rFonts w:hint="eastAsia"/>
          <w:rtl/>
        </w:rPr>
        <w:t>משרד</w:t>
      </w:r>
      <w:r w:rsidRPr="009F33AC">
        <w:rPr>
          <w:rtl/>
        </w:rPr>
        <w:t xml:space="preserve"> </w:t>
      </w:r>
      <w:r w:rsidRPr="009F33AC">
        <w:rPr>
          <w:rFonts w:hint="eastAsia"/>
          <w:rtl/>
        </w:rPr>
        <w:t>הבריאות</w:t>
      </w:r>
      <w:r w:rsidRPr="009F33AC">
        <w:rPr>
          <w:rtl/>
        </w:rPr>
        <w:t xml:space="preserve">, </w:t>
      </w:r>
      <w:r w:rsidRPr="009F33AC">
        <w:rPr>
          <w:rFonts w:hint="eastAsia"/>
          <w:rtl/>
        </w:rPr>
        <w:t>מינהל</w:t>
      </w:r>
      <w:r w:rsidRPr="009F33AC">
        <w:rPr>
          <w:rtl/>
        </w:rPr>
        <w:t xml:space="preserve"> </w:t>
      </w:r>
      <w:r w:rsidRPr="009F33AC">
        <w:rPr>
          <w:rFonts w:hint="eastAsia"/>
          <w:rtl/>
        </w:rPr>
        <w:t>איכות</w:t>
      </w:r>
      <w:r w:rsidRPr="009F33AC">
        <w:rPr>
          <w:rtl/>
        </w:rPr>
        <w:t xml:space="preserve">, </w:t>
      </w:r>
      <w:r w:rsidRPr="009F33AC">
        <w:rPr>
          <w:rFonts w:hint="eastAsia"/>
          <w:rtl/>
        </w:rPr>
        <w:t>בטיחות</w:t>
      </w:r>
      <w:r w:rsidRPr="009F33AC">
        <w:rPr>
          <w:rtl/>
        </w:rPr>
        <w:t xml:space="preserve"> </w:t>
      </w:r>
      <w:r w:rsidRPr="009F33AC">
        <w:rPr>
          <w:rFonts w:hint="eastAsia"/>
          <w:rtl/>
        </w:rPr>
        <w:t>ושירות</w:t>
      </w:r>
      <w:r w:rsidRPr="009F33AC">
        <w:rPr>
          <w:rtl/>
        </w:rPr>
        <w:t xml:space="preserve"> </w:t>
      </w:r>
      <w:r w:rsidRPr="009F33AC">
        <w:rPr>
          <w:rFonts w:hint="eastAsia"/>
          <w:rtl/>
        </w:rPr>
        <w:t>המחלקה</w:t>
      </w:r>
      <w:r w:rsidRPr="009F33AC">
        <w:rPr>
          <w:rtl/>
        </w:rPr>
        <w:t xml:space="preserve"> </w:t>
      </w:r>
      <w:r w:rsidRPr="009F33AC">
        <w:rPr>
          <w:rFonts w:hint="eastAsia"/>
          <w:rtl/>
        </w:rPr>
        <w:t>לחקר</w:t>
      </w:r>
      <w:r w:rsidRPr="009F33AC">
        <w:rPr>
          <w:rtl/>
        </w:rPr>
        <w:t xml:space="preserve"> </w:t>
      </w:r>
      <w:r w:rsidRPr="009F33AC">
        <w:rPr>
          <w:rFonts w:hint="eastAsia"/>
          <w:rtl/>
        </w:rPr>
        <w:t>שירותי</w:t>
      </w:r>
      <w:r w:rsidRPr="009F33AC">
        <w:rPr>
          <w:rtl/>
        </w:rPr>
        <w:t xml:space="preserve"> </w:t>
      </w:r>
      <w:r w:rsidRPr="009F33AC">
        <w:rPr>
          <w:rFonts w:hint="eastAsia"/>
          <w:rtl/>
        </w:rPr>
        <w:t>הרפואה</w:t>
      </w:r>
      <w:r w:rsidRPr="009F33AC">
        <w:rPr>
          <w:rtl/>
        </w:rPr>
        <w:t xml:space="preserve"> </w:t>
      </w:r>
      <w:r w:rsidRPr="009F33AC">
        <w:rPr>
          <w:rFonts w:hint="cs"/>
          <w:rtl/>
        </w:rPr>
        <w:t>(</w:t>
      </w:r>
      <w:r w:rsidRPr="009F33AC">
        <w:rPr>
          <w:rFonts w:hint="eastAsia"/>
          <w:rtl/>
        </w:rPr>
        <w:t>דצמבר</w:t>
      </w:r>
      <w:r w:rsidRPr="009F33AC">
        <w:rPr>
          <w:rtl/>
        </w:rPr>
        <w:t xml:space="preserve"> 2018</w:t>
      </w:r>
      <w:r w:rsidRPr="009F33AC">
        <w:rPr>
          <w:rFonts w:hint="cs"/>
          <w:rtl/>
        </w:rPr>
        <w:t xml:space="preserve">). </w:t>
      </w:r>
    </w:p>
  </w:footnote>
  <w:footnote w:id="87">
    <w:p w14:paraId="0917DB0B" w14:textId="77777777" w:rsidR="00D62253" w:rsidRDefault="00D62253" w:rsidP="009F33AC">
      <w:pPr>
        <w:pStyle w:val="a9"/>
      </w:pPr>
      <w:r w:rsidRPr="009F33AC">
        <w:rPr>
          <w:rStyle w:val="FootnoteReference"/>
          <w:vertAlign w:val="baseline"/>
        </w:rPr>
        <w:footnoteRef/>
      </w:r>
      <w:r w:rsidRPr="009F33AC">
        <w:rPr>
          <w:rtl/>
        </w:rPr>
        <w:t xml:space="preserve"> </w:t>
      </w:r>
      <w:r w:rsidRPr="009F33AC">
        <w:rPr>
          <w:rtl/>
        </w:rPr>
        <w:tab/>
      </w:r>
      <w:r w:rsidRPr="009F33AC">
        <w:rPr>
          <w:rFonts w:hint="cs"/>
          <w:rtl/>
        </w:rPr>
        <w:t>בהסכם</w:t>
      </w:r>
      <w:r>
        <w:rPr>
          <w:rFonts w:hint="cs"/>
          <w:rtl/>
        </w:rPr>
        <w:t xml:space="preserve"> </w:t>
      </w:r>
      <w:r w:rsidRPr="006B6BDC">
        <w:rPr>
          <w:rtl/>
        </w:rPr>
        <w:t>הרפורמה נקבע כי תוקם מינהלת הרפורמה, שבין תפקידיה גם איסוף של מידע על תהליך הרפורמה וביצוע בקרה על יישומה</w:t>
      </w:r>
      <w:r>
        <w:rPr>
          <w:rFonts w:hint="cs"/>
          <w:rtl/>
        </w:rPr>
        <w:t>.</w:t>
      </w:r>
    </w:p>
  </w:footnote>
  <w:footnote w:id="88">
    <w:p w14:paraId="733AE64C"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t xml:space="preserve">חוק ההתייעלות הכלכלית (תיקוני חקיקה להשגת יעדי התקציב לשנות התקציב 2017 ו-2018), </w:t>
      </w:r>
      <w:r w:rsidRPr="009F33AC">
        <w:rPr>
          <w:rFonts w:hint="cs"/>
          <w:rtl/>
        </w:rPr>
        <w:t>ה</w:t>
      </w:r>
      <w:r w:rsidRPr="009F33AC">
        <w:rPr>
          <w:rtl/>
        </w:rPr>
        <w:t>תשע"ז-2016</w:t>
      </w:r>
      <w:r w:rsidRPr="009F33AC">
        <w:rPr>
          <w:rFonts w:hint="cs"/>
          <w:rtl/>
        </w:rPr>
        <w:t xml:space="preserve"> קובע</w:t>
      </w:r>
      <w:r w:rsidRPr="009F33AC">
        <w:rPr>
          <w:rtl/>
        </w:rPr>
        <w:t xml:space="preserve"> כי קופות החולים ישלמו לבתי החולים הכללים באופן שוטף 95% מהחשבונות. קביעה זו </w:t>
      </w:r>
      <w:r w:rsidRPr="009F33AC">
        <w:rPr>
          <w:rFonts w:hint="cs"/>
          <w:rtl/>
        </w:rPr>
        <w:t>אינה</w:t>
      </w:r>
      <w:r w:rsidRPr="009F33AC">
        <w:rPr>
          <w:rtl/>
        </w:rPr>
        <w:t xml:space="preserve"> </w:t>
      </w:r>
      <w:r w:rsidRPr="009F33AC">
        <w:rPr>
          <w:rFonts w:hint="cs"/>
          <w:rtl/>
        </w:rPr>
        <w:t>מתייחסת ל</w:t>
      </w:r>
      <w:r w:rsidRPr="009F33AC">
        <w:rPr>
          <w:rtl/>
        </w:rPr>
        <w:t>בריאות הנפש</w:t>
      </w:r>
      <w:r w:rsidRPr="009F33AC">
        <w:rPr>
          <w:rFonts w:hint="cs"/>
          <w:rtl/>
        </w:rPr>
        <w:t>,</w:t>
      </w:r>
      <w:r w:rsidRPr="009F33AC">
        <w:rPr>
          <w:rtl/>
        </w:rPr>
        <w:t xml:space="preserve"> אולם בפועל</w:t>
      </w:r>
      <w:r w:rsidRPr="009F33AC">
        <w:rPr>
          <w:rFonts w:hint="cs"/>
          <w:rtl/>
        </w:rPr>
        <w:t xml:space="preserve"> ה</w:t>
      </w:r>
      <w:r w:rsidRPr="009F33AC">
        <w:rPr>
          <w:rtl/>
        </w:rPr>
        <w:t>קופות</w:t>
      </w:r>
      <w:r w:rsidRPr="009F33AC">
        <w:rPr>
          <w:rFonts w:hint="cs"/>
          <w:rtl/>
        </w:rPr>
        <w:t xml:space="preserve">, למעט הכללית, </w:t>
      </w:r>
      <w:r w:rsidRPr="009F33AC">
        <w:rPr>
          <w:rtl/>
        </w:rPr>
        <w:t>נוהגות כך גם בבריאות הנפש</w:t>
      </w:r>
      <w:r w:rsidRPr="009F33AC">
        <w:rPr>
          <w:rFonts w:hint="cs"/>
          <w:rtl/>
        </w:rPr>
        <w:t xml:space="preserve">. </w:t>
      </w:r>
    </w:p>
  </w:footnote>
  <w:footnote w:id="89">
    <w:p w14:paraId="35A1DF61" w14:textId="77777777" w:rsidR="00D62253" w:rsidRPr="009F33AC" w:rsidRDefault="00D62253" w:rsidP="009F33AC">
      <w:pPr>
        <w:pStyle w:val="a9"/>
      </w:pPr>
      <w:r w:rsidRPr="009F33AC">
        <w:rPr>
          <w:rStyle w:val="FootnoteReference"/>
          <w:vertAlign w:val="baseline"/>
        </w:rPr>
        <w:footnoteRef/>
      </w:r>
      <w:r w:rsidRPr="009F33AC">
        <w:rPr>
          <w:rtl/>
        </w:rPr>
        <w:t xml:space="preserve"> </w:t>
      </w:r>
      <w:r w:rsidRPr="009F33AC">
        <w:rPr>
          <w:rtl/>
        </w:rPr>
        <w:tab/>
      </w:r>
      <w:r w:rsidRPr="009F33AC">
        <w:rPr>
          <w:rFonts w:hint="cs"/>
          <w:rtl/>
        </w:rPr>
        <w:t xml:space="preserve">חולים </w:t>
      </w:r>
      <w:r w:rsidRPr="009F33AC">
        <w:rPr>
          <w:rtl/>
        </w:rPr>
        <w:t xml:space="preserve">שיצאו מהמשבר האקוטי אך </w:t>
      </w:r>
      <w:r w:rsidRPr="009F33AC">
        <w:rPr>
          <w:rFonts w:hint="cs"/>
          <w:rtl/>
        </w:rPr>
        <w:t xml:space="preserve">אינם יכולים להשתחרר מאשפוז בהיעדר מסגרת המשכית מתאימה ומשך אשפוזם עולה על 365 ימים. </w:t>
      </w:r>
    </w:p>
  </w:footnote>
  <w:footnote w:id="90">
    <w:p w14:paraId="1E036A20"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 xml:space="preserve">חוזר המנהל הכללי מס' 23/05, "רישום חשבונאי והתחשבנות בתי חולים - קופות חולים" (19.5.05). </w:t>
      </w:r>
    </w:p>
  </w:footnote>
  <w:footnote w:id="91">
    <w:p w14:paraId="040B17F5"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חוזר המנהל הכללי מס' 5/2015, "כללי חיוב והתחשבנות בין קופות החולים לבין מערך האשפוז בבריאות הנפש והמרפאות הציבוריות לבריאות הנפש" (21.4.15).</w:t>
      </w:r>
    </w:p>
  </w:footnote>
  <w:footnote w:id="92">
    <w:p w14:paraId="38A2CCAC"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חוזר המנהל הכללי מס' 9/2017, "כללי חיוב והתחשבנות בין קופות החולים לבין מערך האשפוז והמרפאות הציבוריות בבריאות הנפש - הבהרות" (26.11.17).</w:t>
      </w:r>
    </w:p>
  </w:footnote>
  <w:footnote w:id="93">
    <w:p w14:paraId="5892C4F0"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הסכם בין הכללית למשרדי האוצר והבריאות לשנים 2019-2018 שבמסגרתו סוכם על תנאים לייצובה הכלכלי של הקופה. הסכם כזה נחתם עם כל אחת מקופות החולים.</w:t>
      </w:r>
    </w:p>
  </w:footnote>
  <w:footnote w:id="94">
    <w:p w14:paraId="119A1EF4" w14:textId="230A864B"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t xml:space="preserve">המרכז לבריאות הנפש באר שבע, </w:t>
      </w:r>
      <w:r>
        <w:rPr>
          <w:rFonts w:hint="cs"/>
          <w:rtl/>
        </w:rPr>
        <w:t>המרכז לבריאות הנפש-מזור</w:t>
      </w:r>
      <w:r w:rsidRPr="009F33AC">
        <w:rPr>
          <w:rtl/>
        </w:rPr>
        <w:t>, לב השרון ואברבנאל.</w:t>
      </w:r>
    </w:p>
  </w:footnote>
  <w:footnote w:id="95">
    <w:p w14:paraId="60A24277" w14:textId="77777777" w:rsidR="00D62253" w:rsidRPr="009F33AC" w:rsidRDefault="00D62253" w:rsidP="009F33AC">
      <w:pPr>
        <w:pStyle w:val="a9"/>
        <w:rPr>
          <w:rtl/>
        </w:rPr>
      </w:pPr>
      <w:r w:rsidRPr="009F33AC">
        <w:rPr>
          <w:rStyle w:val="FootnoteReference"/>
          <w:vertAlign w:val="baseline"/>
        </w:rPr>
        <w:footnoteRef/>
      </w:r>
      <w:r w:rsidRPr="009F33AC">
        <w:rPr>
          <w:rtl/>
        </w:rPr>
        <w:t xml:space="preserve"> </w:t>
      </w:r>
      <w:r w:rsidRPr="009F33AC">
        <w:rPr>
          <w:rtl/>
        </w:rPr>
        <w:tab/>
      </w:r>
      <w:r w:rsidRPr="009F33AC">
        <w:rPr>
          <w:rFonts w:hint="cs"/>
          <w:rtl/>
        </w:rPr>
        <w:t>בהתאם ל</w:t>
      </w:r>
      <w:r w:rsidRPr="009F33AC">
        <w:rPr>
          <w:rtl/>
        </w:rPr>
        <w:t>חוזר המנהל הכללי מס' 23/05, "רישום חשבונאי והתחשבנות בתי</w:t>
      </w:r>
      <w:r w:rsidRPr="009F33AC">
        <w:rPr>
          <w:rFonts w:hint="cs"/>
          <w:rtl/>
        </w:rPr>
        <w:t xml:space="preserve"> </w:t>
      </w:r>
      <w:r w:rsidRPr="009F33AC">
        <w:rPr>
          <w:rtl/>
        </w:rPr>
        <w:t>חולים - קופות חולים"</w:t>
      </w:r>
      <w:r w:rsidRPr="009F33AC">
        <w:rPr>
          <w:rFonts w:hint="cs"/>
          <w:rtl/>
        </w:rPr>
        <w:t xml:space="preserve"> (19.5.05). </w:t>
      </w:r>
    </w:p>
  </w:footnote>
  <w:footnote w:id="96">
    <w:p w14:paraId="4BDCC88A" w14:textId="77777777" w:rsidR="00D62253" w:rsidRDefault="00D62253" w:rsidP="009F33AC">
      <w:pPr>
        <w:pStyle w:val="a9"/>
      </w:pPr>
      <w:r w:rsidRPr="009F33AC">
        <w:rPr>
          <w:rStyle w:val="FootnoteReference"/>
          <w:vertAlign w:val="baseline"/>
        </w:rPr>
        <w:footnoteRef/>
      </w:r>
      <w:r w:rsidRPr="009F33AC">
        <w:rPr>
          <w:rtl/>
        </w:rPr>
        <w:t xml:space="preserve"> </w:t>
      </w:r>
      <w:r w:rsidRPr="009F33AC">
        <w:rPr>
          <w:rtl/>
        </w:rPr>
        <w:tab/>
      </w:r>
      <w:r w:rsidRPr="009F33AC">
        <w:rPr>
          <w:rFonts w:hint="eastAsia"/>
          <w:rtl/>
        </w:rPr>
        <w:t>תקציב</w:t>
      </w:r>
      <w:r w:rsidRPr="009F33AC">
        <w:rPr>
          <w:rtl/>
        </w:rPr>
        <w:t xml:space="preserve"> האשפוז</w:t>
      </w:r>
      <w:r w:rsidRPr="001B0328">
        <w:rPr>
          <w:rtl/>
        </w:rPr>
        <w:t xml:space="preserve"> </w:t>
      </w:r>
      <w:r w:rsidRPr="001B0328">
        <w:rPr>
          <w:rFonts w:hint="eastAsia"/>
          <w:rtl/>
        </w:rPr>
        <w:t>הפסיכיאטרי</w:t>
      </w:r>
      <w:r w:rsidRPr="001B0328">
        <w:rPr>
          <w:rtl/>
        </w:rPr>
        <w:t xml:space="preserve"> </w:t>
      </w:r>
      <w:r w:rsidRPr="001B0328">
        <w:rPr>
          <w:rFonts w:hint="eastAsia"/>
          <w:rtl/>
        </w:rPr>
        <w:t>עמד</w:t>
      </w:r>
      <w:r w:rsidRPr="001B0328">
        <w:rPr>
          <w:rtl/>
        </w:rPr>
        <w:t xml:space="preserve"> בשנת 2018 על 1.5 </w:t>
      </w:r>
      <w:r w:rsidRPr="001B0328">
        <w:rPr>
          <w:rFonts w:hint="eastAsia"/>
          <w:rtl/>
        </w:rPr>
        <w:t>מיליארד</w:t>
      </w:r>
      <w:r w:rsidRPr="001B0328">
        <w:rPr>
          <w:rtl/>
        </w:rPr>
        <w:t xml:space="preserve"> </w:t>
      </w:r>
      <w:r w:rsidRPr="001B0328">
        <w:rPr>
          <w:rFonts w:hint="eastAsia"/>
          <w:rtl/>
        </w:rPr>
        <w:t>ש</w:t>
      </w:r>
      <w:r w:rsidRPr="001B0328">
        <w:rPr>
          <w:rtl/>
        </w:rPr>
        <w:t>"ח.</w:t>
      </w:r>
    </w:p>
  </w:footnote>
  <w:footnote w:id="97">
    <w:p w14:paraId="700632E4"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eastAsia"/>
          <w:rtl/>
        </w:rPr>
        <w:t>בג</w:t>
      </w:r>
      <w:r w:rsidRPr="00B56722">
        <w:rPr>
          <w:rtl/>
        </w:rPr>
        <w:t>"ץ 4970/16</w:t>
      </w:r>
      <w:r w:rsidRPr="00B56722">
        <w:rPr>
          <w:rFonts w:hint="cs"/>
          <w:rtl/>
        </w:rPr>
        <w:t xml:space="preserve"> </w:t>
      </w:r>
      <w:r w:rsidRPr="00B56722">
        <w:rPr>
          <w:rFonts w:hint="eastAsia"/>
          <w:b/>
          <w:bCs/>
          <w:rtl/>
        </w:rPr>
        <w:t>הסתדרות</w:t>
      </w:r>
      <w:r w:rsidRPr="00B56722">
        <w:rPr>
          <w:b/>
          <w:bCs/>
          <w:rtl/>
        </w:rPr>
        <w:t xml:space="preserve"> מדיצינית "הדסה" נ</w:t>
      </w:r>
      <w:r w:rsidRPr="00B56722">
        <w:rPr>
          <w:rFonts w:hint="cs"/>
          <w:b/>
          <w:bCs/>
          <w:rtl/>
        </w:rPr>
        <w:t>'</w:t>
      </w:r>
      <w:r w:rsidRPr="00B56722">
        <w:rPr>
          <w:b/>
          <w:bCs/>
          <w:rtl/>
        </w:rPr>
        <w:t xml:space="preserve"> שר האוצר </w:t>
      </w:r>
      <w:r w:rsidRPr="00B56722">
        <w:rPr>
          <w:rFonts w:hint="eastAsia"/>
          <w:b/>
          <w:bCs/>
          <w:rtl/>
        </w:rPr>
        <w:t>ואח</w:t>
      </w:r>
      <w:r w:rsidRPr="00B56722">
        <w:rPr>
          <w:b/>
          <w:bCs/>
          <w:rtl/>
        </w:rPr>
        <w:t>'</w:t>
      </w:r>
      <w:r w:rsidRPr="00B56722">
        <w:rPr>
          <w:rFonts w:hint="cs"/>
          <w:rtl/>
        </w:rPr>
        <w:t xml:space="preserve"> (פורסם במאגר ממוחשב, 4.1.17).</w:t>
      </w:r>
    </w:p>
  </w:footnote>
  <w:footnote w:id="98">
    <w:p w14:paraId="38DB5016" w14:textId="12894D7D" w:rsidR="00D62253" w:rsidRPr="00B56722" w:rsidRDefault="00D62253" w:rsidP="00B56722">
      <w:pPr>
        <w:pStyle w:val="a9"/>
      </w:pPr>
      <w:r w:rsidRPr="00B56722">
        <w:rPr>
          <w:rStyle w:val="FootnoteReference"/>
          <w:vertAlign w:val="baseline"/>
        </w:rPr>
        <w:footnoteRef/>
      </w:r>
      <w:r w:rsidRPr="00B56722">
        <w:rPr>
          <w:rtl/>
        </w:rPr>
        <w:t xml:space="preserve"> </w:t>
      </w:r>
      <w:r w:rsidRPr="00B56722">
        <w:rPr>
          <w:rtl/>
        </w:rPr>
        <w:tab/>
        <w:t>על היבטים נוספים בנוגע ל</w:t>
      </w:r>
      <w:r w:rsidRPr="00B56722">
        <w:rPr>
          <w:rFonts w:hint="cs"/>
          <w:rtl/>
        </w:rPr>
        <w:t>ניגוד העניינים</w:t>
      </w:r>
      <w:r w:rsidRPr="00B56722">
        <w:rPr>
          <w:rtl/>
        </w:rPr>
        <w:t xml:space="preserve"> ראו בדוח זה בפרק "מעמדו המעורב של משרד הבריאות כמאסדר וכבעלים של בתי חולים ממשלתיים", עמ' </w:t>
      </w:r>
      <w:r w:rsidR="00FF003E">
        <w:rPr>
          <w:rFonts w:hint="cs"/>
          <w:rtl/>
        </w:rPr>
        <w:t>875</w:t>
      </w:r>
      <w:r w:rsidRPr="00B56722">
        <w:rPr>
          <w:rtl/>
        </w:rPr>
        <w:t>.</w:t>
      </w:r>
    </w:p>
  </w:footnote>
  <w:footnote w:id="99">
    <w:p w14:paraId="509C2E30"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cs"/>
          <w:rtl/>
        </w:rPr>
        <w:t>התמחות העוסקת בטיפול ובאבחון בבריאות הנפש.</w:t>
      </w:r>
    </w:p>
  </w:footnote>
  <w:footnote w:id="100">
    <w:p w14:paraId="12A4CB3F"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cs"/>
          <w:rtl/>
        </w:rPr>
        <w:t>רופאי משפחה - מומחים ברפואת משפחה, ברפואה פנימית או רופאים כלליים שלא עברו התמחות; רופאי ילדים - מומחים ברפואת ילדים או רופאים כלליים שלא עברו התמחות.</w:t>
      </w:r>
    </w:p>
  </w:footnote>
  <w:footnote w:id="101">
    <w:p w14:paraId="5715E143" w14:textId="77777777" w:rsidR="00D62253" w:rsidRDefault="00D62253" w:rsidP="00B56722">
      <w:pPr>
        <w:pStyle w:val="a9"/>
      </w:pPr>
      <w:r w:rsidRPr="00B56722">
        <w:rPr>
          <w:rStyle w:val="FootnoteReference"/>
          <w:vertAlign w:val="baseline"/>
        </w:rPr>
        <w:footnoteRef/>
      </w:r>
      <w:r w:rsidRPr="00B56722">
        <w:rPr>
          <w:rtl/>
        </w:rPr>
        <w:t xml:space="preserve"> </w:t>
      </w:r>
      <w:r w:rsidRPr="00B56722">
        <w:rPr>
          <w:rtl/>
        </w:rPr>
        <w:tab/>
      </w:r>
      <w:r w:rsidRPr="00B56722">
        <w:rPr>
          <w:rFonts w:hint="cs"/>
          <w:rtl/>
        </w:rPr>
        <w:t>יעל אשכנזי, יואב לף, רינה מעוז-ברויאר וחווה טבנקין, "מעורבותם של רופאים ראשוניים בתחום בריאות הנפש לאחר</w:t>
      </w:r>
      <w:r>
        <w:rPr>
          <w:rFonts w:hint="cs"/>
          <w:rtl/>
        </w:rPr>
        <w:t xml:space="preserve"> החלת הרפורמה בבריאות הנפש", מכון מאיירס-ג'וינט-ברוקדייל (נובמבר 2018).</w:t>
      </w:r>
    </w:p>
  </w:footnote>
  <w:footnote w:id="102">
    <w:p w14:paraId="7D6FBC13" w14:textId="77777777" w:rsidR="00D62253" w:rsidRPr="00B56722" w:rsidRDefault="00D62253" w:rsidP="00B56722">
      <w:pPr>
        <w:pStyle w:val="a9"/>
      </w:pPr>
      <w:r w:rsidRPr="00B56722">
        <w:rPr>
          <w:rStyle w:val="FootnoteReference"/>
          <w:vertAlign w:val="baseline"/>
        </w:rPr>
        <w:footnoteRef/>
      </w:r>
      <w:r w:rsidRPr="00B56722">
        <w:rPr>
          <w:rtl/>
        </w:rPr>
        <w:t xml:space="preserve"> </w:t>
      </w:r>
      <w:r w:rsidRPr="00B56722">
        <w:rPr>
          <w:rtl/>
        </w:rPr>
        <w:tab/>
      </w:r>
      <w:r w:rsidRPr="00B56722">
        <w:rPr>
          <w:rFonts w:hint="cs"/>
          <w:rtl/>
        </w:rPr>
        <w:t>סעיף 6(א) לחוק טיפול בחולי נפש, התשנ"א-1991.</w:t>
      </w:r>
    </w:p>
  </w:footnote>
  <w:footnote w:id="103">
    <w:p w14:paraId="428F24F4" w14:textId="77777777" w:rsidR="00D62253" w:rsidRDefault="00D62253" w:rsidP="00B56722">
      <w:pPr>
        <w:pStyle w:val="a9"/>
      </w:pPr>
      <w:r w:rsidRPr="00B56722">
        <w:rPr>
          <w:rStyle w:val="FootnoteReference"/>
          <w:vertAlign w:val="baseline"/>
        </w:rPr>
        <w:footnoteRef/>
      </w:r>
      <w:r w:rsidRPr="00B56722">
        <w:rPr>
          <w:rtl/>
        </w:rPr>
        <w:t xml:space="preserve"> </w:t>
      </w:r>
      <w:r w:rsidRPr="00B56722">
        <w:rPr>
          <w:rtl/>
        </w:rPr>
        <w:tab/>
      </w:r>
      <w:r w:rsidRPr="00B56722">
        <w:rPr>
          <w:rFonts w:hint="cs"/>
          <w:rtl/>
        </w:rPr>
        <w:t>ראו גם יעל</w:t>
      </w:r>
      <w:r>
        <w:rPr>
          <w:rFonts w:hint="cs"/>
          <w:rtl/>
        </w:rPr>
        <w:t xml:space="preserve"> אשכנזי, יואב לף, רינה מעוז-ברויאר וחווה טבנקין, "מעורבותם של רופאים ראשוניים בתחום בריאות הנפש לאחר החלת הרפורמה בבריאות הנפש", מכון מאיירס-ג'וינט-ברוקדייל (נובמבר 2018).</w:t>
      </w:r>
    </w:p>
  </w:footnote>
  <w:footnote w:id="104">
    <w:p w14:paraId="08898ED1" w14:textId="77777777" w:rsidR="00D62253" w:rsidRPr="00B56722" w:rsidRDefault="00D62253" w:rsidP="00B56722">
      <w:pPr>
        <w:pStyle w:val="a9"/>
      </w:pPr>
      <w:r w:rsidRPr="00B56722">
        <w:rPr>
          <w:rStyle w:val="FootnoteReference"/>
          <w:vertAlign w:val="baseline"/>
        </w:rPr>
        <w:footnoteRef/>
      </w:r>
      <w:r w:rsidRPr="00B56722">
        <w:rPr>
          <w:rtl/>
        </w:rPr>
        <w:t xml:space="preserve"> </w:t>
      </w:r>
      <w:r w:rsidRPr="00B56722">
        <w:rPr>
          <w:rtl/>
        </w:rPr>
        <w:tab/>
        <w:t>כגון</w:t>
      </w:r>
      <w:r w:rsidRPr="00B56722">
        <w:rPr>
          <w:rFonts w:hint="cs"/>
          <w:rtl/>
        </w:rPr>
        <w:t>:</w:t>
      </w:r>
      <w:r w:rsidRPr="00B56722">
        <w:rPr>
          <w:rtl/>
        </w:rPr>
        <w:t xml:space="preserve"> איתור וטיפול במצבים דחופים בפסיכיאטריה</w:t>
      </w:r>
      <w:r w:rsidRPr="00B56722">
        <w:rPr>
          <w:rFonts w:hint="cs"/>
          <w:rtl/>
        </w:rPr>
        <w:t>;</w:t>
      </w:r>
      <w:r w:rsidRPr="00B56722">
        <w:rPr>
          <w:rtl/>
        </w:rPr>
        <w:t xml:space="preserve"> מצבים </w:t>
      </w:r>
      <w:r w:rsidRPr="00B56722">
        <w:rPr>
          <w:rFonts w:hint="cs"/>
          <w:rtl/>
        </w:rPr>
        <w:t>פסיכוטיי</w:t>
      </w:r>
      <w:r w:rsidRPr="00B56722">
        <w:rPr>
          <w:rFonts w:hint="eastAsia"/>
          <w:rtl/>
        </w:rPr>
        <w:t>ם</w:t>
      </w:r>
      <w:r w:rsidRPr="00B56722">
        <w:rPr>
          <w:rFonts w:hint="cs"/>
          <w:rtl/>
        </w:rPr>
        <w:t>;</w:t>
      </w:r>
      <w:r w:rsidRPr="00B56722">
        <w:rPr>
          <w:rtl/>
        </w:rPr>
        <w:t xml:space="preserve"> פוסט טראומה</w:t>
      </w:r>
      <w:r w:rsidRPr="00B56722">
        <w:rPr>
          <w:rFonts w:hint="cs"/>
          <w:rtl/>
        </w:rPr>
        <w:t>;</w:t>
      </w:r>
      <w:r w:rsidRPr="00B56722">
        <w:rPr>
          <w:rtl/>
        </w:rPr>
        <w:t xml:space="preserve"> דיכאון</w:t>
      </w:r>
      <w:r w:rsidRPr="00B56722">
        <w:rPr>
          <w:rFonts w:hint="cs"/>
          <w:rtl/>
        </w:rPr>
        <w:t>;</w:t>
      </w:r>
      <w:r w:rsidRPr="00B56722">
        <w:rPr>
          <w:rtl/>
        </w:rPr>
        <w:t xml:space="preserve"> מניעת אובדנות</w:t>
      </w:r>
      <w:r w:rsidRPr="00B56722">
        <w:rPr>
          <w:rFonts w:hint="cs"/>
          <w:rtl/>
        </w:rPr>
        <w:t>;</w:t>
      </w:r>
      <w:r w:rsidRPr="00B56722">
        <w:rPr>
          <w:rtl/>
        </w:rPr>
        <w:t xml:space="preserve"> פסיכיאטריה מגדרית</w:t>
      </w:r>
      <w:r w:rsidRPr="00B56722">
        <w:rPr>
          <w:rFonts w:hint="cs"/>
          <w:rtl/>
        </w:rPr>
        <w:t>;</w:t>
      </w:r>
      <w:r w:rsidRPr="00B56722">
        <w:rPr>
          <w:rtl/>
        </w:rPr>
        <w:t xml:space="preserve"> פסיכוגריאטריה; הפרעות אכילה; מצבי מסוכנות; דיכאון אחרי לידה</w:t>
      </w:r>
      <w:r w:rsidRPr="00B56722">
        <w:rPr>
          <w:rFonts w:hint="cs"/>
          <w:rtl/>
        </w:rPr>
        <w:t>;</w:t>
      </w:r>
      <w:r w:rsidRPr="00B56722">
        <w:rPr>
          <w:rtl/>
        </w:rPr>
        <w:t xml:space="preserve"> ותחלואות גופניות.</w:t>
      </w:r>
    </w:p>
  </w:footnote>
  <w:footnote w:id="105">
    <w:p w14:paraId="2038AA2A" w14:textId="77777777" w:rsidR="00D62253" w:rsidRPr="00B56722" w:rsidRDefault="00D62253" w:rsidP="00B56722">
      <w:pPr>
        <w:pStyle w:val="a9"/>
      </w:pPr>
      <w:r w:rsidRPr="00B56722">
        <w:rPr>
          <w:rStyle w:val="FootnoteReference"/>
          <w:vertAlign w:val="baseline"/>
        </w:rPr>
        <w:footnoteRef/>
      </w:r>
      <w:r w:rsidRPr="00B56722">
        <w:rPr>
          <w:rtl/>
        </w:rPr>
        <w:t xml:space="preserve"> </w:t>
      </w:r>
      <w:r w:rsidRPr="00B56722">
        <w:rPr>
          <w:rtl/>
        </w:rPr>
        <w:tab/>
      </w:r>
      <w:r w:rsidRPr="00B56722">
        <w:rPr>
          <w:rFonts w:hint="cs"/>
          <w:rtl/>
        </w:rPr>
        <w:t>כגון נהלים והנחיות; טפסים וחומרי שיווק; מידע על ערוצי הטיפול; שאלוני איתור הפרעות נפשיות וקישור לאתר פנימי של הקופה המספק מידע בתחום.</w:t>
      </w:r>
    </w:p>
  </w:footnote>
  <w:footnote w:id="106">
    <w:p w14:paraId="38E4D69D"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cs"/>
          <w:rtl/>
        </w:rPr>
        <w:t xml:space="preserve">ראו גם מבקר המדינה </w:t>
      </w:r>
      <w:r w:rsidRPr="00B56722">
        <w:rPr>
          <w:rFonts w:hint="cs"/>
          <w:b/>
          <w:bCs/>
          <w:rtl/>
        </w:rPr>
        <w:t>דוח שנתי 68ג</w:t>
      </w:r>
      <w:r w:rsidRPr="00B56722">
        <w:rPr>
          <w:rFonts w:hint="cs"/>
          <w:rtl/>
        </w:rPr>
        <w:t xml:space="preserve"> (2018), בפרק "</w:t>
      </w:r>
      <w:r w:rsidRPr="00B56722">
        <w:rPr>
          <w:rtl/>
        </w:rPr>
        <w:t>מערך האשפוז בבתי החולים הממשלתיים לבריאות הנפש</w:t>
      </w:r>
      <w:r w:rsidRPr="00B56722">
        <w:rPr>
          <w:rFonts w:hint="cs"/>
          <w:rtl/>
        </w:rPr>
        <w:t>", עמ' 531.</w:t>
      </w:r>
    </w:p>
  </w:footnote>
  <w:footnote w:id="107">
    <w:p w14:paraId="3E0A1835"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cs"/>
          <w:rtl/>
        </w:rPr>
        <w:t>מתוך</w:t>
      </w:r>
      <w:r w:rsidRPr="00B56722">
        <w:rPr>
          <w:rtl/>
        </w:rPr>
        <w:t xml:space="preserve"> </w:t>
      </w:r>
      <w:r w:rsidRPr="00B56722">
        <w:rPr>
          <w:rFonts w:hint="cs"/>
          <w:rtl/>
        </w:rPr>
        <w:t>פרסום</w:t>
      </w:r>
      <w:r w:rsidRPr="00B56722">
        <w:rPr>
          <w:rtl/>
        </w:rPr>
        <w:t xml:space="preserve"> </w:t>
      </w:r>
      <w:r w:rsidRPr="00B56722">
        <w:rPr>
          <w:rFonts w:hint="cs"/>
          <w:rtl/>
        </w:rPr>
        <w:t>ארגון</w:t>
      </w:r>
      <w:r w:rsidRPr="00B56722">
        <w:rPr>
          <w:rtl/>
        </w:rPr>
        <w:t xml:space="preserve"> </w:t>
      </w:r>
      <w:r w:rsidRPr="00B56722">
        <w:rPr>
          <w:rFonts w:hint="cs"/>
          <w:rtl/>
        </w:rPr>
        <w:t>ה</w:t>
      </w:r>
      <w:r w:rsidRPr="00B56722">
        <w:rPr>
          <w:rtl/>
        </w:rPr>
        <w:t>-</w:t>
      </w:r>
      <w:r w:rsidRPr="00B56722">
        <w:t>OECD</w:t>
      </w:r>
      <w:r w:rsidRPr="00B56722">
        <w:rPr>
          <w:rFonts w:hint="cs"/>
          <w:rtl/>
        </w:rPr>
        <w:t xml:space="preserve"> (</w:t>
      </w:r>
      <w:r w:rsidRPr="00B56722">
        <w:t>Health Data</w:t>
      </w:r>
      <w:r w:rsidRPr="00B56722">
        <w:rPr>
          <w:rFonts w:hint="cs"/>
          <w:rtl/>
        </w:rPr>
        <w:t xml:space="preserve">) </w:t>
      </w:r>
      <w:r w:rsidRPr="00B56722">
        <w:rPr>
          <w:rtl/>
        </w:rPr>
        <w:t xml:space="preserve">נתונים על מומחים בתחומי רפואה שונים לרבות בפסיכיאטריה, </w:t>
      </w:r>
      <w:r w:rsidRPr="00B56722">
        <w:rPr>
          <w:rFonts w:hint="cs"/>
          <w:rtl/>
        </w:rPr>
        <w:t>ו</w:t>
      </w:r>
      <w:r w:rsidRPr="00B56722">
        <w:rPr>
          <w:rtl/>
        </w:rPr>
        <w:t>לרבות נתוני הלשכה המרכזית לסטטיסטיקה בישראל</w:t>
      </w:r>
      <w:r w:rsidRPr="00B56722">
        <w:rPr>
          <w:rFonts w:hint="cs"/>
          <w:rtl/>
        </w:rPr>
        <w:t>.</w:t>
      </w:r>
    </w:p>
  </w:footnote>
  <w:footnote w:id="108">
    <w:p w14:paraId="244F748F" w14:textId="77777777" w:rsidR="00D62253" w:rsidRPr="00AD2403" w:rsidRDefault="00D62253" w:rsidP="00B56722">
      <w:pPr>
        <w:pStyle w:val="a9"/>
      </w:pPr>
      <w:r w:rsidRPr="00B56722">
        <w:footnoteRef/>
      </w:r>
      <w:r w:rsidRPr="00B56722">
        <w:rPr>
          <w:rtl/>
        </w:rPr>
        <w:t xml:space="preserve"> </w:t>
      </w:r>
      <w:r w:rsidRPr="00B56722">
        <w:rPr>
          <w:rtl/>
        </w:rPr>
        <w:tab/>
      </w:r>
      <w:r w:rsidRPr="00AD2403">
        <w:rPr>
          <w:rtl/>
        </w:rPr>
        <w:t xml:space="preserve">מבקר המדינה, </w:t>
      </w:r>
      <w:r w:rsidRPr="00AD2403">
        <w:rPr>
          <w:b/>
          <w:bCs/>
          <w:rtl/>
        </w:rPr>
        <w:t>דוח שנתי 68ג</w:t>
      </w:r>
      <w:r w:rsidRPr="00AD2403">
        <w:rPr>
          <w:rtl/>
        </w:rPr>
        <w:t xml:space="preserve"> (2018), בפרק "מערך האשפוז בבתי החולים הממשלתיים לבריאות הנפש"</w:t>
      </w:r>
      <w:r>
        <w:rPr>
          <w:rFonts w:hint="cs"/>
          <w:rtl/>
        </w:rPr>
        <w:t>,</w:t>
      </w:r>
      <w:r w:rsidRPr="00AD2403">
        <w:rPr>
          <w:rtl/>
        </w:rPr>
        <w:t xml:space="preserve"> עמ' 531; </w:t>
      </w:r>
      <w:r w:rsidRPr="00AD2403">
        <w:rPr>
          <w:b/>
          <w:bCs/>
          <w:rtl/>
        </w:rPr>
        <w:t>דוח שנתי 60ב</w:t>
      </w:r>
      <w:r w:rsidRPr="00AD2403">
        <w:rPr>
          <w:rtl/>
        </w:rPr>
        <w:t xml:space="preserve"> (2010), בפרק "סוגי</w:t>
      </w:r>
      <w:r>
        <w:rPr>
          <w:rFonts w:hint="cs"/>
          <w:rtl/>
        </w:rPr>
        <w:t>ו</w:t>
      </w:r>
      <w:r w:rsidRPr="00AD2403">
        <w:rPr>
          <w:rtl/>
        </w:rPr>
        <w:t>ת בתחום בריאות הנפש", עמ' 545.</w:t>
      </w:r>
    </w:p>
  </w:footnote>
  <w:footnote w:id="109">
    <w:p w14:paraId="17375A7C"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r>
      <w:r w:rsidRPr="00B56722">
        <w:rPr>
          <w:rFonts w:hint="cs"/>
          <w:rtl/>
        </w:rPr>
        <w:t>משרד הבריאות, "כוח אדם במקצועות הבריאות 2018" (יולי 2019).</w:t>
      </w:r>
    </w:p>
  </w:footnote>
  <w:footnote w:id="110">
    <w:p w14:paraId="4196F3EE" w14:textId="77777777" w:rsidR="00D62253" w:rsidRPr="00B56722" w:rsidRDefault="00D62253" w:rsidP="00B56722">
      <w:pPr>
        <w:pStyle w:val="a9"/>
        <w:rPr>
          <w:rtl/>
        </w:rPr>
      </w:pPr>
      <w:r w:rsidRPr="00B56722">
        <w:rPr>
          <w:rStyle w:val="FootnoteReference"/>
          <w:vertAlign w:val="baseline"/>
        </w:rPr>
        <w:footnoteRef/>
      </w:r>
      <w:r w:rsidRPr="00B56722">
        <w:rPr>
          <w:rFonts w:hint="cs"/>
          <w:rtl/>
        </w:rPr>
        <w:t xml:space="preserve"> </w:t>
      </w:r>
      <w:r w:rsidRPr="00B56722">
        <w:rPr>
          <w:rFonts w:hint="cs"/>
          <w:rtl/>
        </w:rPr>
        <w:tab/>
        <w:t>משרד הבריאות, "</w:t>
      </w:r>
      <w:r w:rsidRPr="00B56722">
        <w:rPr>
          <w:rtl/>
        </w:rPr>
        <w:t>דוח הוועדה לתכנון כוח אדם</w:t>
      </w:r>
      <w:r w:rsidRPr="00B56722">
        <w:rPr>
          <w:rFonts w:hint="cs"/>
          <w:rtl/>
        </w:rPr>
        <w:t xml:space="preserve"> </w:t>
      </w:r>
      <w:r w:rsidRPr="00B56722">
        <w:rPr>
          <w:rtl/>
        </w:rPr>
        <w:t>רפואי וסיעודי בישראל</w:t>
      </w:r>
      <w:r w:rsidRPr="00B56722">
        <w:rPr>
          <w:rFonts w:hint="cs"/>
          <w:rtl/>
        </w:rPr>
        <w:t xml:space="preserve">" (יוני 2010). </w:t>
      </w:r>
    </w:p>
  </w:footnote>
  <w:footnote w:id="111">
    <w:p w14:paraId="5718C3BB" w14:textId="743815F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t>מ</w:t>
      </w:r>
      <w:r w:rsidRPr="005C34B8">
        <w:rPr>
          <w:rtl/>
        </w:rPr>
        <w:t xml:space="preserve">בקר המדינה, </w:t>
      </w:r>
      <w:r w:rsidRPr="00C441B1">
        <w:rPr>
          <w:b/>
          <w:bCs/>
          <w:rtl/>
        </w:rPr>
        <w:t>דוח שנתי 68ג</w:t>
      </w:r>
      <w:r w:rsidRPr="005C34B8">
        <w:rPr>
          <w:rtl/>
        </w:rPr>
        <w:t xml:space="preserve"> (2018), בפרק "מערך האשפוז בבתי החולים הממשלתיים לבריאות הנפש", </w:t>
      </w:r>
      <w:r>
        <w:rPr>
          <w:rFonts w:hint="cs"/>
          <w:rtl/>
        </w:rPr>
        <w:br/>
      </w:r>
      <w:r w:rsidRPr="005C34B8">
        <w:rPr>
          <w:rtl/>
        </w:rPr>
        <w:t xml:space="preserve">עמ' </w:t>
      </w:r>
      <w:r w:rsidRPr="00B56722">
        <w:rPr>
          <w:rtl/>
        </w:rPr>
        <w:t>531</w:t>
      </w:r>
      <w:r w:rsidRPr="00B56722">
        <w:rPr>
          <w:rFonts w:hint="cs"/>
          <w:rtl/>
        </w:rPr>
        <w:t xml:space="preserve">. </w:t>
      </w:r>
    </w:p>
  </w:footnote>
  <w:footnote w:id="112">
    <w:p w14:paraId="6C19C7B4" w14:textId="77777777" w:rsidR="00D62253" w:rsidRPr="00B56722" w:rsidRDefault="00D62253" w:rsidP="00B56722">
      <w:pPr>
        <w:pStyle w:val="a9"/>
        <w:rPr>
          <w:rtl/>
        </w:rPr>
      </w:pPr>
      <w:r w:rsidRPr="00B56722">
        <w:rPr>
          <w:rStyle w:val="FootnoteReference"/>
          <w:vertAlign w:val="baseline"/>
        </w:rPr>
        <w:footnoteRef/>
      </w:r>
      <w:r w:rsidRPr="00B56722">
        <w:rPr>
          <w:rtl/>
        </w:rPr>
        <w:t xml:space="preserve"> </w:t>
      </w:r>
      <w:r w:rsidRPr="00B56722">
        <w:rPr>
          <w:rtl/>
        </w:rPr>
        <w:tab/>
        <w:t xml:space="preserve">לפי נתוני מינהל תכנון אסטרטגי וכלכלי במשרד הבריאות </w:t>
      </w:r>
      <w:r w:rsidRPr="00B56722">
        <w:rPr>
          <w:rFonts w:hint="cs"/>
          <w:rtl/>
        </w:rPr>
        <w:t>(</w:t>
      </w:r>
      <w:r w:rsidRPr="00B56722">
        <w:rPr>
          <w:rtl/>
        </w:rPr>
        <w:t>פברואר 2018</w:t>
      </w:r>
      <w:r w:rsidRPr="00B56722">
        <w:rPr>
          <w:rFonts w:hint="cs"/>
          <w:rtl/>
        </w:rPr>
        <w:t>)</w:t>
      </w:r>
      <w:r w:rsidRPr="00B56722">
        <w:rPr>
          <w:rtl/>
        </w:rPr>
        <w:t>.</w:t>
      </w:r>
      <w:r w:rsidRPr="00B56722">
        <w:rPr>
          <w:rFonts w:hint="cs"/>
          <w:rtl/>
        </w:rPr>
        <w:t xml:space="preserve"> </w:t>
      </w:r>
    </w:p>
  </w:footnote>
  <w:footnote w:id="113">
    <w:p w14:paraId="340F3E60"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 xml:space="preserve">מבקר המדינה, </w:t>
      </w:r>
      <w:r w:rsidRPr="009B6E28">
        <w:rPr>
          <w:b/>
          <w:bCs/>
          <w:rtl/>
        </w:rPr>
        <w:t>דוח שנתי 68ג</w:t>
      </w:r>
      <w:r w:rsidRPr="009B6E28">
        <w:rPr>
          <w:rtl/>
        </w:rPr>
        <w:t xml:space="preserve"> (2018), בפרק "מערך האשפוז בבתי החולים הממשלתיים לבריאות הנפש"</w:t>
      </w:r>
      <w:r w:rsidRPr="009B6E28">
        <w:rPr>
          <w:rFonts w:hint="cs"/>
          <w:rtl/>
        </w:rPr>
        <w:t>,</w:t>
      </w:r>
      <w:r w:rsidRPr="009B6E28">
        <w:rPr>
          <w:rtl/>
        </w:rPr>
        <w:t xml:space="preserve"> עמ' 531</w:t>
      </w:r>
      <w:r w:rsidRPr="009B6E28">
        <w:rPr>
          <w:rFonts w:hint="cs"/>
          <w:rtl/>
        </w:rPr>
        <w:t>.</w:t>
      </w:r>
    </w:p>
  </w:footnote>
  <w:footnote w:id="114">
    <w:p w14:paraId="47D8B7A0" w14:textId="77777777" w:rsidR="00D62253" w:rsidRDefault="00D62253" w:rsidP="009B6E28">
      <w:pPr>
        <w:pStyle w:val="a9"/>
      </w:pPr>
      <w:r w:rsidRPr="009B6E28">
        <w:rPr>
          <w:rStyle w:val="FootnoteReference"/>
          <w:vertAlign w:val="baseline"/>
        </w:rPr>
        <w:footnoteRef/>
      </w:r>
      <w:r w:rsidRPr="009B6E28">
        <w:rPr>
          <w:rtl/>
        </w:rPr>
        <w:t xml:space="preserve"> </w:t>
      </w:r>
      <w:r w:rsidRPr="009B6E28">
        <w:rPr>
          <w:rtl/>
        </w:rPr>
        <w:tab/>
        <w:t>החטיבה מיועדת לאשפוז מטופלים קשים ביותר</w:t>
      </w:r>
      <w:r w:rsidRPr="009B6E28">
        <w:rPr>
          <w:rFonts w:hint="cs"/>
          <w:rtl/>
        </w:rPr>
        <w:t>,</w:t>
      </w:r>
      <w:r w:rsidRPr="009B6E28">
        <w:rPr>
          <w:rtl/>
        </w:rPr>
        <w:t xml:space="preserve"> </w:t>
      </w:r>
      <w:r w:rsidRPr="009B6E28">
        <w:rPr>
          <w:rFonts w:hint="cs"/>
          <w:rtl/>
        </w:rPr>
        <w:t>ש</w:t>
      </w:r>
      <w:r w:rsidRPr="009B6E28">
        <w:rPr>
          <w:rtl/>
        </w:rPr>
        <w:t>לכולם רכיב של אלימות בהתנהגותם עם מוטיבים של התנהגות עבריינית והם מסכנים את עצמם ואת סביבתם</w:t>
      </w:r>
      <w:r w:rsidRPr="009B6E28">
        <w:rPr>
          <w:rFonts w:hint="cs"/>
          <w:rtl/>
        </w:rPr>
        <w:t>. לא יינתן כפל מענק, רופא שקיבל מענק להתמחות</w:t>
      </w:r>
      <w:r>
        <w:rPr>
          <w:rFonts w:hint="cs"/>
          <w:rtl/>
        </w:rPr>
        <w:t xml:space="preserve"> בתחום לא יקבל מענק כמומחה בתחום במחלקות לביטחון מירבי. </w:t>
      </w:r>
    </w:p>
  </w:footnote>
  <w:footnote w:id="115">
    <w:p w14:paraId="60094B4A"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תחומי ההתמחות בפסיכולוגיה הם</w:t>
      </w:r>
      <w:r w:rsidRPr="009B6E28">
        <w:rPr>
          <w:rFonts w:hint="cs"/>
          <w:rtl/>
        </w:rPr>
        <w:t>:</w:t>
      </w:r>
      <w:r w:rsidRPr="009B6E28">
        <w:rPr>
          <w:rtl/>
        </w:rPr>
        <w:t xml:space="preserve"> קלינית באבחון; קלינית בטיפול; התפתחותית; חינוכית; רפואית; שיקומית; חברתית-תעסוקתית-ארגונית</w:t>
      </w:r>
      <w:r w:rsidRPr="009B6E28">
        <w:rPr>
          <w:rFonts w:hint="cs"/>
          <w:rtl/>
        </w:rPr>
        <w:t>.</w:t>
      </w:r>
    </w:p>
  </w:footnote>
  <w:footnote w:id="116">
    <w:p w14:paraId="5F9A51BD"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 xml:space="preserve">משרד הבריאות, "כוח אדם במקצועות הבריאות 2018" </w:t>
      </w:r>
      <w:r w:rsidRPr="009B6E28">
        <w:rPr>
          <w:rFonts w:hint="cs"/>
          <w:rtl/>
        </w:rPr>
        <w:t>(</w:t>
      </w:r>
      <w:r w:rsidRPr="009B6E28">
        <w:rPr>
          <w:rtl/>
        </w:rPr>
        <w:t>יולי 2019</w:t>
      </w:r>
      <w:r w:rsidRPr="009B6E28">
        <w:rPr>
          <w:rFonts w:hint="cs"/>
          <w:rtl/>
        </w:rPr>
        <w:t>).</w:t>
      </w:r>
    </w:p>
  </w:footnote>
  <w:footnote w:id="117">
    <w:p w14:paraId="3E3EA32A"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 xml:space="preserve">משרד הבריאות, "כוח אדם במקצועות הבריאות 2015" </w:t>
      </w:r>
      <w:r w:rsidRPr="009B6E28">
        <w:rPr>
          <w:rFonts w:hint="cs"/>
          <w:rtl/>
        </w:rPr>
        <w:t>(</w:t>
      </w:r>
      <w:r w:rsidRPr="009B6E28">
        <w:rPr>
          <w:rtl/>
        </w:rPr>
        <w:t>נובמבר 2016</w:t>
      </w:r>
      <w:r w:rsidRPr="009B6E28">
        <w:rPr>
          <w:rFonts w:hint="cs"/>
          <w:rtl/>
        </w:rPr>
        <w:t>)</w:t>
      </w:r>
      <w:r w:rsidRPr="009B6E28">
        <w:rPr>
          <w:rtl/>
        </w:rPr>
        <w:t>.</w:t>
      </w:r>
    </w:p>
  </w:footnote>
  <w:footnote w:id="118">
    <w:p w14:paraId="0406647E" w14:textId="7D8029C5"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r>
      <w:r w:rsidRPr="009B6E28">
        <w:rPr>
          <w:rFonts w:hint="cs"/>
          <w:rtl/>
        </w:rPr>
        <w:t xml:space="preserve">כיום </w:t>
      </w:r>
      <w:r w:rsidRPr="009B6E28">
        <w:rPr>
          <w:rtl/>
        </w:rPr>
        <w:t xml:space="preserve">המעסיקים </w:t>
      </w:r>
      <w:r>
        <w:rPr>
          <w:rFonts w:hint="cs"/>
          <w:rtl/>
        </w:rPr>
        <w:t>ומשרד הבריאות</w:t>
      </w:r>
      <w:r w:rsidRPr="009B6E28">
        <w:rPr>
          <w:rtl/>
        </w:rPr>
        <w:t xml:space="preserve"> </w:t>
      </w:r>
      <w:r w:rsidRPr="009B6E28">
        <w:rPr>
          <w:rFonts w:hint="cs"/>
          <w:rtl/>
        </w:rPr>
        <w:t>נושאים</w:t>
      </w:r>
      <w:r w:rsidRPr="009B6E28">
        <w:rPr>
          <w:rtl/>
        </w:rPr>
        <w:t xml:space="preserve"> בעלות המלגות בחלקים שווים (50%-50%)</w:t>
      </w:r>
      <w:r w:rsidRPr="009B6E28">
        <w:rPr>
          <w:rFonts w:hint="cs"/>
          <w:rtl/>
        </w:rPr>
        <w:t>.</w:t>
      </w:r>
    </w:p>
  </w:footnote>
  <w:footnote w:id="119">
    <w:p w14:paraId="0449EE46" w14:textId="77777777" w:rsidR="00D62253"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r>
      <w:r w:rsidRPr="009B6E28">
        <w:rPr>
          <w:rFonts w:hint="cs"/>
          <w:rtl/>
        </w:rPr>
        <w:t>נייר עמדה מטעם הסתדרות הפסיכולוגים, התנועה למען הפסיכולוגיה הציבורית וחטיבת הפסיכולוגים בהסתדרות המח"ר בנושא "צורך דחוף בתוכנית לאומית לגיוס פסיכולוגים קליניים למערך בריאות הנפש הציבורי" (מאי</w:t>
      </w:r>
      <w:r>
        <w:rPr>
          <w:rFonts w:hint="cs"/>
          <w:rtl/>
        </w:rPr>
        <w:t xml:space="preserve"> 2019).</w:t>
      </w:r>
    </w:p>
  </w:footnote>
  <w:footnote w:id="120">
    <w:p w14:paraId="2346A542"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רא</w:t>
      </w:r>
      <w:r w:rsidRPr="009B6E28">
        <w:rPr>
          <w:rFonts w:hint="cs"/>
          <w:rtl/>
        </w:rPr>
        <w:t>ו</w:t>
      </w:r>
      <w:r w:rsidRPr="009B6E28">
        <w:rPr>
          <w:rtl/>
        </w:rPr>
        <w:t xml:space="preserve"> גם אירית אלרואי ואח', "שירותי בריאות הנפש בקופות החולים שנתיים לאחר הפעלת הרפורמה - בין מדיניות ליישום", מאיירס-ג'ויינט-ברוקדייל </w:t>
      </w:r>
      <w:r w:rsidRPr="009B6E28">
        <w:rPr>
          <w:rFonts w:hint="cs"/>
          <w:rtl/>
        </w:rPr>
        <w:t>(ינואר 2019).</w:t>
      </w:r>
    </w:p>
  </w:footnote>
  <w:footnote w:id="121">
    <w:p w14:paraId="683EA6CC"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r>
      <w:r w:rsidRPr="009B6E28">
        <w:rPr>
          <w:rFonts w:hint="cs"/>
          <w:rtl/>
        </w:rPr>
        <w:t xml:space="preserve">הפסיכולוג הארצי במשרד הבריאות מסר למשרד מבקר המדינה </w:t>
      </w:r>
      <w:r w:rsidRPr="009B6E28">
        <w:rPr>
          <w:rtl/>
        </w:rPr>
        <w:t>201</w:t>
      </w:r>
      <w:r w:rsidRPr="009B6E28">
        <w:rPr>
          <w:rFonts w:hint="cs"/>
          <w:rtl/>
        </w:rPr>
        <w:t xml:space="preserve">9 כי </w:t>
      </w:r>
      <w:r w:rsidRPr="009B6E28">
        <w:rPr>
          <w:rtl/>
        </w:rPr>
        <w:t>בשנת 2017 נערכו כ-200 מכרזים לפסיכולוגים בש</w:t>
      </w:r>
      <w:r w:rsidRPr="009B6E28">
        <w:rPr>
          <w:rFonts w:hint="cs"/>
          <w:rtl/>
        </w:rPr>
        <w:t>י</w:t>
      </w:r>
      <w:r w:rsidRPr="009B6E28">
        <w:rPr>
          <w:rtl/>
        </w:rPr>
        <w:t>רות הציבורי</w:t>
      </w:r>
      <w:r w:rsidRPr="009B6E28">
        <w:rPr>
          <w:rFonts w:hint="cs"/>
          <w:rtl/>
        </w:rPr>
        <w:t xml:space="preserve">, רק ל-100 מהם </w:t>
      </w:r>
      <w:r w:rsidRPr="009B6E28">
        <w:rPr>
          <w:rtl/>
        </w:rPr>
        <w:t>נ</w:t>
      </w:r>
      <w:r w:rsidRPr="009B6E28">
        <w:rPr>
          <w:rFonts w:hint="cs"/>
          <w:rtl/>
        </w:rPr>
        <w:t>י</w:t>
      </w:r>
      <w:r w:rsidRPr="009B6E28">
        <w:rPr>
          <w:rtl/>
        </w:rPr>
        <w:t xml:space="preserve">גשו </w:t>
      </w:r>
      <w:r w:rsidRPr="009B6E28">
        <w:rPr>
          <w:rFonts w:hint="cs"/>
          <w:rtl/>
        </w:rPr>
        <w:t xml:space="preserve">מועמדים </w:t>
      </w:r>
      <w:r w:rsidRPr="009B6E28">
        <w:rPr>
          <w:rtl/>
        </w:rPr>
        <w:t>ו</w:t>
      </w:r>
      <w:r w:rsidRPr="009B6E28">
        <w:rPr>
          <w:rFonts w:hint="cs"/>
          <w:rtl/>
        </w:rPr>
        <w:t>ב</w:t>
      </w:r>
      <w:r w:rsidRPr="009B6E28">
        <w:rPr>
          <w:rtl/>
        </w:rPr>
        <w:t xml:space="preserve">-70% </w:t>
      </w:r>
      <w:r w:rsidRPr="009B6E28">
        <w:rPr>
          <w:rFonts w:hint="cs"/>
          <w:rtl/>
        </w:rPr>
        <w:t>מהמכרזים</w:t>
      </w:r>
      <w:r w:rsidRPr="009B6E28">
        <w:rPr>
          <w:rtl/>
        </w:rPr>
        <w:t xml:space="preserve"> ניגש מועמד יחיד</w:t>
      </w:r>
      <w:r w:rsidRPr="009B6E28">
        <w:rPr>
          <w:rFonts w:hint="cs"/>
          <w:rtl/>
        </w:rPr>
        <w:t>.</w:t>
      </w:r>
    </w:p>
  </w:footnote>
  <w:footnote w:id="122">
    <w:p w14:paraId="4691C76F" w14:textId="77777777" w:rsidR="00D62253"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t>מדובר</w:t>
      </w:r>
      <w:r w:rsidRPr="001B5158">
        <w:rPr>
          <w:rtl/>
        </w:rPr>
        <w:t xml:space="preserve"> בעלי</w:t>
      </w:r>
      <w:r>
        <w:rPr>
          <w:rFonts w:hint="cs"/>
          <w:rtl/>
        </w:rPr>
        <w:t>י</w:t>
      </w:r>
      <w:r w:rsidRPr="001B5158">
        <w:rPr>
          <w:rtl/>
        </w:rPr>
        <w:t xml:space="preserve">ה </w:t>
      </w:r>
      <w:r>
        <w:rPr>
          <w:rFonts w:hint="cs"/>
          <w:rtl/>
        </w:rPr>
        <w:t>בהשוואה</w:t>
      </w:r>
      <w:r w:rsidRPr="001B5158">
        <w:rPr>
          <w:rtl/>
        </w:rPr>
        <w:t xml:space="preserve"> </w:t>
      </w:r>
      <w:r>
        <w:rPr>
          <w:rFonts w:hint="cs"/>
          <w:rtl/>
        </w:rPr>
        <w:t>ל</w:t>
      </w:r>
      <w:r w:rsidRPr="001B5158">
        <w:rPr>
          <w:rtl/>
        </w:rPr>
        <w:t>שנת 2012, אז היו 37 פסיכולוגים קליניים בלבד במגזר הערבי.</w:t>
      </w:r>
    </w:p>
  </w:footnote>
  <w:footnote w:id="123">
    <w:p w14:paraId="619CD9AB" w14:textId="77777777" w:rsidR="00D62253" w:rsidRPr="009B6E28" w:rsidRDefault="00D62253" w:rsidP="009B6E28">
      <w:pPr>
        <w:pStyle w:val="a9"/>
        <w:rPr>
          <w:rtl/>
        </w:rPr>
      </w:pPr>
      <w:r w:rsidRPr="009B6E28">
        <w:rPr>
          <w:rStyle w:val="FootnoteReference"/>
          <w:vertAlign w:val="baseline"/>
        </w:rPr>
        <w:footnoteRef/>
      </w:r>
      <w:r w:rsidRPr="009B6E28">
        <w:rPr>
          <w:rtl/>
        </w:rPr>
        <w:t xml:space="preserve"> </w:t>
      </w:r>
      <w:r w:rsidRPr="009B6E28">
        <w:rPr>
          <w:rtl/>
        </w:rPr>
        <w:tab/>
      </w:r>
      <w:r w:rsidRPr="009B6E28">
        <w:rPr>
          <w:rFonts w:hint="cs"/>
          <w:rtl/>
        </w:rPr>
        <w:t>ללא אלו המועסקים על ידי קופות החולים, עמותות וארגונים.</w:t>
      </w:r>
    </w:p>
  </w:footnote>
  <w:footnote w:id="124">
    <w:p w14:paraId="595767FC" w14:textId="77777777" w:rsidR="00D62253" w:rsidRPr="009B6E28" w:rsidRDefault="00D62253" w:rsidP="009B6E28">
      <w:pPr>
        <w:pStyle w:val="a9"/>
      </w:pPr>
      <w:r w:rsidRPr="009B6E28">
        <w:rPr>
          <w:rStyle w:val="FootnoteReference"/>
          <w:vertAlign w:val="baseline"/>
        </w:rPr>
        <w:footnoteRef/>
      </w:r>
      <w:r w:rsidRPr="009B6E28">
        <w:rPr>
          <w:rtl/>
        </w:rPr>
        <w:t xml:space="preserve"> </w:t>
      </w:r>
      <w:r w:rsidRPr="009B6E28">
        <w:rPr>
          <w:rtl/>
        </w:rPr>
        <w:tab/>
        <w:t>בהשתתפות נציגי אקדמיה, מל"ג</w:t>
      </w:r>
      <w:r w:rsidRPr="009B6E28">
        <w:rPr>
          <w:rFonts w:hint="cs"/>
          <w:rtl/>
        </w:rPr>
        <w:t>,</w:t>
      </w:r>
      <w:r w:rsidRPr="009B6E28">
        <w:rPr>
          <w:rtl/>
        </w:rPr>
        <w:t xml:space="preserve"> ות"ת, משרד האוצר</w:t>
      </w:r>
      <w:r w:rsidRPr="009B6E28">
        <w:rPr>
          <w:rFonts w:hint="cs"/>
          <w:rtl/>
        </w:rPr>
        <w:t>,</w:t>
      </w:r>
      <w:r w:rsidRPr="009B6E28">
        <w:rPr>
          <w:rtl/>
        </w:rPr>
        <w:t xml:space="preserve"> משרד הכלכלה</w:t>
      </w:r>
      <w:r w:rsidRPr="009B6E28">
        <w:rPr>
          <w:rFonts w:hint="cs"/>
          <w:rtl/>
        </w:rPr>
        <w:t>,</w:t>
      </w:r>
      <w:r w:rsidRPr="009B6E28">
        <w:rPr>
          <w:rtl/>
        </w:rPr>
        <w:t xml:space="preserve"> המשרד לשוויון חברתי, מנהלי מרפאות</w:t>
      </w:r>
      <w:r w:rsidRPr="009B6E28">
        <w:rPr>
          <w:rFonts w:hint="cs"/>
          <w:rtl/>
        </w:rPr>
        <w:t>,</w:t>
      </w:r>
      <w:r w:rsidRPr="009B6E28">
        <w:rPr>
          <w:rtl/>
        </w:rPr>
        <w:t xml:space="preserve"> </w:t>
      </w:r>
      <w:r w:rsidRPr="009B6E28">
        <w:rPr>
          <w:rFonts w:hint="cs"/>
          <w:rtl/>
        </w:rPr>
        <w:t xml:space="preserve">מנהלי </w:t>
      </w:r>
      <w:r w:rsidRPr="009B6E28">
        <w:rPr>
          <w:rtl/>
        </w:rPr>
        <w:t>בתי חולים פסיכיאטר</w:t>
      </w:r>
      <w:r w:rsidRPr="009B6E28">
        <w:rPr>
          <w:rFonts w:hint="cs"/>
          <w:rtl/>
        </w:rPr>
        <w:t>י</w:t>
      </w:r>
      <w:r w:rsidRPr="009B6E28">
        <w:rPr>
          <w:rtl/>
        </w:rPr>
        <w:t>ים ונציגי קופות החולים</w:t>
      </w:r>
      <w:r w:rsidRPr="009B6E28">
        <w:rPr>
          <w:rFonts w:hint="cs"/>
          <w:rtl/>
        </w:rPr>
        <w:t>.</w:t>
      </w:r>
    </w:p>
  </w:footnote>
  <w:footnote w:id="125">
    <w:p w14:paraId="093D19D9" w14:textId="77777777" w:rsidR="00D62253" w:rsidRPr="009B6E28" w:rsidRDefault="00D62253" w:rsidP="009B6E28">
      <w:pPr>
        <w:pStyle w:val="a9"/>
      </w:pPr>
      <w:r w:rsidRPr="009B6E28">
        <w:rPr>
          <w:rStyle w:val="FootnoteReference"/>
          <w:vertAlign w:val="baseline"/>
        </w:rPr>
        <w:footnoteRef/>
      </w:r>
      <w:r w:rsidRPr="009B6E28">
        <w:rPr>
          <w:rtl/>
        </w:rPr>
        <w:t xml:space="preserve"> </w:t>
      </w:r>
      <w:r w:rsidRPr="009B6E28">
        <w:rPr>
          <w:rtl/>
        </w:rPr>
        <w:tab/>
        <w:t>בדיון שהתקיים בוועדת העבודה, הרווחה והבריאות בכנסת</w:t>
      </w:r>
      <w:r w:rsidRPr="009B6E28">
        <w:rPr>
          <w:rFonts w:hint="cs"/>
          <w:rtl/>
        </w:rPr>
        <w:t xml:space="preserve"> ב-27.11.17</w:t>
      </w:r>
      <w:r w:rsidRPr="009B6E28">
        <w:rPr>
          <w:rtl/>
        </w:rPr>
        <w:t xml:space="preserve"> הועלה הקושי הקיים בעמידה בתנאי הקבלה מ</w:t>
      </w:r>
      <w:r w:rsidRPr="009B6E28">
        <w:rPr>
          <w:rFonts w:hint="cs"/>
          <w:rtl/>
        </w:rPr>
        <w:t>ה</w:t>
      </w:r>
      <w:r w:rsidRPr="009B6E28">
        <w:rPr>
          <w:rtl/>
        </w:rPr>
        <w:t xml:space="preserve">בחינה </w:t>
      </w:r>
      <w:r w:rsidRPr="009B6E28">
        <w:rPr>
          <w:rFonts w:hint="cs"/>
          <w:rtl/>
        </w:rPr>
        <w:t>ה</w:t>
      </w:r>
      <w:r w:rsidRPr="009B6E28">
        <w:rPr>
          <w:rtl/>
        </w:rPr>
        <w:t xml:space="preserve">מקצועית ללימודי פסיכולוגיה לתואר </w:t>
      </w:r>
      <w:r w:rsidRPr="009B6E28">
        <w:rPr>
          <w:rFonts w:hint="cs"/>
          <w:rtl/>
        </w:rPr>
        <w:t>בוגר</w:t>
      </w:r>
      <w:r w:rsidRPr="009B6E28">
        <w:rPr>
          <w:rtl/>
        </w:rPr>
        <w:t xml:space="preserve"> ועוד יותר לתואר </w:t>
      </w:r>
      <w:r w:rsidRPr="009B6E28">
        <w:rPr>
          <w:rFonts w:hint="cs"/>
          <w:rtl/>
        </w:rPr>
        <w:t>מוסמך</w:t>
      </w:r>
      <w:r w:rsidRPr="009B6E28">
        <w:rPr>
          <w:rtl/>
        </w:rPr>
        <w:t>, אשר מהווים חסם עבור הסטודנטים מהמגזר הערבי.</w:t>
      </w:r>
    </w:p>
  </w:footnote>
  <w:footnote w:id="126">
    <w:p w14:paraId="08155182" w14:textId="77777777" w:rsidR="00D62253" w:rsidRDefault="00D62253" w:rsidP="009B6E28">
      <w:pPr>
        <w:pStyle w:val="a9"/>
      </w:pPr>
      <w:r w:rsidRPr="009B6E28">
        <w:rPr>
          <w:rStyle w:val="FootnoteReference"/>
          <w:vertAlign w:val="baseline"/>
        </w:rPr>
        <w:footnoteRef/>
      </w:r>
      <w:r w:rsidRPr="009B6E28">
        <w:rPr>
          <w:rtl/>
        </w:rPr>
        <w:t xml:space="preserve"> </w:t>
      </w:r>
      <w:r w:rsidRPr="009B6E28">
        <w:rPr>
          <w:rtl/>
        </w:rPr>
        <w:tab/>
      </w:r>
      <w:r w:rsidRPr="009B6E28">
        <w:rPr>
          <w:rFonts w:hint="cs"/>
          <w:rtl/>
        </w:rPr>
        <w:t>בשנת</w:t>
      </w:r>
      <w:r>
        <w:rPr>
          <w:rFonts w:hint="cs"/>
          <w:rtl/>
        </w:rPr>
        <w:t xml:space="preserve"> הלימודים התשע"ח (2018-2017) נקלטו ארבעה סטודנטים מהמגזר הערבי לתואר מוסמך בפסיכולוגיה קלינית, ובשנת הלימודים התשע"ט (2019-2018) נקלטו שלושה סטודנטים.</w:t>
      </w:r>
    </w:p>
  </w:footnote>
  <w:footnote w:id="127">
    <w:p w14:paraId="34E49A21" w14:textId="77777777" w:rsidR="00D62253" w:rsidRPr="00941454" w:rsidRDefault="00D62253" w:rsidP="00941454">
      <w:pPr>
        <w:pStyle w:val="a9"/>
      </w:pPr>
      <w:r w:rsidRPr="00941454">
        <w:rPr>
          <w:rStyle w:val="FootnoteReference"/>
          <w:vertAlign w:val="baseline"/>
        </w:rPr>
        <w:footnoteRef/>
      </w:r>
      <w:r w:rsidRPr="00941454">
        <w:rPr>
          <w:rtl/>
        </w:rPr>
        <w:t xml:space="preserve"> </w:t>
      </w:r>
      <w:r w:rsidRPr="00941454">
        <w:rPr>
          <w:rtl/>
        </w:rPr>
        <w:tab/>
      </w:r>
      <w:r w:rsidRPr="00941454">
        <w:rPr>
          <w:rFonts w:hint="cs"/>
          <w:rtl/>
        </w:rPr>
        <w:t xml:space="preserve">תוכנית פוירשטיין - תוכנית </w:t>
      </w:r>
      <w:r w:rsidRPr="00941454">
        <w:rPr>
          <w:rtl/>
        </w:rPr>
        <w:t xml:space="preserve">לקידום מועמדים בני העדה האתיופית ושילובם באוניברסיטה </w:t>
      </w:r>
      <w:r w:rsidRPr="00941454">
        <w:rPr>
          <w:rFonts w:hint="cs"/>
          <w:rtl/>
        </w:rPr>
        <w:t>ש</w:t>
      </w:r>
      <w:r w:rsidRPr="00941454">
        <w:rPr>
          <w:rtl/>
        </w:rPr>
        <w:t>במסגרתה מקבלים הסטודנטים הקלה בתנאי הקבלה; קורס אסטרטגיות למידה; תמיכה קוגניטיבית; שיעורי עזר וליווי אישי</w:t>
      </w:r>
      <w:r w:rsidRPr="00941454">
        <w:rPr>
          <w:rFonts w:hint="cs"/>
          <w:rtl/>
        </w:rPr>
        <w:t>. התוכנית פועלת בשיתוף מכון פוירשטיין, קרן אדמונד דה רוטשילד וקרנות נוספות המאפשרות לצעירים מהפריפריה או לבני העדה האתיופית להתקבל לאוניברסיטאות.</w:t>
      </w:r>
    </w:p>
  </w:footnote>
  <w:footnote w:id="128">
    <w:p w14:paraId="40F9BCC7" w14:textId="77777777" w:rsidR="00D62253" w:rsidRPr="00B6161D" w:rsidRDefault="00D62253" w:rsidP="00941454">
      <w:pPr>
        <w:pStyle w:val="a9"/>
        <w:rPr>
          <w:color w:val="FF0000"/>
        </w:rPr>
      </w:pPr>
      <w:r w:rsidRPr="00941454">
        <w:rPr>
          <w:rStyle w:val="FootnoteReference"/>
          <w:vertAlign w:val="baseline"/>
        </w:rPr>
        <w:footnoteRef/>
      </w:r>
      <w:r w:rsidRPr="00941454">
        <w:rPr>
          <w:rtl/>
        </w:rPr>
        <w:t xml:space="preserve"> </w:t>
      </w:r>
      <w:r w:rsidRPr="00941454">
        <w:rPr>
          <w:rtl/>
        </w:rPr>
        <w:tab/>
      </w:r>
      <w:r w:rsidRPr="00941454">
        <w:rPr>
          <w:rFonts w:hint="cs"/>
          <w:rtl/>
        </w:rPr>
        <w:t xml:space="preserve">במסגרת </w:t>
      </w:r>
      <w:r w:rsidRPr="00941454">
        <w:rPr>
          <w:rtl/>
        </w:rPr>
        <w:t>החלטת</w:t>
      </w:r>
      <w:r w:rsidRPr="00941454">
        <w:rPr>
          <w:rFonts w:hint="cs"/>
          <w:rtl/>
        </w:rPr>
        <w:t xml:space="preserve"> ממשלה</w:t>
      </w:r>
      <w:r w:rsidRPr="00941454">
        <w:rPr>
          <w:rtl/>
        </w:rPr>
        <w:t xml:space="preserve"> 609 בנושא </w:t>
      </w:r>
      <w:r w:rsidRPr="00941454">
        <w:rPr>
          <w:rFonts w:hint="cs"/>
          <w:rtl/>
        </w:rPr>
        <w:t>"מדיניות ממשלתית לקידום שילובם המיטבי של יוצאי אתיופיה בחברה הישראלית</w:t>
      </w:r>
      <w:r>
        <w:rPr>
          <w:rFonts w:hint="cs"/>
          <w:rtl/>
        </w:rPr>
        <w:t>" (29.10.</w:t>
      </w:r>
      <w:r w:rsidDel="00B96902">
        <w:rPr>
          <w:rFonts w:hint="cs"/>
          <w:rtl/>
        </w:rPr>
        <w:t xml:space="preserve"> </w:t>
      </w:r>
      <w:r>
        <w:rPr>
          <w:rFonts w:hint="cs"/>
          <w:rtl/>
        </w:rPr>
        <w:t xml:space="preserve">15). </w:t>
      </w:r>
    </w:p>
  </w:footnote>
  <w:footnote w:id="129">
    <w:p w14:paraId="47CC017F" w14:textId="77777777" w:rsidR="00D62253" w:rsidRDefault="00D62253" w:rsidP="00941454">
      <w:pPr>
        <w:pStyle w:val="a9"/>
      </w:pPr>
      <w:r w:rsidRPr="00941454">
        <w:footnoteRef/>
      </w:r>
      <w:r w:rsidRPr="00941454">
        <w:rPr>
          <w:rtl/>
        </w:rPr>
        <w:t xml:space="preserve"> </w:t>
      </w:r>
      <w:r w:rsidRPr="00941454">
        <w:rPr>
          <w:rtl/>
        </w:rPr>
        <w:tab/>
      </w:r>
      <w:r w:rsidRPr="00941454">
        <w:rPr>
          <w:rFonts w:hint="cs"/>
          <w:rtl/>
        </w:rPr>
        <w:t>למשל: בפרויקט "דרך חדשה" שולבו עובדות סוציאליות בנות העדה האתיופית במרכזים שונים לבריאות הנפש</w:t>
      </w:r>
      <w:r w:rsidRPr="00474573">
        <w:rPr>
          <w:rFonts w:hint="cs"/>
          <w:rtl/>
        </w:rPr>
        <w:t>,</w:t>
      </w:r>
      <w:r w:rsidRPr="005D4EB3">
        <w:rPr>
          <w:rFonts w:hint="cs"/>
          <w:rtl/>
        </w:rPr>
        <w:t xml:space="preserve"> </w:t>
      </w:r>
      <w:r w:rsidRPr="00474573">
        <w:rPr>
          <w:rFonts w:hint="eastAsia"/>
          <w:rtl/>
        </w:rPr>
        <w:t>אשר</w:t>
      </w:r>
      <w:r w:rsidRPr="00474573">
        <w:rPr>
          <w:rtl/>
        </w:rPr>
        <w:t xml:space="preserve"> פעלו </w:t>
      </w:r>
      <w:r w:rsidRPr="00474573">
        <w:rPr>
          <w:rFonts w:hint="cs"/>
          <w:rtl/>
        </w:rPr>
        <w:t>למען</w:t>
      </w:r>
      <w:r w:rsidRPr="00474573">
        <w:rPr>
          <w:rtl/>
        </w:rPr>
        <w:t xml:space="preserve"> בני העדה </w:t>
      </w:r>
      <w:r w:rsidRPr="00474573">
        <w:rPr>
          <w:rFonts w:hint="cs"/>
          <w:rtl/>
        </w:rPr>
        <w:t>בשפתם ובהתאם</w:t>
      </w:r>
      <w:r w:rsidRPr="00474573">
        <w:rPr>
          <w:rtl/>
        </w:rPr>
        <w:t xml:space="preserve"> לתרבותם</w:t>
      </w:r>
      <w:r w:rsidRPr="00474573">
        <w:rPr>
          <w:rFonts w:hint="cs"/>
          <w:rtl/>
        </w:rPr>
        <w:t>, וכך הוסרו</w:t>
      </w:r>
      <w:r w:rsidRPr="00474573">
        <w:rPr>
          <w:rtl/>
        </w:rPr>
        <w:t xml:space="preserve"> המחסומים לקבלת טיפול.</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D62253" w:rsidRDefault="00D62253"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63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D62253" w:rsidRPr="001526AC" w:rsidRDefault="00D62253"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62253" w:rsidRPr="00D15500" w:rsidRDefault="00D6225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62253" w:rsidRPr="005B4811" w:rsidRDefault="00D6225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D62253" w:rsidRPr="005B4811" w:rsidRDefault="00D6225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62253" w:rsidRPr="005B4811" w:rsidRDefault="00D6225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D62253" w:rsidRPr="005B4811" w:rsidRDefault="00D6225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05F"/>
    <w:multiLevelType w:val="hybridMultilevel"/>
    <w:tmpl w:val="1F5EBB02"/>
    <w:lvl w:ilvl="0" w:tplc="671C0784">
      <w:start w:val="1"/>
      <w:numFmt w:val="bullet"/>
      <w:lvlText w:val=""/>
      <w:lvlJc w:val="left"/>
      <w:pPr>
        <w:ind w:left="720" w:hanging="360"/>
      </w:pPr>
      <w:rPr>
        <w:rFonts w:ascii="Symbol" w:hAnsi="Symbol" w:hint="default"/>
      </w:rPr>
    </w:lvl>
    <w:lvl w:ilvl="1" w:tplc="C2501446" w:tentative="1">
      <w:start w:val="1"/>
      <w:numFmt w:val="bullet"/>
      <w:lvlText w:val="o"/>
      <w:lvlJc w:val="left"/>
      <w:pPr>
        <w:ind w:left="1440" w:hanging="360"/>
      </w:pPr>
      <w:rPr>
        <w:rFonts w:ascii="Courier New" w:hAnsi="Courier New" w:cs="Courier New" w:hint="default"/>
      </w:rPr>
    </w:lvl>
    <w:lvl w:ilvl="2" w:tplc="38A21EC4" w:tentative="1">
      <w:start w:val="1"/>
      <w:numFmt w:val="bullet"/>
      <w:lvlText w:val=""/>
      <w:lvlJc w:val="left"/>
      <w:pPr>
        <w:ind w:left="2160" w:hanging="360"/>
      </w:pPr>
      <w:rPr>
        <w:rFonts w:ascii="Wingdings" w:hAnsi="Wingdings" w:hint="default"/>
      </w:rPr>
    </w:lvl>
    <w:lvl w:ilvl="3" w:tplc="96CC960A" w:tentative="1">
      <w:start w:val="1"/>
      <w:numFmt w:val="bullet"/>
      <w:lvlText w:val=""/>
      <w:lvlJc w:val="left"/>
      <w:pPr>
        <w:ind w:left="2880" w:hanging="360"/>
      </w:pPr>
      <w:rPr>
        <w:rFonts w:ascii="Symbol" w:hAnsi="Symbol" w:hint="default"/>
      </w:rPr>
    </w:lvl>
    <w:lvl w:ilvl="4" w:tplc="79E49468" w:tentative="1">
      <w:start w:val="1"/>
      <w:numFmt w:val="bullet"/>
      <w:lvlText w:val="o"/>
      <w:lvlJc w:val="left"/>
      <w:pPr>
        <w:ind w:left="3600" w:hanging="360"/>
      </w:pPr>
      <w:rPr>
        <w:rFonts w:ascii="Courier New" w:hAnsi="Courier New" w:cs="Courier New" w:hint="default"/>
      </w:rPr>
    </w:lvl>
    <w:lvl w:ilvl="5" w:tplc="FADA0D34" w:tentative="1">
      <w:start w:val="1"/>
      <w:numFmt w:val="bullet"/>
      <w:lvlText w:val=""/>
      <w:lvlJc w:val="left"/>
      <w:pPr>
        <w:ind w:left="4320" w:hanging="360"/>
      </w:pPr>
      <w:rPr>
        <w:rFonts w:ascii="Wingdings" w:hAnsi="Wingdings" w:hint="default"/>
      </w:rPr>
    </w:lvl>
    <w:lvl w:ilvl="6" w:tplc="EAE4C382" w:tentative="1">
      <w:start w:val="1"/>
      <w:numFmt w:val="bullet"/>
      <w:lvlText w:val=""/>
      <w:lvlJc w:val="left"/>
      <w:pPr>
        <w:ind w:left="5040" w:hanging="360"/>
      </w:pPr>
      <w:rPr>
        <w:rFonts w:ascii="Symbol" w:hAnsi="Symbol" w:hint="default"/>
      </w:rPr>
    </w:lvl>
    <w:lvl w:ilvl="7" w:tplc="F674437E" w:tentative="1">
      <w:start w:val="1"/>
      <w:numFmt w:val="bullet"/>
      <w:lvlText w:val="o"/>
      <w:lvlJc w:val="left"/>
      <w:pPr>
        <w:ind w:left="5760" w:hanging="360"/>
      </w:pPr>
      <w:rPr>
        <w:rFonts w:ascii="Courier New" w:hAnsi="Courier New" w:cs="Courier New" w:hint="default"/>
      </w:rPr>
    </w:lvl>
    <w:lvl w:ilvl="8" w:tplc="A808AF38" w:tentative="1">
      <w:start w:val="1"/>
      <w:numFmt w:val="bullet"/>
      <w:lvlText w:val=""/>
      <w:lvlJc w:val="left"/>
      <w:pPr>
        <w:ind w:left="6480" w:hanging="360"/>
      </w:pPr>
      <w:rPr>
        <w:rFonts w:ascii="Wingdings" w:hAnsi="Wingdings" w:hint="default"/>
      </w:rPr>
    </w:lvl>
  </w:abstractNum>
  <w:abstractNum w:abstractNumId="1" w15:restartNumberingAfterBreak="0">
    <w:nsid w:val="057F799B"/>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A311C16"/>
    <w:multiLevelType w:val="hybridMultilevel"/>
    <w:tmpl w:val="B8F6683E"/>
    <w:lvl w:ilvl="0" w:tplc="774AE9C6">
      <w:start w:val="1"/>
      <w:numFmt w:val="decimal"/>
      <w:lvlText w:val="%1."/>
      <w:lvlJc w:val="left"/>
      <w:pPr>
        <w:ind w:left="720" w:hanging="360"/>
      </w:pPr>
      <w:rPr>
        <w:rFonts w:hint="default"/>
        <w:sz w:val="24"/>
      </w:rPr>
    </w:lvl>
    <w:lvl w:ilvl="1" w:tplc="CD4A4290" w:tentative="1">
      <w:start w:val="1"/>
      <w:numFmt w:val="lowerLetter"/>
      <w:lvlText w:val="%2."/>
      <w:lvlJc w:val="left"/>
      <w:pPr>
        <w:ind w:left="1440" w:hanging="360"/>
      </w:pPr>
    </w:lvl>
    <w:lvl w:ilvl="2" w:tplc="0C20996E" w:tentative="1">
      <w:start w:val="1"/>
      <w:numFmt w:val="lowerRoman"/>
      <w:lvlText w:val="%3."/>
      <w:lvlJc w:val="right"/>
      <w:pPr>
        <w:ind w:left="2160" w:hanging="180"/>
      </w:pPr>
    </w:lvl>
    <w:lvl w:ilvl="3" w:tplc="B8E24BCE" w:tentative="1">
      <w:start w:val="1"/>
      <w:numFmt w:val="decimal"/>
      <w:lvlText w:val="%4."/>
      <w:lvlJc w:val="left"/>
      <w:pPr>
        <w:ind w:left="2880" w:hanging="360"/>
      </w:pPr>
    </w:lvl>
    <w:lvl w:ilvl="4" w:tplc="6BD42C42" w:tentative="1">
      <w:start w:val="1"/>
      <w:numFmt w:val="lowerLetter"/>
      <w:lvlText w:val="%5."/>
      <w:lvlJc w:val="left"/>
      <w:pPr>
        <w:ind w:left="3600" w:hanging="360"/>
      </w:pPr>
    </w:lvl>
    <w:lvl w:ilvl="5" w:tplc="2CD0962C" w:tentative="1">
      <w:start w:val="1"/>
      <w:numFmt w:val="lowerRoman"/>
      <w:lvlText w:val="%6."/>
      <w:lvlJc w:val="right"/>
      <w:pPr>
        <w:ind w:left="4320" w:hanging="180"/>
      </w:pPr>
    </w:lvl>
    <w:lvl w:ilvl="6" w:tplc="9E302522" w:tentative="1">
      <w:start w:val="1"/>
      <w:numFmt w:val="decimal"/>
      <w:lvlText w:val="%7."/>
      <w:lvlJc w:val="left"/>
      <w:pPr>
        <w:ind w:left="5040" w:hanging="360"/>
      </w:pPr>
    </w:lvl>
    <w:lvl w:ilvl="7" w:tplc="D520D702" w:tentative="1">
      <w:start w:val="1"/>
      <w:numFmt w:val="lowerLetter"/>
      <w:lvlText w:val="%8."/>
      <w:lvlJc w:val="left"/>
      <w:pPr>
        <w:ind w:left="5760" w:hanging="360"/>
      </w:pPr>
    </w:lvl>
    <w:lvl w:ilvl="8" w:tplc="E78C7B1A"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19E7143"/>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42B4D0C"/>
    <w:multiLevelType w:val="hybridMultilevel"/>
    <w:tmpl w:val="9654A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11"/>
  </w:num>
  <w:num w:numId="3">
    <w:abstractNumId w:val="15"/>
  </w:num>
  <w:num w:numId="4">
    <w:abstractNumId w:val="13"/>
  </w:num>
  <w:num w:numId="5">
    <w:abstractNumId w:val="9"/>
  </w:num>
  <w:num w:numId="6">
    <w:abstractNumId w:val="10"/>
  </w:num>
  <w:num w:numId="7">
    <w:abstractNumId w:val="16"/>
  </w:num>
  <w:num w:numId="8">
    <w:abstractNumId w:val="2"/>
  </w:num>
  <w:num w:numId="9">
    <w:abstractNumId w:val="12"/>
  </w:num>
  <w:num w:numId="10">
    <w:abstractNumId w:val="5"/>
  </w:num>
  <w:num w:numId="11">
    <w:abstractNumId w:val="14"/>
  </w:num>
  <w:num w:numId="12">
    <w:abstractNumId w:val="4"/>
  </w:num>
  <w:num w:numId="13">
    <w:abstractNumId w:val="3"/>
  </w:num>
  <w:num w:numId="14">
    <w:abstractNumId w:val="7"/>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754"/>
    <w:rsid w:val="00013BC3"/>
    <w:rsid w:val="000150A1"/>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4BFF"/>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2B6A"/>
    <w:rsid w:val="00063297"/>
    <w:rsid w:val="00063A11"/>
    <w:rsid w:val="0006411D"/>
    <w:rsid w:val="00064637"/>
    <w:rsid w:val="0006579A"/>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31B"/>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09A1"/>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1FB4"/>
    <w:rsid w:val="000C27DC"/>
    <w:rsid w:val="000C2AB9"/>
    <w:rsid w:val="000C404B"/>
    <w:rsid w:val="000C43E0"/>
    <w:rsid w:val="000C492E"/>
    <w:rsid w:val="000C50A1"/>
    <w:rsid w:val="000C5E23"/>
    <w:rsid w:val="000C65D2"/>
    <w:rsid w:val="000C6AAF"/>
    <w:rsid w:val="000C7459"/>
    <w:rsid w:val="000D018B"/>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9FE"/>
    <w:rsid w:val="00137FF0"/>
    <w:rsid w:val="00140CC4"/>
    <w:rsid w:val="00141BD6"/>
    <w:rsid w:val="00142206"/>
    <w:rsid w:val="00143176"/>
    <w:rsid w:val="00143FFA"/>
    <w:rsid w:val="00144908"/>
    <w:rsid w:val="00144BB3"/>
    <w:rsid w:val="00144C4B"/>
    <w:rsid w:val="001451A4"/>
    <w:rsid w:val="001460BB"/>
    <w:rsid w:val="00146409"/>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B36"/>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2C92"/>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7A"/>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4183"/>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353"/>
    <w:rsid w:val="001C5A02"/>
    <w:rsid w:val="001C5BF5"/>
    <w:rsid w:val="001C65E4"/>
    <w:rsid w:val="001C72B2"/>
    <w:rsid w:val="001D0A16"/>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3150"/>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16CC9"/>
    <w:rsid w:val="0022072A"/>
    <w:rsid w:val="0022100A"/>
    <w:rsid w:val="00221160"/>
    <w:rsid w:val="002213EE"/>
    <w:rsid w:val="00221922"/>
    <w:rsid w:val="00221B94"/>
    <w:rsid w:val="00222AAD"/>
    <w:rsid w:val="00224723"/>
    <w:rsid w:val="002248C1"/>
    <w:rsid w:val="00224C04"/>
    <w:rsid w:val="002251A4"/>
    <w:rsid w:val="00225718"/>
    <w:rsid w:val="00225CAE"/>
    <w:rsid w:val="00227C69"/>
    <w:rsid w:val="00227E88"/>
    <w:rsid w:val="0023004B"/>
    <w:rsid w:val="00230B94"/>
    <w:rsid w:val="00231C3C"/>
    <w:rsid w:val="00231DC5"/>
    <w:rsid w:val="00232836"/>
    <w:rsid w:val="002338F8"/>
    <w:rsid w:val="00234167"/>
    <w:rsid w:val="00234633"/>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B9F"/>
    <w:rsid w:val="00247C83"/>
    <w:rsid w:val="00250370"/>
    <w:rsid w:val="0025068A"/>
    <w:rsid w:val="00250751"/>
    <w:rsid w:val="002516DF"/>
    <w:rsid w:val="00254CF4"/>
    <w:rsid w:val="00255877"/>
    <w:rsid w:val="00255C35"/>
    <w:rsid w:val="00255E1E"/>
    <w:rsid w:val="0025701A"/>
    <w:rsid w:val="002575ED"/>
    <w:rsid w:val="002576EB"/>
    <w:rsid w:val="00260BF5"/>
    <w:rsid w:val="00260D04"/>
    <w:rsid w:val="0026130F"/>
    <w:rsid w:val="00261C84"/>
    <w:rsid w:val="00262E0A"/>
    <w:rsid w:val="00263521"/>
    <w:rsid w:val="00263DB7"/>
    <w:rsid w:val="00265428"/>
    <w:rsid w:val="0027101D"/>
    <w:rsid w:val="0027121E"/>
    <w:rsid w:val="0027188F"/>
    <w:rsid w:val="002739B2"/>
    <w:rsid w:val="00275A79"/>
    <w:rsid w:val="00276D55"/>
    <w:rsid w:val="002813A0"/>
    <w:rsid w:val="00281F46"/>
    <w:rsid w:val="00283E8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A03"/>
    <w:rsid w:val="002A7D21"/>
    <w:rsid w:val="002B10E8"/>
    <w:rsid w:val="002B1B6E"/>
    <w:rsid w:val="002B22CD"/>
    <w:rsid w:val="002B30DB"/>
    <w:rsid w:val="002B5C10"/>
    <w:rsid w:val="002B5D65"/>
    <w:rsid w:val="002B637F"/>
    <w:rsid w:val="002B65DC"/>
    <w:rsid w:val="002B6FB4"/>
    <w:rsid w:val="002B703F"/>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90C"/>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2C83"/>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065"/>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848"/>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2050"/>
    <w:rsid w:val="003A3D05"/>
    <w:rsid w:val="003A613A"/>
    <w:rsid w:val="003A66EF"/>
    <w:rsid w:val="003A769E"/>
    <w:rsid w:val="003A780A"/>
    <w:rsid w:val="003B091F"/>
    <w:rsid w:val="003B0B84"/>
    <w:rsid w:val="003B166B"/>
    <w:rsid w:val="003B1F61"/>
    <w:rsid w:val="003B30AD"/>
    <w:rsid w:val="003B4CBF"/>
    <w:rsid w:val="003B505F"/>
    <w:rsid w:val="003B5853"/>
    <w:rsid w:val="003B5A1E"/>
    <w:rsid w:val="003B5E39"/>
    <w:rsid w:val="003B639B"/>
    <w:rsid w:val="003B6761"/>
    <w:rsid w:val="003B71E3"/>
    <w:rsid w:val="003B7A94"/>
    <w:rsid w:val="003B7E74"/>
    <w:rsid w:val="003C0A02"/>
    <w:rsid w:val="003C1366"/>
    <w:rsid w:val="003C2534"/>
    <w:rsid w:val="003C26AC"/>
    <w:rsid w:val="003C2A0B"/>
    <w:rsid w:val="003C2EC6"/>
    <w:rsid w:val="003C2FF4"/>
    <w:rsid w:val="003C3358"/>
    <w:rsid w:val="003C4F30"/>
    <w:rsid w:val="003C5044"/>
    <w:rsid w:val="003C5153"/>
    <w:rsid w:val="003C5BB1"/>
    <w:rsid w:val="003C6C20"/>
    <w:rsid w:val="003C73F8"/>
    <w:rsid w:val="003C78B7"/>
    <w:rsid w:val="003C7AD3"/>
    <w:rsid w:val="003C7B2D"/>
    <w:rsid w:val="003D0F91"/>
    <w:rsid w:val="003D16F2"/>
    <w:rsid w:val="003D1D5C"/>
    <w:rsid w:val="003D2796"/>
    <w:rsid w:val="003D2AE6"/>
    <w:rsid w:val="003D3533"/>
    <w:rsid w:val="003D415E"/>
    <w:rsid w:val="003D4194"/>
    <w:rsid w:val="003D43B8"/>
    <w:rsid w:val="003D50AF"/>
    <w:rsid w:val="003D5549"/>
    <w:rsid w:val="003D5B8A"/>
    <w:rsid w:val="003D5C3E"/>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5F0"/>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3D1D"/>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98C"/>
    <w:rsid w:val="00432A56"/>
    <w:rsid w:val="00434C19"/>
    <w:rsid w:val="0043603B"/>
    <w:rsid w:val="00436048"/>
    <w:rsid w:val="0043662F"/>
    <w:rsid w:val="004366C4"/>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1B67"/>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5309"/>
    <w:rsid w:val="00485787"/>
    <w:rsid w:val="00486172"/>
    <w:rsid w:val="004865D8"/>
    <w:rsid w:val="004875EB"/>
    <w:rsid w:val="0049015A"/>
    <w:rsid w:val="004902C9"/>
    <w:rsid w:val="00491167"/>
    <w:rsid w:val="00491199"/>
    <w:rsid w:val="004919A3"/>
    <w:rsid w:val="00491C06"/>
    <w:rsid w:val="00491D1E"/>
    <w:rsid w:val="00491E9D"/>
    <w:rsid w:val="00492D47"/>
    <w:rsid w:val="004930AA"/>
    <w:rsid w:val="004939B6"/>
    <w:rsid w:val="00493AE1"/>
    <w:rsid w:val="00493CBE"/>
    <w:rsid w:val="00494C49"/>
    <w:rsid w:val="00495214"/>
    <w:rsid w:val="004955D7"/>
    <w:rsid w:val="004965B9"/>
    <w:rsid w:val="00497103"/>
    <w:rsid w:val="0049719F"/>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D7B69"/>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532"/>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87A"/>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2D77"/>
    <w:rsid w:val="005C438E"/>
    <w:rsid w:val="005C43F3"/>
    <w:rsid w:val="005C552D"/>
    <w:rsid w:val="005C5648"/>
    <w:rsid w:val="005C608E"/>
    <w:rsid w:val="005C62D9"/>
    <w:rsid w:val="005D00DB"/>
    <w:rsid w:val="005D07D2"/>
    <w:rsid w:val="005D0F46"/>
    <w:rsid w:val="005D14F8"/>
    <w:rsid w:val="005D1BB8"/>
    <w:rsid w:val="005D25B7"/>
    <w:rsid w:val="005D293C"/>
    <w:rsid w:val="005D3067"/>
    <w:rsid w:val="005D30B8"/>
    <w:rsid w:val="005D3C19"/>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8D5"/>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503"/>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ACA"/>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140A"/>
    <w:rsid w:val="0066318C"/>
    <w:rsid w:val="00663AAC"/>
    <w:rsid w:val="00664533"/>
    <w:rsid w:val="0066498E"/>
    <w:rsid w:val="00665721"/>
    <w:rsid w:val="00665B84"/>
    <w:rsid w:val="006662AD"/>
    <w:rsid w:val="006668CA"/>
    <w:rsid w:val="0066760C"/>
    <w:rsid w:val="00667ABB"/>
    <w:rsid w:val="006708C9"/>
    <w:rsid w:val="00670B88"/>
    <w:rsid w:val="00670E84"/>
    <w:rsid w:val="0067240D"/>
    <w:rsid w:val="006726E0"/>
    <w:rsid w:val="00673431"/>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635"/>
    <w:rsid w:val="006B0FA2"/>
    <w:rsid w:val="006B1475"/>
    <w:rsid w:val="006B1754"/>
    <w:rsid w:val="006B1A63"/>
    <w:rsid w:val="006B2A03"/>
    <w:rsid w:val="006B2ABD"/>
    <w:rsid w:val="006B2E90"/>
    <w:rsid w:val="006B2E94"/>
    <w:rsid w:val="006B3858"/>
    <w:rsid w:val="006B5363"/>
    <w:rsid w:val="006B56D9"/>
    <w:rsid w:val="006B657B"/>
    <w:rsid w:val="006B709C"/>
    <w:rsid w:val="006C01B3"/>
    <w:rsid w:val="006C0671"/>
    <w:rsid w:val="006C0F03"/>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517"/>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78B"/>
    <w:rsid w:val="00781F3B"/>
    <w:rsid w:val="00783850"/>
    <w:rsid w:val="007843AA"/>
    <w:rsid w:val="00784D2F"/>
    <w:rsid w:val="00784F53"/>
    <w:rsid w:val="00785EAB"/>
    <w:rsid w:val="00786364"/>
    <w:rsid w:val="00787591"/>
    <w:rsid w:val="007877E8"/>
    <w:rsid w:val="00787AC0"/>
    <w:rsid w:val="00787EAD"/>
    <w:rsid w:val="00790BF1"/>
    <w:rsid w:val="00791581"/>
    <w:rsid w:val="00792B80"/>
    <w:rsid w:val="007938BB"/>
    <w:rsid w:val="00794070"/>
    <w:rsid w:val="00795121"/>
    <w:rsid w:val="00795C02"/>
    <w:rsid w:val="00795E68"/>
    <w:rsid w:val="00795F23"/>
    <w:rsid w:val="00796843"/>
    <w:rsid w:val="0079764A"/>
    <w:rsid w:val="007A0926"/>
    <w:rsid w:val="007A1E36"/>
    <w:rsid w:val="007A218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D1C"/>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177"/>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1707B"/>
    <w:rsid w:val="00817CDA"/>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1F6"/>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389"/>
    <w:rsid w:val="009266A4"/>
    <w:rsid w:val="00926AD5"/>
    <w:rsid w:val="00926EC9"/>
    <w:rsid w:val="009272C6"/>
    <w:rsid w:val="0093107E"/>
    <w:rsid w:val="009313EE"/>
    <w:rsid w:val="0093154A"/>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45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35EF"/>
    <w:rsid w:val="009742CF"/>
    <w:rsid w:val="00974915"/>
    <w:rsid w:val="009751EC"/>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6E28"/>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1B4D"/>
    <w:rsid w:val="009F3218"/>
    <w:rsid w:val="009F33AC"/>
    <w:rsid w:val="009F394C"/>
    <w:rsid w:val="009F3A44"/>
    <w:rsid w:val="009F556C"/>
    <w:rsid w:val="009F5C24"/>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0CA1"/>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06AF"/>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63D9"/>
    <w:rsid w:val="00AB7D08"/>
    <w:rsid w:val="00AB7F83"/>
    <w:rsid w:val="00AC04C6"/>
    <w:rsid w:val="00AC0B81"/>
    <w:rsid w:val="00AC1880"/>
    <w:rsid w:val="00AC3451"/>
    <w:rsid w:val="00AC3506"/>
    <w:rsid w:val="00AC387E"/>
    <w:rsid w:val="00AC4DD2"/>
    <w:rsid w:val="00AC5210"/>
    <w:rsid w:val="00AC5BDF"/>
    <w:rsid w:val="00AC662A"/>
    <w:rsid w:val="00AC6903"/>
    <w:rsid w:val="00AC6B95"/>
    <w:rsid w:val="00AC7332"/>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3EA"/>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7FE"/>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B72"/>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37E36"/>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1F5B"/>
    <w:rsid w:val="00B524C0"/>
    <w:rsid w:val="00B52CF9"/>
    <w:rsid w:val="00B52D9E"/>
    <w:rsid w:val="00B53C31"/>
    <w:rsid w:val="00B5445A"/>
    <w:rsid w:val="00B555A9"/>
    <w:rsid w:val="00B55D7C"/>
    <w:rsid w:val="00B55E82"/>
    <w:rsid w:val="00B563AF"/>
    <w:rsid w:val="00B563E9"/>
    <w:rsid w:val="00B56722"/>
    <w:rsid w:val="00B56902"/>
    <w:rsid w:val="00B56B70"/>
    <w:rsid w:val="00B57983"/>
    <w:rsid w:val="00B604C8"/>
    <w:rsid w:val="00B60ED0"/>
    <w:rsid w:val="00B62189"/>
    <w:rsid w:val="00B627E7"/>
    <w:rsid w:val="00B6283F"/>
    <w:rsid w:val="00B62F33"/>
    <w:rsid w:val="00B635C8"/>
    <w:rsid w:val="00B65066"/>
    <w:rsid w:val="00B6668D"/>
    <w:rsid w:val="00B666B9"/>
    <w:rsid w:val="00B66A94"/>
    <w:rsid w:val="00B66F81"/>
    <w:rsid w:val="00B67145"/>
    <w:rsid w:val="00B677F1"/>
    <w:rsid w:val="00B707AF"/>
    <w:rsid w:val="00B70882"/>
    <w:rsid w:val="00B709B8"/>
    <w:rsid w:val="00B72D75"/>
    <w:rsid w:val="00B72F97"/>
    <w:rsid w:val="00B741EF"/>
    <w:rsid w:val="00B7439E"/>
    <w:rsid w:val="00B75001"/>
    <w:rsid w:val="00B75D6E"/>
    <w:rsid w:val="00B75F72"/>
    <w:rsid w:val="00B76DC1"/>
    <w:rsid w:val="00B77CFD"/>
    <w:rsid w:val="00B800B7"/>
    <w:rsid w:val="00B805C4"/>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6FC4"/>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0A60"/>
    <w:rsid w:val="00BD16D6"/>
    <w:rsid w:val="00BD1961"/>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1F41"/>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30A"/>
    <w:rsid w:val="00C0163D"/>
    <w:rsid w:val="00C017CA"/>
    <w:rsid w:val="00C02152"/>
    <w:rsid w:val="00C0264E"/>
    <w:rsid w:val="00C03CE8"/>
    <w:rsid w:val="00C0494D"/>
    <w:rsid w:val="00C05806"/>
    <w:rsid w:val="00C06A1F"/>
    <w:rsid w:val="00C07158"/>
    <w:rsid w:val="00C1008B"/>
    <w:rsid w:val="00C108A9"/>
    <w:rsid w:val="00C10D63"/>
    <w:rsid w:val="00C123A3"/>
    <w:rsid w:val="00C12466"/>
    <w:rsid w:val="00C141FB"/>
    <w:rsid w:val="00C143BD"/>
    <w:rsid w:val="00C1441B"/>
    <w:rsid w:val="00C1481A"/>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807"/>
    <w:rsid w:val="00C50B1E"/>
    <w:rsid w:val="00C51C72"/>
    <w:rsid w:val="00C51F94"/>
    <w:rsid w:val="00C521B4"/>
    <w:rsid w:val="00C52914"/>
    <w:rsid w:val="00C544CC"/>
    <w:rsid w:val="00C546E7"/>
    <w:rsid w:val="00C54D2B"/>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4D7"/>
    <w:rsid w:val="00CB7873"/>
    <w:rsid w:val="00CC07DB"/>
    <w:rsid w:val="00CC0A26"/>
    <w:rsid w:val="00CC0AB1"/>
    <w:rsid w:val="00CC341C"/>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07E"/>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2B8"/>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5F7"/>
    <w:rsid w:val="00D54AEA"/>
    <w:rsid w:val="00D54E4B"/>
    <w:rsid w:val="00D55A96"/>
    <w:rsid w:val="00D56796"/>
    <w:rsid w:val="00D56D40"/>
    <w:rsid w:val="00D56D85"/>
    <w:rsid w:val="00D60B6B"/>
    <w:rsid w:val="00D60D72"/>
    <w:rsid w:val="00D60D80"/>
    <w:rsid w:val="00D61918"/>
    <w:rsid w:val="00D62253"/>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5C4C"/>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0B3"/>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5CA"/>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57D84"/>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07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4BE"/>
    <w:rsid w:val="00F209A2"/>
    <w:rsid w:val="00F218AD"/>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067A"/>
    <w:rsid w:val="00F3192A"/>
    <w:rsid w:val="00F322C3"/>
    <w:rsid w:val="00F32553"/>
    <w:rsid w:val="00F32690"/>
    <w:rsid w:val="00F327CE"/>
    <w:rsid w:val="00F332ED"/>
    <w:rsid w:val="00F33552"/>
    <w:rsid w:val="00F335AB"/>
    <w:rsid w:val="00F33C8D"/>
    <w:rsid w:val="00F348D1"/>
    <w:rsid w:val="00F35955"/>
    <w:rsid w:val="00F3669D"/>
    <w:rsid w:val="00F378C1"/>
    <w:rsid w:val="00F37ABC"/>
    <w:rsid w:val="00F4034F"/>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2F30"/>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16F"/>
    <w:rsid w:val="00F83228"/>
    <w:rsid w:val="00F834A7"/>
    <w:rsid w:val="00F8366C"/>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75A"/>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49CB"/>
    <w:rsid w:val="00FE546C"/>
    <w:rsid w:val="00FE54AE"/>
    <w:rsid w:val="00FE5671"/>
    <w:rsid w:val="00FE59BB"/>
    <w:rsid w:val="00FE5E25"/>
    <w:rsid w:val="00FE6AE8"/>
    <w:rsid w:val="00FE70D5"/>
    <w:rsid w:val="00FE7127"/>
    <w:rsid w:val="00FF003E"/>
    <w:rsid w:val="00FF041F"/>
    <w:rsid w:val="00FF0C67"/>
    <w:rsid w:val="00FF0E6A"/>
    <w:rsid w:val="00FF0F69"/>
    <w:rsid w:val="00FF1623"/>
    <w:rsid w:val="00FF21EF"/>
    <w:rsid w:val="00FF2A34"/>
    <w:rsid w:val="00FF4A4D"/>
    <w:rsid w:val="00FF56B9"/>
    <w:rsid w:val="00FF5813"/>
    <w:rsid w:val="00FF599A"/>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0A2A98B"/>
  <w15:docId w15:val="{F9A7C650-90B4-471B-89EC-E2049EBF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CE207E"/>
    <w:pPr>
      <w:spacing w:before="120"/>
      <w:jc w:val="left"/>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3A2050"/>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B51F5B"/>
    <w:pPr>
      <w:ind w:left="-567"/>
    </w:pPr>
    <w:rPr>
      <w:szCs w:val="20"/>
    </w:rPr>
  </w:style>
  <w:style w:type="character" w:customStyle="1" w:styleId="aff9">
    <w:name w:val="נבנצאל תו"/>
    <w:basedOn w:val="DefaultParagraphFont"/>
    <w:link w:val="aff8"/>
    <w:uiPriority w:val="99"/>
    <w:rsid w:val="00B51F5B"/>
    <w:rPr>
      <w:szCs w:val="20"/>
    </w:rPr>
  </w:style>
  <w:style w:type="character" w:customStyle="1" w:styleId="Headerorfooter">
    <w:name w:val="Header or footer"/>
    <w:basedOn w:val="DefaultParagraphFont"/>
    <w:rsid w:val="00B51F5B"/>
    <w:rPr>
      <w:rFonts w:ascii="Segoe UI" w:eastAsia="Segoe UI" w:hAnsi="Segoe UI" w:cs="Segoe UI"/>
      <w:b/>
      <w:bCs/>
      <w:i w:val="0"/>
      <w:iCs w:val="0"/>
      <w:smallCaps w:val="0"/>
      <w:strike w:val="0"/>
      <w:color w:val="000000"/>
      <w:spacing w:val="10"/>
      <w:w w:val="100"/>
      <w:position w:val="0"/>
      <w:sz w:val="20"/>
      <w:szCs w:val="20"/>
      <w:u w:val="none"/>
      <w:lang w:val="en-US" w:eastAsia="en-US" w:bidi="en-US"/>
    </w:rPr>
  </w:style>
  <w:style w:type="character" w:customStyle="1" w:styleId="Bodytext27">
    <w:name w:val="Body text (27)_"/>
    <w:basedOn w:val="DefaultParagraphFont"/>
    <w:link w:val="Bodytext270"/>
    <w:rsid w:val="00B51F5B"/>
    <w:rPr>
      <w:rFonts w:ascii="Segoe UI" w:eastAsia="Segoe UI" w:hAnsi="Segoe UI" w:cs="Segoe UI"/>
      <w:b/>
      <w:bCs/>
      <w:sz w:val="17"/>
      <w:szCs w:val="17"/>
      <w:shd w:val="clear" w:color="auto" w:fill="FFFFFF"/>
      <w:lang w:bidi="en-US"/>
    </w:rPr>
  </w:style>
  <w:style w:type="character" w:customStyle="1" w:styleId="Headerorfooter15pt">
    <w:name w:val="Header or footer + 15 pt"/>
    <w:aliases w:val="Scale 200%,Spacing -2 pt"/>
    <w:basedOn w:val="DefaultParagraphFont"/>
    <w:rsid w:val="00B51F5B"/>
    <w:rPr>
      <w:rFonts w:ascii="Segoe UI" w:eastAsia="Segoe UI" w:hAnsi="Segoe UI" w:cs="Segoe UI"/>
      <w:b/>
      <w:bCs/>
      <w:i w:val="0"/>
      <w:iCs w:val="0"/>
      <w:smallCaps w:val="0"/>
      <w:strike w:val="0"/>
      <w:color w:val="000000"/>
      <w:spacing w:val="-50"/>
      <w:w w:val="200"/>
      <w:position w:val="0"/>
      <w:sz w:val="30"/>
      <w:szCs w:val="30"/>
      <w:u w:val="none"/>
      <w:lang w:val="en-US" w:eastAsia="en-US" w:bidi="en-US"/>
    </w:rPr>
  </w:style>
  <w:style w:type="paragraph" w:customStyle="1" w:styleId="Bodytext270">
    <w:name w:val="Body text (27)"/>
    <w:basedOn w:val="Normal"/>
    <w:link w:val="Bodytext27"/>
    <w:rsid w:val="00B51F5B"/>
    <w:pPr>
      <w:widowControl w:val="0"/>
      <w:shd w:val="clear" w:color="auto" w:fill="FFFFFF"/>
      <w:bidi w:val="0"/>
      <w:spacing w:line="566" w:lineRule="exact"/>
    </w:pPr>
    <w:rPr>
      <w:rFonts w:ascii="Segoe UI" w:eastAsia="Segoe UI" w:hAnsi="Segoe UI" w:cs="Segoe UI"/>
      <w:b/>
      <w:bCs/>
      <w:sz w:val="17"/>
      <w:szCs w:val="17"/>
      <w:lang w:bidi="en-US"/>
    </w:rPr>
  </w:style>
  <w:style w:type="character" w:customStyle="1" w:styleId="1f5">
    <w:name w:val="אזכור לא מזוהה1"/>
    <w:basedOn w:val="DefaultParagraphFont"/>
    <w:uiPriority w:val="99"/>
    <w:semiHidden/>
    <w:unhideWhenUsed/>
    <w:rsid w:val="00B51F5B"/>
    <w:rPr>
      <w:color w:val="605E5C"/>
      <w:shd w:val="clear" w:color="auto" w:fill="E1DFDD"/>
    </w:rPr>
  </w:style>
  <w:style w:type="character" w:styleId="UnresolvedMention">
    <w:name w:val="Unresolved Mention"/>
    <w:basedOn w:val="DefaultParagraphFont"/>
    <w:uiPriority w:val="99"/>
    <w:semiHidden/>
    <w:unhideWhenUsed/>
    <w:rsid w:val="0078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98840">
      <w:bodyDiv w:val="1"/>
      <w:marLeft w:val="0"/>
      <w:marRight w:val="0"/>
      <w:marTop w:val="0"/>
      <w:marBottom w:val="0"/>
      <w:divBdr>
        <w:top w:val="none" w:sz="0" w:space="0" w:color="auto"/>
        <w:left w:val="none" w:sz="0" w:space="0" w:color="auto"/>
        <w:bottom w:val="none" w:sz="0" w:space="0" w:color="auto"/>
        <w:right w:val="none" w:sz="0" w:space="0" w:color="auto"/>
      </w:divBdr>
    </w:div>
    <w:div w:id="166011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chart" Target="charts/chart4.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chart" Target="charts/chart1.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chart" Target="charts/chart2.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chart" Target="charts/chart5.xml"/><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chart" Target="charts/chart3.xm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3389/fpsyt.2016.00098" TargetMode="External"/><Relationship Id="rId2" Type="http://schemas.openxmlformats.org/officeDocument/2006/relationships/hyperlink" Target="https://doi.org/10.1176/appi.ps.201600395" TargetMode="External"/><Relationship Id="rId1" Type="http://schemas.openxmlformats.org/officeDocument/2006/relationships/hyperlink" Target="https://doi.org/10.1192/bjp.bp.111.092718" TargetMode="External"/><Relationship Id="rId5" Type="http://schemas.openxmlformats.org/officeDocument/2006/relationships/hyperlink" Target="http://www.meuhedet.co.il/&#1494;&#1499;&#1493;&#1497;&#1493;&#1514;-&#1513;&#1497;&#1512;&#1493;&#1514;&#1497;&#1501;-&#1493;&#1489;&#1497;&#1496;&#1493;&#1495;&#1497;&#1501;/&#1494;&#1499;&#1493;&#1497;&#1493;&#1514;-&#1513;&#1497;&#1512;&#1493;&#1514;&#1497;&#1501;-&#1493;&#1489;&#1497;&#1496;&#1493;&#1495;&#1497;&#1501;/&#1496;&#1497;&#1508;&#1493;&#1500;&#1497;&#1501;/&#1496;&#1497;&#1508;&#1493;&#1500;-&#1504;&#1508;&#1513;&#1497;-&#1508;&#1512;&#1496;&#1504;&#1497;-&#1494;&#1493;&#1490;&#1497;-&#1502;&#1513;&#1508;&#1495;&#1514;&#1497;-&#1488;&#1493;-&#1511;&#1489;&#1493;&#1510;&#1514;&#1497;-&#1497;&#1500;&#1491;&#1497;&#1501;-&#1504;&#1493;&#1506;&#1512;-&#1493;&#1502;&#1489;&#1493;&#1490;&#1512;&#1497;&#1501;/" TargetMode="External"/><Relationship Id="rId4" Type="http://schemas.openxmlformats.org/officeDocument/2006/relationships/hyperlink" Target="http://www.maccabi4u.co.il/4493-he/Maccabi.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vtanas.mevaker.loc\HomeFolder$\dana_lev\&#1491;&#1504;&#1492;%20&#1500;&#1493;&#1497;%20&#1493;&#1496;&#1513;&#1496;&#1497;&#1497;&#1503;\&#1488;&#1488;%20&#1512;&#1508;&#1493;&#1512;&#1502;&#1492;%20&#1489;&#1489;&#1512;&#1497;&#1488;&#1493;&#1514;%20&#1492;&#1504;&#1508;&#1513;\&#1488;%20&#1508;&#1504;&#1497;&#1497;&#1492;\&#1496;&#1497;&#1493;&#1496;&#1514;%20&#1508;&#1504;&#1497;&#1492;%20&#1500;&#1500;&#1497;&#1488;&#1493;&#1512;&#1492;\&#1504;&#1505;&#1508;&#1495;%20&#1493;%20-%20&#1495;&#1497;&#1513;&#1493;&#1489;%20&#1492;&#1513;&#1514;&#1514;&#1508;&#1493;&#1514;%20&#1506;&#1510;&#1502;&#1497;&#1514;%20&#1504;&#1493;&#1512;&#1502;&#1496;&#1497;&#1489;&#1497;&#1514;.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גיליון1!$B$1</c:f>
              <c:strCache>
                <c:ptCount val="1"/>
                <c:pt idx="0">
                  <c:v>מרפאות ממשלתיות</c:v>
                </c:pt>
              </c:strCache>
            </c:strRef>
          </c:tx>
          <c:spPr>
            <a:solidFill>
              <a:schemeClr val="accent1"/>
            </a:solidFill>
            <a:ln>
              <a:noFill/>
            </a:ln>
            <a:effectLst/>
          </c:spPr>
          <c:invertIfNegative val="0"/>
          <c:dLbls>
            <c:dLbl>
              <c:idx val="0"/>
              <c:layout>
                <c:manualLayout>
                  <c:x val="-1.6959418534221685E-2"/>
                  <c:y val="-5.42846064366033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A1-4BD0-AF2F-59B2EE8A18DD}"/>
                </c:ext>
              </c:extLst>
            </c:dLbl>
            <c:dLbl>
              <c:idx val="1"/>
              <c:layout>
                <c:manualLayout>
                  <c:x val="-1.4536644457904301E-2"/>
                  <c:y val="-3.87747188832880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A1-4BD0-AF2F-59B2EE8A18DD}"/>
                </c:ext>
              </c:extLst>
            </c:dLbl>
            <c:dLbl>
              <c:idx val="2"/>
              <c:layout>
                <c:manualLayout>
                  <c:x val="-4.4417011623376838E-17"/>
                  <c:y val="-4.65296626599457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A1-4BD0-AF2F-59B2EE8A18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2015</c:v>
                </c:pt>
                <c:pt idx="1">
                  <c:v>2016</c:v>
                </c:pt>
                <c:pt idx="2">
                  <c:v>2017</c:v>
                </c:pt>
              </c:numCache>
            </c:numRef>
          </c:cat>
          <c:val>
            <c:numRef>
              <c:f>גיליון1!$B$2:$B$4</c:f>
              <c:numCache>
                <c:formatCode>General</c:formatCode>
                <c:ptCount val="3"/>
                <c:pt idx="0">
                  <c:v>3100</c:v>
                </c:pt>
                <c:pt idx="1">
                  <c:v>1700</c:v>
                </c:pt>
                <c:pt idx="2">
                  <c:v>1500</c:v>
                </c:pt>
              </c:numCache>
            </c:numRef>
          </c:val>
          <c:extLst>
            <c:ext xmlns:c16="http://schemas.microsoft.com/office/drawing/2014/chart" uri="{C3380CC4-5D6E-409C-BE32-E72D297353CC}">
              <c16:uniqueId val="{00000003-CCA1-4BD0-AF2F-59B2EE8A18DD}"/>
            </c:ext>
          </c:extLst>
        </c:ser>
        <c:ser>
          <c:idx val="1"/>
          <c:order val="1"/>
          <c:tx>
            <c:strRef>
              <c:f>גיליון1!$C$1</c:f>
              <c:strCache>
                <c:ptCount val="1"/>
                <c:pt idx="0">
                  <c:v>כללית</c:v>
                </c:pt>
              </c:strCache>
            </c:strRef>
          </c:tx>
          <c:spPr>
            <a:solidFill>
              <a:schemeClr val="accent2"/>
            </a:solidFill>
            <a:ln>
              <a:noFill/>
            </a:ln>
            <a:effectLst/>
          </c:spPr>
          <c:invertIfNegative val="0"/>
          <c:dLbls>
            <c:dLbl>
              <c:idx val="1"/>
              <c:layout>
                <c:manualLayout>
                  <c:x val="0"/>
                  <c:y val="-5.42846064366034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A1-4BD0-AF2F-59B2EE8A18DD}"/>
                </c:ext>
              </c:extLst>
            </c:dLbl>
            <c:dLbl>
              <c:idx val="2"/>
              <c:layout>
                <c:manualLayout>
                  <c:x val="0"/>
                  <c:y val="-5.4284606436603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A1-4BD0-AF2F-59B2EE8A18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2015</c:v>
                </c:pt>
                <c:pt idx="1">
                  <c:v>2016</c:v>
                </c:pt>
                <c:pt idx="2">
                  <c:v>2017</c:v>
                </c:pt>
              </c:numCache>
            </c:numRef>
          </c:cat>
          <c:val>
            <c:numRef>
              <c:f>גיליון1!$C$2:$C$4</c:f>
              <c:numCache>
                <c:formatCode>General</c:formatCode>
                <c:ptCount val="3"/>
                <c:pt idx="1">
                  <c:v>216</c:v>
                </c:pt>
                <c:pt idx="2">
                  <c:v>200</c:v>
                </c:pt>
              </c:numCache>
            </c:numRef>
          </c:val>
          <c:extLst>
            <c:ext xmlns:c16="http://schemas.microsoft.com/office/drawing/2014/chart" uri="{C3380CC4-5D6E-409C-BE32-E72D297353CC}">
              <c16:uniqueId val="{00000006-CCA1-4BD0-AF2F-59B2EE8A18DD}"/>
            </c:ext>
          </c:extLst>
        </c:ser>
        <c:ser>
          <c:idx val="2"/>
          <c:order val="2"/>
          <c:tx>
            <c:strRef>
              <c:f>גיליון1!$D$1</c:f>
              <c:strCache>
                <c:ptCount val="1"/>
                <c:pt idx="0">
                  <c:v>מכבי</c:v>
                </c:pt>
              </c:strCache>
            </c:strRef>
          </c:tx>
          <c:spPr>
            <a:solidFill>
              <a:schemeClr val="accent3"/>
            </a:solidFill>
            <a:ln>
              <a:noFill/>
            </a:ln>
            <a:effectLst/>
          </c:spPr>
          <c:invertIfNegative val="0"/>
          <c:dLbls>
            <c:dLbl>
              <c:idx val="1"/>
              <c:layout>
                <c:manualLayout>
                  <c:x val="0"/>
                  <c:y val="-5.42846064366034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A1-4BD0-AF2F-59B2EE8A18DD}"/>
                </c:ext>
              </c:extLst>
            </c:dLbl>
            <c:dLbl>
              <c:idx val="2"/>
              <c:layout>
                <c:manualLayout>
                  <c:x val="-2.4227740763173833E-3"/>
                  <c:y val="-6.20395502132609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A1-4BD0-AF2F-59B2EE8A18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2015</c:v>
                </c:pt>
                <c:pt idx="1">
                  <c:v>2016</c:v>
                </c:pt>
                <c:pt idx="2">
                  <c:v>2017</c:v>
                </c:pt>
              </c:numCache>
            </c:numRef>
          </c:cat>
          <c:val>
            <c:numRef>
              <c:f>גיליון1!$D$2:$D$4</c:f>
              <c:numCache>
                <c:formatCode>General</c:formatCode>
                <c:ptCount val="3"/>
                <c:pt idx="1">
                  <c:v>151</c:v>
                </c:pt>
                <c:pt idx="2">
                  <c:v>210</c:v>
                </c:pt>
              </c:numCache>
            </c:numRef>
          </c:val>
          <c:extLst>
            <c:ext xmlns:c16="http://schemas.microsoft.com/office/drawing/2014/chart" uri="{C3380CC4-5D6E-409C-BE32-E72D297353CC}">
              <c16:uniqueId val="{00000009-CCA1-4BD0-AF2F-59B2EE8A18DD}"/>
            </c:ext>
          </c:extLst>
        </c:ser>
        <c:ser>
          <c:idx val="3"/>
          <c:order val="3"/>
          <c:tx>
            <c:strRef>
              <c:f>גיליון1!$E$1</c:f>
              <c:strCache>
                <c:ptCount val="1"/>
                <c:pt idx="0">
                  <c:v>לאומית</c:v>
                </c:pt>
              </c:strCache>
            </c:strRef>
          </c:tx>
          <c:spPr>
            <a:solidFill>
              <a:schemeClr val="accent4"/>
            </a:solidFill>
            <a:ln>
              <a:noFill/>
            </a:ln>
            <a:effectLst/>
          </c:spPr>
          <c:invertIfNegative val="0"/>
          <c:dLbls>
            <c:dLbl>
              <c:idx val="1"/>
              <c:layout>
                <c:manualLayout>
                  <c:x val="2.4227740763173833E-3"/>
                  <c:y val="-5.4284606436603336E-2"/>
                </c:manualLayout>
              </c:layout>
              <c:tx>
                <c:rich>
                  <a:bodyPr/>
                  <a:lstStyle/>
                  <a:p>
                    <a:fld id="{B848C83D-A72E-41D1-A7FF-AC4EF2B85DE6}" type="VALUE">
                      <a:rPr lang="en-US" sz="700" baseline="0"/>
                      <a:pPr/>
                      <a:t>[VALUE]</a:t>
                    </a:fld>
                    <a:endParaRPr lang="he-I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CA1-4BD0-AF2F-59B2EE8A18DD}"/>
                </c:ext>
              </c:extLst>
            </c:dLbl>
            <c:dLbl>
              <c:idx val="2"/>
              <c:layout>
                <c:manualLayout>
                  <c:x val="2.4227740763173833E-3"/>
                  <c:y val="-6.20395502132609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A1-4BD0-AF2F-59B2EE8A18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2015</c:v>
                </c:pt>
                <c:pt idx="1">
                  <c:v>2016</c:v>
                </c:pt>
                <c:pt idx="2">
                  <c:v>2017</c:v>
                </c:pt>
              </c:numCache>
            </c:numRef>
          </c:cat>
          <c:val>
            <c:numRef>
              <c:f>גיליון1!$E$2:$E$4</c:f>
              <c:numCache>
                <c:formatCode>General</c:formatCode>
                <c:ptCount val="3"/>
                <c:pt idx="1">
                  <c:v>50</c:v>
                </c:pt>
                <c:pt idx="2">
                  <c:v>90</c:v>
                </c:pt>
              </c:numCache>
            </c:numRef>
          </c:val>
          <c:extLst>
            <c:ext xmlns:c16="http://schemas.microsoft.com/office/drawing/2014/chart" uri="{C3380CC4-5D6E-409C-BE32-E72D297353CC}">
              <c16:uniqueId val="{0000000C-CCA1-4BD0-AF2F-59B2EE8A18DD}"/>
            </c:ext>
          </c:extLst>
        </c:ser>
        <c:dLbls>
          <c:showLegendKey val="0"/>
          <c:showVal val="0"/>
          <c:showCatName val="0"/>
          <c:showSerName val="0"/>
          <c:showPercent val="0"/>
          <c:showBubbleSize val="0"/>
        </c:dLbls>
        <c:gapWidth val="150"/>
        <c:overlap val="100"/>
        <c:axId val="49717248"/>
        <c:axId val="49718784"/>
      </c:barChart>
      <c:catAx>
        <c:axId val="4971724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718784"/>
        <c:crosses val="autoZero"/>
        <c:auto val="1"/>
        <c:lblAlgn val="ctr"/>
        <c:lblOffset val="100"/>
        <c:noMultiLvlLbl val="0"/>
      </c:catAx>
      <c:valAx>
        <c:axId val="4971878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71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גיליון1!$B$1</c:f>
              <c:strCache>
                <c:ptCount val="1"/>
                <c:pt idx="0">
                  <c:v>סידרה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לאומית</c:v>
                </c:pt>
                <c:pt idx="1">
                  <c:v>מאוחדת</c:v>
                </c:pt>
                <c:pt idx="2">
                  <c:v>מכבי</c:v>
                </c:pt>
                <c:pt idx="3">
                  <c:v>כללית</c:v>
                </c:pt>
              </c:strCache>
            </c:strRef>
          </c:cat>
          <c:val>
            <c:numRef>
              <c:f>גיליון1!$B$2:$B$5</c:f>
              <c:numCache>
                <c:formatCode>0%</c:formatCode>
                <c:ptCount val="4"/>
                <c:pt idx="0">
                  <c:v>0.12</c:v>
                </c:pt>
                <c:pt idx="1">
                  <c:v>0.27</c:v>
                </c:pt>
                <c:pt idx="2">
                  <c:v>0.28000000000000003</c:v>
                </c:pt>
                <c:pt idx="3">
                  <c:v>0.09</c:v>
                </c:pt>
              </c:numCache>
            </c:numRef>
          </c:val>
          <c:extLst>
            <c:ext xmlns:c16="http://schemas.microsoft.com/office/drawing/2014/chart" uri="{C3380CC4-5D6E-409C-BE32-E72D297353CC}">
              <c16:uniqueId val="{00000000-1194-44F3-9720-734926C7E2D7}"/>
            </c:ext>
          </c:extLst>
        </c:ser>
        <c:dLbls>
          <c:showLegendKey val="0"/>
          <c:showVal val="0"/>
          <c:showCatName val="0"/>
          <c:showSerName val="0"/>
          <c:showPercent val="0"/>
          <c:showBubbleSize val="0"/>
        </c:dLbls>
        <c:gapWidth val="219"/>
        <c:overlap val="-27"/>
        <c:axId val="106518016"/>
        <c:axId val="106519552"/>
      </c:barChart>
      <c:catAx>
        <c:axId val="1065180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519552"/>
        <c:crosses val="autoZero"/>
        <c:auto val="1"/>
        <c:lblAlgn val="ctr"/>
        <c:lblOffset val="100"/>
        <c:noMultiLvlLbl val="0"/>
      </c:catAx>
      <c:valAx>
        <c:axId val="10651955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51801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6833512896394E-2"/>
          <c:y val="0.22519182928220932"/>
          <c:w val="0.80960474335038013"/>
          <c:h val="0.61558598653429186"/>
        </c:manualLayout>
      </c:layout>
      <c:barChart>
        <c:barDir val="col"/>
        <c:grouping val="clustered"/>
        <c:varyColors val="0"/>
        <c:ser>
          <c:idx val="0"/>
          <c:order val="0"/>
          <c:tx>
            <c:strRef>
              <c:f>'כל הקופות'!$B$32</c:f>
              <c:strCache>
                <c:ptCount val="1"/>
                <c:pt idx="0">
                  <c:v>כללית</c:v>
                </c:pt>
              </c:strCache>
            </c:strRef>
          </c:tx>
          <c:spPr>
            <a:solidFill>
              <a:schemeClr val="accent1"/>
            </a:solidFill>
            <a:ln>
              <a:noFill/>
            </a:ln>
            <a:effectLst/>
          </c:spPr>
          <c:invertIfNegative val="0"/>
          <c:cat>
            <c:numRef>
              <c:f>'כל הקופות'!$A$33:$A$42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'כל הקופות'!$B$33:$B$42</c:f>
              <c:numCache>
                <c:formatCode>0.00%</c:formatCode>
                <c:ptCount val="10"/>
                <c:pt idx="0">
                  <c:v>2.1873860736419979E-2</c:v>
                </c:pt>
                <c:pt idx="1">
                  <c:v>4.7833241908941303E-2</c:v>
                </c:pt>
                <c:pt idx="2">
                  <c:v>3.9213657527159856E-2</c:v>
                </c:pt>
                <c:pt idx="3">
                  <c:v>4.1887709991158269E-2</c:v>
                </c:pt>
                <c:pt idx="4">
                  <c:v>6.2741768091329364E-2</c:v>
                </c:pt>
                <c:pt idx="5">
                  <c:v>6.9050647116032024E-2</c:v>
                </c:pt>
                <c:pt idx="6">
                  <c:v>8.9286346732778465E-2</c:v>
                </c:pt>
                <c:pt idx="7">
                  <c:v>0.12584821614420716</c:v>
                </c:pt>
                <c:pt idx="8">
                  <c:v>0.16735966735966737</c:v>
                </c:pt>
                <c:pt idx="9">
                  <c:v>4.5454545454545456E-2</c:v>
                </c:pt>
              </c:numCache>
            </c:numRef>
          </c:val>
          <c:extLst>
            <c:ext xmlns:c16="http://schemas.microsoft.com/office/drawing/2014/chart" uri="{C3380CC4-5D6E-409C-BE32-E72D297353CC}">
              <c16:uniqueId val="{00000000-CF2C-4FB5-9C25-BF3CA60BFFAA}"/>
            </c:ext>
          </c:extLst>
        </c:ser>
        <c:ser>
          <c:idx val="1"/>
          <c:order val="1"/>
          <c:tx>
            <c:strRef>
              <c:f>'כל הקופות'!$C$32</c:f>
              <c:strCache>
                <c:ptCount val="1"/>
                <c:pt idx="0">
                  <c:v>מכבי</c:v>
                </c:pt>
              </c:strCache>
            </c:strRef>
          </c:tx>
          <c:spPr>
            <a:solidFill>
              <a:schemeClr val="accent2"/>
            </a:solidFill>
            <a:ln>
              <a:noFill/>
            </a:ln>
            <a:effectLst/>
          </c:spPr>
          <c:invertIfNegative val="0"/>
          <c:val>
            <c:numRef>
              <c:f>'כל הקופות'!$C$33:$C$42</c:f>
              <c:numCache>
                <c:formatCode>0.00%</c:formatCode>
                <c:ptCount val="10"/>
                <c:pt idx="0">
                  <c:v>0.10408921933085502</c:v>
                </c:pt>
                <c:pt idx="1">
                  <c:v>0.11541811846689895</c:v>
                </c:pt>
                <c:pt idx="2">
                  <c:v>0.13056057866184448</c:v>
                </c:pt>
                <c:pt idx="3">
                  <c:v>0.14620462046204621</c:v>
                </c:pt>
                <c:pt idx="4">
                  <c:v>0.13683602771362588</c:v>
                </c:pt>
                <c:pt idx="5">
                  <c:v>0.19682577852591079</c:v>
                </c:pt>
                <c:pt idx="6">
                  <c:v>0.17954771371769385</c:v>
                </c:pt>
                <c:pt idx="7">
                  <c:v>0.21529520993088272</c:v>
                </c:pt>
                <c:pt idx="8">
                  <c:v>0.30667202572347269</c:v>
                </c:pt>
                <c:pt idx="9">
                  <c:v>0.20202020202020202</c:v>
                </c:pt>
              </c:numCache>
            </c:numRef>
          </c:val>
          <c:extLst>
            <c:ext xmlns:c16="http://schemas.microsoft.com/office/drawing/2014/chart" uri="{C3380CC4-5D6E-409C-BE32-E72D297353CC}">
              <c16:uniqueId val="{00000001-CF2C-4FB5-9C25-BF3CA60BFFAA}"/>
            </c:ext>
          </c:extLst>
        </c:ser>
        <c:ser>
          <c:idx val="2"/>
          <c:order val="2"/>
          <c:tx>
            <c:strRef>
              <c:f>'כל הקופות'!$E$32</c:f>
              <c:strCache>
                <c:ptCount val="1"/>
                <c:pt idx="0">
                  <c:v>מאוחדת</c:v>
                </c:pt>
              </c:strCache>
            </c:strRef>
          </c:tx>
          <c:spPr>
            <a:solidFill>
              <a:schemeClr val="accent3"/>
            </a:solidFill>
            <a:ln>
              <a:noFill/>
            </a:ln>
            <a:effectLst/>
          </c:spPr>
          <c:invertIfNegative val="0"/>
          <c:val>
            <c:numRef>
              <c:f>'כל הקופות'!$E$33:$E$42</c:f>
              <c:numCache>
                <c:formatCode>0.00%</c:formatCode>
                <c:ptCount val="10"/>
                <c:pt idx="0">
                  <c:v>2.5965801139962E-2</c:v>
                </c:pt>
                <c:pt idx="1">
                  <c:v>8.8198411592587428E-2</c:v>
                </c:pt>
                <c:pt idx="2">
                  <c:v>3.3279220779220776E-2</c:v>
                </c:pt>
                <c:pt idx="3">
                  <c:v>5.4567749846719804E-2</c:v>
                </c:pt>
                <c:pt idx="4">
                  <c:v>8.687815428983417E-2</c:v>
                </c:pt>
                <c:pt idx="5">
                  <c:v>0.1175199827176496</c:v>
                </c:pt>
                <c:pt idx="6">
                  <c:v>0.13087792448459579</c:v>
                </c:pt>
                <c:pt idx="7">
                  <c:v>0.25033235841531509</c:v>
                </c:pt>
                <c:pt idx="8">
                  <c:v>0.28367346938775512</c:v>
                </c:pt>
                <c:pt idx="9">
                  <c:v>0.41666666666666669</c:v>
                </c:pt>
              </c:numCache>
            </c:numRef>
          </c:val>
          <c:extLst>
            <c:ext xmlns:c16="http://schemas.microsoft.com/office/drawing/2014/chart" uri="{C3380CC4-5D6E-409C-BE32-E72D297353CC}">
              <c16:uniqueId val="{00000002-CF2C-4FB5-9C25-BF3CA60BFFAA}"/>
            </c:ext>
          </c:extLst>
        </c:ser>
        <c:ser>
          <c:idx val="3"/>
          <c:order val="3"/>
          <c:tx>
            <c:strRef>
              <c:f>'כל הקופות'!$D$32</c:f>
              <c:strCache>
                <c:ptCount val="1"/>
                <c:pt idx="0">
                  <c:v>לאומית</c:v>
                </c:pt>
              </c:strCache>
            </c:strRef>
          </c:tx>
          <c:spPr>
            <a:solidFill>
              <a:schemeClr val="accent4"/>
            </a:solidFill>
            <a:ln>
              <a:noFill/>
            </a:ln>
            <a:effectLst/>
          </c:spPr>
          <c:invertIfNegative val="0"/>
          <c:val>
            <c:numRef>
              <c:f>'כל הקופות'!$D$33:$D$42</c:f>
              <c:numCache>
                <c:formatCode>0.00%</c:formatCode>
                <c:ptCount val="10"/>
                <c:pt idx="0">
                  <c:v>1.7432646592709985E-2</c:v>
                </c:pt>
                <c:pt idx="1">
                  <c:v>4.2832167832167832E-2</c:v>
                </c:pt>
                <c:pt idx="2">
                  <c:v>5.7501306847882905E-2</c:v>
                </c:pt>
                <c:pt idx="3">
                  <c:v>5.7324840764331211E-2</c:v>
                </c:pt>
                <c:pt idx="4">
                  <c:v>4.7835195530726259E-2</c:v>
                </c:pt>
                <c:pt idx="5">
                  <c:v>9.8336594911937372E-2</c:v>
                </c:pt>
                <c:pt idx="6">
                  <c:v>0.12481165243596183</c:v>
                </c:pt>
                <c:pt idx="7">
                  <c:v>0.20139098881161174</c:v>
                </c:pt>
                <c:pt idx="8">
                  <c:v>0.25925925925925924</c:v>
                </c:pt>
                <c:pt idx="9">
                  <c:v>0.6</c:v>
                </c:pt>
              </c:numCache>
            </c:numRef>
          </c:val>
          <c:extLst>
            <c:ext xmlns:c16="http://schemas.microsoft.com/office/drawing/2014/chart" uri="{C3380CC4-5D6E-409C-BE32-E72D297353CC}">
              <c16:uniqueId val="{00000003-CF2C-4FB5-9C25-BF3CA60BFFAA}"/>
            </c:ext>
          </c:extLst>
        </c:ser>
        <c:dLbls>
          <c:showLegendKey val="0"/>
          <c:showVal val="0"/>
          <c:showCatName val="0"/>
          <c:showSerName val="0"/>
          <c:showPercent val="0"/>
          <c:showBubbleSize val="0"/>
        </c:dLbls>
        <c:gapWidth val="150"/>
        <c:axId val="106585088"/>
        <c:axId val="106586880"/>
      </c:barChart>
      <c:catAx>
        <c:axId val="10658508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586880"/>
        <c:crosses val="autoZero"/>
        <c:auto val="1"/>
        <c:lblAlgn val="ctr"/>
        <c:lblOffset val="100"/>
        <c:noMultiLvlLbl val="0"/>
      </c:catAx>
      <c:valAx>
        <c:axId val="106586880"/>
        <c:scaling>
          <c:orientation val="minMax"/>
          <c:max val="0.60000000000000009"/>
        </c:scaling>
        <c:delete val="0"/>
        <c:axPos val="r"/>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585088"/>
        <c:crosses val="autoZero"/>
        <c:crossBetween val="between"/>
      </c:valAx>
      <c:spPr>
        <a:noFill/>
        <a:ln>
          <a:noFill/>
        </a:ln>
        <a:effectLst/>
      </c:spPr>
    </c:plotArea>
    <c:legend>
      <c:legendPos val="b"/>
      <c:layout>
        <c:manualLayout>
          <c:xMode val="edge"/>
          <c:yMode val="edge"/>
          <c:x val="0.25667766779022344"/>
          <c:y val="0.91952205954561772"/>
          <c:w val="0.61207822604648654"/>
          <c:h val="6.26794476777359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ln>
                  <a:noFill/>
                </a:ln>
                <a:solidFill>
                  <a:schemeClr val="tx1">
                    <a:lumMod val="65000"/>
                    <a:lumOff val="35000"/>
                  </a:schemeClr>
                </a:solidFill>
                <a:latin typeface="+mn-lt"/>
                <a:ea typeface="+mn-ea"/>
                <a:cs typeface="+mn-cs"/>
              </a:defRPr>
            </a:pPr>
            <a:r>
              <a:rPr lang="he-IL" sz="900" b="1" u="none">
                <a:effectLst/>
                <a:latin typeface="David" panose="020E0502060401010101" pitchFamily="34" charset="-79"/>
                <a:cs typeface="David" panose="020E0502060401010101" pitchFamily="34" charset="-79"/>
              </a:rPr>
              <a:t>תרשים 5: שיעור המטופלים במסלול המטפלים העצמאיים מסך כל המטופלים ביישובים לפי אשכול חברתי-כלכלי, 2018</a:t>
            </a:r>
            <a:endParaRPr lang="en-US" sz="900" u="none">
              <a:effectLst/>
              <a:latin typeface="David" panose="020E0502060401010101" pitchFamily="34" charset="-79"/>
              <a:cs typeface="David" panose="020E0502060401010101" pitchFamily="34" charset="-79"/>
            </a:endParaRPr>
          </a:p>
        </c:rich>
      </c:tx>
      <c:layout>
        <c:manualLayout>
          <c:xMode val="edge"/>
          <c:yMode val="edge"/>
          <c:x val="0.10704991325236887"/>
          <c:y val="1.3135227661759672E-2"/>
        </c:manualLayout>
      </c:layout>
      <c:overlay val="0"/>
      <c:spPr>
        <a:noFill/>
        <a:ln>
          <a:noFill/>
        </a:ln>
        <a:effectLst/>
      </c:spPr>
    </c:title>
    <c:autoTitleDeleted val="0"/>
    <c:plotArea>
      <c:layout>
        <c:manualLayout>
          <c:layoutTarget val="inner"/>
          <c:xMode val="edge"/>
          <c:yMode val="edge"/>
          <c:x val="4.1623309053069719E-2"/>
          <c:y val="0.22886682642930506"/>
          <c:w val="0.8549047498094996"/>
          <c:h val="0.73654091064703853"/>
        </c:manualLayout>
      </c:layout>
      <c:barChart>
        <c:barDir val="bar"/>
        <c:grouping val="clustered"/>
        <c:varyColors val="0"/>
        <c:ser>
          <c:idx val="0"/>
          <c:order val="0"/>
          <c:tx>
            <c:strRef>
              <c:f>'כל הקופות'!$F$1</c:f>
              <c:strCache>
                <c:ptCount val="1"/>
                <c:pt idx="0">
                  <c:v>שיעור מטופלים אצל עצמאיים ממטופלים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'מאוחדת 19.11.19'!$A$3:$A$12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'כל הקופות'!$F$2:$F$11</c:f>
              <c:numCache>
                <c:formatCode>0%</c:formatCode>
                <c:ptCount val="10"/>
                <c:pt idx="0">
                  <c:v>2.9238810846128716E-2</c:v>
                </c:pt>
                <c:pt idx="1">
                  <c:v>7.1036142390119864E-2</c:v>
                </c:pt>
                <c:pt idx="2">
                  <c:v>5.5453085024097105E-2</c:v>
                </c:pt>
                <c:pt idx="3">
                  <c:v>6.511454183266932E-2</c:v>
                </c:pt>
                <c:pt idx="4">
                  <c:v>8.3972375442844971E-2</c:v>
                </c:pt>
                <c:pt idx="5">
                  <c:v>0.11532515377783625</c:v>
                </c:pt>
                <c:pt idx="6">
                  <c:v>0.13051773213324103</c:v>
                </c:pt>
                <c:pt idx="7">
                  <c:v>0.18509017534529415</c:v>
                </c:pt>
                <c:pt idx="8">
                  <c:v>0.25004910626595955</c:v>
                </c:pt>
                <c:pt idx="9">
                  <c:v>0.21014492753623187</c:v>
                </c:pt>
              </c:numCache>
            </c:numRef>
          </c:val>
          <c:extLst>
            <c:ext xmlns:c16="http://schemas.microsoft.com/office/drawing/2014/chart" uri="{C3380CC4-5D6E-409C-BE32-E72D297353CC}">
              <c16:uniqueId val="{00000000-3922-4754-91BE-5CC6341A0643}"/>
            </c:ext>
          </c:extLst>
        </c:ser>
        <c:dLbls>
          <c:dLblPos val="outEnd"/>
          <c:showLegendKey val="0"/>
          <c:showVal val="1"/>
          <c:showCatName val="0"/>
          <c:showSerName val="0"/>
          <c:showPercent val="0"/>
          <c:showBubbleSize val="0"/>
        </c:dLbls>
        <c:gapWidth val="182"/>
        <c:axId val="106090880"/>
        <c:axId val="106093568"/>
      </c:barChart>
      <c:catAx>
        <c:axId val="106090880"/>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round/>
          </a:ln>
          <a:effectLst/>
        </c:spPr>
        <c:txPr>
          <a:bodyPr rot="0" spcFirstLastPara="1" vertOverflow="ellipsis" wrap="square" anchor="t" anchorCtr="0"/>
          <a:lstStyle/>
          <a:p>
            <a:pPr>
              <a:defRPr sz="900" b="0" i="0" u="none" strike="noStrike" kern="1200" baseline="0">
                <a:ln>
                  <a:solidFill>
                    <a:schemeClr val="tx1"/>
                  </a:solidFill>
                </a:ln>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093568"/>
        <c:crosses val="autoZero"/>
        <c:auto val="1"/>
        <c:lblAlgn val="ctr"/>
        <c:lblOffset val="100"/>
        <c:noMultiLvlLbl val="0"/>
      </c:catAx>
      <c:valAx>
        <c:axId val="106093568"/>
        <c:scaling>
          <c:orientation val="maxMin"/>
        </c:scaling>
        <c:delete val="1"/>
        <c:axPos val="b"/>
        <c:majorGridlines>
          <c:spPr>
            <a:ln w="9525">
              <a:solidFill>
                <a:schemeClr val="tx1">
                  <a:lumMod val="15000"/>
                  <a:lumOff val="85000"/>
                </a:schemeClr>
              </a:solidFill>
              <a:round/>
            </a:ln>
            <a:effectLst/>
          </c:spPr>
        </c:majorGridlines>
        <c:numFmt formatCode="0%" sourceLinked="1"/>
        <c:majorTickMark val="none"/>
        <c:minorTickMark val="none"/>
        <c:tickLblPos val="nextTo"/>
        <c:crossAx val="10609088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גיליון1!$D$6</c:f>
              <c:strCache>
                <c:ptCount val="1"/>
                <c:pt idx="0">
                  <c:v>2016</c:v>
                </c:pt>
              </c:strCache>
            </c:strRef>
          </c:tx>
          <c:spPr>
            <a:solidFill>
              <a:schemeClr val="accent1"/>
            </a:solidFill>
            <a:ln>
              <a:noFill/>
            </a:ln>
            <a:effectLst/>
          </c:spPr>
          <c:invertIfNegative val="0"/>
          <c:cat>
            <c:strRef>
              <c:f>גיליון1!$C$7:$C$10</c:f>
              <c:strCache>
                <c:ptCount val="4"/>
                <c:pt idx="0">
                  <c:v>כללית</c:v>
                </c:pt>
                <c:pt idx="1">
                  <c:v>מכבי</c:v>
                </c:pt>
                <c:pt idx="2">
                  <c:v>מאוחדת</c:v>
                </c:pt>
                <c:pt idx="3">
                  <c:v>לאומית</c:v>
                </c:pt>
              </c:strCache>
            </c:strRef>
          </c:cat>
          <c:val>
            <c:numRef>
              <c:f>גיליון1!$D$7:$D$10</c:f>
              <c:numCache>
                <c:formatCode>0.00%</c:formatCode>
                <c:ptCount val="4"/>
                <c:pt idx="0">
                  <c:v>4.0000000000000001E-3</c:v>
                </c:pt>
                <c:pt idx="1">
                  <c:v>5.2999999999999999E-2</c:v>
                </c:pt>
                <c:pt idx="2">
                  <c:v>5.5E-2</c:v>
                </c:pt>
                <c:pt idx="3">
                  <c:v>1.4E-2</c:v>
                </c:pt>
              </c:numCache>
            </c:numRef>
          </c:val>
          <c:extLst>
            <c:ext xmlns:c16="http://schemas.microsoft.com/office/drawing/2014/chart" uri="{C3380CC4-5D6E-409C-BE32-E72D297353CC}">
              <c16:uniqueId val="{00000000-E38E-4FBC-AA7E-B5F56585E20C}"/>
            </c:ext>
          </c:extLst>
        </c:ser>
        <c:ser>
          <c:idx val="1"/>
          <c:order val="1"/>
          <c:tx>
            <c:strRef>
              <c:f>גיליון1!$E$6</c:f>
              <c:strCache>
                <c:ptCount val="1"/>
                <c:pt idx="0">
                  <c:v>2017</c:v>
                </c:pt>
              </c:strCache>
            </c:strRef>
          </c:tx>
          <c:spPr>
            <a:solidFill>
              <a:schemeClr val="accent2"/>
            </a:solidFill>
            <a:ln>
              <a:noFill/>
            </a:ln>
            <a:effectLst/>
          </c:spPr>
          <c:invertIfNegative val="0"/>
          <c:cat>
            <c:strRef>
              <c:f>גיליון1!$C$7:$C$10</c:f>
              <c:strCache>
                <c:ptCount val="4"/>
                <c:pt idx="0">
                  <c:v>כללית</c:v>
                </c:pt>
                <c:pt idx="1">
                  <c:v>מכבי</c:v>
                </c:pt>
                <c:pt idx="2">
                  <c:v>מאוחדת</c:v>
                </c:pt>
                <c:pt idx="3">
                  <c:v>לאומית</c:v>
                </c:pt>
              </c:strCache>
            </c:strRef>
          </c:cat>
          <c:val>
            <c:numRef>
              <c:f>גיליון1!$E$7:$E$10</c:f>
              <c:numCache>
                <c:formatCode>0.00%</c:formatCode>
                <c:ptCount val="4"/>
                <c:pt idx="0">
                  <c:v>8.0000000000000002E-3</c:v>
                </c:pt>
                <c:pt idx="1">
                  <c:v>4.9000000000000002E-2</c:v>
                </c:pt>
                <c:pt idx="2">
                  <c:v>0.05</c:v>
                </c:pt>
                <c:pt idx="3">
                  <c:v>1.4999999999999999E-2</c:v>
                </c:pt>
              </c:numCache>
            </c:numRef>
          </c:val>
          <c:extLst>
            <c:ext xmlns:c16="http://schemas.microsoft.com/office/drawing/2014/chart" uri="{C3380CC4-5D6E-409C-BE32-E72D297353CC}">
              <c16:uniqueId val="{00000001-E38E-4FBC-AA7E-B5F56585E20C}"/>
            </c:ext>
          </c:extLst>
        </c:ser>
        <c:ser>
          <c:idx val="2"/>
          <c:order val="2"/>
          <c:tx>
            <c:strRef>
              <c:f>גיליון1!$F$6</c:f>
              <c:strCache>
                <c:ptCount val="1"/>
                <c:pt idx="0">
                  <c:v>2018</c:v>
                </c:pt>
              </c:strCache>
            </c:strRef>
          </c:tx>
          <c:spPr>
            <a:solidFill>
              <a:schemeClr val="accent3"/>
            </a:solidFill>
            <a:ln>
              <a:noFill/>
            </a:ln>
            <a:effectLst/>
          </c:spPr>
          <c:invertIfNegative val="0"/>
          <c:cat>
            <c:strRef>
              <c:f>גיליון1!$C$7:$C$10</c:f>
              <c:strCache>
                <c:ptCount val="4"/>
                <c:pt idx="0">
                  <c:v>כללית</c:v>
                </c:pt>
                <c:pt idx="1">
                  <c:v>מכבי</c:v>
                </c:pt>
                <c:pt idx="2">
                  <c:v>מאוחדת</c:v>
                </c:pt>
                <c:pt idx="3">
                  <c:v>לאומית</c:v>
                </c:pt>
              </c:strCache>
            </c:strRef>
          </c:cat>
          <c:val>
            <c:numRef>
              <c:f>גיליון1!$F$7:$F$10</c:f>
              <c:numCache>
                <c:formatCode>0.00%</c:formatCode>
                <c:ptCount val="4"/>
                <c:pt idx="0" formatCode="0.0%">
                  <c:v>1.0999999999999999E-2</c:v>
                </c:pt>
                <c:pt idx="1">
                  <c:v>0.05</c:v>
                </c:pt>
                <c:pt idx="2">
                  <c:v>5.8999999999999997E-2</c:v>
                </c:pt>
                <c:pt idx="3">
                  <c:v>1.4999999999999999E-2</c:v>
                </c:pt>
              </c:numCache>
            </c:numRef>
          </c:val>
          <c:extLst>
            <c:ext xmlns:c16="http://schemas.microsoft.com/office/drawing/2014/chart" uri="{C3380CC4-5D6E-409C-BE32-E72D297353CC}">
              <c16:uniqueId val="{00000002-E38E-4FBC-AA7E-B5F56585E20C}"/>
            </c:ext>
          </c:extLst>
        </c:ser>
        <c:dLbls>
          <c:showLegendKey val="0"/>
          <c:showVal val="0"/>
          <c:showCatName val="0"/>
          <c:showSerName val="0"/>
          <c:showPercent val="0"/>
          <c:showBubbleSize val="0"/>
        </c:dLbls>
        <c:gapWidth val="219"/>
        <c:overlap val="-27"/>
        <c:axId val="106743680"/>
        <c:axId val="106745216"/>
      </c:barChart>
      <c:catAx>
        <c:axId val="10674368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745216"/>
        <c:crosses val="autoZero"/>
        <c:auto val="1"/>
        <c:lblAlgn val="ctr"/>
        <c:lblOffset val="100"/>
        <c:noMultiLvlLbl val="0"/>
      </c:catAx>
      <c:valAx>
        <c:axId val="106745216"/>
        <c:scaling>
          <c:orientation val="minMax"/>
        </c:scaling>
        <c:delete val="0"/>
        <c:axPos val="r"/>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0674368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9DD76-FCA7-4CAC-9082-553F29AAF99B}" type="doc">
      <dgm:prSet loTypeId="urn:microsoft.com/office/officeart/2008/layout/LinedList" loCatId="list" qsTypeId="urn:microsoft.com/office/officeart/2005/8/quickstyle/simple4" qsCatId="simple" csTypeId="urn:microsoft.com/office/officeart/2005/8/colors/accent1_4" csCatId="accent1" phldr="1"/>
      <dgm:spPr/>
      <dgm:t>
        <a:bodyPr/>
        <a:lstStyle/>
        <a:p>
          <a:pPr rtl="1"/>
          <a:endParaRPr lang="he-IL"/>
        </a:p>
      </dgm:t>
    </dgm:pt>
    <dgm:pt modelId="{4B561AE9-E411-4958-94FC-5F3465D68DE3}">
      <dgm:prSet phldrT="[טקסט]" custT="1"/>
      <dgm:spPr>
        <a:xfrm>
          <a:off x="0" y="1389"/>
          <a:ext cx="1216385" cy="2842779"/>
        </a:xfrm>
        <a:noFill/>
        <a:ln>
          <a:noFill/>
        </a:ln>
        <a:effectLst/>
      </dgm:spPr>
      <dgm:t>
        <a:bodyPr/>
        <a:lstStyle/>
        <a:p>
          <a:pPr algn="ctr" rtl="1"/>
          <a:r>
            <a:rPr lang="he-IL" sz="1800">
              <a:solidFill>
                <a:sysClr val="windowText" lastClr="000000">
                  <a:hueOff val="0"/>
                  <a:satOff val="0"/>
                  <a:lumOff val="0"/>
                  <a:alphaOff val="0"/>
                </a:sysClr>
              </a:solidFill>
              <a:latin typeface="Calibri"/>
              <a:ea typeface="+mn-ea"/>
              <a:cs typeface="Arial" panose="020B0604020202020204" pitchFamily="34" charset="0"/>
            </a:rPr>
            <a:t>מרפאות בריאות נפש של קופות החולים לפי יישובים</a:t>
          </a:r>
        </a:p>
      </dgm:t>
    </dgm:pt>
    <dgm:pt modelId="{2F052329-CF6B-454B-9A4C-2C4F6DD8B9EC}" type="parTrans" cxnId="{F4765F6E-C02E-49DB-A4F6-AE69EDB65CB6}">
      <dgm:prSet/>
      <dgm:spPr/>
      <dgm:t>
        <a:bodyPr/>
        <a:lstStyle/>
        <a:p>
          <a:pPr algn="ctr" rtl="1"/>
          <a:endParaRPr lang="he-IL"/>
        </a:p>
      </dgm:t>
    </dgm:pt>
    <dgm:pt modelId="{58C0DD13-F6A2-4CD4-BF6B-356ECC35CDFE}" type="sibTrans" cxnId="{F4765F6E-C02E-49DB-A4F6-AE69EDB65CB6}">
      <dgm:prSet/>
      <dgm:spPr/>
      <dgm:t>
        <a:bodyPr/>
        <a:lstStyle/>
        <a:p>
          <a:pPr algn="ctr" rtl="1"/>
          <a:endParaRPr lang="he-IL"/>
        </a:p>
      </dgm:t>
    </dgm:pt>
    <dgm:pt modelId="{CFB9F5AF-9F3A-4D59-B756-91313921399A}">
      <dgm:prSet phldrT="[טקסט]" custT="1"/>
      <dgm:spPr>
        <a:xfrm>
          <a:off x="1291128" y="71973"/>
          <a:ext cx="3911575" cy="884427"/>
        </a:xfrm>
        <a:noFill/>
        <a:ln>
          <a:noFill/>
        </a:ln>
        <a:effectLst/>
      </dgm:spPr>
      <dgm:t>
        <a:bodyPr/>
        <a:lstStyle/>
        <a:p>
          <a:pPr algn="just" rtl="1"/>
          <a:r>
            <a:rPr lang="he-IL" sz="1200" b="1">
              <a:solidFill>
                <a:sysClr val="windowText" lastClr="000000">
                  <a:hueOff val="0"/>
                  <a:satOff val="0"/>
                  <a:lumOff val="0"/>
                  <a:alphaOff val="0"/>
                </a:sysClr>
              </a:solidFill>
              <a:latin typeface="Calibri"/>
              <a:ea typeface="+mn-ea"/>
              <a:cs typeface="Arial" panose="020B0604020202020204" pitchFamily="34" charset="0"/>
            </a:rPr>
            <a:t>הכללית - נפתחו מרפאות ייעודיות ב-31 יישובים: </a:t>
          </a:r>
          <a:r>
            <a:rPr lang="he-IL" sz="1000">
              <a:solidFill>
                <a:sysClr val="windowText" lastClr="000000">
                  <a:hueOff val="0"/>
                  <a:satOff val="0"/>
                  <a:lumOff val="0"/>
                  <a:alphaOff val="0"/>
                </a:sysClr>
              </a:solidFill>
              <a:latin typeface="Calibri"/>
              <a:ea typeface="+mn-ea"/>
              <a:cs typeface="Arial" panose="020B0604020202020204" pitchFamily="34" charset="0"/>
            </a:rPr>
            <a:t>אילת, אשדוד, באקה אל-גרבייה, בית שאן, בית שמש, דימונה, חדרה, חיפה, טבריה, טייבה, יבנה, יוקנעם, ירושלים, כפר סבא, כרמיאל, מגדל העמק, מודיעין, משגב, נצרת עילית, עפולה, ערד, פתח תקווה, קלנסווה, קריית מלאכי, קריית שמונה, ראשון לציון, רהט, רעות, שפרעם, תל אביב, תל מונד.</a:t>
          </a:r>
        </a:p>
        <a:p>
          <a:pPr algn="ctr" rtl="1"/>
          <a:endParaRPr lang="he-IL" sz="900">
            <a:solidFill>
              <a:sysClr val="windowText" lastClr="000000">
                <a:hueOff val="0"/>
                <a:satOff val="0"/>
                <a:lumOff val="0"/>
                <a:alphaOff val="0"/>
              </a:sysClr>
            </a:solidFill>
            <a:latin typeface="Calibri"/>
            <a:ea typeface="+mn-ea"/>
            <a:cs typeface="Arial" panose="020B0604020202020204" pitchFamily="34" charset="0"/>
          </a:endParaRPr>
        </a:p>
      </dgm:t>
    </dgm:pt>
    <dgm:pt modelId="{8398AEE5-5196-442F-AACE-10A942591D56}" type="parTrans" cxnId="{124A165B-9BDD-4A89-A6D6-BE70E7686EB9}">
      <dgm:prSet/>
      <dgm:spPr/>
      <dgm:t>
        <a:bodyPr/>
        <a:lstStyle/>
        <a:p>
          <a:pPr algn="ctr" rtl="1"/>
          <a:endParaRPr lang="he-IL"/>
        </a:p>
      </dgm:t>
    </dgm:pt>
    <dgm:pt modelId="{8A6B8B3E-C87C-4FDE-8D7D-FEBFFD29F23D}" type="sibTrans" cxnId="{124A165B-9BDD-4A89-A6D6-BE70E7686EB9}">
      <dgm:prSet/>
      <dgm:spPr/>
      <dgm:t>
        <a:bodyPr/>
        <a:lstStyle/>
        <a:p>
          <a:pPr algn="ctr" rtl="1"/>
          <a:endParaRPr lang="he-IL"/>
        </a:p>
      </dgm:t>
    </dgm:pt>
    <dgm:pt modelId="{EFCE55DD-0A9B-4F6B-BB8C-848D0C3DA995}">
      <dgm:prSet phldrT="[טקסט]" custT="1"/>
      <dgm:spPr>
        <a:xfrm>
          <a:off x="1291128" y="951981"/>
          <a:ext cx="3911575" cy="718358"/>
        </a:xfrm>
        <a:noFill/>
        <a:ln>
          <a:noFill/>
        </a:ln>
        <a:effectLst/>
      </dgm:spPr>
      <dgm:t>
        <a:bodyPr/>
        <a:lstStyle/>
        <a:p>
          <a:pPr algn="just" rtl="1"/>
          <a:r>
            <a:rPr lang="he-IL" sz="1200" b="1">
              <a:solidFill>
                <a:sysClr val="windowText" lastClr="000000">
                  <a:hueOff val="0"/>
                  <a:satOff val="0"/>
                  <a:lumOff val="0"/>
                  <a:alphaOff val="0"/>
                </a:sysClr>
              </a:solidFill>
              <a:latin typeface="Calibri"/>
              <a:ea typeface="+mn-ea"/>
              <a:cs typeface="Arial" panose="020B0604020202020204" pitchFamily="34" charset="0"/>
            </a:rPr>
            <a:t>מכבי - נפתחו מרפאות ייעודיות ב-24 יישובים: </a:t>
          </a:r>
          <a:r>
            <a:rPr lang="he-IL" sz="1000">
              <a:solidFill>
                <a:sysClr val="windowText" lastClr="000000">
                  <a:hueOff val="0"/>
                  <a:satOff val="0"/>
                  <a:lumOff val="0"/>
                  <a:alphaOff val="0"/>
                </a:sysClr>
              </a:solidFill>
              <a:latin typeface="Calibri"/>
              <a:ea typeface="+mn-ea"/>
              <a:cs typeface="Arial" panose="020B0604020202020204" pitchFamily="34" charset="0"/>
            </a:rPr>
            <a:t>אופקים, אשדוד, באר שבע, בני ברק, דימונה, הרצלייה, חיפה, ירוחם, ירושלים, כרמיאל, מודיעין, מודיעין עילית, נצרת עילית, נתיבות, נתניה, ערד, קריית גת, קריית מוצקין, ראשון לציון, רחובות, רמת גן, רמת השרון, רעננה, תל אביב.</a:t>
          </a:r>
          <a:endParaRPr lang="he-IL" sz="1000" b="1">
            <a:solidFill>
              <a:sysClr val="windowText" lastClr="000000">
                <a:hueOff val="0"/>
                <a:satOff val="0"/>
                <a:lumOff val="0"/>
                <a:alphaOff val="0"/>
              </a:sysClr>
            </a:solidFill>
            <a:latin typeface="Calibri"/>
            <a:ea typeface="+mn-ea"/>
            <a:cs typeface="Arial" panose="020B0604020202020204" pitchFamily="34" charset="0"/>
          </a:endParaRPr>
        </a:p>
      </dgm:t>
    </dgm:pt>
    <dgm:pt modelId="{79DACB53-19F1-411C-8FCF-E088D21993B4}" type="parTrans" cxnId="{6621D73E-2B1D-4CD0-AE6E-6E4100FFFB71}">
      <dgm:prSet/>
      <dgm:spPr/>
      <dgm:t>
        <a:bodyPr/>
        <a:lstStyle/>
        <a:p>
          <a:pPr algn="ctr" rtl="1"/>
          <a:endParaRPr lang="he-IL"/>
        </a:p>
      </dgm:t>
    </dgm:pt>
    <dgm:pt modelId="{DF5588BB-16BC-4A5B-AC92-D672A48140B0}" type="sibTrans" cxnId="{6621D73E-2B1D-4CD0-AE6E-6E4100FFFB71}">
      <dgm:prSet/>
      <dgm:spPr/>
      <dgm:t>
        <a:bodyPr/>
        <a:lstStyle/>
        <a:p>
          <a:pPr algn="ctr" rtl="1"/>
          <a:endParaRPr lang="he-IL"/>
        </a:p>
      </dgm:t>
    </dgm:pt>
    <dgm:pt modelId="{F0AB577D-6E97-4209-96A9-6219A3CA0A2F}">
      <dgm:prSet phldrT="[טקסט]" custT="1"/>
      <dgm:spPr>
        <a:xfrm>
          <a:off x="1295040" y="1672697"/>
          <a:ext cx="3911575" cy="425492"/>
        </a:xfrm>
        <a:noFill/>
        <a:ln>
          <a:noFill/>
        </a:ln>
        <a:effectLst/>
      </dgm:spPr>
      <dgm:t>
        <a:bodyPr/>
        <a:lstStyle/>
        <a:p>
          <a:pPr algn="just" rtl="1"/>
          <a:r>
            <a:rPr lang="he-IL" sz="1200" b="1">
              <a:solidFill>
                <a:sysClr val="windowText" lastClr="000000">
                  <a:hueOff val="0"/>
                  <a:satOff val="0"/>
                  <a:lumOff val="0"/>
                  <a:alphaOff val="0"/>
                </a:sysClr>
              </a:solidFill>
              <a:latin typeface="Calibri"/>
              <a:ea typeface="+mn-ea"/>
              <a:cs typeface="Arial" panose="020B0604020202020204" pitchFamily="34" charset="0"/>
            </a:rPr>
            <a:t>מאוחדת - נפתחו מרפאות ייעודיות ב-21 יישובים: </a:t>
          </a:r>
          <a:r>
            <a:rPr lang="he-IL" sz="1000" b="0">
              <a:solidFill>
                <a:sysClr val="windowText" lastClr="000000">
                  <a:hueOff val="0"/>
                  <a:satOff val="0"/>
                  <a:lumOff val="0"/>
                  <a:alphaOff val="0"/>
                </a:sysClr>
              </a:solidFill>
              <a:latin typeface="Calibri"/>
              <a:ea typeface="+mn-ea"/>
              <a:cs typeface="Arial" panose="020B0604020202020204" pitchFamily="34" charset="0"/>
            </a:rPr>
            <a:t>אילת,</a:t>
          </a:r>
          <a:r>
            <a:rPr lang="he-IL" sz="1200" b="1">
              <a:solidFill>
                <a:sysClr val="windowText" lastClr="000000">
                  <a:hueOff val="0"/>
                  <a:satOff val="0"/>
                  <a:lumOff val="0"/>
                  <a:alphaOff val="0"/>
                </a:sysClr>
              </a:solidFill>
              <a:latin typeface="Calibri"/>
              <a:ea typeface="+mn-ea"/>
              <a:cs typeface="Arial" panose="020B0604020202020204" pitchFamily="34" charset="0"/>
            </a:rPr>
            <a:t> </a:t>
          </a:r>
          <a:r>
            <a:rPr lang="he-IL" sz="1000" b="0">
              <a:solidFill>
                <a:sysClr val="windowText" lastClr="000000">
                  <a:hueOff val="0"/>
                  <a:satOff val="0"/>
                  <a:lumOff val="0"/>
                  <a:alphaOff val="0"/>
                </a:sysClr>
              </a:solidFill>
              <a:latin typeface="Calibri"/>
              <a:ea typeface="+mn-ea"/>
              <a:cs typeface="Arial" panose="020B0604020202020204" pitchFamily="34" charset="0"/>
            </a:rPr>
            <a:t>אשדוד, באר שבע, בית שמש, בני ברק, בת ים, גבעת שמואל, חדרה, חיפה, ירושלים, ירכא, מודיעין, מודיעין עילית, מעלה אדומים, נס ציונה, נתניה, פתח תקווה, ראשון לציון, רחובות, רמלה, תל אביב.</a:t>
          </a:r>
        </a:p>
      </dgm:t>
    </dgm:pt>
    <dgm:pt modelId="{B1C07DC3-B458-4277-828F-A24FC7329292}" type="parTrans" cxnId="{E2D0F0C9-1E24-4F97-AD9A-3350DA684CBA}">
      <dgm:prSet/>
      <dgm:spPr/>
      <dgm:t>
        <a:bodyPr/>
        <a:lstStyle/>
        <a:p>
          <a:pPr algn="ctr" rtl="1"/>
          <a:endParaRPr lang="he-IL"/>
        </a:p>
      </dgm:t>
    </dgm:pt>
    <dgm:pt modelId="{8C8E87BC-AA57-4027-8651-BA51AD2B0B40}" type="sibTrans" cxnId="{E2D0F0C9-1E24-4F97-AD9A-3350DA684CBA}">
      <dgm:prSet/>
      <dgm:spPr/>
      <dgm:t>
        <a:bodyPr/>
        <a:lstStyle/>
        <a:p>
          <a:pPr algn="ctr" rtl="1"/>
          <a:endParaRPr lang="he-IL"/>
        </a:p>
      </dgm:t>
    </dgm:pt>
    <dgm:pt modelId="{46834EAD-352F-47D7-A207-9F3EA9D75C31}">
      <dgm:prSet phldrT="[טקסט]" custT="1"/>
      <dgm:spPr>
        <a:xfrm>
          <a:off x="1291128" y="2332456"/>
          <a:ext cx="3911575" cy="459739"/>
        </a:xfrm>
        <a:noFill/>
        <a:ln>
          <a:noFill/>
        </a:ln>
        <a:effectLst/>
      </dgm:spPr>
      <dgm:t>
        <a:bodyPr/>
        <a:lstStyle/>
        <a:p>
          <a:pPr algn="just" rtl="1"/>
          <a:r>
            <a:rPr lang="he-IL" sz="1200" b="1">
              <a:solidFill>
                <a:sysClr val="windowText" lastClr="000000">
                  <a:hueOff val="0"/>
                  <a:satOff val="0"/>
                  <a:lumOff val="0"/>
                  <a:alphaOff val="0"/>
                </a:sysClr>
              </a:solidFill>
              <a:latin typeface="Calibri"/>
              <a:ea typeface="+mn-ea"/>
              <a:cs typeface="Arial" panose="020B0604020202020204" pitchFamily="34" charset="0"/>
            </a:rPr>
            <a:t>לאומית - נפתחו מרפאות ייעודיות ב-4 יישובים: </a:t>
          </a:r>
          <a:r>
            <a:rPr lang="he-IL" sz="1000">
              <a:solidFill>
                <a:sysClr val="windowText" lastClr="000000">
                  <a:hueOff val="0"/>
                  <a:satOff val="0"/>
                  <a:lumOff val="0"/>
                  <a:alphaOff val="0"/>
                </a:sysClr>
              </a:solidFill>
              <a:latin typeface="Calibri"/>
              <a:ea typeface="+mn-ea"/>
              <a:cs typeface="Arial" panose="020B0604020202020204" pitchFamily="34" charset="0"/>
            </a:rPr>
            <a:t>אשדוד, ירושלים, יוקנעם עילית, נתניה. </a:t>
          </a:r>
        </a:p>
      </dgm:t>
    </dgm:pt>
    <dgm:pt modelId="{9CF8BACC-ACF7-4402-A556-BEB0A670FA99}" type="parTrans" cxnId="{1E229330-BFAA-42EE-A3AC-5B652FAA078D}">
      <dgm:prSet/>
      <dgm:spPr/>
      <dgm:t>
        <a:bodyPr/>
        <a:lstStyle/>
        <a:p>
          <a:pPr algn="ctr" rtl="1"/>
          <a:endParaRPr lang="he-IL"/>
        </a:p>
      </dgm:t>
    </dgm:pt>
    <dgm:pt modelId="{EA517D3F-6F94-4778-BE71-24BDF0F6835F}" type="sibTrans" cxnId="{1E229330-BFAA-42EE-A3AC-5B652FAA078D}">
      <dgm:prSet/>
      <dgm:spPr/>
      <dgm:t>
        <a:bodyPr/>
        <a:lstStyle/>
        <a:p>
          <a:pPr algn="ctr" rtl="1"/>
          <a:endParaRPr lang="he-IL"/>
        </a:p>
      </dgm:t>
    </dgm:pt>
    <dgm:pt modelId="{0C328D79-B36F-431A-93AB-3FB7FE422B64}" type="pres">
      <dgm:prSet presAssocID="{F109DD76-FCA7-4CAC-9082-553F29AAF99B}" presName="vert0" presStyleCnt="0">
        <dgm:presLayoutVars>
          <dgm:dir/>
          <dgm:animOne val="branch"/>
          <dgm:animLvl val="lvl"/>
        </dgm:presLayoutVars>
      </dgm:prSet>
      <dgm:spPr/>
    </dgm:pt>
    <dgm:pt modelId="{F0F45E9E-022D-4EFE-B5FE-157CB3C4582B}" type="pres">
      <dgm:prSet presAssocID="{4B561AE9-E411-4958-94FC-5F3465D68DE3}" presName="thickLine" presStyleLbl="alignNode1" presStyleIdx="0" presStyleCnt="1"/>
      <dgm:spPr>
        <a:xfrm>
          <a:off x="0" y="1389"/>
          <a:ext cx="5206621" cy="0"/>
        </a:xfrm>
        <a:prstGeom prst="line">
          <a:avLst/>
        </a:prstGeom>
        <a:gradFill rotWithShape="0">
          <a:gsLst>
            <a:gs pos="0">
              <a:srgbClr val="4F81BD">
                <a:shade val="50000"/>
                <a:hueOff val="0"/>
                <a:satOff val="0"/>
                <a:lumOff val="0"/>
                <a:alphaOff val="0"/>
                <a:shade val="51000"/>
                <a:satMod val="130000"/>
              </a:srgbClr>
            </a:gs>
            <a:gs pos="80000">
              <a:srgbClr val="4F81BD">
                <a:shade val="50000"/>
                <a:hueOff val="0"/>
                <a:satOff val="0"/>
                <a:lumOff val="0"/>
                <a:alphaOff val="0"/>
                <a:shade val="93000"/>
                <a:satMod val="130000"/>
              </a:srgbClr>
            </a:gs>
            <a:gs pos="100000">
              <a:srgbClr val="4F81BD">
                <a:shade val="50000"/>
                <a:hueOff val="0"/>
                <a:satOff val="0"/>
                <a:lumOff val="0"/>
                <a:alphaOff val="0"/>
                <a:shade val="94000"/>
                <a:satMod val="135000"/>
              </a:srgbClr>
            </a:gs>
          </a:gsLst>
          <a:lin ang="16200000" scaled="0"/>
        </a:gradFill>
        <a:ln w="9525">
          <a:solidFill>
            <a:srgbClr val="4F81BD">
              <a:shade val="50000"/>
              <a:hueOff val="0"/>
              <a:satOff val="0"/>
              <a:lumOff val="0"/>
              <a:alphaOff val="0"/>
            </a:srgbClr>
          </a:solidFill>
        </a:ln>
        <a:effectLst>
          <a:outerShdw blurRad="40000" dist="23000" dir="5400000" rotWithShape="0">
            <a:srgbClr val="000000">
              <a:alpha val="35000"/>
            </a:srgbClr>
          </a:outerShdw>
        </a:effectLst>
      </dgm:spPr>
    </dgm:pt>
    <dgm:pt modelId="{41BAA935-87F4-4C4B-89CE-28BA10485BCC}" type="pres">
      <dgm:prSet presAssocID="{4B561AE9-E411-4958-94FC-5F3465D68DE3}" presName="horz1" presStyleCnt="0"/>
      <dgm:spPr/>
    </dgm:pt>
    <dgm:pt modelId="{15338970-2778-4107-8C60-486925EEA2C2}" type="pres">
      <dgm:prSet presAssocID="{4B561AE9-E411-4958-94FC-5F3465D68DE3}" presName="tx1" presStyleLbl="revTx" presStyleIdx="0" presStyleCnt="5" custScaleX="122056"/>
      <dgm:spPr>
        <a:prstGeom prst="rect">
          <a:avLst/>
        </a:prstGeom>
      </dgm:spPr>
    </dgm:pt>
    <dgm:pt modelId="{FD4C6EB1-1ADD-44A3-AC50-7C4FE29D55D7}" type="pres">
      <dgm:prSet presAssocID="{4B561AE9-E411-4958-94FC-5F3465D68DE3}" presName="vert1" presStyleCnt="0"/>
      <dgm:spPr/>
    </dgm:pt>
    <dgm:pt modelId="{6F700CE3-71A0-4F92-91CC-0D6605D6D80F}" type="pres">
      <dgm:prSet presAssocID="{CFB9F5AF-9F3A-4D59-B756-91313921399A}" presName="vertSpace2a" presStyleCnt="0"/>
      <dgm:spPr/>
    </dgm:pt>
    <dgm:pt modelId="{0E6C8C27-3F97-4F9E-A6A4-F6112FC530FF}" type="pres">
      <dgm:prSet presAssocID="{CFB9F5AF-9F3A-4D59-B756-91313921399A}" presName="horz2" presStyleCnt="0"/>
      <dgm:spPr/>
    </dgm:pt>
    <dgm:pt modelId="{F189A724-D043-41C7-B2BB-0FA9CE91DAE5}" type="pres">
      <dgm:prSet presAssocID="{CFB9F5AF-9F3A-4D59-B756-91313921399A}" presName="horzSpace2" presStyleCnt="0"/>
      <dgm:spPr/>
    </dgm:pt>
    <dgm:pt modelId="{8A4B0EDD-52CF-43DF-B3BF-E584882693B4}" type="pres">
      <dgm:prSet presAssocID="{CFB9F5AF-9F3A-4D59-B756-91313921399A}" presName="tx2" presStyleLbl="revTx" presStyleIdx="1" presStyleCnt="5" custScaleY="62651"/>
      <dgm:spPr>
        <a:prstGeom prst="rect">
          <a:avLst/>
        </a:prstGeom>
      </dgm:spPr>
    </dgm:pt>
    <dgm:pt modelId="{27D31456-882D-4EDD-B061-3469B1EA119A}" type="pres">
      <dgm:prSet presAssocID="{CFB9F5AF-9F3A-4D59-B756-91313921399A}" presName="vert2" presStyleCnt="0"/>
      <dgm:spPr/>
    </dgm:pt>
    <dgm:pt modelId="{6E3AA416-EA40-4338-B9DE-72E50A90A87C}" type="pres">
      <dgm:prSet presAssocID="{CFB9F5AF-9F3A-4D59-B756-91313921399A}" presName="thinLine2b" presStyleLbl="callout" presStyleIdx="0" presStyleCnt="4" custLinFactNeighborY="-87012"/>
      <dgm:spPr>
        <a:xfrm>
          <a:off x="1216385" y="894984"/>
          <a:ext cx="3986319" cy="0"/>
        </a:xfrm>
        <a:prstGeom prst="line">
          <a:avLst/>
        </a:prstGeom>
        <a:solidFill>
          <a:srgbClr val="4F81BD">
            <a:hueOff val="0"/>
            <a:satOff val="0"/>
            <a:lumOff val="0"/>
            <a:alphaOff val="0"/>
          </a:srgbClr>
        </a:solidFill>
        <a:ln w="25400">
          <a:solidFill>
            <a:srgbClr val="4F81BD">
              <a:hueOff val="0"/>
              <a:satOff val="0"/>
              <a:lumOff val="0"/>
              <a:alphaOff val="0"/>
            </a:srgbClr>
          </a:solidFill>
        </a:ln>
        <a:effectLst>
          <a:outerShdw blurRad="40000" dist="20000" dir="5400000" rotWithShape="0">
            <a:srgbClr val="000000">
              <a:alpha val="38000"/>
            </a:srgbClr>
          </a:outerShdw>
        </a:effectLst>
      </dgm:spPr>
    </dgm:pt>
    <dgm:pt modelId="{C55F275D-A0D9-4AB6-B084-5C4FE38C26C9}" type="pres">
      <dgm:prSet presAssocID="{CFB9F5AF-9F3A-4D59-B756-91313921399A}" presName="vertSpace2b" presStyleCnt="0"/>
      <dgm:spPr/>
    </dgm:pt>
    <dgm:pt modelId="{9221C442-71C3-4F9F-BCE8-50465C5C4926}" type="pres">
      <dgm:prSet presAssocID="{EFCE55DD-0A9B-4F6B-BB8C-848D0C3DA995}" presName="horz2" presStyleCnt="0"/>
      <dgm:spPr/>
    </dgm:pt>
    <dgm:pt modelId="{153E4579-C94F-486D-B673-1EADE71D66A5}" type="pres">
      <dgm:prSet presAssocID="{EFCE55DD-0A9B-4F6B-BB8C-848D0C3DA995}" presName="horzSpace2" presStyleCnt="0"/>
      <dgm:spPr/>
    </dgm:pt>
    <dgm:pt modelId="{787D2AA5-A4D3-4622-8B0C-2E678B2A83FE}" type="pres">
      <dgm:prSet presAssocID="{EFCE55DD-0A9B-4F6B-BB8C-848D0C3DA995}" presName="tx2" presStyleLbl="revTx" presStyleIdx="2" presStyleCnt="5" custScaleY="50887" custLinFactNeighborY="-5313"/>
      <dgm:spPr>
        <a:prstGeom prst="rect">
          <a:avLst/>
        </a:prstGeom>
      </dgm:spPr>
    </dgm:pt>
    <dgm:pt modelId="{18C89BA8-014B-408A-B9A0-09B7F45EEA60}" type="pres">
      <dgm:prSet presAssocID="{EFCE55DD-0A9B-4F6B-BB8C-848D0C3DA995}" presName="vert2" presStyleCnt="0"/>
      <dgm:spPr/>
    </dgm:pt>
    <dgm:pt modelId="{F71B908B-92A7-4467-B169-F2A497B9705E}" type="pres">
      <dgm:prSet presAssocID="{EFCE55DD-0A9B-4F6B-BB8C-848D0C3DA995}" presName="thinLine2b" presStyleLbl="callout" presStyleIdx="1" presStyleCnt="4" custLinFactY="-100000" custLinFactNeighborY="-123021"/>
      <dgm:spPr>
        <a:xfrm>
          <a:off x="1216385" y="1622509"/>
          <a:ext cx="3986319" cy="0"/>
        </a:xfrm>
        <a:prstGeom prst="line">
          <a:avLst/>
        </a:prstGeom>
        <a:solidFill>
          <a:srgbClr val="4F81BD">
            <a:hueOff val="0"/>
            <a:satOff val="0"/>
            <a:lumOff val="0"/>
            <a:alphaOff val="0"/>
          </a:srgbClr>
        </a:solidFill>
        <a:ln w="25400">
          <a:solidFill>
            <a:srgbClr val="4F81BD">
              <a:hueOff val="0"/>
              <a:satOff val="0"/>
              <a:lumOff val="0"/>
              <a:alphaOff val="0"/>
            </a:srgbClr>
          </a:solidFill>
        </a:ln>
        <a:effectLst>
          <a:outerShdw blurRad="40000" dist="20000" dir="5400000" rotWithShape="0">
            <a:srgbClr val="000000">
              <a:alpha val="38000"/>
            </a:srgbClr>
          </a:outerShdw>
        </a:effectLst>
      </dgm:spPr>
    </dgm:pt>
    <dgm:pt modelId="{9109432C-5760-4C1E-A3A8-FC84B8417810}" type="pres">
      <dgm:prSet presAssocID="{EFCE55DD-0A9B-4F6B-BB8C-848D0C3DA995}" presName="vertSpace2b" presStyleCnt="0"/>
      <dgm:spPr/>
    </dgm:pt>
    <dgm:pt modelId="{0E11823F-D71E-43B7-A13D-789ED04D3E9B}" type="pres">
      <dgm:prSet presAssocID="{F0AB577D-6E97-4209-96A9-6219A3CA0A2F}" presName="horz2" presStyleCnt="0"/>
      <dgm:spPr/>
    </dgm:pt>
    <dgm:pt modelId="{E123EE9B-6939-4271-A07B-5E3EA4201CBC}" type="pres">
      <dgm:prSet presAssocID="{F0AB577D-6E97-4209-96A9-6219A3CA0A2F}" presName="horzSpace2" presStyleCnt="0"/>
      <dgm:spPr/>
    </dgm:pt>
    <dgm:pt modelId="{D08482CE-942B-44C0-AE1B-57B4C614B51B}" type="pres">
      <dgm:prSet presAssocID="{F0AB577D-6E97-4209-96A9-6219A3CA0A2F}" presName="tx2" presStyleLbl="revTx" presStyleIdx="3" presStyleCnt="5" custScaleY="30141" custLinFactNeighborX="100" custLinFactNeighborY="-10146"/>
      <dgm:spPr>
        <a:prstGeom prst="rect">
          <a:avLst/>
        </a:prstGeom>
      </dgm:spPr>
    </dgm:pt>
    <dgm:pt modelId="{57D8FB03-0FD2-498A-B633-A309DAE0CB57}" type="pres">
      <dgm:prSet presAssocID="{F0AB577D-6E97-4209-96A9-6219A3CA0A2F}" presName="vert2" presStyleCnt="0"/>
      <dgm:spPr/>
    </dgm:pt>
    <dgm:pt modelId="{7B52A134-3F28-422C-9547-7E09B0FED692}" type="pres">
      <dgm:prSet presAssocID="{F0AB577D-6E97-4209-96A9-6219A3CA0A2F}" presName="thinLine2b" presStyleLbl="callout" presStyleIdx="2" presStyleCnt="4" custLinFactY="50352" custLinFactNeighborX="98" custLinFactNeighborY="100000"/>
      <dgm:spPr>
        <a:xfrm>
          <a:off x="1220292" y="2330128"/>
          <a:ext cx="3986319" cy="0"/>
        </a:xfrm>
        <a:prstGeom prst="line">
          <a:avLst/>
        </a:prstGeom>
        <a:solidFill>
          <a:srgbClr val="4F81BD">
            <a:hueOff val="0"/>
            <a:satOff val="0"/>
            <a:lumOff val="0"/>
            <a:alphaOff val="0"/>
          </a:srgbClr>
        </a:solidFill>
        <a:ln w="25400">
          <a:solidFill>
            <a:srgbClr val="4F81BD">
              <a:hueOff val="0"/>
              <a:satOff val="0"/>
              <a:lumOff val="0"/>
              <a:alphaOff val="0"/>
            </a:srgbClr>
          </a:solidFill>
        </a:ln>
        <a:effectLst>
          <a:outerShdw blurRad="40000" dist="20000" dir="5400000" rotWithShape="0">
            <a:srgbClr val="000000">
              <a:alpha val="38000"/>
            </a:srgbClr>
          </a:outerShdw>
        </a:effectLst>
      </dgm:spPr>
    </dgm:pt>
    <dgm:pt modelId="{265C3347-6A61-4F29-90D4-6F62F4ECCFEA}" type="pres">
      <dgm:prSet presAssocID="{F0AB577D-6E97-4209-96A9-6219A3CA0A2F}" presName="vertSpace2b" presStyleCnt="0"/>
      <dgm:spPr/>
    </dgm:pt>
    <dgm:pt modelId="{7A99677A-63E9-4CDD-8FD1-1A0E6F132F33}" type="pres">
      <dgm:prSet presAssocID="{46834EAD-352F-47D7-A207-9F3EA9D75C31}" presName="horz2" presStyleCnt="0"/>
      <dgm:spPr/>
    </dgm:pt>
    <dgm:pt modelId="{A97D211D-D3F7-4B87-AD90-EAFA19C5981B}" type="pres">
      <dgm:prSet presAssocID="{46834EAD-352F-47D7-A207-9F3EA9D75C31}" presName="horzSpace2" presStyleCnt="0"/>
      <dgm:spPr/>
    </dgm:pt>
    <dgm:pt modelId="{1D7D87BF-2820-4EE8-9F9F-7609CD3BCD98}" type="pres">
      <dgm:prSet presAssocID="{46834EAD-352F-47D7-A207-9F3EA9D75C31}" presName="tx2" presStyleLbl="revTx" presStyleIdx="4" presStyleCnt="5" custScaleY="32567" custLinFactNeighborY="1449"/>
      <dgm:spPr>
        <a:prstGeom prst="rect">
          <a:avLst/>
        </a:prstGeom>
      </dgm:spPr>
    </dgm:pt>
    <dgm:pt modelId="{0C74A0CE-B6A9-4B2E-ACA1-AC788DF51BD4}" type="pres">
      <dgm:prSet presAssocID="{46834EAD-352F-47D7-A207-9F3EA9D75C31}" presName="vert2" presStyleCnt="0"/>
      <dgm:spPr/>
    </dgm:pt>
    <dgm:pt modelId="{48760307-97B7-4DF7-9858-7EBB80EF6805}" type="pres">
      <dgm:prSet presAssocID="{46834EAD-352F-47D7-A207-9F3EA9D75C31}" presName="thinLine2b" presStyleLbl="callout" presStyleIdx="3" presStyleCnt="4"/>
      <dgm:spPr>
        <a:xfrm>
          <a:off x="1216385" y="2771741"/>
          <a:ext cx="3986319" cy="0"/>
        </a:xfrm>
        <a:prstGeom prst="line">
          <a:avLst/>
        </a:prstGeom>
        <a:solidFill>
          <a:srgbClr val="4F81BD">
            <a:hueOff val="0"/>
            <a:satOff val="0"/>
            <a:lumOff val="0"/>
            <a:alphaOff val="0"/>
          </a:srgbClr>
        </a:solidFill>
        <a:ln w="25400">
          <a:solidFill>
            <a:srgbClr val="4F81BD">
              <a:hueOff val="0"/>
              <a:satOff val="0"/>
              <a:lumOff val="0"/>
              <a:alphaOff val="0"/>
            </a:srgbClr>
          </a:solidFill>
        </a:ln>
        <a:effectLst>
          <a:outerShdw blurRad="40000" dist="20000" dir="5400000" rotWithShape="0">
            <a:srgbClr val="000000">
              <a:alpha val="38000"/>
            </a:srgbClr>
          </a:outerShdw>
        </a:effectLst>
      </dgm:spPr>
    </dgm:pt>
    <dgm:pt modelId="{EDCCAD18-6F81-48BB-8D92-194B9A62BC8D}" type="pres">
      <dgm:prSet presAssocID="{46834EAD-352F-47D7-A207-9F3EA9D75C31}" presName="vertSpace2b" presStyleCnt="0"/>
      <dgm:spPr/>
    </dgm:pt>
  </dgm:ptLst>
  <dgm:cxnLst>
    <dgm:cxn modelId="{4509E119-920D-45B2-9D09-DB07D077217F}" type="presOf" srcId="{EFCE55DD-0A9B-4F6B-BB8C-848D0C3DA995}" destId="{787D2AA5-A4D3-4622-8B0C-2E678B2A83FE}" srcOrd="0" destOrd="0" presId="urn:microsoft.com/office/officeart/2008/layout/LinedList"/>
    <dgm:cxn modelId="{1E229330-BFAA-42EE-A3AC-5B652FAA078D}" srcId="{4B561AE9-E411-4958-94FC-5F3465D68DE3}" destId="{46834EAD-352F-47D7-A207-9F3EA9D75C31}" srcOrd="3" destOrd="0" parTransId="{9CF8BACC-ACF7-4402-A556-BEB0A670FA99}" sibTransId="{EA517D3F-6F94-4778-BE71-24BDF0F6835F}"/>
    <dgm:cxn modelId="{6621D73E-2B1D-4CD0-AE6E-6E4100FFFB71}" srcId="{4B561AE9-E411-4958-94FC-5F3465D68DE3}" destId="{EFCE55DD-0A9B-4F6B-BB8C-848D0C3DA995}" srcOrd="1" destOrd="0" parTransId="{79DACB53-19F1-411C-8FCF-E088D21993B4}" sibTransId="{DF5588BB-16BC-4A5B-AC92-D672A48140B0}"/>
    <dgm:cxn modelId="{124A165B-9BDD-4A89-A6D6-BE70E7686EB9}" srcId="{4B561AE9-E411-4958-94FC-5F3465D68DE3}" destId="{CFB9F5AF-9F3A-4D59-B756-91313921399A}" srcOrd="0" destOrd="0" parTransId="{8398AEE5-5196-442F-AACE-10A942591D56}" sibTransId="{8A6B8B3E-C87C-4FDE-8D7D-FEBFFD29F23D}"/>
    <dgm:cxn modelId="{CA4B7F61-BC1B-4E7F-983A-6C0EB435941C}" type="presOf" srcId="{F109DD76-FCA7-4CAC-9082-553F29AAF99B}" destId="{0C328D79-B36F-431A-93AB-3FB7FE422B64}" srcOrd="0" destOrd="0" presId="urn:microsoft.com/office/officeart/2008/layout/LinedList"/>
    <dgm:cxn modelId="{F4765F6E-C02E-49DB-A4F6-AE69EDB65CB6}" srcId="{F109DD76-FCA7-4CAC-9082-553F29AAF99B}" destId="{4B561AE9-E411-4958-94FC-5F3465D68DE3}" srcOrd="0" destOrd="0" parTransId="{2F052329-CF6B-454B-9A4C-2C4F6DD8B9EC}" sibTransId="{58C0DD13-F6A2-4CD4-BF6B-356ECC35CDFE}"/>
    <dgm:cxn modelId="{F8E04E72-9592-4750-8ADC-CAE1B3470C1A}" type="presOf" srcId="{CFB9F5AF-9F3A-4D59-B756-91313921399A}" destId="{8A4B0EDD-52CF-43DF-B3BF-E584882693B4}" srcOrd="0" destOrd="0" presId="urn:microsoft.com/office/officeart/2008/layout/LinedList"/>
    <dgm:cxn modelId="{4474D38A-4AD2-4ED5-BF00-A9055BA96AC3}" type="presOf" srcId="{4B561AE9-E411-4958-94FC-5F3465D68DE3}" destId="{15338970-2778-4107-8C60-486925EEA2C2}" srcOrd="0" destOrd="0" presId="urn:microsoft.com/office/officeart/2008/layout/LinedList"/>
    <dgm:cxn modelId="{959DD797-8230-42EA-91C5-397398560443}" type="presOf" srcId="{F0AB577D-6E97-4209-96A9-6219A3CA0A2F}" destId="{D08482CE-942B-44C0-AE1B-57B4C614B51B}" srcOrd="0" destOrd="0" presId="urn:microsoft.com/office/officeart/2008/layout/LinedList"/>
    <dgm:cxn modelId="{E2D0F0C9-1E24-4F97-AD9A-3350DA684CBA}" srcId="{4B561AE9-E411-4958-94FC-5F3465D68DE3}" destId="{F0AB577D-6E97-4209-96A9-6219A3CA0A2F}" srcOrd="2" destOrd="0" parTransId="{B1C07DC3-B458-4277-828F-A24FC7329292}" sibTransId="{8C8E87BC-AA57-4027-8651-BA51AD2B0B40}"/>
    <dgm:cxn modelId="{02A674EE-9F73-4A91-9678-BAA67BD45CAD}" type="presOf" srcId="{46834EAD-352F-47D7-A207-9F3EA9D75C31}" destId="{1D7D87BF-2820-4EE8-9F9F-7609CD3BCD98}" srcOrd="0" destOrd="0" presId="urn:microsoft.com/office/officeart/2008/layout/LinedList"/>
    <dgm:cxn modelId="{60AF86C8-604C-4255-A152-E9EB48283642}" type="presParOf" srcId="{0C328D79-B36F-431A-93AB-3FB7FE422B64}" destId="{F0F45E9E-022D-4EFE-B5FE-157CB3C4582B}" srcOrd="0" destOrd="0" presId="urn:microsoft.com/office/officeart/2008/layout/LinedList"/>
    <dgm:cxn modelId="{5594E689-C0CC-4D87-85DA-BEED3CB1315A}" type="presParOf" srcId="{0C328D79-B36F-431A-93AB-3FB7FE422B64}" destId="{41BAA935-87F4-4C4B-89CE-28BA10485BCC}" srcOrd="1" destOrd="0" presId="urn:microsoft.com/office/officeart/2008/layout/LinedList"/>
    <dgm:cxn modelId="{207A5D87-B35F-41B4-95E6-6F24CE5B7F4E}" type="presParOf" srcId="{41BAA935-87F4-4C4B-89CE-28BA10485BCC}" destId="{15338970-2778-4107-8C60-486925EEA2C2}" srcOrd="0" destOrd="0" presId="urn:microsoft.com/office/officeart/2008/layout/LinedList"/>
    <dgm:cxn modelId="{565D01AC-2EBB-4BC9-9F2E-23546D26B931}" type="presParOf" srcId="{41BAA935-87F4-4C4B-89CE-28BA10485BCC}" destId="{FD4C6EB1-1ADD-44A3-AC50-7C4FE29D55D7}" srcOrd="1" destOrd="0" presId="urn:microsoft.com/office/officeart/2008/layout/LinedList"/>
    <dgm:cxn modelId="{B4FFBEE8-9746-4062-BE05-F692BBDFEE7C}" type="presParOf" srcId="{FD4C6EB1-1ADD-44A3-AC50-7C4FE29D55D7}" destId="{6F700CE3-71A0-4F92-91CC-0D6605D6D80F}" srcOrd="0" destOrd="0" presId="urn:microsoft.com/office/officeart/2008/layout/LinedList"/>
    <dgm:cxn modelId="{FA2A9C92-3B67-4F6C-A858-CF265FF23864}" type="presParOf" srcId="{FD4C6EB1-1ADD-44A3-AC50-7C4FE29D55D7}" destId="{0E6C8C27-3F97-4F9E-A6A4-F6112FC530FF}" srcOrd="1" destOrd="0" presId="urn:microsoft.com/office/officeart/2008/layout/LinedList"/>
    <dgm:cxn modelId="{EE234055-885E-46D9-A206-5CCBC3E16B64}" type="presParOf" srcId="{0E6C8C27-3F97-4F9E-A6A4-F6112FC530FF}" destId="{F189A724-D043-41C7-B2BB-0FA9CE91DAE5}" srcOrd="0" destOrd="0" presId="urn:microsoft.com/office/officeart/2008/layout/LinedList"/>
    <dgm:cxn modelId="{33476D50-C14F-459C-A997-A6155364AED3}" type="presParOf" srcId="{0E6C8C27-3F97-4F9E-A6A4-F6112FC530FF}" destId="{8A4B0EDD-52CF-43DF-B3BF-E584882693B4}" srcOrd="1" destOrd="0" presId="urn:microsoft.com/office/officeart/2008/layout/LinedList"/>
    <dgm:cxn modelId="{2044DB9D-9181-47AE-9B9A-459E999A601B}" type="presParOf" srcId="{0E6C8C27-3F97-4F9E-A6A4-F6112FC530FF}" destId="{27D31456-882D-4EDD-B061-3469B1EA119A}" srcOrd="2" destOrd="0" presId="urn:microsoft.com/office/officeart/2008/layout/LinedList"/>
    <dgm:cxn modelId="{95AAE4F0-CF9B-4F3B-8F11-66BC29799FCD}" type="presParOf" srcId="{FD4C6EB1-1ADD-44A3-AC50-7C4FE29D55D7}" destId="{6E3AA416-EA40-4338-B9DE-72E50A90A87C}" srcOrd="2" destOrd="0" presId="urn:microsoft.com/office/officeart/2008/layout/LinedList"/>
    <dgm:cxn modelId="{2A245839-5099-4A4E-8AF8-64FC346FE712}" type="presParOf" srcId="{FD4C6EB1-1ADD-44A3-AC50-7C4FE29D55D7}" destId="{C55F275D-A0D9-4AB6-B084-5C4FE38C26C9}" srcOrd="3" destOrd="0" presId="urn:microsoft.com/office/officeart/2008/layout/LinedList"/>
    <dgm:cxn modelId="{B0435B76-12B3-498C-830A-10FDF6A1D878}" type="presParOf" srcId="{FD4C6EB1-1ADD-44A3-AC50-7C4FE29D55D7}" destId="{9221C442-71C3-4F9F-BCE8-50465C5C4926}" srcOrd="4" destOrd="0" presId="urn:microsoft.com/office/officeart/2008/layout/LinedList"/>
    <dgm:cxn modelId="{EAC8FF1D-E9A7-4BFC-8893-FDD3A8AD160B}" type="presParOf" srcId="{9221C442-71C3-4F9F-BCE8-50465C5C4926}" destId="{153E4579-C94F-486D-B673-1EADE71D66A5}" srcOrd="0" destOrd="0" presId="urn:microsoft.com/office/officeart/2008/layout/LinedList"/>
    <dgm:cxn modelId="{F8C9B0E4-C3A1-4219-8BA8-297B654302D1}" type="presParOf" srcId="{9221C442-71C3-4F9F-BCE8-50465C5C4926}" destId="{787D2AA5-A4D3-4622-8B0C-2E678B2A83FE}" srcOrd="1" destOrd="0" presId="urn:microsoft.com/office/officeart/2008/layout/LinedList"/>
    <dgm:cxn modelId="{AD725DAA-CBB7-476C-B7C4-57D50988D468}" type="presParOf" srcId="{9221C442-71C3-4F9F-BCE8-50465C5C4926}" destId="{18C89BA8-014B-408A-B9A0-09B7F45EEA60}" srcOrd="2" destOrd="0" presId="urn:microsoft.com/office/officeart/2008/layout/LinedList"/>
    <dgm:cxn modelId="{6925620F-E5CE-49B9-8936-8D21CF512064}" type="presParOf" srcId="{FD4C6EB1-1ADD-44A3-AC50-7C4FE29D55D7}" destId="{F71B908B-92A7-4467-B169-F2A497B9705E}" srcOrd="5" destOrd="0" presId="urn:microsoft.com/office/officeart/2008/layout/LinedList"/>
    <dgm:cxn modelId="{2F5BC20A-4D36-4061-9898-6C9BC1D6FE69}" type="presParOf" srcId="{FD4C6EB1-1ADD-44A3-AC50-7C4FE29D55D7}" destId="{9109432C-5760-4C1E-A3A8-FC84B8417810}" srcOrd="6" destOrd="0" presId="urn:microsoft.com/office/officeart/2008/layout/LinedList"/>
    <dgm:cxn modelId="{820D0E93-C34F-422F-8A75-30A85C330F2A}" type="presParOf" srcId="{FD4C6EB1-1ADD-44A3-AC50-7C4FE29D55D7}" destId="{0E11823F-D71E-43B7-A13D-789ED04D3E9B}" srcOrd="7" destOrd="0" presId="urn:microsoft.com/office/officeart/2008/layout/LinedList"/>
    <dgm:cxn modelId="{9B853378-1C3E-4595-A35E-2593F6FF1FEC}" type="presParOf" srcId="{0E11823F-D71E-43B7-A13D-789ED04D3E9B}" destId="{E123EE9B-6939-4271-A07B-5E3EA4201CBC}" srcOrd="0" destOrd="0" presId="urn:microsoft.com/office/officeart/2008/layout/LinedList"/>
    <dgm:cxn modelId="{B52E96FB-DCE4-40B1-A47E-77FEE3D8198F}" type="presParOf" srcId="{0E11823F-D71E-43B7-A13D-789ED04D3E9B}" destId="{D08482CE-942B-44C0-AE1B-57B4C614B51B}" srcOrd="1" destOrd="0" presId="urn:microsoft.com/office/officeart/2008/layout/LinedList"/>
    <dgm:cxn modelId="{191B306E-F93C-482E-8FB8-03F560A4D19F}" type="presParOf" srcId="{0E11823F-D71E-43B7-A13D-789ED04D3E9B}" destId="{57D8FB03-0FD2-498A-B633-A309DAE0CB57}" srcOrd="2" destOrd="0" presId="urn:microsoft.com/office/officeart/2008/layout/LinedList"/>
    <dgm:cxn modelId="{8BFCD9EC-4C7A-4DB2-AD42-9F8D6E84BA44}" type="presParOf" srcId="{FD4C6EB1-1ADD-44A3-AC50-7C4FE29D55D7}" destId="{7B52A134-3F28-422C-9547-7E09B0FED692}" srcOrd="8" destOrd="0" presId="urn:microsoft.com/office/officeart/2008/layout/LinedList"/>
    <dgm:cxn modelId="{A543F4EE-DB9F-4BE5-8D41-0AF26947748D}" type="presParOf" srcId="{FD4C6EB1-1ADD-44A3-AC50-7C4FE29D55D7}" destId="{265C3347-6A61-4F29-90D4-6F62F4ECCFEA}" srcOrd="9" destOrd="0" presId="urn:microsoft.com/office/officeart/2008/layout/LinedList"/>
    <dgm:cxn modelId="{F25AB366-ACC2-4CD8-9861-A3E7614B5C03}" type="presParOf" srcId="{FD4C6EB1-1ADD-44A3-AC50-7C4FE29D55D7}" destId="{7A99677A-63E9-4CDD-8FD1-1A0E6F132F33}" srcOrd="10" destOrd="0" presId="urn:microsoft.com/office/officeart/2008/layout/LinedList"/>
    <dgm:cxn modelId="{AB5E23FF-B90B-4BF6-A705-2E9B21398925}" type="presParOf" srcId="{7A99677A-63E9-4CDD-8FD1-1A0E6F132F33}" destId="{A97D211D-D3F7-4B87-AD90-EAFA19C5981B}" srcOrd="0" destOrd="0" presId="urn:microsoft.com/office/officeart/2008/layout/LinedList"/>
    <dgm:cxn modelId="{3C73CF4D-3902-4D69-B206-F618E73BAC74}" type="presParOf" srcId="{7A99677A-63E9-4CDD-8FD1-1A0E6F132F33}" destId="{1D7D87BF-2820-4EE8-9F9F-7609CD3BCD98}" srcOrd="1" destOrd="0" presId="urn:microsoft.com/office/officeart/2008/layout/LinedList"/>
    <dgm:cxn modelId="{C8125576-A3C4-4BB7-AAC9-C48E5A07FB5B}" type="presParOf" srcId="{7A99677A-63E9-4CDD-8FD1-1A0E6F132F33}" destId="{0C74A0CE-B6A9-4B2E-ACA1-AC788DF51BD4}" srcOrd="2" destOrd="0" presId="urn:microsoft.com/office/officeart/2008/layout/LinedList"/>
    <dgm:cxn modelId="{BFFFCE13-5217-4B42-A43E-807ECF6F6469}" type="presParOf" srcId="{FD4C6EB1-1ADD-44A3-AC50-7C4FE29D55D7}" destId="{48760307-97B7-4DF7-9858-7EBB80EF6805}" srcOrd="11" destOrd="0" presId="urn:microsoft.com/office/officeart/2008/layout/LinedList"/>
    <dgm:cxn modelId="{254C7712-9C29-4341-A95D-244CC57953D0}" type="presParOf" srcId="{FD4C6EB1-1ADD-44A3-AC50-7C4FE29D55D7}" destId="{EDCCAD18-6F81-48BB-8D92-194B9A62BC8D}" srcOrd="12"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45E9E-022D-4EFE-B5FE-157CB3C4582B}">
      <dsp:nvSpPr>
        <dsp:cNvPr id="0" name=""/>
        <dsp:cNvSpPr/>
      </dsp:nvSpPr>
      <dsp:spPr>
        <a:xfrm>
          <a:off x="0" y="1481"/>
          <a:ext cx="5073338" cy="0"/>
        </a:xfrm>
        <a:prstGeom prst="line">
          <a:avLst/>
        </a:prstGeom>
        <a:gradFill rotWithShape="0">
          <a:gsLst>
            <a:gs pos="0">
              <a:srgbClr val="4F81BD">
                <a:shade val="50000"/>
                <a:hueOff val="0"/>
                <a:satOff val="0"/>
                <a:lumOff val="0"/>
                <a:alphaOff val="0"/>
                <a:shade val="51000"/>
                <a:satMod val="130000"/>
              </a:srgbClr>
            </a:gs>
            <a:gs pos="80000">
              <a:srgbClr val="4F81BD">
                <a:shade val="50000"/>
                <a:hueOff val="0"/>
                <a:satOff val="0"/>
                <a:lumOff val="0"/>
                <a:alphaOff val="0"/>
                <a:shade val="93000"/>
                <a:satMod val="130000"/>
              </a:srgbClr>
            </a:gs>
            <a:gs pos="100000">
              <a:srgbClr val="4F81BD">
                <a:shade val="50000"/>
                <a:hueOff val="0"/>
                <a:satOff val="0"/>
                <a:lumOff val="0"/>
                <a:alphaOff val="0"/>
                <a:shade val="94000"/>
                <a:satMod val="135000"/>
              </a:srgbClr>
            </a:gs>
          </a:gsLst>
          <a:lin ang="16200000" scaled="0"/>
        </a:gradFill>
        <a:ln w="9525" cap="flat" cmpd="sng" algn="ctr">
          <a:solidFill>
            <a:srgbClr val="4F81BD">
              <a:shade val="5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15338970-2778-4107-8C60-486925EEA2C2}">
      <dsp:nvSpPr>
        <dsp:cNvPr id="0" name=""/>
        <dsp:cNvSpPr/>
      </dsp:nvSpPr>
      <dsp:spPr>
        <a:xfrm>
          <a:off x="0" y="1481"/>
          <a:ext cx="1185247" cy="3030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rtl="1">
            <a:lnSpc>
              <a:spcPct val="90000"/>
            </a:lnSpc>
            <a:spcBef>
              <a:spcPct val="0"/>
            </a:spcBef>
            <a:spcAft>
              <a:spcPct val="35000"/>
            </a:spcAft>
            <a:buNone/>
          </a:pPr>
          <a:r>
            <a:rPr lang="he-IL" sz="1800" kern="1200">
              <a:solidFill>
                <a:sysClr val="windowText" lastClr="000000">
                  <a:hueOff val="0"/>
                  <a:satOff val="0"/>
                  <a:lumOff val="0"/>
                  <a:alphaOff val="0"/>
                </a:sysClr>
              </a:solidFill>
              <a:latin typeface="Calibri"/>
              <a:ea typeface="+mn-ea"/>
              <a:cs typeface="Arial" panose="020B0604020202020204" pitchFamily="34" charset="0"/>
            </a:rPr>
            <a:t>מרפאות בריאות נפש של קופות החולים לפי יישובים</a:t>
          </a:r>
        </a:p>
      </dsp:txBody>
      <dsp:txXfrm>
        <a:off x="0" y="1481"/>
        <a:ext cx="1185247" cy="3030942"/>
      </dsp:txXfrm>
    </dsp:sp>
    <dsp:sp modelId="{8A4B0EDD-52CF-43DF-B3BF-E584882693B4}">
      <dsp:nvSpPr>
        <dsp:cNvPr id="0" name=""/>
        <dsp:cNvSpPr/>
      </dsp:nvSpPr>
      <dsp:spPr>
        <a:xfrm>
          <a:off x="1258077" y="76736"/>
          <a:ext cx="3811444" cy="942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הכללית - נפתחו מרפאות ייעודיות ב-31 יישובים: </a:t>
          </a:r>
          <a:r>
            <a:rPr lang="he-IL" sz="1000" kern="1200">
              <a:solidFill>
                <a:sysClr val="windowText" lastClr="000000">
                  <a:hueOff val="0"/>
                  <a:satOff val="0"/>
                  <a:lumOff val="0"/>
                  <a:alphaOff val="0"/>
                </a:sysClr>
              </a:solidFill>
              <a:latin typeface="Calibri"/>
              <a:ea typeface="+mn-ea"/>
              <a:cs typeface="Arial" panose="020B0604020202020204" pitchFamily="34" charset="0"/>
            </a:rPr>
            <a:t>אילת, אשדוד, באקה אל-גרבייה, בית שאן, בית שמש, דימונה, חדרה, חיפה, טבריה, טייבה, יבנה, יוקנעם, ירושלים, כפר סבא, כרמיאל, מגדל העמק, מודיעין, משגב, נצרת עילית, עפולה, ערד, פתח תקווה, קלנסווה, קריית מלאכי, קריית שמונה, ראשון לציון, רהט, רעות, שפרעם, תל אביב, תל מונד.</a:t>
          </a:r>
        </a:p>
        <a:p>
          <a:pPr marL="0" lvl="0" indent="0" algn="ctr" defTabSz="533400" rtl="1">
            <a:lnSpc>
              <a:spcPct val="90000"/>
            </a:lnSpc>
            <a:spcBef>
              <a:spcPct val="0"/>
            </a:spcBef>
            <a:spcAft>
              <a:spcPct val="35000"/>
            </a:spcAft>
            <a:buNone/>
          </a:pPr>
          <a:endParaRPr lang="he-IL" sz="9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1258077" y="76736"/>
        <a:ext cx="3811444" cy="942967"/>
      </dsp:txXfrm>
    </dsp:sp>
    <dsp:sp modelId="{6E3AA416-EA40-4338-B9DE-72E50A90A87C}">
      <dsp:nvSpPr>
        <dsp:cNvPr id="0" name=""/>
        <dsp:cNvSpPr/>
      </dsp:nvSpPr>
      <dsp:spPr>
        <a:xfrm>
          <a:off x="1185247" y="954222"/>
          <a:ext cx="3884274"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87D2AA5-A4D3-4622-8B0C-2E678B2A83FE}">
      <dsp:nvSpPr>
        <dsp:cNvPr id="0" name=""/>
        <dsp:cNvSpPr/>
      </dsp:nvSpPr>
      <dsp:spPr>
        <a:xfrm>
          <a:off x="1258077" y="1014993"/>
          <a:ext cx="3811444" cy="76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מכבי - נפתחו מרפאות ייעודיות ב-24 יישובים: </a:t>
          </a:r>
          <a:r>
            <a:rPr lang="he-IL" sz="1000" kern="1200">
              <a:solidFill>
                <a:sysClr val="windowText" lastClr="000000">
                  <a:hueOff val="0"/>
                  <a:satOff val="0"/>
                  <a:lumOff val="0"/>
                  <a:alphaOff val="0"/>
                </a:sysClr>
              </a:solidFill>
              <a:latin typeface="Calibri"/>
              <a:ea typeface="+mn-ea"/>
              <a:cs typeface="Arial" panose="020B0604020202020204" pitchFamily="34" charset="0"/>
            </a:rPr>
            <a:t>אופקים, אשדוד, באר שבע, בני ברק, דימונה, הרצלייה, חיפה, ירוחם, ירושלים, כרמיאל, מודיעין, מודיעין עילית, נצרת עילית, נתיבות, נתניה, ערד, קריית גת, קריית מוצקין, ראשון לציון, רחובות, רמת גן, רמת השרון, רעננה, תל אביב.</a:t>
          </a:r>
          <a:endParaRPr lang="he-IL" sz="1000" b="1" kern="1200">
            <a:solidFill>
              <a:sysClr val="windowText" lastClr="000000">
                <a:hueOff val="0"/>
                <a:satOff val="0"/>
                <a:lumOff val="0"/>
                <a:alphaOff val="0"/>
              </a:sysClr>
            </a:solidFill>
            <a:latin typeface="Calibri"/>
            <a:ea typeface="+mn-ea"/>
            <a:cs typeface="Arial" panose="020B0604020202020204" pitchFamily="34" charset="0"/>
          </a:endParaRPr>
        </a:p>
      </dsp:txBody>
      <dsp:txXfrm>
        <a:off x="1258077" y="1014993"/>
        <a:ext cx="3811444" cy="765906"/>
      </dsp:txXfrm>
    </dsp:sp>
    <dsp:sp modelId="{F71B908B-92A7-4467-B169-F2A497B9705E}">
      <dsp:nvSpPr>
        <dsp:cNvPr id="0" name=""/>
        <dsp:cNvSpPr/>
      </dsp:nvSpPr>
      <dsp:spPr>
        <a:xfrm>
          <a:off x="1185247" y="1732285"/>
          <a:ext cx="3884274"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08482CE-942B-44C0-AE1B-57B4C614B51B}">
      <dsp:nvSpPr>
        <dsp:cNvPr id="0" name=""/>
        <dsp:cNvSpPr/>
      </dsp:nvSpPr>
      <dsp:spPr>
        <a:xfrm>
          <a:off x="1261889" y="1783412"/>
          <a:ext cx="3811444" cy="45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מאוחדת - נפתחו מרפאות ייעודיות ב-21 יישובים: </a:t>
          </a:r>
          <a:r>
            <a:rPr lang="he-IL" sz="1000" b="0" kern="1200">
              <a:solidFill>
                <a:sysClr val="windowText" lastClr="000000">
                  <a:hueOff val="0"/>
                  <a:satOff val="0"/>
                  <a:lumOff val="0"/>
                  <a:alphaOff val="0"/>
                </a:sysClr>
              </a:solidFill>
              <a:latin typeface="Calibri"/>
              <a:ea typeface="+mn-ea"/>
              <a:cs typeface="Arial" panose="020B0604020202020204" pitchFamily="34" charset="0"/>
            </a:rPr>
            <a:t>אילת,</a:t>
          </a:r>
          <a:r>
            <a:rPr lang="he-IL" sz="1200" b="1" kern="1200">
              <a:solidFill>
                <a:sysClr val="windowText" lastClr="000000">
                  <a:hueOff val="0"/>
                  <a:satOff val="0"/>
                  <a:lumOff val="0"/>
                  <a:alphaOff val="0"/>
                </a:sysClr>
              </a:solidFill>
              <a:latin typeface="Calibri"/>
              <a:ea typeface="+mn-ea"/>
              <a:cs typeface="Arial" panose="020B0604020202020204" pitchFamily="34" charset="0"/>
            </a:rPr>
            <a:t> </a:t>
          </a:r>
          <a:r>
            <a:rPr lang="he-IL" sz="1000" b="0" kern="1200">
              <a:solidFill>
                <a:sysClr val="windowText" lastClr="000000">
                  <a:hueOff val="0"/>
                  <a:satOff val="0"/>
                  <a:lumOff val="0"/>
                  <a:alphaOff val="0"/>
                </a:sysClr>
              </a:solidFill>
              <a:latin typeface="Calibri"/>
              <a:ea typeface="+mn-ea"/>
              <a:cs typeface="Arial" panose="020B0604020202020204" pitchFamily="34" charset="0"/>
            </a:rPr>
            <a:t>אשדוד, באר שבע, בית שמש, בני ברק, בת ים, גבעת שמואל, חדרה, חיפה, ירושלים, ירכא, מודיעין, מודיעין עילית, מעלה אדומים, נס ציונה, נתניה, פתח תקווה, ראשון לציון, רחובות, רמלה, תל אביב.</a:t>
          </a:r>
        </a:p>
      </dsp:txBody>
      <dsp:txXfrm>
        <a:off x="1261889" y="1783412"/>
        <a:ext cx="3811444" cy="453655"/>
      </dsp:txXfrm>
    </dsp:sp>
    <dsp:sp modelId="{7B52A134-3F28-422C-9547-7E09B0FED692}">
      <dsp:nvSpPr>
        <dsp:cNvPr id="0" name=""/>
        <dsp:cNvSpPr/>
      </dsp:nvSpPr>
      <dsp:spPr>
        <a:xfrm>
          <a:off x="1189054" y="2483159"/>
          <a:ext cx="3884274"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D7D87BF-2820-4EE8-9F9F-7609CD3BCD98}">
      <dsp:nvSpPr>
        <dsp:cNvPr id="0" name=""/>
        <dsp:cNvSpPr/>
      </dsp:nvSpPr>
      <dsp:spPr>
        <a:xfrm>
          <a:off x="1258077" y="2486841"/>
          <a:ext cx="3811444" cy="490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a:ea typeface="+mn-ea"/>
              <a:cs typeface="Arial" panose="020B0604020202020204" pitchFamily="34" charset="0"/>
            </a:rPr>
            <a:t>לאומית - נפתחו מרפאות ייעודיות ב-4 יישובים: </a:t>
          </a:r>
          <a:r>
            <a:rPr lang="he-IL" sz="1000" kern="1200">
              <a:solidFill>
                <a:sysClr val="windowText" lastClr="000000">
                  <a:hueOff val="0"/>
                  <a:satOff val="0"/>
                  <a:lumOff val="0"/>
                  <a:alphaOff val="0"/>
                </a:sysClr>
              </a:solidFill>
              <a:latin typeface="Calibri"/>
              <a:ea typeface="+mn-ea"/>
              <a:cs typeface="Arial" panose="020B0604020202020204" pitchFamily="34" charset="0"/>
            </a:rPr>
            <a:t>אשדוד, ירושלים, יוקנעם עילית, נתניה. </a:t>
          </a:r>
        </a:p>
      </dsp:txBody>
      <dsp:txXfrm>
        <a:off x="1258077" y="2486841"/>
        <a:ext cx="3811444" cy="490169"/>
      </dsp:txXfrm>
    </dsp:sp>
    <dsp:sp modelId="{48760307-97B7-4DF7-9858-7EBB80EF6805}">
      <dsp:nvSpPr>
        <dsp:cNvPr id="0" name=""/>
        <dsp:cNvSpPr/>
      </dsp:nvSpPr>
      <dsp:spPr>
        <a:xfrm>
          <a:off x="1185247" y="2955202"/>
          <a:ext cx="3884274"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0.02443</cdr:x>
      <cdr:y>4.59662E-7</cdr:y>
    </cdr:from>
    <cdr:to>
      <cdr:x>1</cdr:x>
      <cdr:y>0.21242</cdr:y>
    </cdr:to>
    <cdr:sp macro="" textlink="">
      <cdr:nvSpPr>
        <cdr:cNvPr id="2" name="Text Box 2"/>
        <cdr:cNvSpPr txBox="1">
          <a:spLocks xmlns:a="http://schemas.openxmlformats.org/drawingml/2006/main" noChangeArrowheads="1"/>
        </cdr:cNvSpPr>
      </cdr:nvSpPr>
      <cdr:spPr bwMode="auto">
        <a:xfrm xmlns:a="http://schemas.openxmlformats.org/drawingml/2006/main">
          <a:off x="63500" y="1"/>
          <a:ext cx="2536190" cy="4621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rtl="1">
            <a:lnSpc>
              <a:spcPct val="100000"/>
            </a:lnSpc>
            <a:spcAft>
              <a:spcPts val="0"/>
            </a:spcAft>
          </a:pPr>
          <a:r>
            <a:rPr lang="he-IL" sz="900" b="1" kern="1200" baseline="0">
              <a:solidFill>
                <a:srgbClr val="595959"/>
              </a:solidFill>
              <a:effectLst/>
              <a:latin typeface="Times New Roman" panose="02020603050405020304" pitchFamily="18" charset="0"/>
              <a:ea typeface="Calibri" panose="020F0502020204030204" pitchFamily="34" charset="0"/>
              <a:cs typeface="David" panose="020E0502060401010101" pitchFamily="34" charset="-79"/>
            </a:rPr>
            <a:t>תרשים 6: שיעור המטופלים במסלול המטפלים העצמאיים מסך כל המטופלים ביישובים לפי אשכול חברתי כלכלי בכל אחת מקופות החולים, 2018</a:t>
          </a:r>
          <a:endParaRPr lang="en-US" sz="900" kern="1200" baseline="0">
            <a:solidFill>
              <a:srgbClr val="595959"/>
            </a:solidFill>
            <a:effectLst/>
            <a:latin typeface="Times New Roman" panose="02020603050405020304" pitchFamily="18" charset="0"/>
            <a:ea typeface="Calibri" panose="020F0502020204030204" pitchFamily="34" charset="0"/>
            <a:cs typeface="David" panose="020E0502060401010101" pitchFamily="34" charset="-79"/>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0.1549</cdr:x>
      <cdr:y>0.69472</cdr:y>
    </cdr:from>
    <cdr:to>
      <cdr:x>0.90673</cdr:x>
      <cdr:y>0.69472</cdr:y>
    </cdr:to>
    <cdr:cxnSp macro="">
      <cdr:nvCxnSpPr>
        <cdr:cNvPr id="489283483" name="מחבר ישר 1"/>
        <cdr:cNvCxnSpPr/>
      </cdr:nvCxnSpPr>
      <cdr:spPr>
        <a:xfrm xmlns:a="http://schemas.openxmlformats.org/drawingml/2006/main" flipH="1">
          <a:off x="606405" y="1336679"/>
          <a:ext cx="2943245" cy="0"/>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1ABDB4-85D9-4E33-ABE0-1AC3AEA70A52}">
  <ds:schemaRefs>
    <ds:schemaRef ds:uri="http://schemas.openxmlformats.org/officeDocument/2006/bibliography"/>
  </ds:schemaRefs>
</ds:datastoreItem>
</file>

<file path=customXml/itemProps2.xml><?xml version="1.0" encoding="utf-8"?>
<ds:datastoreItem xmlns:ds="http://schemas.openxmlformats.org/officeDocument/2006/customXml" ds:itemID="{47585C1B-A1A5-4FE7-913B-85B010038271}"/>
</file>

<file path=customXml/itemProps3.xml><?xml version="1.0" encoding="utf-8"?>
<ds:datastoreItem xmlns:ds="http://schemas.openxmlformats.org/officeDocument/2006/customXml" ds:itemID="{D4129A5C-4A63-46DF-B94F-1703A6C01FC7}"/>
</file>

<file path=customXml/itemProps4.xml><?xml version="1.0" encoding="utf-8"?>
<ds:datastoreItem xmlns:ds="http://schemas.openxmlformats.org/officeDocument/2006/customXml" ds:itemID="{F4E37A93-AD4E-46FE-A05A-2D36E45D311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TotalTime>
  <Pages>25</Pages>
  <Words>17035</Words>
  <Characters>85178</Characters>
  <Application>Microsoft Office Word</Application>
  <DocSecurity>0</DocSecurity>
  <Lines>709</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7</cp:revision>
  <cp:lastPrinted>2020-02-23T08:43:00Z</cp:lastPrinted>
  <dcterms:created xsi:type="dcterms:W3CDTF">2020-04-22T09:29:00Z</dcterms:created>
  <dcterms:modified xsi:type="dcterms:W3CDTF">2020-04-30T17:55:00Z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