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08642" w14:textId="5A74E89A" w:rsidR="00504D9E" w:rsidRDefault="00504D9E">
      <w:pPr>
        <w:bidi w:val="0"/>
        <w:spacing w:after="200" w:line="276" w:lineRule="auto"/>
        <w:rPr>
          <w:rFonts w:eastAsiaTheme="majorEastAsia"/>
          <w:bCs/>
          <w:szCs w:val="36"/>
          <w:u w:val="single"/>
        </w:rPr>
      </w:pPr>
    </w:p>
    <w:p w14:paraId="3F143883" w14:textId="31F257B7" w:rsidR="00504D9E" w:rsidRDefault="00504D9E">
      <w:pPr>
        <w:bidi w:val="0"/>
        <w:spacing w:after="200" w:line="276" w:lineRule="auto"/>
        <w:rPr>
          <w:rFonts w:eastAsiaTheme="majorEastAsia"/>
          <w:bCs/>
          <w:szCs w:val="36"/>
          <w:u w:val="single"/>
        </w:rPr>
      </w:pPr>
      <w:r>
        <w:rPr>
          <w:rFonts w:eastAsiaTheme="majorEastAsia"/>
          <w:bCs/>
          <w:noProof/>
          <w:szCs w:val="36"/>
          <w:u w:val="single"/>
        </w:rPr>
        <w:drawing>
          <wp:inline distT="0" distB="0" distL="0" distR="0" wp14:anchorId="617F1627" wp14:editId="3E3E91B1">
            <wp:extent cx="5220000" cy="68651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02 - תקציר-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0000" cy="6865126"/>
                    </a:xfrm>
                    <a:prstGeom prst="rect">
                      <a:avLst/>
                    </a:prstGeom>
                  </pic:spPr>
                </pic:pic>
              </a:graphicData>
            </a:graphic>
          </wp:inline>
        </w:drawing>
      </w:r>
    </w:p>
    <w:p w14:paraId="02250E81" w14:textId="01999AB6" w:rsidR="00504D9E" w:rsidRDefault="00504D9E">
      <w:pPr>
        <w:bidi w:val="0"/>
        <w:spacing w:after="200" w:line="276" w:lineRule="auto"/>
        <w:rPr>
          <w:rFonts w:eastAsiaTheme="majorEastAsia"/>
          <w:bCs/>
          <w:szCs w:val="36"/>
          <w:u w:val="single"/>
        </w:rPr>
      </w:pPr>
      <w:r>
        <w:rPr>
          <w:rFonts w:eastAsiaTheme="majorEastAsia"/>
          <w:bCs/>
          <w:szCs w:val="36"/>
          <w:u w:val="single"/>
        </w:rPr>
        <w:br w:type="page"/>
      </w:r>
      <w:r>
        <w:rPr>
          <w:rFonts w:eastAsiaTheme="majorEastAsia"/>
          <w:bCs/>
          <w:noProof/>
          <w:szCs w:val="36"/>
          <w:u w:val="single"/>
        </w:rPr>
        <w:lastRenderedPageBreak/>
        <w:drawing>
          <wp:inline distT="0" distB="0" distL="0" distR="0" wp14:anchorId="6E7EE486" wp14:editId="1F833628">
            <wp:extent cx="5220000" cy="68651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2 - תקציר-2.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20000" cy="6865127"/>
                    </a:xfrm>
                    <a:prstGeom prst="rect">
                      <a:avLst/>
                    </a:prstGeom>
                    <a:ln>
                      <a:noFill/>
                    </a:ln>
                    <a:extLst>
                      <a:ext uri="{53640926-AAD7-44D8-BBD7-CCE9431645EC}">
                        <a14:shadowObscured xmlns:a14="http://schemas.microsoft.com/office/drawing/2010/main"/>
                      </a:ext>
                    </a:extLst>
                  </pic:spPr>
                </pic:pic>
              </a:graphicData>
            </a:graphic>
          </wp:inline>
        </w:drawing>
      </w:r>
    </w:p>
    <w:p w14:paraId="769D2FDF" w14:textId="70B1F2B1" w:rsidR="00504D9E" w:rsidRDefault="00504D9E">
      <w:pPr>
        <w:bidi w:val="0"/>
        <w:spacing w:after="200" w:line="276" w:lineRule="auto"/>
        <w:rPr>
          <w:rFonts w:eastAsiaTheme="majorEastAsia"/>
          <w:bCs/>
          <w:szCs w:val="36"/>
          <w:u w:val="single"/>
        </w:rPr>
      </w:pPr>
      <w:r>
        <w:rPr>
          <w:rFonts w:eastAsiaTheme="majorEastAsia"/>
          <w:bCs/>
          <w:szCs w:val="36"/>
          <w:u w:val="single"/>
        </w:rPr>
        <w:br w:type="page"/>
      </w:r>
      <w:r>
        <w:rPr>
          <w:rFonts w:eastAsiaTheme="majorEastAsia"/>
          <w:bCs/>
          <w:noProof/>
          <w:szCs w:val="36"/>
          <w:u w:val="single"/>
        </w:rPr>
        <w:lastRenderedPageBreak/>
        <w:drawing>
          <wp:inline distT="0" distB="0" distL="0" distR="0" wp14:anchorId="75B86111" wp14:editId="15E4311A">
            <wp:extent cx="5219575" cy="608616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2 - תקציר-3.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21493" cy="6088404"/>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ajorEastAsia"/>
          <w:bCs/>
          <w:szCs w:val="36"/>
          <w:u w:val="single"/>
        </w:rPr>
        <w:br w:type="page"/>
      </w:r>
    </w:p>
    <w:p w14:paraId="060189B5" w14:textId="6C64ED81" w:rsidR="00504D9E" w:rsidRDefault="00504D9E">
      <w:pPr>
        <w:bidi w:val="0"/>
        <w:spacing w:after="200" w:line="276" w:lineRule="auto"/>
        <w:rPr>
          <w:rFonts w:eastAsiaTheme="majorEastAsia"/>
          <w:bCs/>
          <w:szCs w:val="36"/>
          <w:u w:val="single"/>
        </w:rPr>
      </w:pPr>
      <w:r>
        <w:rPr>
          <w:rFonts w:eastAsiaTheme="majorEastAsia"/>
          <w:bCs/>
          <w:noProof/>
          <w:szCs w:val="36"/>
          <w:u w:val="single"/>
        </w:rPr>
        <w:lastRenderedPageBreak/>
        <w:drawing>
          <wp:inline distT="0" distB="0" distL="0" distR="0" wp14:anchorId="5D391632" wp14:editId="63FC549F">
            <wp:extent cx="5220000" cy="5157384"/>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02 - תקציר-4.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20000" cy="5157384"/>
                    </a:xfrm>
                    <a:prstGeom prst="rect">
                      <a:avLst/>
                    </a:prstGeom>
                    <a:ln>
                      <a:noFill/>
                    </a:ln>
                    <a:extLst>
                      <a:ext uri="{53640926-AAD7-44D8-BBD7-CCE9431645EC}">
                        <a14:shadowObscured xmlns:a14="http://schemas.microsoft.com/office/drawing/2010/main"/>
                      </a:ext>
                    </a:extLst>
                  </pic:spPr>
                </pic:pic>
              </a:graphicData>
            </a:graphic>
          </wp:inline>
        </w:drawing>
      </w:r>
    </w:p>
    <w:p w14:paraId="5D3A4AEE" w14:textId="77777777" w:rsidR="00504D9E" w:rsidRDefault="00504D9E">
      <w:pPr>
        <w:bidi w:val="0"/>
        <w:spacing w:after="200" w:line="276" w:lineRule="auto"/>
        <w:rPr>
          <w:rFonts w:ascii="Tahoma" w:eastAsiaTheme="minorEastAsia" w:hAnsi="Tahoma" w:cs="Tahoma"/>
          <w:color w:val="2A2AA6"/>
          <w:sz w:val="42"/>
          <w:szCs w:val="42"/>
          <w:rtl/>
        </w:rPr>
      </w:pPr>
      <w:r>
        <w:rPr>
          <w:rtl/>
        </w:rPr>
        <w:br w:type="page"/>
      </w:r>
    </w:p>
    <w:p w14:paraId="4F6421D3" w14:textId="062BE69A" w:rsidR="00BA23AE" w:rsidRDefault="00BA23AE" w:rsidP="00FD3B87">
      <w:pPr>
        <w:pStyle w:val="121"/>
        <w:rPr>
          <w:rtl/>
        </w:rPr>
      </w:pPr>
      <w:r>
        <w:rPr>
          <w:rFonts w:hint="cs"/>
          <w:rtl/>
        </w:rPr>
        <w:lastRenderedPageBreak/>
        <w:t>הליכי המעצר במשטרת ישראל</w:t>
      </w:r>
      <w:r w:rsidR="00FD3B87">
        <w:br/>
      </w:r>
      <w:r>
        <w:rPr>
          <w:rFonts w:hint="cs"/>
          <w:rtl/>
        </w:rPr>
        <w:t xml:space="preserve">ובבתי המשפט </w:t>
      </w:r>
    </w:p>
    <w:p w14:paraId="4F7284A0" w14:textId="77777777" w:rsidR="00BA23AE" w:rsidRPr="00F13DA5" w:rsidRDefault="00BA23AE" w:rsidP="00FD3B87">
      <w:pPr>
        <w:pStyle w:val="316"/>
        <w:rPr>
          <w:rtl/>
        </w:rPr>
      </w:pPr>
      <w:r w:rsidRPr="00F13DA5">
        <w:rPr>
          <w:rFonts w:hint="cs"/>
          <w:rtl/>
        </w:rPr>
        <w:t>מבוא</w:t>
      </w:r>
    </w:p>
    <w:p w14:paraId="5A0260B7" w14:textId="77777777" w:rsidR="00BA23AE" w:rsidRPr="00F13DA5" w:rsidRDefault="00BA23AE" w:rsidP="00FD3B87">
      <w:pPr>
        <w:pStyle w:val="100"/>
        <w:rPr>
          <w:rtl/>
        </w:rPr>
      </w:pPr>
      <w:r w:rsidRPr="00F13DA5">
        <w:rPr>
          <w:rFonts w:hint="cs"/>
          <w:rtl/>
        </w:rPr>
        <w:t xml:space="preserve">דוח זה עוסק בשלושה נדבכים, </w:t>
      </w:r>
      <w:r>
        <w:rPr>
          <w:rFonts w:hint="cs"/>
          <w:rtl/>
        </w:rPr>
        <w:t>המקיפים</w:t>
      </w:r>
      <w:r w:rsidRPr="00F13DA5">
        <w:rPr>
          <w:rFonts w:hint="cs"/>
          <w:rtl/>
        </w:rPr>
        <w:t xml:space="preserve"> את תחומי האחריות והפעולה של גורמי האכיפה העוסקים במעצרים. פרק זה של הדוח עוסק בביקורת שנערכה במשטרה</w:t>
      </w:r>
      <w:r w:rsidRPr="00F13DA5">
        <w:rPr>
          <w:rtl/>
        </w:rPr>
        <w:t xml:space="preserve"> </w:t>
      </w:r>
      <w:r w:rsidRPr="00F13DA5">
        <w:rPr>
          <w:rFonts w:hint="cs"/>
          <w:rtl/>
        </w:rPr>
        <w:t xml:space="preserve">ובהנהלת בתי המשפט ובמסגרתה </w:t>
      </w:r>
      <w:r w:rsidRPr="00F13DA5">
        <w:rPr>
          <w:rtl/>
        </w:rPr>
        <w:t xml:space="preserve">נבדקו הנושאים האלה: </w:t>
      </w:r>
      <w:r w:rsidRPr="00F13DA5">
        <w:rPr>
          <w:rFonts w:hint="cs"/>
          <w:rtl/>
        </w:rPr>
        <w:t>מעצר חשודים על ידי המשטרה, מימוש זכות ההיוועצות עם עורך דין לפני חקירה, שחרור עצורים בתנאים, פעולות המשטרה לפיקוח ולבקרה בתחום המעצרים ודיוני מעצר בבתי המשפט.</w:t>
      </w:r>
    </w:p>
    <w:p w14:paraId="03B8BCFA" w14:textId="77777777" w:rsidR="00BA23AE" w:rsidRPr="00F13DA5" w:rsidRDefault="00BA23AE" w:rsidP="00FD3B87">
      <w:pPr>
        <w:pStyle w:val="316"/>
        <w:rPr>
          <w:rtl/>
        </w:rPr>
      </w:pPr>
      <w:r w:rsidRPr="00F13DA5">
        <w:rPr>
          <w:rFonts w:hint="cs"/>
          <w:rtl/>
        </w:rPr>
        <w:t xml:space="preserve">ניתוח נתוני המשטרה בנושא המעצרים </w:t>
      </w:r>
    </w:p>
    <w:p w14:paraId="0198D0F5" w14:textId="77777777" w:rsidR="00BA23AE" w:rsidRPr="00F13DA5" w:rsidRDefault="00BA23AE" w:rsidP="00FD3B87">
      <w:pPr>
        <w:pStyle w:val="100"/>
        <w:rPr>
          <w:rtl/>
        </w:rPr>
      </w:pPr>
      <w:r w:rsidRPr="00F13DA5">
        <w:rPr>
          <w:rFonts w:hint="cs"/>
          <w:rtl/>
        </w:rPr>
        <w:t>הנתונים על היקף המעצרים משקפים</w:t>
      </w:r>
      <w:r>
        <w:rPr>
          <w:rFonts w:hint="cs"/>
          <w:rtl/>
        </w:rPr>
        <w:t>, בין היתר,</w:t>
      </w:r>
      <w:r w:rsidRPr="00F13DA5">
        <w:rPr>
          <w:rFonts w:hint="cs"/>
          <w:rtl/>
        </w:rPr>
        <w:t xml:space="preserve"> את מידת השימוש שעושים גורמי המשטרה בסמכות המעצר המוקנית להם. משטרת ישראל העבירה למשרד מבקר המדינה את השנתונים הסטטיסטיים שפרסמה בשנים האחרונות</w:t>
      </w:r>
      <w:r w:rsidRPr="00F13DA5">
        <w:rPr>
          <w:rStyle w:val="FootnoteReference"/>
          <w:rtl/>
        </w:rPr>
        <w:footnoteReference w:id="1"/>
      </w:r>
      <w:r w:rsidRPr="00F13DA5">
        <w:rPr>
          <w:rFonts w:hint="cs"/>
          <w:rtl/>
        </w:rPr>
        <w:t>, וכן מאגרי נתונים מהשנים 2016 - 2018 הנוגעים לשימוש בסמכות המעצרים: מאגרי נתוני המעצרים של המשטרה (להלן - נתוני מעצרים), מאגרי דוחות - דוחות עיכוב, דוחות מעצר שוטר, דוחות קצין ממונה - ונתוני ההחלטות שקיבלו המשטרה ובתי המשפט בהליכים שבהם התקיים מעצר (להלן - מאגר החלטות)</w:t>
      </w:r>
      <w:r w:rsidRPr="00F13DA5">
        <w:rPr>
          <w:rStyle w:val="FootnoteReference"/>
          <w:rtl/>
        </w:rPr>
        <w:footnoteReference w:id="2"/>
      </w:r>
      <w:r w:rsidRPr="00F13DA5">
        <w:rPr>
          <w:rFonts w:hint="cs"/>
          <w:rtl/>
        </w:rPr>
        <w:t xml:space="preserve">. </w:t>
      </w:r>
    </w:p>
    <w:p w14:paraId="14AA8EBD" w14:textId="37912DA7" w:rsidR="00A3123A" w:rsidRDefault="00BA23AE" w:rsidP="00FD3B87">
      <w:pPr>
        <w:pStyle w:val="100"/>
        <w:rPr>
          <w:rtl/>
        </w:rPr>
      </w:pPr>
      <w:r w:rsidRPr="00F13DA5">
        <w:rPr>
          <w:rFonts w:hint="cs"/>
          <w:rtl/>
        </w:rPr>
        <w:t>על מנת להציג תמונה מלאה של נתוני המשטרה יש להביא בחשבון שני היבטים נוספים מלבד היקף</w:t>
      </w:r>
      <w:r>
        <w:rPr>
          <w:rFonts w:hint="cs"/>
          <w:rtl/>
        </w:rPr>
        <w:t xml:space="preserve"> </w:t>
      </w:r>
      <w:r w:rsidRPr="00F13DA5">
        <w:rPr>
          <w:rFonts w:hint="cs"/>
          <w:rtl/>
        </w:rPr>
        <w:t>המעצרים</w:t>
      </w:r>
      <w:r>
        <w:rPr>
          <w:rFonts w:hint="cs"/>
          <w:rtl/>
        </w:rPr>
        <w:t>:</w:t>
      </w:r>
      <w:r w:rsidRPr="00F13DA5">
        <w:rPr>
          <w:rFonts w:hint="cs"/>
          <w:rtl/>
        </w:rPr>
        <w:t xml:space="preserve"> מספר העצורים ומספר תיקי החקירה שבמסגרתם נעצרו</w:t>
      </w:r>
      <w:r>
        <w:rPr>
          <w:rFonts w:hint="cs"/>
          <w:rtl/>
        </w:rPr>
        <w:t xml:space="preserve"> -</w:t>
      </w:r>
      <w:r w:rsidRPr="00F13DA5">
        <w:rPr>
          <w:rFonts w:hint="cs"/>
          <w:rtl/>
        </w:rPr>
        <w:t xml:space="preserve"> </w:t>
      </w:r>
      <w:r>
        <w:rPr>
          <w:rFonts w:hint="cs"/>
          <w:rtl/>
        </w:rPr>
        <w:t xml:space="preserve">מספרים אלו אינם </w:t>
      </w:r>
      <w:r w:rsidRPr="00F13DA5">
        <w:rPr>
          <w:rFonts w:hint="cs"/>
          <w:rtl/>
        </w:rPr>
        <w:t>חופ</w:t>
      </w:r>
      <w:r>
        <w:rPr>
          <w:rFonts w:hint="cs"/>
          <w:rtl/>
        </w:rPr>
        <w:t>פים</w:t>
      </w:r>
      <w:r w:rsidRPr="00F13DA5">
        <w:rPr>
          <w:rStyle w:val="FootnoteReference"/>
          <w:rtl/>
        </w:rPr>
        <w:footnoteReference w:id="3"/>
      </w:r>
      <w:r w:rsidRPr="00F13DA5">
        <w:rPr>
          <w:rFonts w:hint="cs"/>
          <w:rtl/>
        </w:rPr>
        <w:t xml:space="preserve">. בלוח להלן מוצגים </w:t>
      </w:r>
      <w:r>
        <w:rPr>
          <w:rFonts w:hint="cs"/>
          <w:rtl/>
        </w:rPr>
        <w:t>נתונים אלה ל</w:t>
      </w:r>
      <w:r w:rsidRPr="00F13DA5">
        <w:rPr>
          <w:rFonts w:hint="cs"/>
          <w:rtl/>
        </w:rPr>
        <w:t>שנים 2016 - 2018.</w:t>
      </w:r>
    </w:p>
    <w:p w14:paraId="5791323D" w14:textId="77777777" w:rsidR="00A3123A" w:rsidRDefault="00A3123A">
      <w:pPr>
        <w:bidi w:val="0"/>
        <w:spacing w:after="200" w:line="276" w:lineRule="auto"/>
        <w:rPr>
          <w:rFonts w:ascii="Tahoma" w:hAnsi="Tahoma" w:cs="Tahoma"/>
          <w:szCs w:val="20"/>
          <w:rtl/>
        </w:rPr>
      </w:pPr>
      <w:r>
        <w:rPr>
          <w:rtl/>
        </w:rPr>
        <w:br w:type="page"/>
      </w:r>
    </w:p>
    <w:p w14:paraId="2837C9E5" w14:textId="77777777" w:rsidR="00BA23AE" w:rsidRPr="00F13DA5" w:rsidRDefault="00BA23AE" w:rsidP="00A3123A">
      <w:pPr>
        <w:pStyle w:val="a9"/>
        <w:rPr>
          <w:rtl/>
        </w:rPr>
      </w:pPr>
      <w:r w:rsidRPr="00F13DA5">
        <w:rPr>
          <w:rFonts w:hint="eastAsia"/>
          <w:rtl/>
        </w:rPr>
        <w:lastRenderedPageBreak/>
        <w:t>לוח</w:t>
      </w:r>
      <w:r w:rsidRPr="00F13DA5">
        <w:rPr>
          <w:rtl/>
        </w:rPr>
        <w:t xml:space="preserve"> </w:t>
      </w:r>
      <w:r w:rsidRPr="00F13DA5">
        <w:rPr>
          <w:rFonts w:hint="cs"/>
          <w:rtl/>
        </w:rPr>
        <w:t>1</w:t>
      </w:r>
      <w:r w:rsidRPr="00F13DA5">
        <w:rPr>
          <w:rtl/>
        </w:rPr>
        <w:t xml:space="preserve">: </w:t>
      </w:r>
      <w:r w:rsidRPr="00A3123A">
        <w:rPr>
          <w:b/>
          <w:bCs/>
          <w:rtl/>
        </w:rPr>
        <w:t xml:space="preserve">היקף המעצרים הפליליים, </w:t>
      </w:r>
      <w:r w:rsidRPr="00A3123A">
        <w:rPr>
          <w:rFonts w:hint="eastAsia"/>
          <w:b/>
          <w:bCs/>
          <w:rtl/>
        </w:rPr>
        <w:t>תיקי</w:t>
      </w:r>
      <w:r w:rsidRPr="00A3123A">
        <w:rPr>
          <w:b/>
          <w:bCs/>
          <w:rtl/>
        </w:rPr>
        <w:t xml:space="preserve"> </w:t>
      </w:r>
      <w:r w:rsidRPr="00A3123A">
        <w:rPr>
          <w:rFonts w:hint="eastAsia"/>
          <w:b/>
          <w:bCs/>
          <w:rtl/>
        </w:rPr>
        <w:t>החקירה</w:t>
      </w:r>
      <w:r w:rsidRPr="00A3123A">
        <w:rPr>
          <w:b/>
          <w:bCs/>
          <w:rtl/>
        </w:rPr>
        <w:t xml:space="preserve"> </w:t>
      </w:r>
      <w:r w:rsidRPr="00A3123A">
        <w:rPr>
          <w:rFonts w:hint="eastAsia"/>
          <w:b/>
          <w:bCs/>
          <w:rtl/>
        </w:rPr>
        <w:t>והעצורים</w:t>
      </w:r>
      <w:r w:rsidRPr="00A3123A">
        <w:rPr>
          <w:rFonts w:hint="cs"/>
          <w:b/>
          <w:bCs/>
          <w:rtl/>
        </w:rPr>
        <w:t>,</w:t>
      </w:r>
      <w:r w:rsidRPr="00A3123A">
        <w:rPr>
          <w:b/>
          <w:bCs/>
          <w:rtl/>
        </w:rPr>
        <w:t xml:space="preserve"> 2016 - 2018</w:t>
      </w:r>
    </w:p>
    <w:tbl>
      <w:tblPr>
        <w:tblStyle w:val="TableGrid"/>
        <w:bidiVisual/>
        <w:tblW w:w="0" w:type="auto"/>
        <w:jc w:val="center"/>
        <w:tblLook w:val="04A0" w:firstRow="1" w:lastRow="0" w:firstColumn="1" w:lastColumn="0" w:noHBand="0" w:noVBand="1"/>
      </w:tblPr>
      <w:tblGrid>
        <w:gridCol w:w="2051"/>
        <w:gridCol w:w="2053"/>
        <w:gridCol w:w="2053"/>
        <w:gridCol w:w="2053"/>
      </w:tblGrid>
      <w:tr w:rsidR="00BA23AE" w:rsidRPr="00993244" w14:paraId="5707E545" w14:textId="77777777" w:rsidTr="00BD38A0">
        <w:trPr>
          <w:jc w:val="center"/>
        </w:trPr>
        <w:tc>
          <w:tcPr>
            <w:tcW w:w="2052" w:type="dxa"/>
            <w:shd w:val="clear" w:color="auto" w:fill="C6D9F1"/>
            <w:vAlign w:val="bottom"/>
          </w:tcPr>
          <w:p w14:paraId="7F4921CA" w14:textId="77777777" w:rsidR="00BA23AE" w:rsidRPr="00A3123A" w:rsidRDefault="00BA23AE" w:rsidP="00BD38A0">
            <w:pPr>
              <w:pStyle w:val="af0"/>
              <w:rPr>
                <w:rtl/>
              </w:rPr>
            </w:pPr>
          </w:p>
        </w:tc>
        <w:tc>
          <w:tcPr>
            <w:tcW w:w="2053" w:type="dxa"/>
            <w:shd w:val="clear" w:color="auto" w:fill="C6D9F1"/>
            <w:vAlign w:val="bottom"/>
          </w:tcPr>
          <w:p w14:paraId="33A24D27" w14:textId="77777777" w:rsidR="00BA23AE" w:rsidRPr="00A3123A" w:rsidRDefault="00BA23AE" w:rsidP="00BD38A0">
            <w:pPr>
              <w:pStyle w:val="af0"/>
              <w:rPr>
                <w:rtl/>
              </w:rPr>
            </w:pPr>
            <w:r w:rsidRPr="00A3123A">
              <w:rPr>
                <w:rFonts w:hint="cs"/>
                <w:rtl/>
              </w:rPr>
              <w:t>2016</w:t>
            </w:r>
          </w:p>
        </w:tc>
        <w:tc>
          <w:tcPr>
            <w:tcW w:w="2053" w:type="dxa"/>
            <w:shd w:val="clear" w:color="auto" w:fill="C6D9F1"/>
            <w:vAlign w:val="bottom"/>
          </w:tcPr>
          <w:p w14:paraId="747693ED" w14:textId="77777777" w:rsidR="00BA23AE" w:rsidRPr="00A3123A" w:rsidRDefault="00BA23AE" w:rsidP="00BD38A0">
            <w:pPr>
              <w:pStyle w:val="af0"/>
              <w:rPr>
                <w:rtl/>
              </w:rPr>
            </w:pPr>
            <w:r w:rsidRPr="00A3123A">
              <w:rPr>
                <w:rFonts w:hint="cs"/>
                <w:rtl/>
              </w:rPr>
              <w:t>2017</w:t>
            </w:r>
          </w:p>
        </w:tc>
        <w:tc>
          <w:tcPr>
            <w:tcW w:w="2053" w:type="dxa"/>
            <w:shd w:val="clear" w:color="auto" w:fill="C6D9F1"/>
            <w:vAlign w:val="bottom"/>
          </w:tcPr>
          <w:p w14:paraId="0415E53C" w14:textId="77777777" w:rsidR="00BA23AE" w:rsidRPr="00A3123A" w:rsidRDefault="00BA23AE" w:rsidP="00BD38A0">
            <w:pPr>
              <w:pStyle w:val="af0"/>
              <w:rPr>
                <w:rtl/>
              </w:rPr>
            </w:pPr>
            <w:r w:rsidRPr="00A3123A">
              <w:rPr>
                <w:rFonts w:hint="cs"/>
                <w:rtl/>
              </w:rPr>
              <w:t>2018</w:t>
            </w:r>
          </w:p>
        </w:tc>
      </w:tr>
      <w:tr w:rsidR="00BA23AE" w:rsidRPr="00993244" w14:paraId="1B624C25" w14:textId="77777777" w:rsidTr="00BD38A0">
        <w:trPr>
          <w:jc w:val="center"/>
        </w:trPr>
        <w:tc>
          <w:tcPr>
            <w:tcW w:w="2052" w:type="dxa"/>
            <w:vAlign w:val="bottom"/>
          </w:tcPr>
          <w:p w14:paraId="64F363ED" w14:textId="77777777" w:rsidR="00BA23AE" w:rsidRPr="00A3123A" w:rsidRDefault="00BA23AE" w:rsidP="00BD38A0">
            <w:pPr>
              <w:pStyle w:val="B"/>
              <w:rPr>
                <w:szCs w:val="20"/>
                <w:rtl/>
              </w:rPr>
            </w:pPr>
            <w:r w:rsidRPr="00A3123A">
              <w:rPr>
                <w:rFonts w:hint="cs"/>
                <w:szCs w:val="20"/>
                <w:rtl/>
              </w:rPr>
              <w:t>מעצרים</w:t>
            </w:r>
          </w:p>
        </w:tc>
        <w:tc>
          <w:tcPr>
            <w:tcW w:w="2053" w:type="dxa"/>
            <w:vAlign w:val="bottom"/>
          </w:tcPr>
          <w:p w14:paraId="684D6F76" w14:textId="77777777" w:rsidR="00BA23AE" w:rsidRPr="00A3123A" w:rsidRDefault="00BA23AE" w:rsidP="00BD38A0">
            <w:pPr>
              <w:pStyle w:val="R"/>
              <w:rPr>
                <w:rtl/>
              </w:rPr>
            </w:pPr>
            <w:r w:rsidRPr="00A3123A">
              <w:rPr>
                <w:rFonts w:hint="cs"/>
                <w:rtl/>
              </w:rPr>
              <w:t>60,848</w:t>
            </w:r>
          </w:p>
        </w:tc>
        <w:tc>
          <w:tcPr>
            <w:tcW w:w="2053" w:type="dxa"/>
            <w:vAlign w:val="bottom"/>
          </w:tcPr>
          <w:p w14:paraId="7DB9DF13" w14:textId="77777777" w:rsidR="00BA23AE" w:rsidRPr="00A3123A" w:rsidRDefault="00BA23AE" w:rsidP="00BD38A0">
            <w:pPr>
              <w:pStyle w:val="R"/>
              <w:rPr>
                <w:rtl/>
              </w:rPr>
            </w:pPr>
            <w:r w:rsidRPr="00A3123A">
              <w:rPr>
                <w:rFonts w:hint="cs"/>
                <w:rtl/>
              </w:rPr>
              <w:t>60,072</w:t>
            </w:r>
          </w:p>
        </w:tc>
        <w:tc>
          <w:tcPr>
            <w:tcW w:w="2053" w:type="dxa"/>
            <w:vAlign w:val="bottom"/>
          </w:tcPr>
          <w:p w14:paraId="5EAFDA9B" w14:textId="77777777" w:rsidR="00BA23AE" w:rsidRPr="00A3123A" w:rsidRDefault="00BA23AE" w:rsidP="00BD38A0">
            <w:pPr>
              <w:pStyle w:val="R"/>
              <w:rPr>
                <w:rtl/>
              </w:rPr>
            </w:pPr>
            <w:r w:rsidRPr="00A3123A">
              <w:rPr>
                <w:rFonts w:hint="cs"/>
                <w:rtl/>
              </w:rPr>
              <w:t>53,253</w:t>
            </w:r>
          </w:p>
        </w:tc>
      </w:tr>
      <w:tr w:rsidR="00BA23AE" w:rsidRPr="00993244" w14:paraId="56A3B6B3" w14:textId="77777777" w:rsidTr="00BD38A0">
        <w:trPr>
          <w:jc w:val="center"/>
        </w:trPr>
        <w:tc>
          <w:tcPr>
            <w:tcW w:w="2052" w:type="dxa"/>
            <w:vAlign w:val="bottom"/>
          </w:tcPr>
          <w:p w14:paraId="250FE722" w14:textId="77777777" w:rsidR="00BA23AE" w:rsidRPr="00A3123A" w:rsidRDefault="00BA23AE" w:rsidP="00BD38A0">
            <w:pPr>
              <w:pStyle w:val="B"/>
              <w:rPr>
                <w:szCs w:val="20"/>
                <w:rtl/>
              </w:rPr>
            </w:pPr>
            <w:r w:rsidRPr="00A3123A">
              <w:rPr>
                <w:rFonts w:hint="cs"/>
                <w:szCs w:val="20"/>
                <w:rtl/>
              </w:rPr>
              <w:t>תיקי חקירה (1)</w:t>
            </w:r>
            <w:r w:rsidRPr="00A3123A">
              <w:rPr>
                <w:rStyle w:val="FootnoteReference"/>
                <w:szCs w:val="20"/>
                <w:rtl/>
              </w:rPr>
              <w:footnoteReference w:id="4"/>
            </w:r>
          </w:p>
        </w:tc>
        <w:tc>
          <w:tcPr>
            <w:tcW w:w="2053" w:type="dxa"/>
            <w:vAlign w:val="bottom"/>
          </w:tcPr>
          <w:p w14:paraId="6E22C5F6" w14:textId="77777777" w:rsidR="00BA23AE" w:rsidRPr="00A3123A" w:rsidRDefault="00BA23AE" w:rsidP="00BD38A0">
            <w:pPr>
              <w:pStyle w:val="R"/>
              <w:rPr>
                <w:rtl/>
              </w:rPr>
            </w:pPr>
            <w:r w:rsidRPr="00A3123A">
              <w:rPr>
                <w:rFonts w:hint="cs"/>
                <w:rtl/>
              </w:rPr>
              <w:t>46,346</w:t>
            </w:r>
          </w:p>
        </w:tc>
        <w:tc>
          <w:tcPr>
            <w:tcW w:w="2053" w:type="dxa"/>
            <w:vAlign w:val="bottom"/>
          </w:tcPr>
          <w:p w14:paraId="47115A90" w14:textId="77777777" w:rsidR="00BA23AE" w:rsidRPr="00A3123A" w:rsidRDefault="00BA23AE" w:rsidP="00BD38A0">
            <w:pPr>
              <w:pStyle w:val="R"/>
              <w:rPr>
                <w:rtl/>
              </w:rPr>
            </w:pPr>
            <w:r w:rsidRPr="00A3123A">
              <w:rPr>
                <w:rFonts w:hint="cs"/>
                <w:rtl/>
              </w:rPr>
              <w:t>45,343</w:t>
            </w:r>
          </w:p>
        </w:tc>
        <w:tc>
          <w:tcPr>
            <w:tcW w:w="2053" w:type="dxa"/>
            <w:vAlign w:val="bottom"/>
          </w:tcPr>
          <w:p w14:paraId="7FCC2B3D" w14:textId="77777777" w:rsidR="00BA23AE" w:rsidRPr="00A3123A" w:rsidRDefault="00BA23AE" w:rsidP="00BD38A0">
            <w:pPr>
              <w:pStyle w:val="R"/>
              <w:rPr>
                <w:rtl/>
              </w:rPr>
            </w:pPr>
            <w:r w:rsidRPr="00A3123A">
              <w:rPr>
                <w:rFonts w:hint="cs"/>
                <w:rtl/>
              </w:rPr>
              <w:t>41,337</w:t>
            </w:r>
          </w:p>
        </w:tc>
      </w:tr>
      <w:tr w:rsidR="00BA23AE" w:rsidRPr="00993244" w14:paraId="7E65A1A6" w14:textId="77777777" w:rsidTr="00BD38A0">
        <w:trPr>
          <w:jc w:val="center"/>
        </w:trPr>
        <w:tc>
          <w:tcPr>
            <w:tcW w:w="2052" w:type="dxa"/>
            <w:vAlign w:val="bottom"/>
          </w:tcPr>
          <w:p w14:paraId="61A4CE76" w14:textId="77777777" w:rsidR="00BA23AE" w:rsidRPr="00A3123A" w:rsidRDefault="00BA23AE" w:rsidP="00BD38A0">
            <w:pPr>
              <w:pStyle w:val="B"/>
              <w:rPr>
                <w:szCs w:val="20"/>
                <w:rtl/>
              </w:rPr>
            </w:pPr>
            <w:r w:rsidRPr="00A3123A">
              <w:rPr>
                <w:rFonts w:hint="cs"/>
                <w:szCs w:val="20"/>
                <w:rtl/>
              </w:rPr>
              <w:t>תיקי חקירה (2)</w:t>
            </w:r>
            <w:r w:rsidRPr="00A3123A">
              <w:rPr>
                <w:rStyle w:val="FootnoteReference"/>
                <w:szCs w:val="20"/>
                <w:rtl/>
              </w:rPr>
              <w:footnoteReference w:id="5"/>
            </w:r>
            <w:r w:rsidRPr="00A3123A">
              <w:rPr>
                <w:rFonts w:hint="cs"/>
                <w:szCs w:val="20"/>
                <w:vertAlign w:val="superscript"/>
                <w:rtl/>
              </w:rPr>
              <w:t xml:space="preserve"> </w:t>
            </w:r>
          </w:p>
        </w:tc>
        <w:tc>
          <w:tcPr>
            <w:tcW w:w="2053" w:type="dxa"/>
            <w:vAlign w:val="bottom"/>
          </w:tcPr>
          <w:p w14:paraId="0A91721E" w14:textId="77777777" w:rsidR="00BA23AE" w:rsidRPr="00A3123A" w:rsidRDefault="00BA23AE" w:rsidP="00BD38A0">
            <w:pPr>
              <w:pStyle w:val="R"/>
              <w:rPr>
                <w:rtl/>
              </w:rPr>
            </w:pPr>
            <w:r w:rsidRPr="00A3123A">
              <w:rPr>
                <w:rFonts w:hint="cs"/>
                <w:rtl/>
              </w:rPr>
              <w:t>68,014</w:t>
            </w:r>
          </w:p>
        </w:tc>
        <w:tc>
          <w:tcPr>
            <w:tcW w:w="2053" w:type="dxa"/>
            <w:vAlign w:val="bottom"/>
          </w:tcPr>
          <w:p w14:paraId="08D395EF" w14:textId="77777777" w:rsidR="00BA23AE" w:rsidRPr="00A3123A" w:rsidRDefault="00BA23AE" w:rsidP="00BD38A0">
            <w:pPr>
              <w:pStyle w:val="R"/>
              <w:rPr>
                <w:rtl/>
              </w:rPr>
            </w:pPr>
            <w:r w:rsidRPr="00A3123A">
              <w:rPr>
                <w:rFonts w:hint="cs"/>
                <w:rtl/>
              </w:rPr>
              <w:t>66,744</w:t>
            </w:r>
          </w:p>
        </w:tc>
        <w:tc>
          <w:tcPr>
            <w:tcW w:w="2053" w:type="dxa"/>
            <w:vAlign w:val="bottom"/>
          </w:tcPr>
          <w:p w14:paraId="382BABAB" w14:textId="77777777" w:rsidR="00BA23AE" w:rsidRPr="00A3123A" w:rsidRDefault="00BA23AE" w:rsidP="00BD38A0">
            <w:pPr>
              <w:pStyle w:val="R"/>
              <w:rPr>
                <w:rtl/>
              </w:rPr>
            </w:pPr>
            <w:r w:rsidRPr="00A3123A">
              <w:rPr>
                <w:rFonts w:hint="cs"/>
                <w:rtl/>
              </w:rPr>
              <w:t>61,982</w:t>
            </w:r>
          </w:p>
        </w:tc>
      </w:tr>
      <w:tr w:rsidR="00BA23AE" w:rsidRPr="00993244" w14:paraId="3FE7EA0B" w14:textId="77777777" w:rsidTr="00BD38A0">
        <w:trPr>
          <w:jc w:val="center"/>
        </w:trPr>
        <w:tc>
          <w:tcPr>
            <w:tcW w:w="2052" w:type="dxa"/>
            <w:vAlign w:val="bottom"/>
          </w:tcPr>
          <w:p w14:paraId="1BF7580A" w14:textId="77777777" w:rsidR="00BA23AE" w:rsidRPr="00A3123A" w:rsidRDefault="00BA23AE" w:rsidP="00BD38A0">
            <w:pPr>
              <w:pStyle w:val="B"/>
            </w:pPr>
            <w:r w:rsidRPr="00A3123A">
              <w:rPr>
                <w:rFonts w:hint="cs"/>
                <w:szCs w:val="20"/>
                <w:rtl/>
              </w:rPr>
              <w:t>עצורים</w:t>
            </w:r>
          </w:p>
        </w:tc>
        <w:tc>
          <w:tcPr>
            <w:tcW w:w="2053" w:type="dxa"/>
            <w:vAlign w:val="bottom"/>
          </w:tcPr>
          <w:p w14:paraId="7AF93F7C" w14:textId="77777777" w:rsidR="00BA23AE" w:rsidRPr="00A3123A" w:rsidRDefault="00BA23AE" w:rsidP="00BD38A0">
            <w:pPr>
              <w:pStyle w:val="R"/>
              <w:rPr>
                <w:rtl/>
              </w:rPr>
            </w:pPr>
            <w:r w:rsidRPr="00A3123A">
              <w:rPr>
                <w:rFonts w:hint="cs"/>
                <w:rtl/>
              </w:rPr>
              <w:t>49,787</w:t>
            </w:r>
          </w:p>
        </w:tc>
        <w:tc>
          <w:tcPr>
            <w:tcW w:w="2053" w:type="dxa"/>
            <w:vAlign w:val="bottom"/>
          </w:tcPr>
          <w:p w14:paraId="47057FAB" w14:textId="77777777" w:rsidR="00BA23AE" w:rsidRPr="00A3123A" w:rsidRDefault="00BA23AE" w:rsidP="00BD38A0">
            <w:pPr>
              <w:pStyle w:val="R"/>
              <w:rPr>
                <w:rtl/>
              </w:rPr>
            </w:pPr>
            <w:r w:rsidRPr="00A3123A">
              <w:rPr>
                <w:rFonts w:hint="cs"/>
                <w:rtl/>
              </w:rPr>
              <w:t>49,044</w:t>
            </w:r>
          </w:p>
        </w:tc>
        <w:tc>
          <w:tcPr>
            <w:tcW w:w="2053" w:type="dxa"/>
            <w:vAlign w:val="bottom"/>
          </w:tcPr>
          <w:p w14:paraId="38FF9445" w14:textId="77777777" w:rsidR="00BA23AE" w:rsidRPr="00A3123A" w:rsidRDefault="00BA23AE" w:rsidP="00BD38A0">
            <w:pPr>
              <w:pStyle w:val="R"/>
              <w:rPr>
                <w:rtl/>
              </w:rPr>
            </w:pPr>
            <w:r w:rsidRPr="00A3123A">
              <w:rPr>
                <w:rFonts w:hint="cs"/>
                <w:rtl/>
              </w:rPr>
              <w:t>43,325</w:t>
            </w:r>
          </w:p>
        </w:tc>
      </w:tr>
    </w:tbl>
    <w:p w14:paraId="3F0A6CB5" w14:textId="77777777" w:rsidR="00BA23AE" w:rsidRPr="00F13DA5" w:rsidRDefault="00BA23AE" w:rsidP="00A3123A">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נתוני </w:t>
      </w:r>
      <w:r w:rsidRPr="00F13DA5">
        <w:rPr>
          <w:rFonts w:hint="eastAsia"/>
          <w:rtl/>
        </w:rPr>
        <w:t>המעצרים</w:t>
      </w:r>
      <w:r w:rsidRPr="00F13DA5">
        <w:rPr>
          <w:rtl/>
        </w:rPr>
        <w:t xml:space="preserve"> ומאגר </w:t>
      </w:r>
      <w:r w:rsidRPr="00F13DA5">
        <w:rPr>
          <w:rFonts w:hint="eastAsia"/>
          <w:rtl/>
        </w:rPr>
        <w:t>ההחלטות</w:t>
      </w:r>
      <w:r w:rsidRPr="00F13DA5">
        <w:rPr>
          <w:rtl/>
        </w:rPr>
        <w:t>, בעיבוד משרד מבקר המדינה.</w:t>
      </w:r>
    </w:p>
    <w:p w14:paraId="30229B9A" w14:textId="47122285" w:rsidR="00BA23AE" w:rsidRPr="00F13DA5" w:rsidRDefault="00BA23AE" w:rsidP="00263DB7">
      <w:pPr>
        <w:pStyle w:val="100"/>
        <w:rPr>
          <w:rtl/>
        </w:rPr>
      </w:pPr>
    </w:p>
    <w:p w14:paraId="3AB82A5A" w14:textId="77777777" w:rsidR="00BA23AE" w:rsidRPr="00F13DA5" w:rsidRDefault="00BA23AE" w:rsidP="00263DB7">
      <w:pPr>
        <w:pStyle w:val="af4"/>
        <w:rPr>
          <w:rtl/>
        </w:rPr>
      </w:pPr>
      <w:r w:rsidRPr="00F13DA5">
        <w:rPr>
          <w:rFonts w:hint="eastAsia"/>
          <w:rtl/>
        </w:rPr>
        <w:t>מן</w:t>
      </w:r>
      <w:r w:rsidRPr="00F13DA5">
        <w:rPr>
          <w:rtl/>
        </w:rPr>
        <w:t xml:space="preserve"> הלוח </w:t>
      </w:r>
      <w:r w:rsidRPr="00F13DA5">
        <w:rPr>
          <w:rFonts w:hint="eastAsia"/>
          <w:rtl/>
        </w:rPr>
        <w:t>עולה</w:t>
      </w:r>
      <w:r w:rsidRPr="00F13DA5">
        <w:rPr>
          <w:rtl/>
        </w:rPr>
        <w:t xml:space="preserve"> </w:t>
      </w:r>
      <w:r w:rsidRPr="00F13DA5">
        <w:rPr>
          <w:rFonts w:hint="cs"/>
          <w:rtl/>
        </w:rPr>
        <w:t>ש</w:t>
      </w:r>
      <w:r w:rsidRPr="00F13DA5">
        <w:rPr>
          <w:rtl/>
        </w:rPr>
        <w:t>בשנים האחרונות חלה ירידה במספר העצורים והמעצרים</w:t>
      </w:r>
      <w:r w:rsidRPr="00F13DA5">
        <w:rPr>
          <w:rFonts w:hint="cs"/>
          <w:rtl/>
        </w:rPr>
        <w:t>.</w:t>
      </w:r>
      <w:r w:rsidRPr="00F13DA5">
        <w:rPr>
          <w:rtl/>
        </w:rPr>
        <w:t xml:space="preserve"> ירידה מקבילה </w:t>
      </w:r>
      <w:r w:rsidRPr="00F13DA5">
        <w:rPr>
          <w:rFonts w:hint="cs"/>
          <w:rtl/>
        </w:rPr>
        <w:t xml:space="preserve">התרחשה </w:t>
      </w:r>
      <w:r w:rsidRPr="00F13DA5">
        <w:rPr>
          <w:rtl/>
        </w:rPr>
        <w:t>במספר תיקי החקירה שנפתחו בגין העבירות המיוחסות לעצורים.</w:t>
      </w:r>
    </w:p>
    <w:p w14:paraId="44A9EA96" w14:textId="77777777" w:rsidR="00BA23AE" w:rsidRPr="00F13DA5" w:rsidRDefault="00BA23AE" w:rsidP="00263DB7">
      <w:pPr>
        <w:pStyle w:val="100"/>
        <w:rPr>
          <w:rtl/>
        </w:rPr>
      </w:pPr>
      <w:r w:rsidRPr="00F13DA5">
        <w:rPr>
          <w:rFonts w:hint="cs"/>
          <w:rtl/>
        </w:rPr>
        <w:t>להלן תרשים המציג את נתוני משטרת ישראל, כפי שפורסמו בשנתונים הסטטיסטיים, על אודות היקף המעצרים הפליליים בשלושת העשורים האחרונים (שלוש שנים רצופות מכל עשור) בחלוקה לפי סוג המעצר - ימים או עד תום ההליכים</w:t>
      </w:r>
      <w:r w:rsidRPr="00F13DA5">
        <w:rPr>
          <w:rStyle w:val="FootnoteReference"/>
          <w:rtl/>
        </w:rPr>
        <w:footnoteReference w:id="6"/>
      </w:r>
      <w:r>
        <w:rPr>
          <w:rFonts w:hint="cs"/>
          <w:rtl/>
        </w:rPr>
        <w:t>;</w:t>
      </w:r>
      <w:r w:rsidRPr="00F13DA5">
        <w:rPr>
          <w:rFonts w:hint="cs"/>
          <w:rtl/>
        </w:rPr>
        <w:t xml:space="preserve"> קרי</w:t>
      </w:r>
      <w:r>
        <w:rPr>
          <w:rFonts w:hint="cs"/>
          <w:rtl/>
        </w:rPr>
        <w:t>,</w:t>
      </w:r>
      <w:r w:rsidRPr="00F13DA5">
        <w:rPr>
          <w:rFonts w:hint="cs"/>
          <w:rtl/>
        </w:rPr>
        <w:t xml:space="preserve"> האם התבקש מעצר עד תום ההליכים המשפטיים</w:t>
      </w:r>
      <w:r>
        <w:rPr>
          <w:rFonts w:hint="cs"/>
          <w:rtl/>
        </w:rPr>
        <w:t>,</w:t>
      </w:r>
      <w:r w:rsidRPr="00F13DA5">
        <w:rPr>
          <w:rFonts w:hint="cs"/>
          <w:rtl/>
        </w:rPr>
        <w:t xml:space="preserve"> או שהמעצר הסתיים בטרם הוגש כתב אישום. </w:t>
      </w:r>
    </w:p>
    <w:p w14:paraId="2843D906" w14:textId="0F843905" w:rsidR="00BA23AE" w:rsidRPr="00263DB7" w:rsidRDefault="00BA23AE" w:rsidP="00263DB7">
      <w:pPr>
        <w:pStyle w:val="a9"/>
        <w:rPr>
          <w:b/>
          <w:bCs/>
          <w:rtl/>
        </w:rPr>
      </w:pPr>
      <w:r w:rsidRPr="00F13DA5">
        <w:rPr>
          <w:rFonts w:hint="cs"/>
          <w:rtl/>
        </w:rPr>
        <w:lastRenderedPageBreak/>
        <w:t xml:space="preserve">תרשים 2: </w:t>
      </w:r>
      <w:r w:rsidRPr="00263DB7">
        <w:rPr>
          <w:rFonts w:hint="cs"/>
          <w:b/>
          <w:bCs/>
          <w:rtl/>
        </w:rPr>
        <w:t>השינויים בהיקף המעצרים הפליליים בשלושת העשורים האחרונים,</w:t>
      </w:r>
      <w:r w:rsidR="00263DB7">
        <w:rPr>
          <w:b/>
          <w:bCs/>
        </w:rPr>
        <w:br/>
      </w:r>
      <w:r w:rsidRPr="00263DB7">
        <w:rPr>
          <w:rFonts w:hint="cs"/>
          <w:b/>
          <w:bCs/>
          <w:rtl/>
        </w:rPr>
        <w:t>לפי סוג המעצר</w:t>
      </w:r>
    </w:p>
    <w:p w14:paraId="4DE98C1A" w14:textId="77777777" w:rsidR="00BA23AE" w:rsidRPr="00F13DA5" w:rsidRDefault="00BA23AE" w:rsidP="00263DB7">
      <w:pPr>
        <w:pStyle w:val="a9"/>
        <w:rPr>
          <w:rtl/>
        </w:rPr>
      </w:pPr>
      <w:r>
        <w:rPr>
          <w:noProof/>
          <w:rtl/>
        </w:rPr>
        <w:drawing>
          <wp:inline distT="0" distB="0" distL="0" distR="0" wp14:anchorId="69E2F282" wp14:editId="489E2662">
            <wp:extent cx="5056368" cy="4419600"/>
            <wp:effectExtent l="0" t="0" r="0" b="0"/>
            <wp:docPr id="6"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הטיפול המערכתי במעצרים 11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8662" cy="4430346"/>
                    </a:xfrm>
                    <a:prstGeom prst="rect">
                      <a:avLst/>
                    </a:prstGeom>
                  </pic:spPr>
                </pic:pic>
              </a:graphicData>
            </a:graphic>
          </wp:inline>
        </w:drawing>
      </w:r>
    </w:p>
    <w:p w14:paraId="13B0A1E2" w14:textId="77777777" w:rsidR="00BA23AE" w:rsidRPr="00F13DA5" w:rsidRDefault="00BA23AE" w:rsidP="00263DB7">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Pr>
          <w:rFonts w:hint="cs"/>
          <w:rtl/>
        </w:rPr>
        <w:t>הש</w:t>
      </w:r>
      <w:r w:rsidRPr="00F13DA5">
        <w:rPr>
          <w:rFonts w:hint="eastAsia"/>
          <w:rtl/>
        </w:rPr>
        <w:t>נתוני</w:t>
      </w:r>
      <w:r>
        <w:rPr>
          <w:rFonts w:hint="cs"/>
          <w:rtl/>
        </w:rPr>
        <w:t>ם הסטטיסטיים של</w:t>
      </w:r>
      <w:r w:rsidRPr="00F13DA5">
        <w:rPr>
          <w:rtl/>
        </w:rPr>
        <w:t xml:space="preserve"> </w:t>
      </w:r>
      <w:r w:rsidRPr="00F13DA5">
        <w:rPr>
          <w:rFonts w:hint="eastAsia"/>
          <w:rtl/>
        </w:rPr>
        <w:t>משטרת</w:t>
      </w:r>
      <w:r w:rsidRPr="00F13DA5">
        <w:rPr>
          <w:rtl/>
        </w:rPr>
        <w:t xml:space="preserve"> שראל, </w:t>
      </w:r>
      <w:r w:rsidRPr="00F13DA5">
        <w:rPr>
          <w:rFonts w:hint="eastAsia"/>
          <w:rtl/>
        </w:rPr>
        <w:t>בעיבוד</w:t>
      </w:r>
      <w:r w:rsidRPr="00F13DA5">
        <w:rPr>
          <w:rtl/>
        </w:rPr>
        <w:t xml:space="preserve"> </w:t>
      </w:r>
      <w:r w:rsidRPr="00F13DA5">
        <w:rPr>
          <w:rFonts w:hint="eastAsia"/>
          <w:rtl/>
        </w:rPr>
        <w:t>משרד</w:t>
      </w:r>
      <w:r w:rsidRPr="00F13DA5">
        <w:rPr>
          <w:rtl/>
        </w:rPr>
        <w:t xml:space="preserve"> </w:t>
      </w:r>
      <w:r w:rsidRPr="00F13DA5">
        <w:rPr>
          <w:rFonts w:hint="eastAsia"/>
          <w:rtl/>
        </w:rPr>
        <w:t>מבקר</w:t>
      </w:r>
      <w:r w:rsidRPr="00F13DA5">
        <w:rPr>
          <w:rtl/>
        </w:rPr>
        <w:t xml:space="preserve"> </w:t>
      </w:r>
      <w:r w:rsidRPr="00F13DA5">
        <w:rPr>
          <w:rFonts w:hint="eastAsia"/>
          <w:rtl/>
        </w:rPr>
        <w:t>המדינה</w:t>
      </w:r>
      <w:r w:rsidRPr="00F13DA5">
        <w:rPr>
          <w:rtl/>
        </w:rPr>
        <w:t>.</w:t>
      </w:r>
    </w:p>
    <w:p w14:paraId="7A3F05CF" w14:textId="5E8C3926" w:rsidR="00BA23AE" w:rsidRPr="00F13DA5" w:rsidRDefault="00BA23AE" w:rsidP="00263DB7">
      <w:pPr>
        <w:pStyle w:val="100"/>
        <w:rPr>
          <w:rtl/>
        </w:rPr>
      </w:pPr>
    </w:p>
    <w:p w14:paraId="5ECEC491" w14:textId="77777777" w:rsidR="00BA23AE" w:rsidRPr="00F13DA5" w:rsidRDefault="00BA23AE" w:rsidP="00263DB7">
      <w:pPr>
        <w:pStyle w:val="100"/>
        <w:rPr>
          <w:rtl/>
        </w:rPr>
      </w:pPr>
      <w:r w:rsidRPr="00F13DA5">
        <w:rPr>
          <w:rFonts w:hint="cs"/>
          <w:rtl/>
        </w:rPr>
        <w:t xml:space="preserve">התרשים מראה עלייה משמעותית בשיעור המעצרים שבהם התבקש מעצר עד תום ההליכים בעניינו של העצור. כך למשל, בשנת 1996 עמד שיעור זה על 11%, בשנת 2006 על 25%, בשנת 2016 על 33% ובשנת 2018 על 35%. </w:t>
      </w:r>
    </w:p>
    <w:p w14:paraId="6EEA5CA3" w14:textId="7E77A028" w:rsidR="00BA23AE" w:rsidRPr="00F13DA5" w:rsidRDefault="00BA23AE" w:rsidP="00263DB7">
      <w:pPr>
        <w:pStyle w:val="100"/>
        <w:rPr>
          <w:rtl/>
        </w:rPr>
      </w:pPr>
      <w:r w:rsidRPr="00F13DA5">
        <w:rPr>
          <w:rFonts w:hint="cs"/>
          <w:rtl/>
        </w:rPr>
        <w:t>בפועל, מספר העצורים המובאים לדיון בבית המשפט משלים את התמונה בעניין היקף המעצרים</w:t>
      </w:r>
      <w:r>
        <w:rPr>
          <w:rFonts w:hint="cs"/>
          <w:rtl/>
        </w:rPr>
        <w:t>, שהרי סוג המעצר אינו מלמד האם העצור הובא לדיון בבית המשפט או לא</w:t>
      </w:r>
      <w:r w:rsidRPr="00F13DA5">
        <w:rPr>
          <w:rFonts w:hint="cs"/>
          <w:rtl/>
        </w:rPr>
        <w:t>. בתרשים להלן יוצגו מספר המעצרים הכולל בשנים 2016 - 2018</w:t>
      </w:r>
      <w:r>
        <w:rPr>
          <w:rFonts w:hint="cs"/>
          <w:rtl/>
        </w:rPr>
        <w:t>, ומתוכם מספר המעצרים שבהם העצורים</w:t>
      </w:r>
      <w:r w:rsidRPr="00F13DA5">
        <w:rPr>
          <w:rFonts w:hint="cs"/>
          <w:rtl/>
        </w:rPr>
        <w:t xml:space="preserve"> הובאו לדיון בעניינם</w:t>
      </w:r>
      <w:r>
        <w:rPr>
          <w:rFonts w:hint="cs"/>
          <w:rtl/>
        </w:rPr>
        <w:t xml:space="preserve"> בבית המשפט</w:t>
      </w:r>
      <w:r w:rsidRPr="00F13DA5">
        <w:rPr>
          <w:rFonts w:hint="cs"/>
          <w:rtl/>
        </w:rPr>
        <w:t>, בחלוקה לפי סוג הדיון המשפטי שנערך - בקשת מעצר ימים או עד תום ההליכים</w:t>
      </w:r>
      <w:r w:rsidRPr="00F13DA5">
        <w:rPr>
          <w:rStyle w:val="FootnoteReference"/>
          <w:rtl/>
        </w:rPr>
        <w:footnoteReference w:id="7"/>
      </w:r>
      <w:r w:rsidRPr="00F13DA5">
        <w:rPr>
          <w:rFonts w:hint="cs"/>
          <w:rtl/>
        </w:rPr>
        <w:t>.</w:t>
      </w:r>
    </w:p>
    <w:p w14:paraId="4198E03F" w14:textId="68B36C6D" w:rsidR="00BA23AE" w:rsidRPr="00F13DA5" w:rsidRDefault="0089140B" w:rsidP="0084668B">
      <w:pPr>
        <w:pStyle w:val="a9"/>
        <w:rPr>
          <w:rtl/>
        </w:rPr>
      </w:pPr>
      <w:r>
        <w:rPr>
          <w:noProof/>
          <w:rtl/>
        </w:rPr>
        <w:lastRenderedPageBreak/>
        <w:drawing>
          <wp:anchor distT="0" distB="0" distL="114300" distR="114300" simplePos="0" relativeHeight="251691008" behindDoc="1" locked="0" layoutInCell="1" allowOverlap="1" wp14:anchorId="01CA4F65" wp14:editId="588D0D79">
            <wp:simplePos x="0" y="0"/>
            <wp:positionH relativeFrom="column">
              <wp:posOffset>-222885</wp:posOffset>
            </wp:positionH>
            <wp:positionV relativeFrom="paragraph">
              <wp:posOffset>283845</wp:posOffset>
            </wp:positionV>
            <wp:extent cx="6176010" cy="4324350"/>
            <wp:effectExtent l="0" t="0" r="0" b="0"/>
            <wp:wrapTight wrapText="bothSides">
              <wp:wrapPolygon edited="0">
                <wp:start x="0" y="0"/>
                <wp:lineTo x="0" y="21505"/>
                <wp:lineTo x="21520" y="21505"/>
                <wp:lineTo x="21520" y="0"/>
                <wp:lineTo x="0" y="0"/>
              </wp:wrapPolygon>
            </wp:wrapTight>
            <wp:docPr id="16"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הטיפול המערכתי במעצרים 110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6010" cy="4324350"/>
                    </a:xfrm>
                    <a:prstGeom prst="rect">
                      <a:avLst/>
                    </a:prstGeom>
                  </pic:spPr>
                </pic:pic>
              </a:graphicData>
            </a:graphic>
            <wp14:sizeRelH relativeFrom="margin">
              <wp14:pctWidth>0</wp14:pctWidth>
            </wp14:sizeRelH>
            <wp14:sizeRelV relativeFrom="margin">
              <wp14:pctHeight>0</wp14:pctHeight>
            </wp14:sizeRelV>
          </wp:anchor>
        </w:drawing>
      </w:r>
      <w:r w:rsidR="00BA23AE" w:rsidRPr="00F13DA5">
        <w:rPr>
          <w:rFonts w:hint="cs"/>
          <w:rtl/>
        </w:rPr>
        <w:t xml:space="preserve">תרשים 3: </w:t>
      </w:r>
      <w:r w:rsidR="00BA23AE" w:rsidRPr="00554315">
        <w:rPr>
          <w:rFonts w:hint="cs"/>
          <w:b/>
          <w:bCs/>
          <w:rtl/>
        </w:rPr>
        <w:t>מספר המעצרים, לפי השלב הדיוני שאליו הגיע העצור, 2016 - 2018</w:t>
      </w:r>
    </w:p>
    <w:p w14:paraId="20DF99DE" w14:textId="5C3C4D94" w:rsidR="00BA23AE" w:rsidRPr="00F13DA5" w:rsidRDefault="00BA23AE" w:rsidP="0084668B">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sidRPr="00F13DA5">
        <w:rPr>
          <w:rFonts w:hint="eastAsia"/>
          <w:rtl/>
        </w:rPr>
        <w:t>נתוני</w:t>
      </w:r>
      <w:r w:rsidRPr="00F13DA5">
        <w:rPr>
          <w:rtl/>
        </w:rPr>
        <w:t xml:space="preserve"> </w:t>
      </w:r>
      <w:r w:rsidRPr="00F13DA5">
        <w:rPr>
          <w:rFonts w:hint="eastAsia"/>
          <w:rtl/>
        </w:rPr>
        <w:t>המעצרים</w:t>
      </w:r>
      <w:r w:rsidRPr="00F13DA5">
        <w:rPr>
          <w:rtl/>
        </w:rPr>
        <w:t xml:space="preserve"> </w:t>
      </w:r>
      <w:r w:rsidRPr="00F13DA5">
        <w:rPr>
          <w:rFonts w:hint="eastAsia"/>
          <w:rtl/>
        </w:rPr>
        <w:t>ומאגר</w:t>
      </w:r>
      <w:r w:rsidRPr="00F13DA5">
        <w:rPr>
          <w:rtl/>
        </w:rPr>
        <w:t xml:space="preserve"> </w:t>
      </w:r>
      <w:r w:rsidRPr="00F13DA5">
        <w:rPr>
          <w:rFonts w:hint="eastAsia"/>
          <w:rtl/>
        </w:rPr>
        <w:t>ההחלטות</w:t>
      </w:r>
      <w:r w:rsidRPr="00F13DA5">
        <w:rPr>
          <w:rtl/>
        </w:rPr>
        <w:t xml:space="preserve"> של משטרת ישראל, </w:t>
      </w:r>
      <w:r w:rsidRPr="00F13DA5">
        <w:rPr>
          <w:rFonts w:hint="eastAsia"/>
          <w:rtl/>
        </w:rPr>
        <w:t>בעיבוד</w:t>
      </w:r>
      <w:r w:rsidRPr="00F13DA5">
        <w:rPr>
          <w:rtl/>
        </w:rPr>
        <w:t xml:space="preserve"> </w:t>
      </w:r>
      <w:r w:rsidRPr="00F13DA5">
        <w:rPr>
          <w:rFonts w:hint="eastAsia"/>
          <w:rtl/>
        </w:rPr>
        <w:t>משרד</w:t>
      </w:r>
      <w:r w:rsidRPr="00F13DA5">
        <w:rPr>
          <w:rtl/>
        </w:rPr>
        <w:t xml:space="preserve"> </w:t>
      </w:r>
      <w:r w:rsidRPr="00F13DA5">
        <w:rPr>
          <w:rFonts w:hint="eastAsia"/>
          <w:rtl/>
        </w:rPr>
        <w:t>מבקר</w:t>
      </w:r>
      <w:r w:rsidRPr="00F13DA5">
        <w:rPr>
          <w:rtl/>
        </w:rPr>
        <w:t xml:space="preserve"> </w:t>
      </w:r>
      <w:r w:rsidRPr="00F13DA5">
        <w:rPr>
          <w:rFonts w:hint="eastAsia"/>
          <w:rtl/>
        </w:rPr>
        <w:t>המדינה</w:t>
      </w:r>
      <w:r w:rsidRPr="00F13DA5">
        <w:rPr>
          <w:rtl/>
        </w:rPr>
        <w:t>.</w:t>
      </w:r>
    </w:p>
    <w:p w14:paraId="3D1EB057" w14:textId="080460D9" w:rsidR="00BA23AE" w:rsidRPr="00F13DA5" w:rsidRDefault="00BA23AE" w:rsidP="00BA23AE">
      <w:pPr>
        <w:spacing w:line="269" w:lineRule="auto"/>
        <w:rPr>
          <w:rtl/>
        </w:rPr>
      </w:pPr>
    </w:p>
    <w:p w14:paraId="5D5FD983" w14:textId="380DC9A8" w:rsidR="00BA23AE" w:rsidRPr="00F13DA5" w:rsidRDefault="00BA23AE" w:rsidP="0084668B">
      <w:pPr>
        <w:pStyle w:val="100"/>
        <w:rPr>
          <w:rtl/>
        </w:rPr>
      </w:pPr>
      <w:r w:rsidRPr="00F13DA5">
        <w:rPr>
          <w:rFonts w:hint="cs"/>
          <w:rtl/>
        </w:rPr>
        <w:t>מן התרשים ניתן ללמוד כי מתוך כלל המעצרים, ב-28,610 מהם (16%) לא הובא העצור לבית המשפט להארכת מעצרו, ומעצרו הסתיים בתחנת המשטרה. מתוך 145,563 המעצרים שבהם הובאו העצורים לפני בית המשפט, בכ-40% הוגשה בקשה למעצר עד תום ההליכים.</w:t>
      </w:r>
    </w:p>
    <w:p w14:paraId="45823C86" w14:textId="77777777" w:rsidR="00BA23AE" w:rsidRPr="00F13DA5" w:rsidRDefault="00BA23AE" w:rsidP="0084668B">
      <w:pPr>
        <w:pStyle w:val="100"/>
        <w:rPr>
          <w:rtl/>
        </w:rPr>
      </w:pPr>
      <w:r w:rsidRPr="00F13DA5">
        <w:rPr>
          <w:rFonts w:hint="cs"/>
          <w:rtl/>
        </w:rPr>
        <w:t xml:space="preserve">משרד מבקר המדינה ערך בדיקה בנוגע לאופן סיום מעצרם </w:t>
      </w:r>
      <w:r>
        <w:rPr>
          <w:rFonts w:hint="cs"/>
          <w:rtl/>
        </w:rPr>
        <w:t xml:space="preserve">הפלילי </w:t>
      </w:r>
      <w:r w:rsidRPr="00F13DA5">
        <w:rPr>
          <w:rFonts w:hint="cs"/>
          <w:rtl/>
        </w:rPr>
        <w:t>של העצורים על פי שלב המעצר האחרון שהגיעו אליו</w:t>
      </w:r>
      <w:r w:rsidRPr="00F13DA5">
        <w:rPr>
          <w:rStyle w:val="FootnoteReference"/>
          <w:rtl/>
        </w:rPr>
        <w:footnoteReference w:id="8"/>
      </w:r>
      <w:r w:rsidRPr="00F13DA5">
        <w:rPr>
          <w:rFonts w:hint="cs"/>
          <w:rtl/>
        </w:rPr>
        <w:t>. בחינה זו אינה כוללת את שאלת הגשת כתב האישום נגד העצור או גזירת דינו. הלוח להלן מקבץ את היקף המעצרים בשלוש השנים האחרונות ואופן סיום המעצר של העצור בכל שלב:</w:t>
      </w:r>
    </w:p>
    <w:p w14:paraId="3058CD41" w14:textId="77777777" w:rsidR="00BA23AE" w:rsidRDefault="00BA23AE" w:rsidP="00BA23AE">
      <w:pPr>
        <w:bidi w:val="0"/>
        <w:spacing w:line="269" w:lineRule="auto"/>
        <w:rPr>
          <w:szCs w:val="20"/>
        </w:rPr>
      </w:pPr>
      <w:r>
        <w:rPr>
          <w:rtl/>
        </w:rPr>
        <w:br w:type="page"/>
      </w:r>
    </w:p>
    <w:p w14:paraId="403198F7" w14:textId="77777777" w:rsidR="00BA23AE" w:rsidRPr="0068620A" w:rsidRDefault="00BA23AE" w:rsidP="0084668B">
      <w:pPr>
        <w:pStyle w:val="a9"/>
        <w:rPr>
          <w:b/>
          <w:bCs/>
          <w:rtl/>
        </w:rPr>
      </w:pPr>
      <w:r w:rsidRPr="00F13DA5">
        <w:rPr>
          <w:rFonts w:hint="cs"/>
          <w:rtl/>
        </w:rPr>
        <w:lastRenderedPageBreak/>
        <w:t xml:space="preserve">לוח 2: </w:t>
      </w:r>
      <w:r w:rsidRPr="0068620A">
        <w:rPr>
          <w:rFonts w:hint="cs"/>
          <w:b/>
          <w:bCs/>
          <w:rtl/>
        </w:rPr>
        <w:t>היקף המעצרים, לפי סוג המעצר ואופן סיום המעצר הפלילי, 2016 - 2018</w:t>
      </w:r>
    </w:p>
    <w:tbl>
      <w:tblPr>
        <w:tblStyle w:val="TableGrid"/>
        <w:bidiVisual/>
        <w:tblW w:w="8372" w:type="dxa"/>
        <w:tblInd w:w="1067" w:type="dxa"/>
        <w:tblLook w:val="04A0" w:firstRow="1" w:lastRow="0" w:firstColumn="1" w:lastColumn="0" w:noHBand="0" w:noVBand="1"/>
      </w:tblPr>
      <w:tblGrid>
        <w:gridCol w:w="1581"/>
        <w:gridCol w:w="2976"/>
        <w:gridCol w:w="916"/>
        <w:gridCol w:w="916"/>
        <w:gridCol w:w="916"/>
        <w:gridCol w:w="1277"/>
      </w:tblGrid>
      <w:tr w:rsidR="00FA3A4D" w:rsidRPr="00993244" w14:paraId="014D0E79" w14:textId="77777777" w:rsidTr="00FA3A4D">
        <w:trPr>
          <w:trHeight w:val="285"/>
        </w:trPr>
        <w:tc>
          <w:tcPr>
            <w:tcW w:w="1581" w:type="dxa"/>
            <w:shd w:val="clear" w:color="auto" w:fill="C6D9F1"/>
            <w:noWrap/>
            <w:vAlign w:val="bottom"/>
            <w:hideMark/>
          </w:tcPr>
          <w:p w14:paraId="49C61AE4" w14:textId="77777777" w:rsidR="00BA23AE" w:rsidRPr="0068620A" w:rsidRDefault="00BA23AE" w:rsidP="0068620A">
            <w:pPr>
              <w:pStyle w:val="af0"/>
            </w:pPr>
            <w:r w:rsidRPr="0068620A">
              <w:rPr>
                <w:rFonts w:hint="cs"/>
                <w:rtl/>
              </w:rPr>
              <w:t>סוג המעצר</w:t>
            </w:r>
          </w:p>
        </w:tc>
        <w:tc>
          <w:tcPr>
            <w:tcW w:w="2976" w:type="dxa"/>
            <w:shd w:val="clear" w:color="auto" w:fill="C6D9F1"/>
            <w:noWrap/>
            <w:vAlign w:val="bottom"/>
            <w:hideMark/>
          </w:tcPr>
          <w:p w14:paraId="50026A87" w14:textId="77777777" w:rsidR="00BA23AE" w:rsidRPr="0068620A" w:rsidRDefault="00BA23AE" w:rsidP="0068620A">
            <w:pPr>
              <w:pStyle w:val="af0"/>
            </w:pPr>
            <w:r w:rsidRPr="0068620A">
              <w:rPr>
                <w:rFonts w:hint="cs"/>
                <w:rtl/>
              </w:rPr>
              <w:t>אופן סיום המעצר הפלילי</w:t>
            </w:r>
          </w:p>
        </w:tc>
        <w:tc>
          <w:tcPr>
            <w:tcW w:w="809" w:type="dxa"/>
            <w:shd w:val="clear" w:color="auto" w:fill="C6D9F1"/>
            <w:noWrap/>
            <w:vAlign w:val="bottom"/>
          </w:tcPr>
          <w:p w14:paraId="07BDA4BF" w14:textId="77777777" w:rsidR="00BA23AE" w:rsidRPr="0068620A" w:rsidRDefault="00BA23AE" w:rsidP="0068620A">
            <w:pPr>
              <w:pStyle w:val="af0"/>
              <w:rPr>
                <w:rtl/>
              </w:rPr>
            </w:pPr>
            <w:r w:rsidRPr="0068620A">
              <w:rPr>
                <w:rFonts w:hint="cs"/>
                <w:rtl/>
              </w:rPr>
              <w:t>2016</w:t>
            </w:r>
          </w:p>
        </w:tc>
        <w:tc>
          <w:tcPr>
            <w:tcW w:w="901" w:type="dxa"/>
            <w:shd w:val="clear" w:color="auto" w:fill="C6D9F1"/>
            <w:noWrap/>
            <w:vAlign w:val="bottom"/>
          </w:tcPr>
          <w:p w14:paraId="1165F5DA" w14:textId="77777777" w:rsidR="00BA23AE" w:rsidRPr="0068620A" w:rsidRDefault="00BA23AE" w:rsidP="0068620A">
            <w:pPr>
              <w:pStyle w:val="af0"/>
            </w:pPr>
            <w:r w:rsidRPr="0068620A">
              <w:rPr>
                <w:rFonts w:hint="cs"/>
                <w:rtl/>
              </w:rPr>
              <w:t>2017</w:t>
            </w:r>
          </w:p>
        </w:tc>
        <w:tc>
          <w:tcPr>
            <w:tcW w:w="828" w:type="dxa"/>
            <w:shd w:val="clear" w:color="auto" w:fill="C6D9F1"/>
            <w:noWrap/>
            <w:vAlign w:val="bottom"/>
          </w:tcPr>
          <w:p w14:paraId="0F956418" w14:textId="77777777" w:rsidR="00BA23AE" w:rsidRPr="0068620A" w:rsidRDefault="00BA23AE" w:rsidP="0068620A">
            <w:pPr>
              <w:pStyle w:val="af0"/>
            </w:pPr>
            <w:r w:rsidRPr="0068620A">
              <w:rPr>
                <w:rFonts w:hint="cs"/>
                <w:rtl/>
              </w:rPr>
              <w:t>2018</w:t>
            </w:r>
          </w:p>
        </w:tc>
        <w:tc>
          <w:tcPr>
            <w:tcW w:w="1277" w:type="dxa"/>
            <w:shd w:val="clear" w:color="auto" w:fill="C6D9F1"/>
            <w:noWrap/>
            <w:vAlign w:val="bottom"/>
            <w:hideMark/>
          </w:tcPr>
          <w:p w14:paraId="712DB386" w14:textId="77777777" w:rsidR="00BA23AE" w:rsidRPr="0068620A" w:rsidRDefault="00BA23AE" w:rsidP="0068620A">
            <w:pPr>
              <w:pStyle w:val="af0"/>
            </w:pPr>
            <w:r w:rsidRPr="0068620A">
              <w:rPr>
                <w:rFonts w:hint="cs"/>
                <w:rtl/>
              </w:rPr>
              <w:t>תלת-שנתי</w:t>
            </w:r>
          </w:p>
        </w:tc>
      </w:tr>
      <w:tr w:rsidR="00BA23AE" w:rsidRPr="00993244" w14:paraId="39F73A74" w14:textId="77777777" w:rsidTr="00FA3A4D">
        <w:trPr>
          <w:trHeight w:val="285"/>
        </w:trPr>
        <w:tc>
          <w:tcPr>
            <w:tcW w:w="1581" w:type="dxa"/>
            <w:vMerge w:val="restart"/>
            <w:shd w:val="clear" w:color="auto" w:fill="auto"/>
            <w:noWrap/>
            <w:hideMark/>
          </w:tcPr>
          <w:p w14:paraId="0430F5ED" w14:textId="77777777" w:rsidR="00BA23AE" w:rsidRPr="00FA3A4D" w:rsidRDefault="00BA23AE" w:rsidP="00FA3A4D">
            <w:pPr>
              <w:pStyle w:val="B"/>
              <w:rPr>
                <w:szCs w:val="20"/>
                <w:rtl/>
              </w:rPr>
            </w:pPr>
            <w:r w:rsidRPr="00FA3A4D">
              <w:rPr>
                <w:szCs w:val="20"/>
                <w:rtl/>
              </w:rPr>
              <w:t>עצורי ימים</w:t>
            </w:r>
          </w:p>
        </w:tc>
        <w:tc>
          <w:tcPr>
            <w:tcW w:w="2976" w:type="dxa"/>
            <w:shd w:val="clear" w:color="auto" w:fill="auto"/>
            <w:noWrap/>
            <w:vAlign w:val="bottom"/>
            <w:hideMark/>
          </w:tcPr>
          <w:p w14:paraId="655740E4" w14:textId="77777777" w:rsidR="00BA23AE" w:rsidRPr="00FA3A4D" w:rsidRDefault="00BA23AE" w:rsidP="00FA3A4D">
            <w:pPr>
              <w:pStyle w:val="B"/>
              <w:rPr>
                <w:szCs w:val="20"/>
                <w:rtl/>
              </w:rPr>
            </w:pPr>
            <w:r w:rsidRPr="00FA3A4D">
              <w:rPr>
                <w:szCs w:val="20"/>
                <w:rtl/>
              </w:rPr>
              <w:t>הועבר לגורמי חוץ</w:t>
            </w:r>
            <w:r w:rsidRPr="00FA3A4D">
              <w:rPr>
                <w:rStyle w:val="FootnoteReference"/>
                <w:szCs w:val="20"/>
                <w:rtl/>
              </w:rPr>
              <w:footnoteReference w:id="9"/>
            </w:r>
          </w:p>
        </w:tc>
        <w:tc>
          <w:tcPr>
            <w:tcW w:w="809" w:type="dxa"/>
            <w:shd w:val="clear" w:color="auto" w:fill="auto"/>
            <w:noWrap/>
            <w:vAlign w:val="bottom"/>
            <w:hideMark/>
          </w:tcPr>
          <w:p w14:paraId="5F614E37" w14:textId="77777777" w:rsidR="00BA23AE" w:rsidRPr="00FA3A4D" w:rsidRDefault="00BA23AE" w:rsidP="00FA3A4D">
            <w:pPr>
              <w:pStyle w:val="R"/>
              <w:rPr>
                <w:rtl/>
              </w:rPr>
            </w:pPr>
            <w:r w:rsidRPr="00FA3A4D">
              <w:rPr>
                <w:rFonts w:hint="cs"/>
                <w:rtl/>
              </w:rPr>
              <w:t>1,197</w:t>
            </w:r>
          </w:p>
        </w:tc>
        <w:tc>
          <w:tcPr>
            <w:tcW w:w="901" w:type="dxa"/>
            <w:shd w:val="clear" w:color="auto" w:fill="auto"/>
            <w:noWrap/>
            <w:vAlign w:val="bottom"/>
            <w:hideMark/>
          </w:tcPr>
          <w:p w14:paraId="33027756" w14:textId="77777777" w:rsidR="00BA23AE" w:rsidRPr="00FA3A4D" w:rsidRDefault="00BA23AE" w:rsidP="00FA3A4D">
            <w:pPr>
              <w:pStyle w:val="R"/>
              <w:rPr>
                <w:rtl/>
              </w:rPr>
            </w:pPr>
            <w:r w:rsidRPr="00FA3A4D">
              <w:rPr>
                <w:rFonts w:hint="cs"/>
                <w:rtl/>
              </w:rPr>
              <w:t>1,199</w:t>
            </w:r>
          </w:p>
        </w:tc>
        <w:tc>
          <w:tcPr>
            <w:tcW w:w="828" w:type="dxa"/>
            <w:shd w:val="clear" w:color="auto" w:fill="auto"/>
            <w:noWrap/>
            <w:vAlign w:val="bottom"/>
            <w:hideMark/>
          </w:tcPr>
          <w:p w14:paraId="00A8F28A" w14:textId="77777777" w:rsidR="00BA23AE" w:rsidRPr="00FA3A4D" w:rsidRDefault="00BA23AE" w:rsidP="00FA3A4D">
            <w:pPr>
              <w:pStyle w:val="R"/>
            </w:pPr>
            <w:r w:rsidRPr="00FA3A4D">
              <w:rPr>
                <w:rFonts w:hint="cs"/>
                <w:rtl/>
              </w:rPr>
              <w:t>844</w:t>
            </w:r>
          </w:p>
        </w:tc>
        <w:tc>
          <w:tcPr>
            <w:tcW w:w="1277" w:type="dxa"/>
            <w:shd w:val="clear" w:color="auto" w:fill="auto"/>
            <w:noWrap/>
            <w:vAlign w:val="bottom"/>
            <w:hideMark/>
          </w:tcPr>
          <w:p w14:paraId="6C6D58DE" w14:textId="77777777" w:rsidR="00BA23AE" w:rsidRPr="00FA3A4D" w:rsidRDefault="00BA23AE" w:rsidP="00FA3A4D">
            <w:pPr>
              <w:pStyle w:val="R"/>
            </w:pPr>
            <w:r w:rsidRPr="00FA3A4D">
              <w:rPr>
                <w:rFonts w:hint="cs"/>
                <w:rtl/>
              </w:rPr>
              <w:t>3,240</w:t>
            </w:r>
          </w:p>
        </w:tc>
      </w:tr>
      <w:tr w:rsidR="00BA23AE" w:rsidRPr="00993244" w14:paraId="619A2BB0" w14:textId="77777777" w:rsidTr="00FA3A4D">
        <w:trPr>
          <w:trHeight w:val="285"/>
        </w:trPr>
        <w:tc>
          <w:tcPr>
            <w:tcW w:w="1581" w:type="dxa"/>
            <w:vMerge/>
            <w:shd w:val="clear" w:color="auto" w:fill="auto"/>
            <w:noWrap/>
            <w:vAlign w:val="bottom"/>
            <w:hideMark/>
          </w:tcPr>
          <w:p w14:paraId="5C8A589E" w14:textId="77777777" w:rsidR="00BA23AE" w:rsidRPr="00FA3A4D" w:rsidRDefault="00BA23AE" w:rsidP="00FA3A4D">
            <w:pPr>
              <w:pStyle w:val="B"/>
            </w:pPr>
          </w:p>
        </w:tc>
        <w:tc>
          <w:tcPr>
            <w:tcW w:w="2976" w:type="dxa"/>
            <w:shd w:val="clear" w:color="auto" w:fill="auto"/>
            <w:noWrap/>
            <w:vAlign w:val="bottom"/>
            <w:hideMark/>
          </w:tcPr>
          <w:p w14:paraId="4276957E" w14:textId="77777777" w:rsidR="00BA23AE" w:rsidRPr="00FA3A4D" w:rsidRDefault="00BA23AE" w:rsidP="00FA3A4D">
            <w:pPr>
              <w:pStyle w:val="B"/>
            </w:pPr>
            <w:r w:rsidRPr="00FA3A4D">
              <w:rPr>
                <w:szCs w:val="20"/>
                <w:rtl/>
              </w:rPr>
              <w:t>נשפט</w:t>
            </w:r>
            <w:r w:rsidRPr="00A85E73">
              <w:rPr>
                <w:rStyle w:val="FootnoteReference"/>
              </w:rPr>
              <w:footnoteReference w:id="10"/>
            </w:r>
          </w:p>
        </w:tc>
        <w:tc>
          <w:tcPr>
            <w:tcW w:w="809" w:type="dxa"/>
            <w:shd w:val="clear" w:color="auto" w:fill="auto"/>
            <w:noWrap/>
            <w:vAlign w:val="bottom"/>
            <w:hideMark/>
          </w:tcPr>
          <w:p w14:paraId="5A51D26C" w14:textId="77777777" w:rsidR="00BA23AE" w:rsidRPr="00FA3A4D" w:rsidRDefault="00BA23AE" w:rsidP="00FA3A4D">
            <w:pPr>
              <w:pStyle w:val="R"/>
              <w:rPr>
                <w:rtl/>
              </w:rPr>
            </w:pPr>
            <w:r w:rsidRPr="00FA3A4D">
              <w:rPr>
                <w:rFonts w:hint="cs"/>
                <w:rtl/>
              </w:rPr>
              <w:t>129</w:t>
            </w:r>
          </w:p>
        </w:tc>
        <w:tc>
          <w:tcPr>
            <w:tcW w:w="901" w:type="dxa"/>
            <w:shd w:val="clear" w:color="auto" w:fill="auto"/>
            <w:noWrap/>
            <w:vAlign w:val="bottom"/>
            <w:hideMark/>
          </w:tcPr>
          <w:p w14:paraId="1002564C" w14:textId="77777777" w:rsidR="00BA23AE" w:rsidRPr="00FA3A4D" w:rsidRDefault="00BA23AE" w:rsidP="00FA3A4D">
            <w:pPr>
              <w:pStyle w:val="R"/>
            </w:pPr>
            <w:r w:rsidRPr="00FA3A4D">
              <w:rPr>
                <w:rFonts w:hint="cs"/>
                <w:rtl/>
              </w:rPr>
              <w:t>107</w:t>
            </w:r>
          </w:p>
        </w:tc>
        <w:tc>
          <w:tcPr>
            <w:tcW w:w="828" w:type="dxa"/>
            <w:shd w:val="clear" w:color="auto" w:fill="auto"/>
            <w:noWrap/>
            <w:vAlign w:val="bottom"/>
            <w:hideMark/>
          </w:tcPr>
          <w:p w14:paraId="44B56C03" w14:textId="77777777" w:rsidR="00BA23AE" w:rsidRPr="00FA3A4D" w:rsidRDefault="00BA23AE" w:rsidP="00FA3A4D">
            <w:pPr>
              <w:pStyle w:val="R"/>
            </w:pPr>
            <w:r w:rsidRPr="00FA3A4D">
              <w:rPr>
                <w:rFonts w:hint="cs"/>
                <w:rtl/>
              </w:rPr>
              <w:t>71</w:t>
            </w:r>
          </w:p>
        </w:tc>
        <w:tc>
          <w:tcPr>
            <w:tcW w:w="1277" w:type="dxa"/>
            <w:shd w:val="clear" w:color="auto" w:fill="auto"/>
            <w:noWrap/>
            <w:vAlign w:val="bottom"/>
            <w:hideMark/>
          </w:tcPr>
          <w:p w14:paraId="7EFD9716" w14:textId="77777777" w:rsidR="00BA23AE" w:rsidRPr="00FA3A4D" w:rsidRDefault="00BA23AE" w:rsidP="00FA3A4D">
            <w:pPr>
              <w:pStyle w:val="R"/>
            </w:pPr>
            <w:r w:rsidRPr="00FA3A4D">
              <w:rPr>
                <w:rFonts w:hint="cs"/>
                <w:rtl/>
              </w:rPr>
              <w:t>307</w:t>
            </w:r>
          </w:p>
        </w:tc>
      </w:tr>
      <w:tr w:rsidR="00BA23AE" w:rsidRPr="00993244" w14:paraId="28B0C8CA" w14:textId="77777777" w:rsidTr="00FA3A4D">
        <w:trPr>
          <w:trHeight w:val="285"/>
        </w:trPr>
        <w:tc>
          <w:tcPr>
            <w:tcW w:w="1581" w:type="dxa"/>
            <w:vMerge/>
            <w:shd w:val="clear" w:color="auto" w:fill="auto"/>
            <w:noWrap/>
            <w:vAlign w:val="bottom"/>
            <w:hideMark/>
          </w:tcPr>
          <w:p w14:paraId="728AF326" w14:textId="77777777" w:rsidR="00BA23AE" w:rsidRPr="00FA3A4D" w:rsidRDefault="00BA23AE" w:rsidP="00FA3A4D">
            <w:pPr>
              <w:pStyle w:val="B"/>
            </w:pPr>
          </w:p>
        </w:tc>
        <w:tc>
          <w:tcPr>
            <w:tcW w:w="2976" w:type="dxa"/>
            <w:shd w:val="clear" w:color="auto" w:fill="auto"/>
            <w:noWrap/>
            <w:vAlign w:val="bottom"/>
            <w:hideMark/>
          </w:tcPr>
          <w:p w14:paraId="579EEE71" w14:textId="77777777" w:rsidR="00BA23AE" w:rsidRPr="00FA3A4D" w:rsidRDefault="00BA23AE" w:rsidP="00FA3A4D">
            <w:pPr>
              <w:pStyle w:val="B"/>
            </w:pPr>
            <w:r w:rsidRPr="00FA3A4D">
              <w:rPr>
                <w:szCs w:val="20"/>
                <w:rtl/>
              </w:rPr>
              <w:t>שוחרר בהחלטת בית משפט</w:t>
            </w:r>
          </w:p>
        </w:tc>
        <w:tc>
          <w:tcPr>
            <w:tcW w:w="809" w:type="dxa"/>
            <w:shd w:val="clear" w:color="auto" w:fill="auto"/>
            <w:noWrap/>
            <w:vAlign w:val="bottom"/>
            <w:hideMark/>
          </w:tcPr>
          <w:p w14:paraId="072E45C9" w14:textId="77777777" w:rsidR="00BA23AE" w:rsidRPr="00FA3A4D" w:rsidRDefault="00BA23AE" w:rsidP="00FA3A4D">
            <w:pPr>
              <w:pStyle w:val="R"/>
              <w:rPr>
                <w:rtl/>
              </w:rPr>
            </w:pPr>
            <w:r w:rsidRPr="00FA3A4D">
              <w:rPr>
                <w:rFonts w:hint="cs"/>
                <w:rtl/>
              </w:rPr>
              <w:t>22,017</w:t>
            </w:r>
          </w:p>
        </w:tc>
        <w:tc>
          <w:tcPr>
            <w:tcW w:w="901" w:type="dxa"/>
            <w:shd w:val="clear" w:color="auto" w:fill="auto"/>
            <w:noWrap/>
            <w:vAlign w:val="bottom"/>
            <w:hideMark/>
          </w:tcPr>
          <w:p w14:paraId="1537F69B" w14:textId="77777777" w:rsidR="00BA23AE" w:rsidRPr="00FA3A4D" w:rsidRDefault="00BA23AE" w:rsidP="00FA3A4D">
            <w:pPr>
              <w:pStyle w:val="R"/>
            </w:pPr>
            <w:r w:rsidRPr="00FA3A4D">
              <w:rPr>
                <w:rFonts w:hint="cs"/>
                <w:rtl/>
              </w:rPr>
              <w:t>22,100</w:t>
            </w:r>
          </w:p>
        </w:tc>
        <w:tc>
          <w:tcPr>
            <w:tcW w:w="828" w:type="dxa"/>
            <w:shd w:val="clear" w:color="auto" w:fill="auto"/>
            <w:noWrap/>
            <w:vAlign w:val="bottom"/>
            <w:hideMark/>
          </w:tcPr>
          <w:p w14:paraId="1EFC4FD5" w14:textId="77777777" w:rsidR="00BA23AE" w:rsidRPr="00FA3A4D" w:rsidRDefault="00BA23AE" w:rsidP="00FA3A4D">
            <w:pPr>
              <w:pStyle w:val="R"/>
            </w:pPr>
            <w:r w:rsidRPr="00FA3A4D">
              <w:rPr>
                <w:rFonts w:hint="cs"/>
                <w:rtl/>
              </w:rPr>
              <w:t>20,393</w:t>
            </w:r>
          </w:p>
        </w:tc>
        <w:tc>
          <w:tcPr>
            <w:tcW w:w="1277" w:type="dxa"/>
            <w:shd w:val="clear" w:color="auto" w:fill="auto"/>
            <w:noWrap/>
            <w:vAlign w:val="bottom"/>
            <w:hideMark/>
          </w:tcPr>
          <w:p w14:paraId="508F68B5" w14:textId="77777777" w:rsidR="00BA23AE" w:rsidRPr="00FA3A4D" w:rsidRDefault="00BA23AE" w:rsidP="00FA3A4D">
            <w:pPr>
              <w:pStyle w:val="R"/>
            </w:pPr>
            <w:r w:rsidRPr="00FA3A4D">
              <w:rPr>
                <w:rFonts w:hint="cs"/>
                <w:rtl/>
              </w:rPr>
              <w:t>64,510</w:t>
            </w:r>
          </w:p>
        </w:tc>
      </w:tr>
      <w:tr w:rsidR="00BA23AE" w:rsidRPr="00993244" w14:paraId="060ECF7F" w14:textId="77777777" w:rsidTr="00FA3A4D">
        <w:trPr>
          <w:trHeight w:val="285"/>
        </w:trPr>
        <w:tc>
          <w:tcPr>
            <w:tcW w:w="1581" w:type="dxa"/>
            <w:vMerge/>
            <w:shd w:val="clear" w:color="auto" w:fill="auto"/>
            <w:noWrap/>
            <w:vAlign w:val="bottom"/>
            <w:hideMark/>
          </w:tcPr>
          <w:p w14:paraId="2113A97A" w14:textId="77777777" w:rsidR="00BA23AE" w:rsidRPr="00FA3A4D" w:rsidRDefault="00BA23AE" w:rsidP="00FA3A4D">
            <w:pPr>
              <w:pStyle w:val="B"/>
            </w:pPr>
          </w:p>
        </w:tc>
        <w:tc>
          <w:tcPr>
            <w:tcW w:w="2976" w:type="dxa"/>
            <w:shd w:val="clear" w:color="auto" w:fill="auto"/>
            <w:noWrap/>
            <w:vAlign w:val="bottom"/>
            <w:hideMark/>
          </w:tcPr>
          <w:p w14:paraId="0A597ABA" w14:textId="77777777" w:rsidR="00BA23AE" w:rsidRPr="00FA3A4D" w:rsidRDefault="00BA23AE" w:rsidP="00FA3A4D">
            <w:pPr>
              <w:pStyle w:val="B"/>
            </w:pPr>
            <w:r w:rsidRPr="00FA3A4D">
              <w:rPr>
                <w:szCs w:val="20"/>
                <w:rtl/>
              </w:rPr>
              <w:t xml:space="preserve">שוחרר </w:t>
            </w:r>
            <w:r w:rsidRPr="00FA3A4D">
              <w:rPr>
                <w:rFonts w:hint="cs"/>
                <w:szCs w:val="20"/>
                <w:rtl/>
              </w:rPr>
              <w:t>ל</w:t>
            </w:r>
            <w:r w:rsidRPr="00FA3A4D">
              <w:rPr>
                <w:szCs w:val="20"/>
                <w:rtl/>
              </w:rPr>
              <w:t xml:space="preserve">לא תיעוד </w:t>
            </w:r>
            <w:r w:rsidRPr="00FA3A4D">
              <w:rPr>
                <w:rFonts w:hint="cs"/>
                <w:szCs w:val="20"/>
                <w:rtl/>
              </w:rPr>
              <w:t>ה</w:t>
            </w:r>
            <w:r w:rsidRPr="00FA3A4D">
              <w:rPr>
                <w:szCs w:val="20"/>
                <w:rtl/>
              </w:rPr>
              <w:t xml:space="preserve">גורם </w:t>
            </w:r>
            <w:r w:rsidRPr="00FA3A4D">
              <w:rPr>
                <w:rFonts w:hint="cs"/>
                <w:szCs w:val="20"/>
                <w:rtl/>
              </w:rPr>
              <w:t>ה</w:t>
            </w:r>
            <w:r w:rsidRPr="00FA3A4D">
              <w:rPr>
                <w:szCs w:val="20"/>
                <w:rtl/>
              </w:rPr>
              <w:t>משחרר</w:t>
            </w:r>
          </w:p>
        </w:tc>
        <w:tc>
          <w:tcPr>
            <w:tcW w:w="809" w:type="dxa"/>
            <w:shd w:val="clear" w:color="auto" w:fill="auto"/>
            <w:noWrap/>
            <w:vAlign w:val="bottom"/>
            <w:hideMark/>
          </w:tcPr>
          <w:p w14:paraId="25C5D709" w14:textId="77777777" w:rsidR="00BA23AE" w:rsidRPr="00FA3A4D" w:rsidRDefault="00BA23AE" w:rsidP="00FA3A4D">
            <w:pPr>
              <w:pStyle w:val="R"/>
              <w:rPr>
                <w:rtl/>
              </w:rPr>
            </w:pPr>
            <w:r w:rsidRPr="00FA3A4D">
              <w:rPr>
                <w:rFonts w:hint="cs"/>
                <w:rtl/>
              </w:rPr>
              <w:t>210</w:t>
            </w:r>
          </w:p>
        </w:tc>
        <w:tc>
          <w:tcPr>
            <w:tcW w:w="901" w:type="dxa"/>
            <w:shd w:val="clear" w:color="auto" w:fill="auto"/>
            <w:noWrap/>
            <w:vAlign w:val="bottom"/>
            <w:hideMark/>
          </w:tcPr>
          <w:p w14:paraId="31D74737" w14:textId="77777777" w:rsidR="00BA23AE" w:rsidRPr="00FA3A4D" w:rsidRDefault="00BA23AE" w:rsidP="00FA3A4D">
            <w:pPr>
              <w:pStyle w:val="R"/>
            </w:pPr>
            <w:r w:rsidRPr="00FA3A4D">
              <w:rPr>
                <w:rFonts w:hint="cs"/>
                <w:rtl/>
              </w:rPr>
              <w:t>188</w:t>
            </w:r>
          </w:p>
        </w:tc>
        <w:tc>
          <w:tcPr>
            <w:tcW w:w="828" w:type="dxa"/>
            <w:shd w:val="clear" w:color="auto" w:fill="auto"/>
            <w:noWrap/>
            <w:vAlign w:val="bottom"/>
            <w:hideMark/>
          </w:tcPr>
          <w:p w14:paraId="2AD3E5BE" w14:textId="77777777" w:rsidR="00BA23AE" w:rsidRPr="00FA3A4D" w:rsidRDefault="00BA23AE" w:rsidP="00FA3A4D">
            <w:pPr>
              <w:pStyle w:val="R"/>
            </w:pPr>
            <w:r w:rsidRPr="00FA3A4D">
              <w:rPr>
                <w:rFonts w:hint="cs"/>
                <w:rtl/>
              </w:rPr>
              <w:t>181</w:t>
            </w:r>
          </w:p>
        </w:tc>
        <w:tc>
          <w:tcPr>
            <w:tcW w:w="1277" w:type="dxa"/>
            <w:shd w:val="clear" w:color="auto" w:fill="auto"/>
            <w:noWrap/>
            <w:vAlign w:val="bottom"/>
            <w:hideMark/>
          </w:tcPr>
          <w:p w14:paraId="1E217EEB" w14:textId="77777777" w:rsidR="00BA23AE" w:rsidRPr="00FA3A4D" w:rsidRDefault="00BA23AE" w:rsidP="00FA3A4D">
            <w:pPr>
              <w:pStyle w:val="R"/>
            </w:pPr>
            <w:r w:rsidRPr="00FA3A4D">
              <w:rPr>
                <w:rFonts w:hint="cs"/>
                <w:rtl/>
              </w:rPr>
              <w:t>579</w:t>
            </w:r>
          </w:p>
        </w:tc>
      </w:tr>
      <w:tr w:rsidR="00BA23AE" w:rsidRPr="00993244" w14:paraId="73DEDAC7" w14:textId="77777777" w:rsidTr="00FA3A4D">
        <w:trPr>
          <w:trHeight w:val="285"/>
        </w:trPr>
        <w:tc>
          <w:tcPr>
            <w:tcW w:w="1581" w:type="dxa"/>
            <w:vMerge/>
            <w:shd w:val="clear" w:color="auto" w:fill="auto"/>
            <w:noWrap/>
            <w:vAlign w:val="bottom"/>
            <w:hideMark/>
          </w:tcPr>
          <w:p w14:paraId="013AF19D" w14:textId="77777777" w:rsidR="00BA23AE" w:rsidRPr="00FA3A4D" w:rsidRDefault="00BA23AE" w:rsidP="00FA3A4D">
            <w:pPr>
              <w:pStyle w:val="B"/>
            </w:pPr>
          </w:p>
        </w:tc>
        <w:tc>
          <w:tcPr>
            <w:tcW w:w="2976" w:type="dxa"/>
            <w:shd w:val="clear" w:color="auto" w:fill="auto"/>
            <w:noWrap/>
            <w:vAlign w:val="bottom"/>
            <w:hideMark/>
          </w:tcPr>
          <w:p w14:paraId="4D53C989" w14:textId="77777777" w:rsidR="00BA23AE" w:rsidRPr="00FA3A4D" w:rsidRDefault="00BA23AE" w:rsidP="00FA3A4D">
            <w:pPr>
              <w:pStyle w:val="B"/>
              <w:rPr>
                <w:szCs w:val="20"/>
                <w:rtl/>
              </w:rPr>
            </w:pPr>
            <w:r w:rsidRPr="00FA3A4D">
              <w:rPr>
                <w:szCs w:val="20"/>
                <w:rtl/>
              </w:rPr>
              <w:t>שוחרר על ידי קצין ממונה</w:t>
            </w:r>
          </w:p>
        </w:tc>
        <w:tc>
          <w:tcPr>
            <w:tcW w:w="809" w:type="dxa"/>
            <w:shd w:val="clear" w:color="auto" w:fill="auto"/>
            <w:noWrap/>
            <w:vAlign w:val="bottom"/>
            <w:hideMark/>
          </w:tcPr>
          <w:p w14:paraId="22675AC6" w14:textId="77777777" w:rsidR="00BA23AE" w:rsidRPr="00FA3A4D" w:rsidRDefault="00BA23AE" w:rsidP="00FA3A4D">
            <w:pPr>
              <w:pStyle w:val="R"/>
              <w:rPr>
                <w:rtl/>
              </w:rPr>
            </w:pPr>
            <w:r w:rsidRPr="00FA3A4D">
              <w:rPr>
                <w:rFonts w:hint="cs"/>
                <w:rtl/>
              </w:rPr>
              <w:t>16,986</w:t>
            </w:r>
          </w:p>
        </w:tc>
        <w:tc>
          <w:tcPr>
            <w:tcW w:w="901" w:type="dxa"/>
            <w:shd w:val="clear" w:color="auto" w:fill="auto"/>
            <w:noWrap/>
            <w:vAlign w:val="bottom"/>
            <w:hideMark/>
          </w:tcPr>
          <w:p w14:paraId="7212203D" w14:textId="77777777" w:rsidR="00BA23AE" w:rsidRPr="00FA3A4D" w:rsidRDefault="00BA23AE" w:rsidP="00FA3A4D">
            <w:pPr>
              <w:pStyle w:val="R"/>
            </w:pPr>
            <w:r w:rsidRPr="00FA3A4D">
              <w:rPr>
                <w:rFonts w:hint="cs"/>
                <w:rtl/>
              </w:rPr>
              <w:t>15,890</w:t>
            </w:r>
          </w:p>
        </w:tc>
        <w:tc>
          <w:tcPr>
            <w:tcW w:w="828" w:type="dxa"/>
            <w:shd w:val="clear" w:color="auto" w:fill="auto"/>
            <w:noWrap/>
            <w:vAlign w:val="bottom"/>
            <w:hideMark/>
          </w:tcPr>
          <w:p w14:paraId="3C6BBAD9" w14:textId="77777777" w:rsidR="00BA23AE" w:rsidRPr="00FA3A4D" w:rsidRDefault="00BA23AE" w:rsidP="00FA3A4D">
            <w:pPr>
              <w:pStyle w:val="R"/>
            </w:pPr>
            <w:r w:rsidRPr="00FA3A4D">
              <w:rPr>
                <w:rFonts w:hint="cs"/>
                <w:rtl/>
              </w:rPr>
              <w:t>13,015</w:t>
            </w:r>
          </w:p>
        </w:tc>
        <w:tc>
          <w:tcPr>
            <w:tcW w:w="1277" w:type="dxa"/>
            <w:shd w:val="clear" w:color="auto" w:fill="auto"/>
            <w:noWrap/>
            <w:vAlign w:val="bottom"/>
            <w:hideMark/>
          </w:tcPr>
          <w:p w14:paraId="0BEBE5E3" w14:textId="77777777" w:rsidR="00BA23AE" w:rsidRPr="00FA3A4D" w:rsidRDefault="00BA23AE" w:rsidP="00FA3A4D">
            <w:pPr>
              <w:pStyle w:val="R"/>
            </w:pPr>
            <w:r w:rsidRPr="00FA3A4D">
              <w:rPr>
                <w:rFonts w:hint="cs"/>
                <w:rtl/>
              </w:rPr>
              <w:t>45,891</w:t>
            </w:r>
          </w:p>
        </w:tc>
      </w:tr>
      <w:tr w:rsidR="00FA3A4D" w:rsidRPr="00993244" w14:paraId="146F409E" w14:textId="77777777" w:rsidTr="00FA3A4D">
        <w:trPr>
          <w:trHeight w:val="285"/>
        </w:trPr>
        <w:tc>
          <w:tcPr>
            <w:tcW w:w="1581" w:type="dxa"/>
            <w:vMerge/>
            <w:shd w:val="clear" w:color="auto" w:fill="auto"/>
            <w:noWrap/>
            <w:vAlign w:val="bottom"/>
            <w:hideMark/>
          </w:tcPr>
          <w:p w14:paraId="477BEFAA" w14:textId="77777777" w:rsidR="00BA23AE" w:rsidRPr="00FA3A4D" w:rsidRDefault="00BA23AE" w:rsidP="00FA3A4D">
            <w:pPr>
              <w:pStyle w:val="B"/>
            </w:pPr>
          </w:p>
        </w:tc>
        <w:tc>
          <w:tcPr>
            <w:tcW w:w="2976" w:type="dxa"/>
            <w:shd w:val="clear" w:color="auto" w:fill="C6D9F1"/>
            <w:noWrap/>
            <w:vAlign w:val="bottom"/>
            <w:hideMark/>
          </w:tcPr>
          <w:p w14:paraId="78A631D5" w14:textId="77777777" w:rsidR="00BA23AE" w:rsidRPr="00FA3A4D" w:rsidRDefault="00BA23AE" w:rsidP="00FA3A4D">
            <w:pPr>
              <w:pStyle w:val="B"/>
            </w:pPr>
            <w:r w:rsidRPr="00FA3A4D">
              <w:rPr>
                <w:szCs w:val="20"/>
                <w:rtl/>
              </w:rPr>
              <w:t>סה"כ</w:t>
            </w:r>
          </w:p>
        </w:tc>
        <w:tc>
          <w:tcPr>
            <w:tcW w:w="809" w:type="dxa"/>
            <w:shd w:val="clear" w:color="auto" w:fill="C6D9F1"/>
            <w:noWrap/>
            <w:vAlign w:val="bottom"/>
            <w:hideMark/>
          </w:tcPr>
          <w:p w14:paraId="1AD2B9DC" w14:textId="77777777" w:rsidR="00BA23AE" w:rsidRPr="00FA3A4D" w:rsidRDefault="00BA23AE" w:rsidP="00FA3A4D">
            <w:pPr>
              <w:pStyle w:val="B"/>
              <w:rPr>
                <w:szCs w:val="20"/>
                <w:rtl/>
              </w:rPr>
            </w:pPr>
            <w:r w:rsidRPr="00FA3A4D">
              <w:rPr>
                <w:rFonts w:hint="cs"/>
                <w:szCs w:val="20"/>
                <w:rtl/>
              </w:rPr>
              <w:t>40,539</w:t>
            </w:r>
          </w:p>
        </w:tc>
        <w:tc>
          <w:tcPr>
            <w:tcW w:w="901" w:type="dxa"/>
            <w:shd w:val="clear" w:color="auto" w:fill="C6D9F1"/>
            <w:noWrap/>
            <w:vAlign w:val="bottom"/>
            <w:hideMark/>
          </w:tcPr>
          <w:p w14:paraId="2130DB9B" w14:textId="77777777" w:rsidR="00BA23AE" w:rsidRPr="00FA3A4D" w:rsidRDefault="00BA23AE" w:rsidP="00FA3A4D">
            <w:pPr>
              <w:pStyle w:val="B"/>
            </w:pPr>
            <w:r w:rsidRPr="00FA3A4D">
              <w:rPr>
                <w:rFonts w:hint="cs"/>
                <w:szCs w:val="20"/>
                <w:rtl/>
              </w:rPr>
              <w:t>39,484</w:t>
            </w:r>
          </w:p>
        </w:tc>
        <w:tc>
          <w:tcPr>
            <w:tcW w:w="828" w:type="dxa"/>
            <w:shd w:val="clear" w:color="auto" w:fill="C6D9F1"/>
            <w:noWrap/>
            <w:vAlign w:val="bottom"/>
            <w:hideMark/>
          </w:tcPr>
          <w:p w14:paraId="6A658300" w14:textId="77777777" w:rsidR="00BA23AE" w:rsidRPr="00FA3A4D" w:rsidRDefault="00BA23AE" w:rsidP="00FA3A4D">
            <w:pPr>
              <w:pStyle w:val="B"/>
            </w:pPr>
            <w:r w:rsidRPr="00FA3A4D">
              <w:rPr>
                <w:rFonts w:hint="cs"/>
                <w:szCs w:val="20"/>
                <w:rtl/>
              </w:rPr>
              <w:t>34,504</w:t>
            </w:r>
          </w:p>
        </w:tc>
        <w:tc>
          <w:tcPr>
            <w:tcW w:w="1277" w:type="dxa"/>
            <w:shd w:val="clear" w:color="auto" w:fill="C6D9F1"/>
            <w:noWrap/>
            <w:vAlign w:val="bottom"/>
            <w:hideMark/>
          </w:tcPr>
          <w:p w14:paraId="535F91F5" w14:textId="77777777" w:rsidR="00BA23AE" w:rsidRPr="00FA3A4D" w:rsidRDefault="00BA23AE" w:rsidP="00FA3A4D">
            <w:pPr>
              <w:pStyle w:val="B"/>
            </w:pPr>
            <w:r w:rsidRPr="00FA3A4D">
              <w:rPr>
                <w:rFonts w:hint="cs"/>
                <w:szCs w:val="20"/>
                <w:rtl/>
              </w:rPr>
              <w:t>114,527</w:t>
            </w:r>
          </w:p>
        </w:tc>
      </w:tr>
      <w:tr w:rsidR="00BA23AE" w:rsidRPr="00993244" w14:paraId="386CC627" w14:textId="77777777" w:rsidTr="00FA3A4D">
        <w:trPr>
          <w:trHeight w:val="285"/>
        </w:trPr>
        <w:tc>
          <w:tcPr>
            <w:tcW w:w="1581" w:type="dxa"/>
            <w:vMerge w:val="restart"/>
            <w:shd w:val="clear" w:color="auto" w:fill="auto"/>
            <w:noWrap/>
            <w:hideMark/>
          </w:tcPr>
          <w:p w14:paraId="0B0EB45C" w14:textId="694933BD" w:rsidR="00BA23AE" w:rsidRPr="00FA3A4D" w:rsidRDefault="00BA23AE" w:rsidP="00FA3A4D">
            <w:pPr>
              <w:pStyle w:val="B"/>
            </w:pPr>
            <w:r w:rsidRPr="00FA3A4D">
              <w:rPr>
                <w:szCs w:val="20"/>
                <w:rtl/>
              </w:rPr>
              <w:t>החלטה אחרת</w:t>
            </w:r>
            <w:r w:rsidR="00FA3A4D">
              <w:rPr>
                <w:szCs w:val="20"/>
              </w:rPr>
              <w:br/>
            </w:r>
            <w:r w:rsidRPr="00FA3A4D">
              <w:rPr>
                <w:szCs w:val="20"/>
                <w:rtl/>
              </w:rPr>
              <w:t>ומעצר</w:t>
            </w:r>
            <w:r w:rsidR="00FA3A4D">
              <w:rPr>
                <w:szCs w:val="20"/>
              </w:rPr>
              <w:br/>
            </w:r>
            <w:r w:rsidRPr="00FA3A4D">
              <w:rPr>
                <w:szCs w:val="20"/>
                <w:rtl/>
              </w:rPr>
              <w:t>עד תום ההליכים המשפטיים</w:t>
            </w:r>
          </w:p>
        </w:tc>
        <w:tc>
          <w:tcPr>
            <w:tcW w:w="2976" w:type="dxa"/>
            <w:shd w:val="clear" w:color="auto" w:fill="auto"/>
            <w:noWrap/>
            <w:vAlign w:val="bottom"/>
            <w:hideMark/>
          </w:tcPr>
          <w:p w14:paraId="4E29E16C" w14:textId="77777777" w:rsidR="00BA23AE" w:rsidRPr="00FA3A4D" w:rsidRDefault="00BA23AE" w:rsidP="00FA3A4D">
            <w:pPr>
              <w:pStyle w:val="B"/>
              <w:rPr>
                <w:szCs w:val="20"/>
                <w:rtl/>
              </w:rPr>
            </w:pPr>
            <w:r w:rsidRPr="00FA3A4D">
              <w:rPr>
                <w:szCs w:val="20"/>
                <w:rtl/>
              </w:rPr>
              <w:t>הועבר לגורמי חוץ</w:t>
            </w:r>
          </w:p>
        </w:tc>
        <w:tc>
          <w:tcPr>
            <w:tcW w:w="809" w:type="dxa"/>
            <w:shd w:val="clear" w:color="auto" w:fill="auto"/>
            <w:noWrap/>
            <w:vAlign w:val="bottom"/>
            <w:hideMark/>
          </w:tcPr>
          <w:p w14:paraId="37B9C852" w14:textId="77777777" w:rsidR="00BA23AE" w:rsidRPr="00993244" w:rsidRDefault="00BA23AE" w:rsidP="00FA3A4D">
            <w:pPr>
              <w:pStyle w:val="R"/>
              <w:rPr>
                <w:b/>
                <w:bCs/>
                <w:rtl/>
              </w:rPr>
            </w:pPr>
            <w:r w:rsidRPr="00993244">
              <w:rPr>
                <w:rFonts w:hint="cs"/>
                <w:rtl/>
              </w:rPr>
              <w:t>403</w:t>
            </w:r>
          </w:p>
        </w:tc>
        <w:tc>
          <w:tcPr>
            <w:tcW w:w="901" w:type="dxa"/>
            <w:shd w:val="clear" w:color="auto" w:fill="auto"/>
            <w:noWrap/>
            <w:vAlign w:val="bottom"/>
            <w:hideMark/>
          </w:tcPr>
          <w:p w14:paraId="6D46D4B1" w14:textId="77777777" w:rsidR="00BA23AE" w:rsidRPr="00993244" w:rsidRDefault="00BA23AE" w:rsidP="00FA3A4D">
            <w:pPr>
              <w:pStyle w:val="R"/>
              <w:rPr>
                <w:b/>
                <w:bCs/>
              </w:rPr>
            </w:pPr>
            <w:r w:rsidRPr="00993244">
              <w:rPr>
                <w:rFonts w:hint="cs"/>
                <w:rtl/>
              </w:rPr>
              <w:t>293</w:t>
            </w:r>
          </w:p>
        </w:tc>
        <w:tc>
          <w:tcPr>
            <w:tcW w:w="828" w:type="dxa"/>
            <w:shd w:val="clear" w:color="auto" w:fill="auto"/>
            <w:noWrap/>
            <w:vAlign w:val="bottom"/>
            <w:hideMark/>
          </w:tcPr>
          <w:p w14:paraId="515A8183" w14:textId="77777777" w:rsidR="00BA23AE" w:rsidRPr="00993244" w:rsidRDefault="00BA23AE" w:rsidP="00FA3A4D">
            <w:pPr>
              <w:pStyle w:val="R"/>
              <w:rPr>
                <w:b/>
                <w:bCs/>
              </w:rPr>
            </w:pPr>
            <w:r w:rsidRPr="00993244">
              <w:rPr>
                <w:rFonts w:hint="cs"/>
                <w:rtl/>
              </w:rPr>
              <w:t>158</w:t>
            </w:r>
          </w:p>
        </w:tc>
        <w:tc>
          <w:tcPr>
            <w:tcW w:w="1277" w:type="dxa"/>
            <w:shd w:val="clear" w:color="auto" w:fill="auto"/>
            <w:noWrap/>
            <w:vAlign w:val="bottom"/>
            <w:hideMark/>
          </w:tcPr>
          <w:p w14:paraId="18275822" w14:textId="77777777" w:rsidR="00BA23AE" w:rsidRPr="00993244" w:rsidRDefault="00BA23AE" w:rsidP="00FA3A4D">
            <w:pPr>
              <w:pStyle w:val="R"/>
              <w:rPr>
                <w:b/>
                <w:bCs/>
              </w:rPr>
            </w:pPr>
            <w:r w:rsidRPr="00993244">
              <w:rPr>
                <w:rFonts w:hint="cs"/>
                <w:rtl/>
              </w:rPr>
              <w:t>854</w:t>
            </w:r>
          </w:p>
        </w:tc>
      </w:tr>
      <w:tr w:rsidR="00BA23AE" w:rsidRPr="00993244" w14:paraId="00309A6B" w14:textId="77777777" w:rsidTr="00FA3A4D">
        <w:trPr>
          <w:trHeight w:val="285"/>
        </w:trPr>
        <w:tc>
          <w:tcPr>
            <w:tcW w:w="1581" w:type="dxa"/>
            <w:vMerge/>
            <w:shd w:val="clear" w:color="auto" w:fill="auto"/>
            <w:noWrap/>
            <w:vAlign w:val="bottom"/>
            <w:hideMark/>
          </w:tcPr>
          <w:p w14:paraId="3FFA89AE" w14:textId="77777777" w:rsidR="00BA23AE" w:rsidRPr="00FA3A4D" w:rsidRDefault="00BA23AE" w:rsidP="00FA3A4D">
            <w:pPr>
              <w:pStyle w:val="B"/>
            </w:pPr>
          </w:p>
        </w:tc>
        <w:tc>
          <w:tcPr>
            <w:tcW w:w="2976" w:type="dxa"/>
            <w:shd w:val="clear" w:color="auto" w:fill="auto"/>
            <w:noWrap/>
            <w:vAlign w:val="bottom"/>
            <w:hideMark/>
          </w:tcPr>
          <w:p w14:paraId="0980A4F1" w14:textId="77777777" w:rsidR="00BA23AE" w:rsidRPr="00FA3A4D" w:rsidRDefault="00BA23AE" w:rsidP="00FA3A4D">
            <w:pPr>
              <w:pStyle w:val="B"/>
            </w:pPr>
            <w:r w:rsidRPr="00FA3A4D">
              <w:rPr>
                <w:szCs w:val="20"/>
                <w:rtl/>
              </w:rPr>
              <w:t>נשפט</w:t>
            </w:r>
          </w:p>
        </w:tc>
        <w:tc>
          <w:tcPr>
            <w:tcW w:w="809" w:type="dxa"/>
            <w:shd w:val="clear" w:color="auto" w:fill="auto"/>
            <w:noWrap/>
            <w:vAlign w:val="bottom"/>
            <w:hideMark/>
          </w:tcPr>
          <w:p w14:paraId="27446507" w14:textId="77777777" w:rsidR="00BA23AE" w:rsidRPr="00993244" w:rsidRDefault="00BA23AE" w:rsidP="00FA3A4D">
            <w:pPr>
              <w:pStyle w:val="R"/>
              <w:rPr>
                <w:b/>
                <w:bCs/>
                <w:rtl/>
              </w:rPr>
            </w:pPr>
            <w:r w:rsidRPr="00993244">
              <w:rPr>
                <w:rFonts w:hint="cs"/>
                <w:rtl/>
              </w:rPr>
              <w:t>11,229</w:t>
            </w:r>
          </w:p>
        </w:tc>
        <w:tc>
          <w:tcPr>
            <w:tcW w:w="901" w:type="dxa"/>
            <w:shd w:val="clear" w:color="auto" w:fill="auto"/>
            <w:noWrap/>
            <w:vAlign w:val="bottom"/>
            <w:hideMark/>
          </w:tcPr>
          <w:p w14:paraId="05E48F38" w14:textId="77777777" w:rsidR="00BA23AE" w:rsidRPr="00993244" w:rsidRDefault="00BA23AE" w:rsidP="00FA3A4D">
            <w:pPr>
              <w:pStyle w:val="R"/>
              <w:rPr>
                <w:b/>
                <w:bCs/>
              </w:rPr>
            </w:pPr>
            <w:r w:rsidRPr="00993244">
              <w:rPr>
                <w:rFonts w:hint="cs"/>
                <w:rtl/>
              </w:rPr>
              <w:t>11,582</w:t>
            </w:r>
          </w:p>
        </w:tc>
        <w:tc>
          <w:tcPr>
            <w:tcW w:w="828" w:type="dxa"/>
            <w:shd w:val="clear" w:color="auto" w:fill="auto"/>
            <w:noWrap/>
            <w:vAlign w:val="bottom"/>
            <w:hideMark/>
          </w:tcPr>
          <w:p w14:paraId="2C570A5F" w14:textId="77777777" w:rsidR="00BA23AE" w:rsidRPr="00993244" w:rsidRDefault="00BA23AE" w:rsidP="00FA3A4D">
            <w:pPr>
              <w:pStyle w:val="R"/>
              <w:rPr>
                <w:b/>
                <w:bCs/>
              </w:rPr>
            </w:pPr>
            <w:r w:rsidRPr="00993244">
              <w:rPr>
                <w:rFonts w:hint="cs"/>
                <w:rtl/>
              </w:rPr>
              <w:t>9,115</w:t>
            </w:r>
          </w:p>
        </w:tc>
        <w:tc>
          <w:tcPr>
            <w:tcW w:w="1277" w:type="dxa"/>
            <w:shd w:val="clear" w:color="auto" w:fill="auto"/>
            <w:noWrap/>
            <w:vAlign w:val="bottom"/>
            <w:hideMark/>
          </w:tcPr>
          <w:p w14:paraId="2235ACBD" w14:textId="77777777" w:rsidR="00BA23AE" w:rsidRPr="00993244" w:rsidRDefault="00BA23AE" w:rsidP="00FA3A4D">
            <w:pPr>
              <w:pStyle w:val="R"/>
              <w:rPr>
                <w:b/>
                <w:bCs/>
              </w:rPr>
            </w:pPr>
            <w:r w:rsidRPr="00993244">
              <w:rPr>
                <w:rFonts w:hint="cs"/>
                <w:rtl/>
              </w:rPr>
              <w:t>31,926</w:t>
            </w:r>
          </w:p>
        </w:tc>
      </w:tr>
      <w:tr w:rsidR="00BA23AE" w:rsidRPr="00993244" w14:paraId="7B0C0935" w14:textId="77777777" w:rsidTr="00FA3A4D">
        <w:trPr>
          <w:trHeight w:val="285"/>
        </w:trPr>
        <w:tc>
          <w:tcPr>
            <w:tcW w:w="1581" w:type="dxa"/>
            <w:vMerge/>
            <w:shd w:val="clear" w:color="auto" w:fill="auto"/>
            <w:noWrap/>
            <w:vAlign w:val="bottom"/>
            <w:hideMark/>
          </w:tcPr>
          <w:p w14:paraId="63A0A07C" w14:textId="77777777" w:rsidR="00BA23AE" w:rsidRPr="00FA3A4D" w:rsidRDefault="00BA23AE" w:rsidP="00FA3A4D">
            <w:pPr>
              <w:pStyle w:val="B"/>
            </w:pPr>
          </w:p>
        </w:tc>
        <w:tc>
          <w:tcPr>
            <w:tcW w:w="2976" w:type="dxa"/>
            <w:shd w:val="clear" w:color="auto" w:fill="auto"/>
            <w:noWrap/>
            <w:vAlign w:val="bottom"/>
            <w:hideMark/>
          </w:tcPr>
          <w:p w14:paraId="243995EF" w14:textId="77777777" w:rsidR="00BA23AE" w:rsidRPr="00FA3A4D" w:rsidRDefault="00BA23AE" w:rsidP="00FA3A4D">
            <w:pPr>
              <w:pStyle w:val="B"/>
            </w:pPr>
            <w:r w:rsidRPr="00FA3A4D">
              <w:rPr>
                <w:szCs w:val="20"/>
                <w:rtl/>
              </w:rPr>
              <w:t>שוחרר בהחלטת בית משפט</w:t>
            </w:r>
          </w:p>
        </w:tc>
        <w:tc>
          <w:tcPr>
            <w:tcW w:w="809" w:type="dxa"/>
            <w:shd w:val="clear" w:color="auto" w:fill="auto"/>
            <w:noWrap/>
            <w:vAlign w:val="bottom"/>
            <w:hideMark/>
          </w:tcPr>
          <w:p w14:paraId="5039AE5E" w14:textId="77777777" w:rsidR="00BA23AE" w:rsidRPr="00993244" w:rsidRDefault="00BA23AE" w:rsidP="00FA3A4D">
            <w:pPr>
              <w:pStyle w:val="R"/>
              <w:rPr>
                <w:b/>
                <w:bCs/>
                <w:rtl/>
              </w:rPr>
            </w:pPr>
            <w:r w:rsidRPr="00993244">
              <w:rPr>
                <w:rFonts w:hint="cs"/>
                <w:rtl/>
              </w:rPr>
              <w:t>7,245</w:t>
            </w:r>
          </w:p>
        </w:tc>
        <w:tc>
          <w:tcPr>
            <w:tcW w:w="901" w:type="dxa"/>
            <w:shd w:val="clear" w:color="auto" w:fill="auto"/>
            <w:noWrap/>
            <w:vAlign w:val="bottom"/>
            <w:hideMark/>
          </w:tcPr>
          <w:p w14:paraId="4FE31CFF" w14:textId="77777777" w:rsidR="00BA23AE" w:rsidRPr="00993244" w:rsidRDefault="00BA23AE" w:rsidP="00FA3A4D">
            <w:pPr>
              <w:pStyle w:val="R"/>
              <w:rPr>
                <w:b/>
                <w:bCs/>
              </w:rPr>
            </w:pPr>
            <w:r w:rsidRPr="00993244">
              <w:rPr>
                <w:rFonts w:hint="cs"/>
                <w:rtl/>
              </w:rPr>
              <w:t>7,108</w:t>
            </w:r>
          </w:p>
        </w:tc>
        <w:tc>
          <w:tcPr>
            <w:tcW w:w="828" w:type="dxa"/>
            <w:shd w:val="clear" w:color="auto" w:fill="auto"/>
            <w:noWrap/>
            <w:vAlign w:val="bottom"/>
            <w:hideMark/>
          </w:tcPr>
          <w:p w14:paraId="56DC3C1A" w14:textId="77777777" w:rsidR="00BA23AE" w:rsidRPr="00993244" w:rsidRDefault="00BA23AE" w:rsidP="00FA3A4D">
            <w:pPr>
              <w:pStyle w:val="R"/>
              <w:rPr>
                <w:b/>
                <w:bCs/>
              </w:rPr>
            </w:pPr>
            <w:r w:rsidRPr="00993244">
              <w:rPr>
                <w:rFonts w:hint="cs"/>
                <w:rtl/>
              </w:rPr>
              <w:t>6,502</w:t>
            </w:r>
          </w:p>
        </w:tc>
        <w:tc>
          <w:tcPr>
            <w:tcW w:w="1277" w:type="dxa"/>
            <w:shd w:val="clear" w:color="auto" w:fill="auto"/>
            <w:noWrap/>
            <w:vAlign w:val="bottom"/>
            <w:hideMark/>
          </w:tcPr>
          <w:p w14:paraId="59FA86A3" w14:textId="77777777" w:rsidR="00BA23AE" w:rsidRPr="00993244" w:rsidRDefault="00BA23AE" w:rsidP="00FA3A4D">
            <w:pPr>
              <w:pStyle w:val="R"/>
              <w:rPr>
                <w:b/>
                <w:bCs/>
              </w:rPr>
            </w:pPr>
            <w:r w:rsidRPr="00993244">
              <w:rPr>
                <w:rFonts w:hint="cs"/>
                <w:rtl/>
              </w:rPr>
              <w:t>20,855</w:t>
            </w:r>
          </w:p>
        </w:tc>
      </w:tr>
      <w:tr w:rsidR="00BA23AE" w:rsidRPr="00993244" w14:paraId="0F6990C7" w14:textId="77777777" w:rsidTr="00FA3A4D">
        <w:trPr>
          <w:trHeight w:val="285"/>
        </w:trPr>
        <w:tc>
          <w:tcPr>
            <w:tcW w:w="1581" w:type="dxa"/>
            <w:vMerge/>
            <w:shd w:val="clear" w:color="auto" w:fill="auto"/>
            <w:noWrap/>
            <w:vAlign w:val="bottom"/>
            <w:hideMark/>
          </w:tcPr>
          <w:p w14:paraId="17CA28F9" w14:textId="77777777" w:rsidR="00BA23AE" w:rsidRPr="00FA3A4D" w:rsidRDefault="00BA23AE" w:rsidP="00FA3A4D">
            <w:pPr>
              <w:pStyle w:val="B"/>
            </w:pPr>
          </w:p>
        </w:tc>
        <w:tc>
          <w:tcPr>
            <w:tcW w:w="2976" w:type="dxa"/>
            <w:shd w:val="clear" w:color="auto" w:fill="auto"/>
            <w:noWrap/>
            <w:vAlign w:val="bottom"/>
            <w:hideMark/>
          </w:tcPr>
          <w:p w14:paraId="41928F88" w14:textId="77777777" w:rsidR="00BA23AE" w:rsidRPr="00FA3A4D" w:rsidRDefault="00BA23AE" w:rsidP="00FA3A4D">
            <w:pPr>
              <w:pStyle w:val="B"/>
            </w:pPr>
            <w:r w:rsidRPr="00FA3A4D">
              <w:rPr>
                <w:szCs w:val="20"/>
                <w:rtl/>
              </w:rPr>
              <w:t xml:space="preserve">שוחרר </w:t>
            </w:r>
            <w:r w:rsidRPr="00FA3A4D">
              <w:rPr>
                <w:rFonts w:hint="cs"/>
                <w:szCs w:val="20"/>
                <w:rtl/>
              </w:rPr>
              <w:t>ל</w:t>
            </w:r>
            <w:r w:rsidRPr="00FA3A4D">
              <w:rPr>
                <w:szCs w:val="20"/>
                <w:rtl/>
              </w:rPr>
              <w:t xml:space="preserve">לא תיעוד </w:t>
            </w:r>
            <w:r w:rsidRPr="00FA3A4D">
              <w:rPr>
                <w:rFonts w:hint="cs"/>
                <w:szCs w:val="20"/>
                <w:rtl/>
              </w:rPr>
              <w:t>ה</w:t>
            </w:r>
            <w:r w:rsidRPr="00FA3A4D">
              <w:rPr>
                <w:szCs w:val="20"/>
                <w:rtl/>
              </w:rPr>
              <w:t xml:space="preserve">גורם </w:t>
            </w:r>
            <w:r w:rsidRPr="00FA3A4D">
              <w:rPr>
                <w:rFonts w:hint="cs"/>
                <w:szCs w:val="20"/>
                <w:rtl/>
              </w:rPr>
              <w:t>ה</w:t>
            </w:r>
            <w:r w:rsidRPr="00FA3A4D">
              <w:rPr>
                <w:szCs w:val="20"/>
                <w:rtl/>
              </w:rPr>
              <w:t>משחרר</w:t>
            </w:r>
          </w:p>
        </w:tc>
        <w:tc>
          <w:tcPr>
            <w:tcW w:w="809" w:type="dxa"/>
            <w:shd w:val="clear" w:color="auto" w:fill="auto"/>
            <w:noWrap/>
            <w:vAlign w:val="bottom"/>
            <w:hideMark/>
          </w:tcPr>
          <w:p w14:paraId="2E991B4A" w14:textId="77777777" w:rsidR="00BA23AE" w:rsidRPr="00993244" w:rsidRDefault="00BA23AE" w:rsidP="00FA3A4D">
            <w:pPr>
              <w:pStyle w:val="R"/>
              <w:rPr>
                <w:b/>
                <w:bCs/>
                <w:rtl/>
              </w:rPr>
            </w:pPr>
            <w:r w:rsidRPr="00993244">
              <w:rPr>
                <w:rFonts w:hint="cs"/>
                <w:rtl/>
              </w:rPr>
              <w:t>1,358</w:t>
            </w:r>
          </w:p>
        </w:tc>
        <w:tc>
          <w:tcPr>
            <w:tcW w:w="901" w:type="dxa"/>
            <w:shd w:val="clear" w:color="auto" w:fill="auto"/>
            <w:noWrap/>
            <w:vAlign w:val="bottom"/>
            <w:hideMark/>
          </w:tcPr>
          <w:p w14:paraId="42B8B947" w14:textId="77777777" w:rsidR="00BA23AE" w:rsidRPr="00993244" w:rsidRDefault="00BA23AE" w:rsidP="00FA3A4D">
            <w:pPr>
              <w:pStyle w:val="R"/>
              <w:rPr>
                <w:b/>
                <w:bCs/>
              </w:rPr>
            </w:pPr>
            <w:r w:rsidRPr="00993244">
              <w:rPr>
                <w:rFonts w:hint="cs"/>
                <w:rtl/>
              </w:rPr>
              <w:t>1,535</w:t>
            </w:r>
          </w:p>
        </w:tc>
        <w:tc>
          <w:tcPr>
            <w:tcW w:w="828" w:type="dxa"/>
            <w:shd w:val="clear" w:color="auto" w:fill="auto"/>
            <w:noWrap/>
            <w:vAlign w:val="bottom"/>
            <w:hideMark/>
          </w:tcPr>
          <w:p w14:paraId="43A8B900" w14:textId="77777777" w:rsidR="00BA23AE" w:rsidRPr="00993244" w:rsidRDefault="00BA23AE" w:rsidP="00FA3A4D">
            <w:pPr>
              <w:pStyle w:val="R"/>
              <w:rPr>
                <w:b/>
                <w:bCs/>
              </w:rPr>
            </w:pPr>
            <w:r w:rsidRPr="00993244">
              <w:rPr>
                <w:rFonts w:hint="cs"/>
                <w:rtl/>
              </w:rPr>
              <w:t>2,919</w:t>
            </w:r>
          </w:p>
        </w:tc>
        <w:tc>
          <w:tcPr>
            <w:tcW w:w="1277" w:type="dxa"/>
            <w:shd w:val="clear" w:color="auto" w:fill="auto"/>
            <w:noWrap/>
            <w:vAlign w:val="bottom"/>
            <w:hideMark/>
          </w:tcPr>
          <w:p w14:paraId="3ACE1788" w14:textId="77777777" w:rsidR="00BA23AE" w:rsidRPr="00993244" w:rsidRDefault="00BA23AE" w:rsidP="00FA3A4D">
            <w:pPr>
              <w:pStyle w:val="R"/>
              <w:rPr>
                <w:b/>
                <w:bCs/>
              </w:rPr>
            </w:pPr>
            <w:r w:rsidRPr="00993244">
              <w:rPr>
                <w:rFonts w:hint="cs"/>
                <w:rtl/>
              </w:rPr>
              <w:t>5,812</w:t>
            </w:r>
          </w:p>
        </w:tc>
      </w:tr>
      <w:tr w:rsidR="00BA23AE" w:rsidRPr="00993244" w14:paraId="5E8B75F8" w14:textId="77777777" w:rsidTr="00FA3A4D">
        <w:trPr>
          <w:trHeight w:val="285"/>
        </w:trPr>
        <w:tc>
          <w:tcPr>
            <w:tcW w:w="1581" w:type="dxa"/>
            <w:vMerge/>
            <w:shd w:val="clear" w:color="auto" w:fill="auto"/>
            <w:noWrap/>
            <w:vAlign w:val="bottom"/>
            <w:hideMark/>
          </w:tcPr>
          <w:p w14:paraId="5FE3E9FF" w14:textId="77777777" w:rsidR="00BA23AE" w:rsidRPr="00FA3A4D" w:rsidRDefault="00BA23AE" w:rsidP="00FA3A4D">
            <w:pPr>
              <w:pStyle w:val="B"/>
            </w:pPr>
          </w:p>
        </w:tc>
        <w:tc>
          <w:tcPr>
            <w:tcW w:w="2976" w:type="dxa"/>
            <w:shd w:val="clear" w:color="auto" w:fill="auto"/>
            <w:noWrap/>
            <w:vAlign w:val="bottom"/>
            <w:hideMark/>
          </w:tcPr>
          <w:p w14:paraId="4594D552" w14:textId="77777777" w:rsidR="00BA23AE" w:rsidRPr="00FA3A4D" w:rsidRDefault="00BA23AE" w:rsidP="00FA3A4D">
            <w:pPr>
              <w:pStyle w:val="B"/>
            </w:pPr>
            <w:r w:rsidRPr="00FA3A4D">
              <w:rPr>
                <w:szCs w:val="20"/>
                <w:rtl/>
              </w:rPr>
              <w:t>שוחרר על ידי קצין ממונה</w:t>
            </w:r>
          </w:p>
        </w:tc>
        <w:tc>
          <w:tcPr>
            <w:tcW w:w="809" w:type="dxa"/>
            <w:shd w:val="clear" w:color="auto" w:fill="auto"/>
            <w:noWrap/>
            <w:vAlign w:val="bottom"/>
            <w:hideMark/>
          </w:tcPr>
          <w:p w14:paraId="79C88407" w14:textId="77777777" w:rsidR="00BA23AE" w:rsidRPr="00993244" w:rsidRDefault="00BA23AE" w:rsidP="00FA3A4D">
            <w:pPr>
              <w:pStyle w:val="R"/>
              <w:rPr>
                <w:b/>
                <w:bCs/>
                <w:rtl/>
              </w:rPr>
            </w:pPr>
            <w:r w:rsidRPr="00993244">
              <w:rPr>
                <w:rFonts w:hint="cs"/>
                <w:rtl/>
              </w:rPr>
              <w:t>29</w:t>
            </w:r>
          </w:p>
        </w:tc>
        <w:tc>
          <w:tcPr>
            <w:tcW w:w="901" w:type="dxa"/>
            <w:shd w:val="clear" w:color="auto" w:fill="auto"/>
            <w:noWrap/>
            <w:vAlign w:val="bottom"/>
            <w:hideMark/>
          </w:tcPr>
          <w:p w14:paraId="1C7DE732" w14:textId="77777777" w:rsidR="00BA23AE" w:rsidRPr="00993244" w:rsidRDefault="00BA23AE" w:rsidP="00FA3A4D">
            <w:pPr>
              <w:pStyle w:val="R"/>
              <w:rPr>
                <w:b/>
                <w:bCs/>
              </w:rPr>
            </w:pPr>
            <w:r w:rsidRPr="00993244">
              <w:rPr>
                <w:rFonts w:hint="cs"/>
                <w:rtl/>
              </w:rPr>
              <w:t>27</w:t>
            </w:r>
          </w:p>
        </w:tc>
        <w:tc>
          <w:tcPr>
            <w:tcW w:w="828" w:type="dxa"/>
            <w:shd w:val="clear" w:color="auto" w:fill="auto"/>
            <w:noWrap/>
            <w:vAlign w:val="bottom"/>
            <w:hideMark/>
          </w:tcPr>
          <w:p w14:paraId="251B3D4F" w14:textId="77777777" w:rsidR="00BA23AE" w:rsidRPr="00993244" w:rsidRDefault="00BA23AE" w:rsidP="00FA3A4D">
            <w:pPr>
              <w:pStyle w:val="R"/>
              <w:rPr>
                <w:b/>
                <w:bCs/>
              </w:rPr>
            </w:pPr>
            <w:r w:rsidRPr="00993244">
              <w:rPr>
                <w:rFonts w:hint="cs"/>
                <w:rtl/>
              </w:rPr>
              <w:t>15</w:t>
            </w:r>
          </w:p>
        </w:tc>
        <w:tc>
          <w:tcPr>
            <w:tcW w:w="1277" w:type="dxa"/>
            <w:shd w:val="clear" w:color="auto" w:fill="auto"/>
            <w:noWrap/>
            <w:vAlign w:val="bottom"/>
            <w:hideMark/>
          </w:tcPr>
          <w:p w14:paraId="210BD8DE" w14:textId="77777777" w:rsidR="00BA23AE" w:rsidRPr="00993244" w:rsidRDefault="00BA23AE" w:rsidP="00FA3A4D">
            <w:pPr>
              <w:pStyle w:val="R"/>
              <w:rPr>
                <w:b/>
                <w:bCs/>
              </w:rPr>
            </w:pPr>
            <w:r w:rsidRPr="00993244">
              <w:rPr>
                <w:rFonts w:hint="cs"/>
                <w:rtl/>
              </w:rPr>
              <w:t>71</w:t>
            </w:r>
          </w:p>
        </w:tc>
      </w:tr>
      <w:tr w:rsidR="00BA23AE" w:rsidRPr="00993244" w14:paraId="31C10709" w14:textId="77777777" w:rsidTr="00FA3A4D">
        <w:trPr>
          <w:trHeight w:val="285"/>
        </w:trPr>
        <w:tc>
          <w:tcPr>
            <w:tcW w:w="1581" w:type="dxa"/>
            <w:vMerge/>
            <w:shd w:val="clear" w:color="auto" w:fill="auto"/>
            <w:noWrap/>
            <w:vAlign w:val="bottom"/>
            <w:hideMark/>
          </w:tcPr>
          <w:p w14:paraId="27398336" w14:textId="77777777" w:rsidR="00BA23AE" w:rsidRPr="00FA3A4D" w:rsidRDefault="00BA23AE" w:rsidP="00FA3A4D">
            <w:pPr>
              <w:pStyle w:val="B"/>
            </w:pPr>
          </w:p>
        </w:tc>
        <w:tc>
          <w:tcPr>
            <w:tcW w:w="2976" w:type="dxa"/>
            <w:shd w:val="clear" w:color="auto" w:fill="auto"/>
            <w:noWrap/>
            <w:vAlign w:val="bottom"/>
            <w:hideMark/>
          </w:tcPr>
          <w:p w14:paraId="646B7978" w14:textId="77777777" w:rsidR="00BA23AE" w:rsidRPr="00FA3A4D" w:rsidRDefault="00BA23AE" w:rsidP="00FA3A4D">
            <w:pPr>
              <w:pStyle w:val="B"/>
            </w:pPr>
            <w:r w:rsidRPr="00FA3A4D">
              <w:rPr>
                <w:szCs w:val="20"/>
                <w:rtl/>
              </w:rPr>
              <w:t xml:space="preserve">כתב </w:t>
            </w:r>
            <w:r w:rsidRPr="00FA3A4D">
              <w:rPr>
                <w:rFonts w:hint="cs"/>
                <w:szCs w:val="20"/>
                <w:rtl/>
              </w:rPr>
              <w:t>ה</w:t>
            </w:r>
            <w:r w:rsidRPr="00FA3A4D">
              <w:rPr>
                <w:szCs w:val="20"/>
                <w:rtl/>
              </w:rPr>
              <w:t>אישום בוטל</w:t>
            </w:r>
          </w:p>
        </w:tc>
        <w:tc>
          <w:tcPr>
            <w:tcW w:w="809" w:type="dxa"/>
            <w:shd w:val="clear" w:color="auto" w:fill="auto"/>
            <w:noWrap/>
            <w:vAlign w:val="bottom"/>
            <w:hideMark/>
          </w:tcPr>
          <w:p w14:paraId="0A1FDC0B" w14:textId="77777777" w:rsidR="00BA23AE" w:rsidRPr="00993244" w:rsidRDefault="00BA23AE" w:rsidP="00FA3A4D">
            <w:pPr>
              <w:pStyle w:val="R"/>
              <w:rPr>
                <w:b/>
                <w:bCs/>
                <w:rtl/>
              </w:rPr>
            </w:pPr>
            <w:r w:rsidRPr="00993244">
              <w:rPr>
                <w:rFonts w:hint="cs"/>
                <w:rtl/>
              </w:rPr>
              <w:t>45</w:t>
            </w:r>
          </w:p>
        </w:tc>
        <w:tc>
          <w:tcPr>
            <w:tcW w:w="901" w:type="dxa"/>
            <w:shd w:val="clear" w:color="auto" w:fill="auto"/>
            <w:noWrap/>
            <w:vAlign w:val="bottom"/>
            <w:hideMark/>
          </w:tcPr>
          <w:p w14:paraId="0349579C" w14:textId="77777777" w:rsidR="00BA23AE" w:rsidRPr="00993244" w:rsidRDefault="00BA23AE" w:rsidP="00FA3A4D">
            <w:pPr>
              <w:pStyle w:val="R"/>
              <w:rPr>
                <w:b/>
                <w:bCs/>
              </w:rPr>
            </w:pPr>
            <w:r w:rsidRPr="00993244">
              <w:rPr>
                <w:rFonts w:hint="cs"/>
                <w:rtl/>
              </w:rPr>
              <w:t>43</w:t>
            </w:r>
          </w:p>
        </w:tc>
        <w:tc>
          <w:tcPr>
            <w:tcW w:w="828" w:type="dxa"/>
            <w:shd w:val="clear" w:color="auto" w:fill="auto"/>
            <w:noWrap/>
            <w:vAlign w:val="bottom"/>
            <w:hideMark/>
          </w:tcPr>
          <w:p w14:paraId="2FB2A555" w14:textId="77777777" w:rsidR="00BA23AE" w:rsidRPr="00993244" w:rsidRDefault="00BA23AE" w:rsidP="00FA3A4D">
            <w:pPr>
              <w:pStyle w:val="R"/>
              <w:rPr>
                <w:b/>
                <w:bCs/>
              </w:rPr>
            </w:pPr>
            <w:r w:rsidRPr="00993244">
              <w:rPr>
                <w:rFonts w:hint="cs"/>
                <w:rtl/>
              </w:rPr>
              <w:t>40</w:t>
            </w:r>
          </w:p>
        </w:tc>
        <w:tc>
          <w:tcPr>
            <w:tcW w:w="1277" w:type="dxa"/>
            <w:shd w:val="clear" w:color="auto" w:fill="auto"/>
            <w:noWrap/>
            <w:vAlign w:val="bottom"/>
            <w:hideMark/>
          </w:tcPr>
          <w:p w14:paraId="737D876B" w14:textId="77777777" w:rsidR="00BA23AE" w:rsidRPr="00993244" w:rsidRDefault="00BA23AE" w:rsidP="00FA3A4D">
            <w:pPr>
              <w:pStyle w:val="R"/>
              <w:rPr>
                <w:b/>
                <w:bCs/>
              </w:rPr>
            </w:pPr>
            <w:r w:rsidRPr="00993244">
              <w:rPr>
                <w:rFonts w:hint="cs"/>
                <w:rtl/>
              </w:rPr>
              <w:t>128</w:t>
            </w:r>
          </w:p>
        </w:tc>
      </w:tr>
      <w:tr w:rsidR="00FA3A4D" w:rsidRPr="00993244" w14:paraId="0EE5E781" w14:textId="77777777" w:rsidTr="00FA3A4D">
        <w:trPr>
          <w:trHeight w:val="285"/>
        </w:trPr>
        <w:tc>
          <w:tcPr>
            <w:tcW w:w="1581" w:type="dxa"/>
            <w:vMerge/>
            <w:shd w:val="clear" w:color="auto" w:fill="auto"/>
            <w:noWrap/>
            <w:vAlign w:val="bottom"/>
            <w:hideMark/>
          </w:tcPr>
          <w:p w14:paraId="5537C527" w14:textId="77777777" w:rsidR="00BA23AE" w:rsidRPr="00FA3A4D" w:rsidRDefault="00BA23AE" w:rsidP="00FA3A4D">
            <w:pPr>
              <w:pStyle w:val="B"/>
            </w:pPr>
          </w:p>
        </w:tc>
        <w:tc>
          <w:tcPr>
            <w:tcW w:w="2976" w:type="dxa"/>
            <w:shd w:val="clear" w:color="auto" w:fill="C6D9F1"/>
            <w:noWrap/>
            <w:vAlign w:val="bottom"/>
            <w:hideMark/>
          </w:tcPr>
          <w:p w14:paraId="57933DB0" w14:textId="77777777" w:rsidR="00BA23AE" w:rsidRPr="00FA3A4D" w:rsidRDefault="00BA23AE" w:rsidP="00FA3A4D">
            <w:pPr>
              <w:pStyle w:val="B"/>
            </w:pPr>
            <w:r w:rsidRPr="00FA3A4D">
              <w:rPr>
                <w:szCs w:val="20"/>
                <w:rtl/>
              </w:rPr>
              <w:t>סה"כ</w:t>
            </w:r>
          </w:p>
        </w:tc>
        <w:tc>
          <w:tcPr>
            <w:tcW w:w="809" w:type="dxa"/>
            <w:shd w:val="clear" w:color="auto" w:fill="C6D9F1"/>
            <w:noWrap/>
            <w:vAlign w:val="bottom"/>
            <w:hideMark/>
          </w:tcPr>
          <w:p w14:paraId="46B25E95" w14:textId="77777777" w:rsidR="00BA23AE" w:rsidRPr="00FA3A4D" w:rsidRDefault="00BA23AE" w:rsidP="00FA3A4D">
            <w:pPr>
              <w:pStyle w:val="B"/>
              <w:rPr>
                <w:szCs w:val="20"/>
                <w:rtl/>
              </w:rPr>
            </w:pPr>
            <w:r w:rsidRPr="00FA3A4D">
              <w:rPr>
                <w:rFonts w:hint="cs"/>
                <w:szCs w:val="20"/>
                <w:rtl/>
              </w:rPr>
              <w:t>20,309</w:t>
            </w:r>
          </w:p>
        </w:tc>
        <w:tc>
          <w:tcPr>
            <w:tcW w:w="901" w:type="dxa"/>
            <w:shd w:val="clear" w:color="auto" w:fill="C6D9F1"/>
            <w:noWrap/>
            <w:vAlign w:val="bottom"/>
            <w:hideMark/>
          </w:tcPr>
          <w:p w14:paraId="43E34535" w14:textId="77777777" w:rsidR="00BA23AE" w:rsidRPr="00FA3A4D" w:rsidRDefault="00BA23AE" w:rsidP="00FA3A4D">
            <w:pPr>
              <w:pStyle w:val="B"/>
            </w:pPr>
            <w:r w:rsidRPr="00FA3A4D">
              <w:rPr>
                <w:rFonts w:hint="cs"/>
                <w:szCs w:val="20"/>
                <w:rtl/>
              </w:rPr>
              <w:t>20,588</w:t>
            </w:r>
          </w:p>
        </w:tc>
        <w:tc>
          <w:tcPr>
            <w:tcW w:w="828" w:type="dxa"/>
            <w:shd w:val="clear" w:color="auto" w:fill="C6D9F1"/>
            <w:noWrap/>
            <w:vAlign w:val="bottom"/>
            <w:hideMark/>
          </w:tcPr>
          <w:p w14:paraId="00E2DC3F" w14:textId="77777777" w:rsidR="00BA23AE" w:rsidRPr="00FA3A4D" w:rsidRDefault="00BA23AE" w:rsidP="00FA3A4D">
            <w:pPr>
              <w:pStyle w:val="B"/>
            </w:pPr>
            <w:r w:rsidRPr="00FA3A4D">
              <w:rPr>
                <w:rFonts w:hint="cs"/>
                <w:szCs w:val="20"/>
                <w:rtl/>
              </w:rPr>
              <w:t>18,749</w:t>
            </w:r>
          </w:p>
        </w:tc>
        <w:tc>
          <w:tcPr>
            <w:tcW w:w="1277" w:type="dxa"/>
            <w:shd w:val="clear" w:color="auto" w:fill="C6D9F1"/>
            <w:noWrap/>
            <w:vAlign w:val="bottom"/>
            <w:hideMark/>
          </w:tcPr>
          <w:p w14:paraId="1A281622" w14:textId="77777777" w:rsidR="00BA23AE" w:rsidRPr="00FA3A4D" w:rsidRDefault="00BA23AE" w:rsidP="00FA3A4D">
            <w:pPr>
              <w:pStyle w:val="B"/>
            </w:pPr>
            <w:r w:rsidRPr="00FA3A4D">
              <w:rPr>
                <w:rFonts w:hint="cs"/>
                <w:szCs w:val="20"/>
                <w:rtl/>
              </w:rPr>
              <w:t>59,646</w:t>
            </w:r>
          </w:p>
        </w:tc>
      </w:tr>
      <w:tr w:rsidR="00BA23AE" w:rsidRPr="00993244" w14:paraId="23F18E33" w14:textId="77777777" w:rsidTr="00FA3A4D">
        <w:trPr>
          <w:trHeight w:val="285"/>
        </w:trPr>
        <w:tc>
          <w:tcPr>
            <w:tcW w:w="4557" w:type="dxa"/>
            <w:gridSpan w:val="2"/>
            <w:shd w:val="clear" w:color="auto" w:fill="C6D9F1"/>
            <w:noWrap/>
            <w:vAlign w:val="bottom"/>
          </w:tcPr>
          <w:p w14:paraId="24EEF3FA" w14:textId="77777777" w:rsidR="00BA23AE" w:rsidRPr="00FA3A4D" w:rsidRDefault="00BA23AE" w:rsidP="00FA3A4D">
            <w:pPr>
              <w:pStyle w:val="B"/>
              <w:rPr>
                <w:szCs w:val="20"/>
                <w:rtl/>
              </w:rPr>
            </w:pPr>
            <w:r w:rsidRPr="00FA3A4D">
              <w:rPr>
                <w:rFonts w:hint="cs"/>
                <w:szCs w:val="20"/>
                <w:rtl/>
              </w:rPr>
              <w:t>סה"כ מעצרים</w:t>
            </w:r>
          </w:p>
        </w:tc>
        <w:tc>
          <w:tcPr>
            <w:tcW w:w="809" w:type="dxa"/>
            <w:shd w:val="clear" w:color="auto" w:fill="C6D9F1"/>
            <w:noWrap/>
            <w:vAlign w:val="bottom"/>
          </w:tcPr>
          <w:p w14:paraId="7E12912D" w14:textId="77777777" w:rsidR="00BA23AE" w:rsidRPr="00FA3A4D" w:rsidRDefault="00BA23AE" w:rsidP="00FA3A4D">
            <w:pPr>
              <w:pStyle w:val="B"/>
            </w:pPr>
            <w:r w:rsidRPr="00FA3A4D">
              <w:rPr>
                <w:rFonts w:hint="cs"/>
                <w:szCs w:val="20"/>
                <w:rtl/>
              </w:rPr>
              <w:t>60,848</w:t>
            </w:r>
          </w:p>
        </w:tc>
        <w:tc>
          <w:tcPr>
            <w:tcW w:w="901" w:type="dxa"/>
            <w:shd w:val="clear" w:color="auto" w:fill="C6D9F1"/>
            <w:noWrap/>
            <w:vAlign w:val="bottom"/>
          </w:tcPr>
          <w:p w14:paraId="29585B41" w14:textId="77777777" w:rsidR="00BA23AE" w:rsidRPr="00FA3A4D" w:rsidRDefault="00BA23AE" w:rsidP="00FA3A4D">
            <w:pPr>
              <w:pStyle w:val="B"/>
            </w:pPr>
            <w:r w:rsidRPr="00FA3A4D">
              <w:rPr>
                <w:rFonts w:hint="cs"/>
                <w:szCs w:val="20"/>
                <w:rtl/>
              </w:rPr>
              <w:t>60,072</w:t>
            </w:r>
          </w:p>
        </w:tc>
        <w:tc>
          <w:tcPr>
            <w:tcW w:w="828" w:type="dxa"/>
            <w:shd w:val="clear" w:color="auto" w:fill="C6D9F1"/>
            <w:noWrap/>
            <w:vAlign w:val="bottom"/>
          </w:tcPr>
          <w:p w14:paraId="3DB19E10" w14:textId="77777777" w:rsidR="00BA23AE" w:rsidRPr="00FA3A4D" w:rsidRDefault="00BA23AE" w:rsidP="00FA3A4D">
            <w:pPr>
              <w:pStyle w:val="B"/>
            </w:pPr>
            <w:r w:rsidRPr="00FA3A4D">
              <w:rPr>
                <w:rFonts w:hint="cs"/>
                <w:szCs w:val="20"/>
                <w:rtl/>
              </w:rPr>
              <w:t>53,253</w:t>
            </w:r>
          </w:p>
        </w:tc>
        <w:tc>
          <w:tcPr>
            <w:tcW w:w="1277" w:type="dxa"/>
            <w:shd w:val="clear" w:color="auto" w:fill="C6D9F1"/>
            <w:noWrap/>
            <w:vAlign w:val="bottom"/>
          </w:tcPr>
          <w:p w14:paraId="6209904C" w14:textId="77777777" w:rsidR="00BA23AE" w:rsidRPr="00FA3A4D" w:rsidRDefault="00BA23AE" w:rsidP="00FA3A4D">
            <w:pPr>
              <w:pStyle w:val="B"/>
            </w:pPr>
            <w:r w:rsidRPr="00FA3A4D">
              <w:rPr>
                <w:rFonts w:hint="cs"/>
                <w:szCs w:val="20"/>
                <w:rtl/>
              </w:rPr>
              <w:t>174,173</w:t>
            </w:r>
          </w:p>
        </w:tc>
      </w:tr>
    </w:tbl>
    <w:p w14:paraId="04E90529" w14:textId="77777777" w:rsidR="00BA23AE" w:rsidRPr="00F13DA5" w:rsidRDefault="00BA23AE" w:rsidP="00491D1E">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sidRPr="00F13DA5">
        <w:rPr>
          <w:rFonts w:hint="eastAsia"/>
          <w:rtl/>
        </w:rPr>
        <w:t>נתוני</w:t>
      </w:r>
      <w:r w:rsidRPr="00F13DA5">
        <w:rPr>
          <w:rtl/>
        </w:rPr>
        <w:t xml:space="preserve"> </w:t>
      </w:r>
      <w:r w:rsidRPr="00F13DA5">
        <w:rPr>
          <w:rFonts w:hint="eastAsia"/>
          <w:rtl/>
        </w:rPr>
        <w:t>משטרת</w:t>
      </w:r>
      <w:r w:rsidRPr="00F13DA5">
        <w:rPr>
          <w:rtl/>
        </w:rPr>
        <w:t xml:space="preserve"> </w:t>
      </w:r>
      <w:r w:rsidRPr="00F13DA5">
        <w:rPr>
          <w:rFonts w:hint="eastAsia"/>
          <w:rtl/>
        </w:rPr>
        <w:t>ישראל</w:t>
      </w:r>
      <w:r w:rsidRPr="00F13DA5">
        <w:rPr>
          <w:rtl/>
        </w:rPr>
        <w:t xml:space="preserve">, </w:t>
      </w:r>
      <w:r w:rsidRPr="00F13DA5">
        <w:rPr>
          <w:rFonts w:hint="eastAsia"/>
          <w:rtl/>
        </w:rPr>
        <w:t>בעיבוד</w:t>
      </w:r>
      <w:r w:rsidRPr="00F13DA5">
        <w:rPr>
          <w:rtl/>
        </w:rPr>
        <w:t xml:space="preserve"> </w:t>
      </w:r>
      <w:r w:rsidRPr="00F13DA5">
        <w:rPr>
          <w:rFonts w:hint="eastAsia"/>
          <w:rtl/>
        </w:rPr>
        <w:t>משרד</w:t>
      </w:r>
      <w:r w:rsidRPr="00F13DA5">
        <w:rPr>
          <w:rtl/>
        </w:rPr>
        <w:t xml:space="preserve"> </w:t>
      </w:r>
      <w:r w:rsidRPr="00F13DA5">
        <w:rPr>
          <w:rFonts w:hint="eastAsia"/>
          <w:rtl/>
        </w:rPr>
        <w:t>מבקר</w:t>
      </w:r>
      <w:r w:rsidRPr="00F13DA5">
        <w:rPr>
          <w:rtl/>
        </w:rPr>
        <w:t xml:space="preserve"> </w:t>
      </w:r>
      <w:r w:rsidRPr="00F13DA5">
        <w:rPr>
          <w:rFonts w:hint="eastAsia"/>
          <w:rtl/>
        </w:rPr>
        <w:t>המדינה</w:t>
      </w:r>
      <w:r w:rsidRPr="00F13DA5">
        <w:rPr>
          <w:rtl/>
        </w:rPr>
        <w:t>.</w:t>
      </w:r>
    </w:p>
    <w:p w14:paraId="7447892A" w14:textId="77777777" w:rsidR="00491D1E" w:rsidRDefault="00491D1E" w:rsidP="00491D1E">
      <w:pPr>
        <w:pStyle w:val="100"/>
      </w:pPr>
    </w:p>
    <w:p w14:paraId="5B2AF8DF" w14:textId="08245117" w:rsidR="00BA23AE" w:rsidRPr="00F13DA5" w:rsidRDefault="00BA23AE" w:rsidP="00491D1E">
      <w:pPr>
        <w:pStyle w:val="100"/>
        <w:rPr>
          <w:rtl/>
        </w:rPr>
      </w:pPr>
      <w:r w:rsidRPr="00F13DA5">
        <w:rPr>
          <w:rFonts w:hint="cs"/>
          <w:rtl/>
        </w:rPr>
        <w:t xml:space="preserve">מן הלוח עולה כי שיעור השחרורים בהחלטת בית המשפט בשלב מעצר הימים </w:t>
      </w:r>
      <w:r>
        <w:rPr>
          <w:rFonts w:hint="cs"/>
          <w:rtl/>
        </w:rPr>
        <w:t>שהוא</w:t>
      </w:r>
      <w:r w:rsidRPr="00F13DA5">
        <w:rPr>
          <w:rFonts w:hint="cs"/>
          <w:rtl/>
        </w:rPr>
        <w:t xml:space="preserve"> 56% בממוצע תלת-שנתי, ואילו שיעור השחרורים בהחלטת בית המשפט בשלב שבו ביקשה התביעה מעצר עד תום ההליכים המשפטיים </w:t>
      </w:r>
      <w:r>
        <w:rPr>
          <w:rFonts w:hint="cs"/>
          <w:rtl/>
        </w:rPr>
        <w:t>הוא</w:t>
      </w:r>
      <w:r w:rsidRPr="00F13DA5">
        <w:rPr>
          <w:rFonts w:hint="cs"/>
          <w:rtl/>
        </w:rPr>
        <w:t xml:space="preserve"> 35% בממוצע תלת-שנתי. עוד עולה כי ישנם עצורים שמועברים לטיפול גורמי חוץ, קרי, נמצאה עילת מעצר נוספת - מינהלית</w:t>
      </w:r>
      <w:r>
        <w:rPr>
          <w:rFonts w:hint="cs"/>
          <w:rtl/>
        </w:rPr>
        <w:t xml:space="preserve"> -</w:t>
      </w:r>
      <w:r w:rsidRPr="00F13DA5">
        <w:rPr>
          <w:rFonts w:hint="cs"/>
          <w:rtl/>
        </w:rPr>
        <w:t xml:space="preserve"> חלף עילת המעצר הפלילית. מספר עצורים אלו אינו גדול, ולרוב מסתיימים מעצריהם כבר בשלב המוקדם של מעצר </w:t>
      </w:r>
      <w:r>
        <w:rPr>
          <w:rFonts w:hint="cs"/>
          <w:rtl/>
        </w:rPr>
        <w:t>ה</w:t>
      </w:r>
      <w:r w:rsidRPr="00F13DA5">
        <w:rPr>
          <w:rFonts w:hint="cs"/>
          <w:rtl/>
        </w:rPr>
        <w:t xml:space="preserve">ימים. </w:t>
      </w:r>
    </w:p>
    <w:p w14:paraId="330AB947" w14:textId="77777777" w:rsidR="00BA23AE" w:rsidRPr="00F13DA5" w:rsidRDefault="00BA23AE" w:rsidP="00491D1E">
      <w:pPr>
        <w:pStyle w:val="af4"/>
        <w:rPr>
          <w:rtl/>
        </w:rPr>
      </w:pPr>
      <w:r>
        <w:rPr>
          <w:rFonts w:hint="cs"/>
          <w:rtl/>
        </w:rPr>
        <w:lastRenderedPageBreak/>
        <w:t xml:space="preserve">בשנים 2016 - 2018 </w:t>
      </w:r>
      <w:r w:rsidRPr="00F13DA5">
        <w:rPr>
          <w:rtl/>
        </w:rPr>
        <w:t xml:space="preserve">חלה ירידה </w:t>
      </w:r>
      <w:r w:rsidRPr="00F13DA5">
        <w:rPr>
          <w:rFonts w:hint="cs"/>
          <w:rtl/>
        </w:rPr>
        <w:t>בשיעור</w:t>
      </w:r>
      <w:r w:rsidRPr="00F13DA5">
        <w:rPr>
          <w:rtl/>
        </w:rPr>
        <w:t xml:space="preserve"> מעצרי הימים שבהם העצורים משוחררים על ידי קצין ממונה (מ-42% </w:t>
      </w:r>
      <w:r>
        <w:rPr>
          <w:rFonts w:hint="cs"/>
          <w:rtl/>
        </w:rPr>
        <w:t xml:space="preserve">בשנת 2016 </w:t>
      </w:r>
      <w:r w:rsidRPr="00F13DA5">
        <w:rPr>
          <w:rtl/>
        </w:rPr>
        <w:t>ל-38%</w:t>
      </w:r>
      <w:r>
        <w:rPr>
          <w:rFonts w:hint="cs"/>
          <w:rtl/>
        </w:rPr>
        <w:t xml:space="preserve"> בשנת 2018</w:t>
      </w:r>
      <w:r w:rsidRPr="00F13DA5">
        <w:rPr>
          <w:rtl/>
        </w:rPr>
        <w:t>)</w:t>
      </w:r>
      <w:r w:rsidRPr="00F13DA5">
        <w:rPr>
          <w:rFonts w:hint="cs"/>
          <w:rtl/>
        </w:rPr>
        <w:t>, וחלה</w:t>
      </w:r>
      <w:r w:rsidRPr="00F13DA5">
        <w:rPr>
          <w:rtl/>
        </w:rPr>
        <w:t xml:space="preserve"> עלייה </w:t>
      </w:r>
      <w:r w:rsidRPr="00F13DA5">
        <w:rPr>
          <w:rFonts w:hint="cs"/>
          <w:rtl/>
        </w:rPr>
        <w:t>בשיעור</w:t>
      </w:r>
      <w:r w:rsidRPr="00F13DA5">
        <w:rPr>
          <w:rtl/>
        </w:rPr>
        <w:t xml:space="preserve"> השחרור על ידי בית המשפט (מ-54%</w:t>
      </w:r>
      <w:r>
        <w:rPr>
          <w:rFonts w:hint="cs"/>
          <w:rtl/>
        </w:rPr>
        <w:t xml:space="preserve"> בשנת 2016</w:t>
      </w:r>
      <w:r w:rsidRPr="00F13DA5">
        <w:rPr>
          <w:rtl/>
        </w:rPr>
        <w:t xml:space="preserve"> ל-59%</w:t>
      </w:r>
      <w:r>
        <w:rPr>
          <w:rFonts w:hint="cs"/>
          <w:rtl/>
        </w:rPr>
        <w:t xml:space="preserve"> בשנת 2018</w:t>
      </w:r>
      <w:r w:rsidRPr="00F13DA5">
        <w:rPr>
          <w:rtl/>
        </w:rPr>
        <w:t xml:space="preserve">). </w:t>
      </w:r>
    </w:p>
    <w:p w14:paraId="711CA679" w14:textId="77777777" w:rsidR="00BA23AE" w:rsidRDefault="00BA23AE" w:rsidP="00BA23AE">
      <w:pPr>
        <w:spacing w:line="269" w:lineRule="auto"/>
        <w:rPr>
          <w:rtl/>
        </w:rPr>
      </w:pPr>
    </w:p>
    <w:p w14:paraId="1D4B86E9" w14:textId="67E8B2D1" w:rsidR="00BA23AE" w:rsidRDefault="00BA23AE" w:rsidP="007536B9">
      <w:pPr>
        <w:pStyle w:val="100"/>
        <w:rPr>
          <w:rtl/>
        </w:rPr>
      </w:pPr>
      <w:r w:rsidRPr="00F13DA5">
        <w:rPr>
          <w:rFonts w:hint="eastAsia"/>
          <w:rtl/>
        </w:rPr>
        <w:t>להלן</w:t>
      </w:r>
      <w:r w:rsidRPr="00F13DA5">
        <w:rPr>
          <w:rtl/>
        </w:rPr>
        <w:t xml:space="preserve"> </w:t>
      </w:r>
      <w:r w:rsidRPr="00F13DA5">
        <w:rPr>
          <w:rFonts w:hint="eastAsia"/>
          <w:rtl/>
        </w:rPr>
        <w:t>תרשים</w:t>
      </w:r>
      <w:r w:rsidRPr="00F13DA5">
        <w:rPr>
          <w:rtl/>
        </w:rPr>
        <w:t xml:space="preserve"> </w:t>
      </w:r>
      <w:r w:rsidRPr="00F13DA5">
        <w:rPr>
          <w:rFonts w:hint="eastAsia"/>
          <w:rtl/>
        </w:rPr>
        <w:t>המפרט</w:t>
      </w:r>
      <w:r w:rsidRPr="00F13DA5">
        <w:rPr>
          <w:rtl/>
        </w:rPr>
        <w:t xml:space="preserve"> </w:t>
      </w:r>
      <w:r w:rsidRPr="00F13DA5">
        <w:rPr>
          <w:rFonts w:hint="eastAsia"/>
          <w:rtl/>
        </w:rPr>
        <w:t>את</w:t>
      </w:r>
      <w:r w:rsidRPr="00F13DA5">
        <w:rPr>
          <w:rtl/>
        </w:rPr>
        <w:t xml:space="preserve"> </w:t>
      </w:r>
      <w:r w:rsidRPr="00F13DA5">
        <w:rPr>
          <w:rFonts w:hint="eastAsia"/>
          <w:rtl/>
        </w:rPr>
        <w:t>שינוי</w:t>
      </w:r>
      <w:r w:rsidRPr="00F13DA5">
        <w:rPr>
          <w:rtl/>
        </w:rPr>
        <w:t xml:space="preserve"> </w:t>
      </w:r>
      <w:r w:rsidRPr="00F13DA5">
        <w:rPr>
          <w:rFonts w:hint="eastAsia"/>
          <w:rtl/>
        </w:rPr>
        <w:t>המגמה</w:t>
      </w:r>
      <w:r w:rsidRPr="00F13DA5">
        <w:rPr>
          <w:rtl/>
        </w:rPr>
        <w:t xml:space="preserve"> בין השנים 2016 - 2018 בשיעור קבלת ההחלטות </w:t>
      </w:r>
      <w:r w:rsidRPr="00F13DA5">
        <w:rPr>
          <w:rFonts w:hint="eastAsia"/>
          <w:rtl/>
        </w:rPr>
        <w:t>על</w:t>
      </w:r>
      <w:r w:rsidRPr="00F13DA5">
        <w:rPr>
          <w:rtl/>
        </w:rPr>
        <w:t xml:space="preserve"> ידי קצין ממונה ובית המשפט </w:t>
      </w:r>
      <w:r w:rsidRPr="00F13DA5">
        <w:rPr>
          <w:rFonts w:hint="eastAsia"/>
          <w:rtl/>
        </w:rPr>
        <w:t>מתוך</w:t>
      </w:r>
      <w:r w:rsidRPr="00F13DA5">
        <w:rPr>
          <w:rtl/>
        </w:rPr>
        <w:t xml:space="preserve"> סך כל </w:t>
      </w:r>
      <w:r w:rsidRPr="00F13DA5">
        <w:rPr>
          <w:rFonts w:hint="eastAsia"/>
          <w:rtl/>
        </w:rPr>
        <w:t>מעצרי</w:t>
      </w:r>
      <w:r w:rsidRPr="00F13DA5">
        <w:rPr>
          <w:rtl/>
        </w:rPr>
        <w:t xml:space="preserve"> </w:t>
      </w:r>
      <w:r w:rsidRPr="00F13DA5">
        <w:rPr>
          <w:rFonts w:hint="eastAsia"/>
          <w:rtl/>
        </w:rPr>
        <w:t>הימים</w:t>
      </w:r>
      <w:r w:rsidRPr="00F13DA5">
        <w:rPr>
          <w:rFonts w:hint="cs"/>
          <w:rtl/>
        </w:rPr>
        <w:t>.</w:t>
      </w:r>
    </w:p>
    <w:p w14:paraId="6520FAED" w14:textId="77777777" w:rsidR="005B6E3A" w:rsidRDefault="005B6E3A" w:rsidP="007536B9">
      <w:pPr>
        <w:pStyle w:val="100"/>
        <w:rPr>
          <w:rtl/>
        </w:rPr>
      </w:pPr>
    </w:p>
    <w:p w14:paraId="4C844AF9" w14:textId="77777777" w:rsidR="00BA23AE" w:rsidRPr="00F13DA5" w:rsidRDefault="00BA23AE" w:rsidP="007536B9">
      <w:pPr>
        <w:pStyle w:val="a9"/>
        <w:rPr>
          <w:rtl/>
        </w:rPr>
      </w:pPr>
      <w:r w:rsidRPr="00F13DA5">
        <w:rPr>
          <w:rFonts w:hint="cs"/>
          <w:rtl/>
        </w:rPr>
        <w:t xml:space="preserve">תרשים 4: </w:t>
      </w:r>
      <w:r w:rsidRPr="007536B9">
        <w:rPr>
          <w:rFonts w:hint="cs"/>
          <w:b/>
          <w:bCs/>
          <w:rtl/>
        </w:rPr>
        <w:t>שיעור קבלת החלטות שחרור על ידי קצין ממונה ועל ידי בית המשפט מתוך כלל מעצרי הימים, 2016 - 2018</w:t>
      </w:r>
      <w:r w:rsidRPr="00F13DA5">
        <w:rPr>
          <w:rFonts w:hint="cs"/>
          <w:rtl/>
        </w:rPr>
        <w:t xml:space="preserve"> </w:t>
      </w:r>
      <w:r w:rsidRPr="00F13DA5">
        <w:rPr>
          <w:noProof/>
        </w:rPr>
        <w:drawing>
          <wp:inline distT="0" distB="0" distL="0" distR="0" wp14:anchorId="482B0A4F" wp14:editId="36374C65">
            <wp:extent cx="5001905" cy="2436125"/>
            <wp:effectExtent l="0" t="0" r="8255" b="2540"/>
            <wp:docPr id="40" name="תרשים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3D0482" w14:textId="77777777" w:rsidR="00BA23AE" w:rsidRPr="00DE6DCE" w:rsidRDefault="00BA23AE" w:rsidP="007536B9">
      <w:pPr>
        <w:pStyle w:val="ab"/>
        <w:rPr>
          <w:rtl/>
        </w:rPr>
      </w:pPr>
      <w:r w:rsidRPr="00DE6DCE">
        <w:rPr>
          <w:rFonts w:hint="eastAsia"/>
          <w:rtl/>
        </w:rPr>
        <w:t>על</w:t>
      </w:r>
      <w:r w:rsidRPr="00DE6DCE">
        <w:rPr>
          <w:rtl/>
        </w:rPr>
        <w:t xml:space="preserve"> </w:t>
      </w:r>
      <w:r w:rsidRPr="00DE6DCE">
        <w:rPr>
          <w:rFonts w:hint="eastAsia"/>
          <w:rtl/>
        </w:rPr>
        <w:t>פי</w:t>
      </w:r>
      <w:r w:rsidRPr="00DE6DCE">
        <w:rPr>
          <w:rtl/>
        </w:rPr>
        <w:t xml:space="preserve"> </w:t>
      </w:r>
      <w:r w:rsidRPr="00DE6DCE">
        <w:rPr>
          <w:rFonts w:hint="eastAsia"/>
          <w:rtl/>
        </w:rPr>
        <w:t>נתוני</w:t>
      </w:r>
      <w:r w:rsidRPr="00DE6DCE">
        <w:rPr>
          <w:rtl/>
        </w:rPr>
        <w:t xml:space="preserve"> </w:t>
      </w:r>
      <w:r w:rsidRPr="00DE6DCE">
        <w:rPr>
          <w:rFonts w:hint="eastAsia"/>
          <w:rtl/>
        </w:rPr>
        <w:t>המעצרים</w:t>
      </w:r>
      <w:r w:rsidRPr="00DE6DCE">
        <w:rPr>
          <w:rtl/>
        </w:rPr>
        <w:t xml:space="preserve"> </w:t>
      </w:r>
      <w:r w:rsidRPr="00DE6DCE">
        <w:rPr>
          <w:rFonts w:hint="eastAsia"/>
          <w:rtl/>
        </w:rPr>
        <w:t>ומאגר</w:t>
      </w:r>
      <w:r w:rsidRPr="00DE6DCE">
        <w:rPr>
          <w:rtl/>
        </w:rPr>
        <w:t xml:space="preserve"> </w:t>
      </w:r>
      <w:r w:rsidRPr="00DE6DCE">
        <w:rPr>
          <w:rFonts w:hint="eastAsia"/>
          <w:rtl/>
        </w:rPr>
        <w:t>ההחלטות</w:t>
      </w:r>
      <w:r w:rsidRPr="00DE6DCE">
        <w:rPr>
          <w:rtl/>
        </w:rPr>
        <w:t xml:space="preserve"> </w:t>
      </w:r>
      <w:r w:rsidRPr="00DE6DCE">
        <w:rPr>
          <w:rFonts w:hint="eastAsia"/>
          <w:rtl/>
        </w:rPr>
        <w:t>של</w:t>
      </w:r>
      <w:r w:rsidRPr="00DE6DCE">
        <w:rPr>
          <w:rtl/>
        </w:rPr>
        <w:t xml:space="preserve"> </w:t>
      </w:r>
      <w:r w:rsidRPr="00DE6DCE">
        <w:rPr>
          <w:rFonts w:hint="eastAsia"/>
          <w:rtl/>
        </w:rPr>
        <w:t>משטרת</w:t>
      </w:r>
      <w:r w:rsidRPr="00DE6DCE">
        <w:rPr>
          <w:rtl/>
        </w:rPr>
        <w:t xml:space="preserve"> </w:t>
      </w:r>
      <w:r w:rsidRPr="00DE6DCE">
        <w:rPr>
          <w:rFonts w:hint="eastAsia"/>
          <w:rtl/>
        </w:rPr>
        <w:t>ישראל</w:t>
      </w:r>
      <w:r w:rsidRPr="00DE6DCE">
        <w:rPr>
          <w:rtl/>
        </w:rPr>
        <w:t xml:space="preserve">, </w:t>
      </w:r>
      <w:r w:rsidRPr="00DE6DCE">
        <w:rPr>
          <w:rFonts w:hint="eastAsia"/>
          <w:rtl/>
        </w:rPr>
        <w:t>בעיבוד</w:t>
      </w:r>
      <w:r w:rsidRPr="00DE6DCE">
        <w:rPr>
          <w:rtl/>
        </w:rPr>
        <w:t xml:space="preserve"> </w:t>
      </w:r>
      <w:r w:rsidRPr="00DE6DCE">
        <w:rPr>
          <w:rFonts w:hint="eastAsia"/>
          <w:rtl/>
        </w:rPr>
        <w:t>משרד</w:t>
      </w:r>
      <w:r w:rsidRPr="00DE6DCE">
        <w:rPr>
          <w:rtl/>
        </w:rPr>
        <w:t xml:space="preserve"> </w:t>
      </w:r>
      <w:r w:rsidRPr="00DE6DCE">
        <w:rPr>
          <w:rFonts w:hint="eastAsia"/>
          <w:rtl/>
        </w:rPr>
        <w:t>מבקר</w:t>
      </w:r>
      <w:r w:rsidRPr="00DE6DCE">
        <w:rPr>
          <w:rtl/>
        </w:rPr>
        <w:t xml:space="preserve"> </w:t>
      </w:r>
      <w:r w:rsidRPr="00DE6DCE">
        <w:rPr>
          <w:rFonts w:hint="eastAsia"/>
          <w:rtl/>
        </w:rPr>
        <w:t>המדינה</w:t>
      </w:r>
      <w:r w:rsidRPr="00DE6DCE">
        <w:rPr>
          <w:rtl/>
        </w:rPr>
        <w:t>.</w:t>
      </w:r>
    </w:p>
    <w:p w14:paraId="635C1E88" w14:textId="77777777" w:rsidR="007536B9" w:rsidRDefault="007536B9" w:rsidP="007536B9">
      <w:pPr>
        <w:pStyle w:val="100"/>
      </w:pPr>
    </w:p>
    <w:p w14:paraId="74174188" w14:textId="77777777" w:rsidR="005B6E3A" w:rsidRDefault="005B6E3A">
      <w:pPr>
        <w:bidi w:val="0"/>
        <w:spacing w:after="200" w:line="276" w:lineRule="auto"/>
        <w:rPr>
          <w:rFonts w:ascii="Tahoma" w:hAnsi="Tahoma" w:cs="Tahoma"/>
          <w:szCs w:val="20"/>
          <w:rtl/>
        </w:rPr>
      </w:pPr>
      <w:r>
        <w:rPr>
          <w:rtl/>
        </w:rPr>
        <w:br w:type="page"/>
      </w:r>
    </w:p>
    <w:p w14:paraId="4DF04BEB" w14:textId="3D4751BB" w:rsidR="00BA23AE" w:rsidRPr="00F13DA5" w:rsidRDefault="00BA23AE" w:rsidP="007536B9">
      <w:pPr>
        <w:pStyle w:val="100"/>
      </w:pPr>
      <w:r w:rsidRPr="00F13DA5">
        <w:rPr>
          <w:rFonts w:hint="cs"/>
          <w:rtl/>
        </w:rPr>
        <w:lastRenderedPageBreak/>
        <w:t>להלן תרשים</w:t>
      </w:r>
      <w:r>
        <w:rPr>
          <w:rFonts w:hint="cs"/>
          <w:rtl/>
        </w:rPr>
        <w:t xml:space="preserve"> המציג</w:t>
      </w:r>
      <w:r w:rsidRPr="00F13DA5">
        <w:rPr>
          <w:rFonts w:hint="cs"/>
          <w:rtl/>
        </w:rPr>
        <w:t xml:space="preserve"> פילוח </w:t>
      </w:r>
      <w:r>
        <w:rPr>
          <w:rFonts w:hint="cs"/>
          <w:rtl/>
        </w:rPr>
        <w:t xml:space="preserve">של </w:t>
      </w:r>
      <w:r w:rsidRPr="00F13DA5">
        <w:rPr>
          <w:rFonts w:hint="cs"/>
          <w:rtl/>
        </w:rPr>
        <w:t>היקף המעצרים לפי אופן סיום המעצר בלבד, ללא תלות בשלב הדיוני שבו הסתיים המעצר</w:t>
      </w:r>
      <w:r>
        <w:rPr>
          <w:rFonts w:hint="cs"/>
          <w:rtl/>
        </w:rPr>
        <w:t>.</w:t>
      </w:r>
      <w:r w:rsidRPr="00F13DA5">
        <w:rPr>
          <w:rFonts w:hint="cs"/>
          <w:rtl/>
        </w:rPr>
        <w:t xml:space="preserve"> </w:t>
      </w:r>
    </w:p>
    <w:p w14:paraId="2A466E5F" w14:textId="77777777" w:rsidR="00BA23AE" w:rsidRPr="007536B9" w:rsidRDefault="00BA23AE" w:rsidP="007536B9">
      <w:pPr>
        <w:pStyle w:val="a9"/>
        <w:rPr>
          <w:b/>
          <w:bCs/>
          <w:rtl/>
        </w:rPr>
      </w:pPr>
      <w:r w:rsidRPr="00F13DA5">
        <w:rPr>
          <w:rFonts w:hint="cs"/>
          <w:rtl/>
        </w:rPr>
        <w:t xml:space="preserve">תרשים 5: </w:t>
      </w:r>
      <w:r w:rsidRPr="007536B9">
        <w:rPr>
          <w:rFonts w:hint="cs"/>
          <w:b/>
          <w:bCs/>
          <w:rtl/>
        </w:rPr>
        <w:t>היקף המעצרים, לפי אופן סיום המעצר, 2016 - 2018 (באחוזים)</w:t>
      </w:r>
    </w:p>
    <w:p w14:paraId="6B04F918" w14:textId="77777777" w:rsidR="00BA23AE" w:rsidRPr="00F13DA5" w:rsidRDefault="00BA23AE" w:rsidP="007536B9">
      <w:pPr>
        <w:pStyle w:val="a9"/>
        <w:rPr>
          <w:rtl/>
        </w:rPr>
      </w:pPr>
      <w:r>
        <w:rPr>
          <w:noProof/>
          <w:rtl/>
        </w:rPr>
        <w:drawing>
          <wp:inline distT="0" distB="0" distL="0" distR="0" wp14:anchorId="027A946A" wp14:editId="1E829F50">
            <wp:extent cx="5437219" cy="3238500"/>
            <wp:effectExtent l="0" t="0" r="0" b="0"/>
            <wp:docPr id="1992297219" name="תמונה 199229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7219" name="הטיפול המערכתי במעצרים 11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7516" cy="3244633"/>
                    </a:xfrm>
                    <a:prstGeom prst="rect">
                      <a:avLst/>
                    </a:prstGeom>
                  </pic:spPr>
                </pic:pic>
              </a:graphicData>
            </a:graphic>
          </wp:inline>
        </w:drawing>
      </w:r>
    </w:p>
    <w:p w14:paraId="38D4EB9B" w14:textId="77777777" w:rsidR="00BA23AE" w:rsidRPr="00F13DA5" w:rsidRDefault="00BA23AE" w:rsidP="007536B9">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sidRPr="00F13DA5">
        <w:rPr>
          <w:rFonts w:hint="eastAsia"/>
          <w:rtl/>
        </w:rPr>
        <w:t>נתוני</w:t>
      </w:r>
      <w:r w:rsidRPr="00F13DA5">
        <w:rPr>
          <w:rtl/>
        </w:rPr>
        <w:t xml:space="preserve"> </w:t>
      </w:r>
      <w:r w:rsidRPr="00F13DA5">
        <w:rPr>
          <w:rFonts w:hint="eastAsia"/>
          <w:rtl/>
        </w:rPr>
        <w:t>משטרת</w:t>
      </w:r>
      <w:r w:rsidRPr="00F13DA5">
        <w:rPr>
          <w:rtl/>
        </w:rPr>
        <w:t xml:space="preserve"> </w:t>
      </w:r>
      <w:r w:rsidRPr="00F13DA5">
        <w:rPr>
          <w:rFonts w:hint="eastAsia"/>
          <w:rtl/>
        </w:rPr>
        <w:t>ישראל</w:t>
      </w:r>
      <w:r w:rsidRPr="00F13DA5">
        <w:rPr>
          <w:rtl/>
        </w:rPr>
        <w:t xml:space="preserve">, </w:t>
      </w:r>
      <w:r w:rsidRPr="00F13DA5">
        <w:rPr>
          <w:rFonts w:hint="eastAsia"/>
          <w:rtl/>
        </w:rPr>
        <w:t>בעיבוד</w:t>
      </w:r>
      <w:r w:rsidRPr="00F13DA5">
        <w:rPr>
          <w:rtl/>
        </w:rPr>
        <w:t xml:space="preserve"> </w:t>
      </w:r>
      <w:r w:rsidRPr="00F13DA5">
        <w:rPr>
          <w:rFonts w:hint="eastAsia"/>
          <w:rtl/>
        </w:rPr>
        <w:t>משרד</w:t>
      </w:r>
      <w:r w:rsidRPr="00F13DA5">
        <w:rPr>
          <w:rtl/>
        </w:rPr>
        <w:t xml:space="preserve"> </w:t>
      </w:r>
      <w:r w:rsidRPr="00F13DA5">
        <w:rPr>
          <w:rFonts w:hint="eastAsia"/>
          <w:rtl/>
        </w:rPr>
        <w:t>מבקר</w:t>
      </w:r>
      <w:r w:rsidRPr="00F13DA5">
        <w:rPr>
          <w:rtl/>
        </w:rPr>
        <w:t xml:space="preserve"> </w:t>
      </w:r>
      <w:r w:rsidRPr="00F13DA5">
        <w:rPr>
          <w:rFonts w:hint="eastAsia"/>
          <w:rtl/>
        </w:rPr>
        <w:t>המדינה</w:t>
      </w:r>
      <w:r w:rsidRPr="00F13DA5">
        <w:rPr>
          <w:rtl/>
        </w:rPr>
        <w:t>.</w:t>
      </w:r>
    </w:p>
    <w:p w14:paraId="68BB20BA" w14:textId="77777777" w:rsidR="00BC65A4" w:rsidRDefault="00BC65A4" w:rsidP="00BC65A4">
      <w:pPr>
        <w:pStyle w:val="100"/>
        <w:rPr>
          <w:rtl/>
        </w:rPr>
      </w:pPr>
    </w:p>
    <w:p w14:paraId="7581251D" w14:textId="46027E7B" w:rsidR="00BA23AE" w:rsidRDefault="00BA23AE" w:rsidP="00BC65A4">
      <w:pPr>
        <w:pStyle w:val="100"/>
        <w:rPr>
          <w:rtl/>
        </w:rPr>
      </w:pPr>
      <w:r w:rsidRPr="00F13DA5">
        <w:rPr>
          <w:rFonts w:hint="cs"/>
          <w:rtl/>
        </w:rPr>
        <w:t xml:space="preserve">התרשים מראה ירידה קלה בשיעור השחרורים על ידי קצין ממונה ועלייה קלה בשיעור השחרורים שביצע בית המשפט. ואולם, בשים לב לשיעור השחרורים ב-2018 שלא תועדה בהם זהות הגורם המשחרר, לא ניתן לקבוע בוודאות מהי המגמה באופן סיום המעצר על פי זהות הגורם המשחרר. </w:t>
      </w:r>
    </w:p>
    <w:p w14:paraId="231CEA39" w14:textId="77777777" w:rsidR="00BA23AE" w:rsidRPr="00F13DA5" w:rsidRDefault="00BA23AE" w:rsidP="007536B9">
      <w:pPr>
        <w:pStyle w:val="414"/>
        <w:rPr>
          <w:rtl/>
        </w:rPr>
      </w:pPr>
      <w:r w:rsidRPr="00F13DA5">
        <w:rPr>
          <w:rFonts w:hint="cs"/>
          <w:rtl/>
        </w:rPr>
        <w:t>העבירה המיוחסת לעצור</w:t>
      </w:r>
    </w:p>
    <w:p w14:paraId="199D5AF0" w14:textId="77777777" w:rsidR="00BA23AE" w:rsidRPr="00F13DA5" w:rsidRDefault="00BA23AE" w:rsidP="007536B9">
      <w:pPr>
        <w:pStyle w:val="100"/>
        <w:rPr>
          <w:rtl/>
        </w:rPr>
      </w:pPr>
      <w:r w:rsidRPr="00F13DA5">
        <w:rPr>
          <w:rFonts w:hint="cs"/>
          <w:rtl/>
        </w:rPr>
        <w:t>במסגרת הבדיקה נבחנו כל המעצרים שהתבצעו בתקופה הנבדקת. ואולם, יש להבחין על פי דיני המעצרים בין קבוצת הכלל, המקיפה עצורים בגירים שאינם מעורבים בעבירות ביטחון, לבין הקבוצה המוחרגת מן הכלל</w:t>
      </w:r>
      <w:r>
        <w:rPr>
          <w:rFonts w:hint="cs"/>
          <w:rtl/>
        </w:rPr>
        <w:t>,</w:t>
      </w:r>
      <w:r w:rsidRPr="00F13DA5">
        <w:rPr>
          <w:rFonts w:hint="cs"/>
          <w:rtl/>
        </w:rPr>
        <w:t xml:space="preserve"> קטינים או מי שנחשדים בעבירות ביטחון. החריגה מן הכלל נוגעת, בין היתר, </w:t>
      </w:r>
      <w:r>
        <w:rPr>
          <w:rFonts w:hint="cs"/>
          <w:rtl/>
        </w:rPr>
        <w:t>ל</w:t>
      </w:r>
      <w:r w:rsidRPr="00F13DA5">
        <w:rPr>
          <w:rFonts w:hint="cs"/>
          <w:rtl/>
        </w:rPr>
        <w:t>משך ההחזקה במעצר. מתוך 174,173 מעצרים שבוצעו בשנים 2016- 2018, כ-65% מהעצורים הם ישראלים בגירים. בכ-106,000 מעצרים בשלוש שנים אלו נעצרו ישראלים בגירים בעבירות שאינן עבירות ביטחון, ובכ-8,000 מעצרים נוספים נעצרו ישראלים בגירים בגין עבירות ביטחון.</w:t>
      </w:r>
    </w:p>
    <w:p w14:paraId="25D6975C" w14:textId="77777777" w:rsidR="00BA23AE" w:rsidRPr="00F13DA5" w:rsidRDefault="00BA23AE" w:rsidP="007536B9">
      <w:pPr>
        <w:pStyle w:val="100"/>
        <w:rPr>
          <w:rtl/>
        </w:rPr>
      </w:pPr>
      <w:r w:rsidRPr="00F13DA5">
        <w:rPr>
          <w:rFonts w:hint="cs"/>
          <w:rtl/>
        </w:rPr>
        <w:t xml:space="preserve">משרד מבקר המדינה מיין את כלל המעצרים של ישראלים בגירים לפי העבירה החמורה ביותר המיוחסת לעצור. קביעת העבירה החמורה ביותר נעשתה לפי טבלת מפתח של הלשכה </w:t>
      </w:r>
      <w:r w:rsidRPr="00F13DA5">
        <w:rPr>
          <w:rFonts w:hint="cs"/>
          <w:rtl/>
        </w:rPr>
        <w:lastRenderedPageBreak/>
        <w:t xml:space="preserve">המרכזית לסטטיסטיקה, המסווגת את המעצרים לפי קבוצות העבירות - מהעבירה החמורה ביותר, המיוצגת בסולם בדרגה 1, ועד העבירה הקלה ביותר, המיוצגת בדרגה 9. </w:t>
      </w:r>
    </w:p>
    <w:p w14:paraId="302D8D35" w14:textId="77777777" w:rsidR="00BA23AE" w:rsidRPr="00F13DA5" w:rsidRDefault="00BA23AE" w:rsidP="007536B9">
      <w:pPr>
        <w:pStyle w:val="100"/>
        <w:rPr>
          <w:rtl/>
        </w:rPr>
      </w:pPr>
      <w:r w:rsidRPr="00F13DA5">
        <w:rPr>
          <w:rFonts w:hint="cs"/>
          <w:rtl/>
        </w:rPr>
        <w:t>להלן לוח המציג את המעצרים של ישראלים בגירים בשנים 2016 עד 2018 לפי</w:t>
      </w:r>
      <w:r>
        <w:rPr>
          <w:rFonts w:hint="cs"/>
          <w:rtl/>
        </w:rPr>
        <w:t xml:space="preserve"> שכיחות</w:t>
      </w:r>
      <w:r w:rsidRPr="00F13DA5">
        <w:rPr>
          <w:rFonts w:hint="cs"/>
          <w:rtl/>
        </w:rPr>
        <w:t xml:space="preserve"> העבירה החמורה ביותר שבה נחשד העצור</w:t>
      </w:r>
      <w:r>
        <w:rPr>
          <w:rFonts w:hint="cs"/>
          <w:rtl/>
        </w:rPr>
        <w:t>, לרבות עבירות ביטחון, דרגת חומרת העבירה</w:t>
      </w:r>
      <w:r w:rsidRPr="00F13DA5">
        <w:rPr>
          <w:rFonts w:hint="cs"/>
          <w:rtl/>
        </w:rPr>
        <w:t xml:space="preserve"> ובפילוח לפי שלב הדיון האחרון שאליו הוא הגיע</w:t>
      </w:r>
      <w:r>
        <w:rPr>
          <w:rFonts w:hint="cs"/>
          <w:rtl/>
        </w:rPr>
        <w:t xml:space="preserve"> (באחוזים)</w:t>
      </w:r>
      <w:r w:rsidRPr="00F13DA5">
        <w:rPr>
          <w:rFonts w:hint="cs"/>
          <w:rtl/>
        </w:rPr>
        <w:t>.</w:t>
      </w:r>
    </w:p>
    <w:p w14:paraId="2ED96730" w14:textId="77777777" w:rsidR="00BA23AE" w:rsidRPr="007536B9" w:rsidRDefault="00BA23AE" w:rsidP="007536B9">
      <w:pPr>
        <w:pStyle w:val="a9"/>
        <w:rPr>
          <w:b/>
          <w:bCs/>
          <w:rtl/>
        </w:rPr>
      </w:pPr>
      <w:r w:rsidRPr="00F13DA5">
        <w:rPr>
          <w:rFonts w:hint="cs"/>
          <w:rtl/>
        </w:rPr>
        <w:t xml:space="preserve">לוח 3: </w:t>
      </w:r>
      <w:r w:rsidRPr="007536B9">
        <w:rPr>
          <w:rFonts w:hint="cs"/>
          <w:b/>
          <w:bCs/>
          <w:rtl/>
        </w:rPr>
        <w:t>מעצר של ישראלים בגירים לפי השכיחות של העבירה החמורה ביותר המיוחסת לעצור, 2016 - 2018</w:t>
      </w:r>
    </w:p>
    <w:tbl>
      <w:tblPr>
        <w:bidiVisual/>
        <w:tblW w:w="835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2449"/>
        <w:gridCol w:w="1237"/>
        <w:gridCol w:w="1238"/>
        <w:gridCol w:w="1238"/>
        <w:gridCol w:w="1238"/>
      </w:tblGrid>
      <w:tr w:rsidR="00BA23AE" w:rsidRPr="00F13DA5" w14:paraId="6D1B8D43" w14:textId="77777777" w:rsidTr="00890A6C">
        <w:trPr>
          <w:trHeight w:val="960"/>
        </w:trPr>
        <w:tc>
          <w:tcPr>
            <w:tcW w:w="958" w:type="dxa"/>
            <w:shd w:val="clear" w:color="auto" w:fill="C6D9F1"/>
            <w:vAlign w:val="bottom"/>
            <w:hideMark/>
          </w:tcPr>
          <w:p w14:paraId="65585B27" w14:textId="77777777" w:rsidR="00BA23AE" w:rsidRPr="007536B9" w:rsidRDefault="00BA23AE" w:rsidP="007536B9">
            <w:pPr>
              <w:pStyle w:val="af0"/>
            </w:pPr>
            <w:r w:rsidRPr="007536B9">
              <w:rPr>
                <w:rFonts w:hint="cs"/>
                <w:rtl/>
              </w:rPr>
              <w:t>דרגת חומרה</w:t>
            </w:r>
          </w:p>
        </w:tc>
        <w:tc>
          <w:tcPr>
            <w:tcW w:w="2449" w:type="dxa"/>
            <w:shd w:val="clear" w:color="auto" w:fill="C6D9F1"/>
            <w:vAlign w:val="bottom"/>
            <w:hideMark/>
          </w:tcPr>
          <w:p w14:paraId="09ADC249" w14:textId="77777777" w:rsidR="00BA23AE" w:rsidRPr="007536B9" w:rsidRDefault="00BA23AE" w:rsidP="007536B9">
            <w:pPr>
              <w:pStyle w:val="af0"/>
              <w:rPr>
                <w:rtl/>
              </w:rPr>
            </w:pPr>
            <w:r w:rsidRPr="007536B9">
              <w:rPr>
                <w:rFonts w:hint="cs"/>
                <w:rtl/>
              </w:rPr>
              <w:t>העבירה החמורה ביותר במעצר</w:t>
            </w:r>
          </w:p>
        </w:tc>
        <w:tc>
          <w:tcPr>
            <w:tcW w:w="1237" w:type="dxa"/>
            <w:shd w:val="clear" w:color="auto" w:fill="C6D9F1"/>
            <w:vAlign w:val="bottom"/>
            <w:hideMark/>
          </w:tcPr>
          <w:p w14:paraId="6A031933" w14:textId="77777777" w:rsidR="00BA23AE" w:rsidRPr="007536B9" w:rsidRDefault="00BA23AE" w:rsidP="007536B9">
            <w:pPr>
              <w:pStyle w:val="af0"/>
              <w:rPr>
                <w:rtl/>
              </w:rPr>
            </w:pPr>
            <w:r w:rsidRPr="007536B9">
              <w:rPr>
                <w:rFonts w:hint="cs"/>
                <w:rtl/>
              </w:rPr>
              <w:t>מעצר ימים</w:t>
            </w:r>
          </w:p>
        </w:tc>
        <w:tc>
          <w:tcPr>
            <w:tcW w:w="1238" w:type="dxa"/>
            <w:shd w:val="clear" w:color="auto" w:fill="C6D9F1"/>
            <w:vAlign w:val="bottom"/>
            <w:hideMark/>
          </w:tcPr>
          <w:p w14:paraId="13EA9997" w14:textId="77777777" w:rsidR="00BA23AE" w:rsidRPr="007536B9" w:rsidRDefault="00BA23AE" w:rsidP="007536B9">
            <w:pPr>
              <w:pStyle w:val="af0"/>
              <w:rPr>
                <w:rtl/>
              </w:rPr>
            </w:pPr>
            <w:r w:rsidRPr="007536B9">
              <w:rPr>
                <w:rFonts w:hint="cs"/>
                <w:rtl/>
              </w:rPr>
              <w:t>מעצר עד החלטה אחרת</w:t>
            </w:r>
          </w:p>
        </w:tc>
        <w:tc>
          <w:tcPr>
            <w:tcW w:w="1238" w:type="dxa"/>
            <w:shd w:val="clear" w:color="auto" w:fill="C6D9F1"/>
            <w:vAlign w:val="bottom"/>
            <w:hideMark/>
          </w:tcPr>
          <w:p w14:paraId="2A12E417" w14:textId="77777777" w:rsidR="00BA23AE" w:rsidRPr="007536B9" w:rsidRDefault="00BA23AE" w:rsidP="007536B9">
            <w:pPr>
              <w:pStyle w:val="af0"/>
              <w:rPr>
                <w:rtl/>
              </w:rPr>
            </w:pPr>
            <w:r w:rsidRPr="007536B9">
              <w:rPr>
                <w:rFonts w:hint="cs"/>
                <w:rtl/>
              </w:rPr>
              <w:t>מעצר עד תום ההליכים</w:t>
            </w:r>
          </w:p>
        </w:tc>
        <w:tc>
          <w:tcPr>
            <w:tcW w:w="1238" w:type="dxa"/>
            <w:shd w:val="clear" w:color="auto" w:fill="C6D9F1"/>
            <w:vAlign w:val="bottom"/>
            <w:hideMark/>
          </w:tcPr>
          <w:p w14:paraId="31C4FC9B" w14:textId="77777777" w:rsidR="00BA23AE" w:rsidRPr="007536B9" w:rsidRDefault="00BA23AE" w:rsidP="007536B9">
            <w:pPr>
              <w:pStyle w:val="af0"/>
              <w:rPr>
                <w:rtl/>
              </w:rPr>
            </w:pPr>
            <w:r w:rsidRPr="007536B9">
              <w:rPr>
                <w:rFonts w:hint="cs"/>
                <w:rtl/>
              </w:rPr>
              <w:t>שכיחות העבירה</w:t>
            </w:r>
          </w:p>
        </w:tc>
      </w:tr>
      <w:tr w:rsidR="00BA23AE" w:rsidRPr="00F13DA5" w14:paraId="29FE57CA" w14:textId="77777777" w:rsidTr="00890A6C">
        <w:trPr>
          <w:trHeight w:val="330"/>
        </w:trPr>
        <w:tc>
          <w:tcPr>
            <w:tcW w:w="958" w:type="dxa"/>
            <w:shd w:val="clear" w:color="auto" w:fill="auto"/>
            <w:vAlign w:val="bottom"/>
            <w:hideMark/>
          </w:tcPr>
          <w:p w14:paraId="55074411" w14:textId="77777777" w:rsidR="00BA23AE" w:rsidRPr="00B56902" w:rsidRDefault="00BA23AE" w:rsidP="00B56902">
            <w:pPr>
              <w:pStyle w:val="B"/>
              <w:rPr>
                <w:szCs w:val="20"/>
                <w:rtl/>
              </w:rPr>
            </w:pPr>
            <w:r w:rsidRPr="00B56902">
              <w:rPr>
                <w:rFonts w:hint="cs"/>
                <w:noProof/>
                <w:szCs w:val="20"/>
                <w:rtl/>
              </w:rPr>
              <w:drawing>
                <wp:inline distT="0" distB="0" distL="0" distR="0" wp14:anchorId="0F09F7AD" wp14:editId="0C6F521C">
                  <wp:extent cx="360000" cy="187591"/>
                  <wp:effectExtent l="0" t="0" r="0" b="317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9328"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0000" cy="187591"/>
                          </a:xfrm>
                          <a:prstGeom prst="rect">
                            <a:avLst/>
                          </a:prstGeom>
                          <a:noFill/>
                          <a:ln>
                            <a:noFill/>
                          </a:ln>
                        </pic:spPr>
                      </pic:pic>
                    </a:graphicData>
                  </a:graphic>
                </wp:inline>
              </w:drawing>
            </w:r>
          </w:p>
        </w:tc>
        <w:tc>
          <w:tcPr>
            <w:tcW w:w="2449" w:type="dxa"/>
            <w:shd w:val="clear" w:color="auto" w:fill="auto"/>
            <w:noWrap/>
            <w:vAlign w:val="bottom"/>
            <w:hideMark/>
          </w:tcPr>
          <w:p w14:paraId="12CB1C6A" w14:textId="77777777" w:rsidR="00BA23AE" w:rsidRPr="00B56902" w:rsidRDefault="00BA23AE" w:rsidP="00B56902">
            <w:pPr>
              <w:pStyle w:val="B"/>
              <w:rPr>
                <w:szCs w:val="20"/>
                <w:rtl/>
              </w:rPr>
            </w:pPr>
            <w:r w:rsidRPr="00B56902">
              <w:rPr>
                <w:rFonts w:hint="cs"/>
                <w:szCs w:val="20"/>
                <w:rtl/>
              </w:rPr>
              <w:t>עבירות סדר ציבורי</w:t>
            </w:r>
          </w:p>
        </w:tc>
        <w:tc>
          <w:tcPr>
            <w:tcW w:w="1237" w:type="dxa"/>
            <w:shd w:val="clear" w:color="auto" w:fill="auto"/>
            <w:noWrap/>
            <w:vAlign w:val="bottom"/>
            <w:hideMark/>
          </w:tcPr>
          <w:p w14:paraId="150DD8FD" w14:textId="77777777" w:rsidR="00BA23AE" w:rsidRPr="00B56902" w:rsidRDefault="00BA23AE" w:rsidP="00B56902">
            <w:pPr>
              <w:pStyle w:val="R"/>
              <w:rPr>
                <w:rtl/>
              </w:rPr>
            </w:pPr>
            <w:r w:rsidRPr="00B56902">
              <w:rPr>
                <w:rFonts w:hint="cs"/>
                <w:rtl/>
              </w:rPr>
              <w:t>77%</w:t>
            </w:r>
          </w:p>
        </w:tc>
        <w:tc>
          <w:tcPr>
            <w:tcW w:w="1238" w:type="dxa"/>
            <w:shd w:val="clear" w:color="auto" w:fill="auto"/>
            <w:noWrap/>
            <w:vAlign w:val="bottom"/>
            <w:hideMark/>
          </w:tcPr>
          <w:p w14:paraId="4F4A2A84" w14:textId="77777777" w:rsidR="00BA23AE" w:rsidRPr="00B56902" w:rsidRDefault="00BA23AE" w:rsidP="00B56902">
            <w:pPr>
              <w:pStyle w:val="R"/>
              <w:rPr>
                <w:rtl/>
              </w:rPr>
            </w:pPr>
            <w:r w:rsidRPr="00B56902">
              <w:rPr>
                <w:rFonts w:hint="cs"/>
                <w:rtl/>
              </w:rPr>
              <w:t>8%</w:t>
            </w:r>
          </w:p>
        </w:tc>
        <w:tc>
          <w:tcPr>
            <w:tcW w:w="1238" w:type="dxa"/>
            <w:shd w:val="clear" w:color="auto" w:fill="auto"/>
            <w:noWrap/>
            <w:vAlign w:val="bottom"/>
            <w:hideMark/>
          </w:tcPr>
          <w:p w14:paraId="6B4DE42A" w14:textId="77777777" w:rsidR="00BA23AE" w:rsidRPr="00B56902" w:rsidRDefault="00BA23AE" w:rsidP="00B56902">
            <w:pPr>
              <w:pStyle w:val="R"/>
              <w:rPr>
                <w:rtl/>
              </w:rPr>
            </w:pPr>
            <w:r w:rsidRPr="00B56902">
              <w:rPr>
                <w:rFonts w:hint="cs"/>
                <w:rtl/>
              </w:rPr>
              <w:t>15%</w:t>
            </w:r>
          </w:p>
        </w:tc>
        <w:tc>
          <w:tcPr>
            <w:tcW w:w="1238" w:type="dxa"/>
            <w:shd w:val="clear" w:color="auto" w:fill="auto"/>
            <w:noWrap/>
            <w:vAlign w:val="bottom"/>
            <w:hideMark/>
          </w:tcPr>
          <w:p w14:paraId="263713C6" w14:textId="77777777" w:rsidR="00BA23AE" w:rsidRPr="00B56902" w:rsidRDefault="00BA23AE" w:rsidP="00B56902">
            <w:pPr>
              <w:pStyle w:val="R"/>
              <w:rPr>
                <w:rtl/>
              </w:rPr>
            </w:pPr>
            <w:r w:rsidRPr="00B56902">
              <w:rPr>
                <w:rFonts w:hint="cs"/>
                <w:rtl/>
              </w:rPr>
              <w:t>63,235</w:t>
            </w:r>
          </w:p>
        </w:tc>
      </w:tr>
      <w:tr w:rsidR="00BA23AE" w:rsidRPr="00F13DA5" w14:paraId="25C081D7" w14:textId="77777777" w:rsidTr="00890A6C">
        <w:trPr>
          <w:trHeight w:val="330"/>
        </w:trPr>
        <w:tc>
          <w:tcPr>
            <w:tcW w:w="958" w:type="dxa"/>
            <w:shd w:val="clear" w:color="auto" w:fill="auto"/>
            <w:vAlign w:val="bottom"/>
            <w:hideMark/>
          </w:tcPr>
          <w:p w14:paraId="1D7AB774" w14:textId="77777777" w:rsidR="00BA23AE" w:rsidRPr="00B56902" w:rsidRDefault="00BA23AE" w:rsidP="00B56902">
            <w:pPr>
              <w:pStyle w:val="B"/>
              <w:rPr>
                <w:szCs w:val="20"/>
                <w:rtl/>
              </w:rPr>
            </w:pPr>
            <w:r w:rsidRPr="00B56902">
              <w:rPr>
                <w:rFonts w:hint="cs"/>
                <w:noProof/>
                <w:szCs w:val="20"/>
                <w:rtl/>
              </w:rPr>
              <w:drawing>
                <wp:inline distT="0" distB="0" distL="0" distR="0" wp14:anchorId="25ADC0BC" wp14:editId="15C7A77E">
                  <wp:extent cx="360000" cy="187590"/>
                  <wp:effectExtent l="0" t="0" r="2540" b="317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96585"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449" w:type="dxa"/>
            <w:shd w:val="clear" w:color="auto" w:fill="auto"/>
            <w:noWrap/>
            <w:vAlign w:val="bottom"/>
            <w:hideMark/>
          </w:tcPr>
          <w:p w14:paraId="07DC932B" w14:textId="77777777" w:rsidR="00BA23AE" w:rsidRPr="00B56902" w:rsidRDefault="00BA23AE" w:rsidP="00B56902">
            <w:pPr>
              <w:pStyle w:val="B"/>
              <w:rPr>
                <w:szCs w:val="20"/>
                <w:rtl/>
              </w:rPr>
            </w:pPr>
            <w:r w:rsidRPr="00B56902">
              <w:rPr>
                <w:rFonts w:hint="cs"/>
                <w:szCs w:val="20"/>
                <w:rtl/>
              </w:rPr>
              <w:t>עבירות נגד גוף האדם</w:t>
            </w:r>
          </w:p>
        </w:tc>
        <w:tc>
          <w:tcPr>
            <w:tcW w:w="1237" w:type="dxa"/>
            <w:shd w:val="clear" w:color="auto" w:fill="auto"/>
            <w:noWrap/>
            <w:vAlign w:val="bottom"/>
            <w:hideMark/>
          </w:tcPr>
          <w:p w14:paraId="34068AAD" w14:textId="77777777" w:rsidR="00BA23AE" w:rsidRPr="00B56902" w:rsidRDefault="00BA23AE" w:rsidP="00B56902">
            <w:pPr>
              <w:pStyle w:val="R"/>
              <w:rPr>
                <w:rtl/>
              </w:rPr>
            </w:pPr>
            <w:r w:rsidRPr="00B56902">
              <w:rPr>
                <w:rFonts w:hint="cs"/>
                <w:rtl/>
              </w:rPr>
              <w:t>76%</w:t>
            </w:r>
          </w:p>
        </w:tc>
        <w:tc>
          <w:tcPr>
            <w:tcW w:w="1238" w:type="dxa"/>
            <w:shd w:val="clear" w:color="auto" w:fill="auto"/>
            <w:noWrap/>
            <w:vAlign w:val="bottom"/>
            <w:hideMark/>
          </w:tcPr>
          <w:p w14:paraId="7A02CF35" w14:textId="77777777" w:rsidR="00BA23AE" w:rsidRPr="00B56902" w:rsidRDefault="00BA23AE" w:rsidP="00B56902">
            <w:pPr>
              <w:pStyle w:val="R"/>
              <w:rPr>
                <w:rtl/>
              </w:rPr>
            </w:pPr>
            <w:r w:rsidRPr="00B56902">
              <w:rPr>
                <w:rFonts w:hint="cs"/>
                <w:rtl/>
              </w:rPr>
              <w:t>7%</w:t>
            </w:r>
          </w:p>
        </w:tc>
        <w:tc>
          <w:tcPr>
            <w:tcW w:w="1238" w:type="dxa"/>
            <w:shd w:val="clear" w:color="auto" w:fill="auto"/>
            <w:noWrap/>
            <w:vAlign w:val="bottom"/>
            <w:hideMark/>
          </w:tcPr>
          <w:p w14:paraId="58D42594" w14:textId="77777777" w:rsidR="00BA23AE" w:rsidRPr="00B56902" w:rsidRDefault="00BA23AE" w:rsidP="00B56902">
            <w:pPr>
              <w:pStyle w:val="R"/>
              <w:rPr>
                <w:rtl/>
              </w:rPr>
            </w:pPr>
            <w:r w:rsidRPr="00B56902">
              <w:rPr>
                <w:rFonts w:hint="cs"/>
                <w:rtl/>
              </w:rPr>
              <w:t>17%</w:t>
            </w:r>
          </w:p>
        </w:tc>
        <w:tc>
          <w:tcPr>
            <w:tcW w:w="1238" w:type="dxa"/>
            <w:shd w:val="clear" w:color="auto" w:fill="auto"/>
            <w:noWrap/>
            <w:vAlign w:val="bottom"/>
            <w:hideMark/>
          </w:tcPr>
          <w:p w14:paraId="5DB28C62" w14:textId="77777777" w:rsidR="00BA23AE" w:rsidRPr="00B56902" w:rsidRDefault="00BA23AE" w:rsidP="00B56902">
            <w:pPr>
              <w:pStyle w:val="R"/>
              <w:rPr>
                <w:rtl/>
              </w:rPr>
            </w:pPr>
            <w:r w:rsidRPr="00B56902">
              <w:rPr>
                <w:rFonts w:hint="cs"/>
                <w:rtl/>
              </w:rPr>
              <w:t>14,466</w:t>
            </w:r>
          </w:p>
        </w:tc>
      </w:tr>
      <w:tr w:rsidR="00BA23AE" w:rsidRPr="00F13DA5" w14:paraId="43BB6088" w14:textId="77777777" w:rsidTr="00890A6C">
        <w:trPr>
          <w:trHeight w:val="330"/>
        </w:trPr>
        <w:tc>
          <w:tcPr>
            <w:tcW w:w="958" w:type="dxa"/>
            <w:shd w:val="clear" w:color="auto" w:fill="auto"/>
            <w:vAlign w:val="bottom"/>
            <w:hideMark/>
          </w:tcPr>
          <w:p w14:paraId="6541E0B5" w14:textId="77777777" w:rsidR="00BA23AE" w:rsidRPr="00B56902" w:rsidRDefault="00BA23AE" w:rsidP="00B56902">
            <w:pPr>
              <w:pStyle w:val="B"/>
              <w:rPr>
                <w:szCs w:val="20"/>
                <w:rtl/>
              </w:rPr>
            </w:pPr>
            <w:r w:rsidRPr="00B56902">
              <w:rPr>
                <w:rFonts w:hint="cs"/>
                <w:noProof/>
                <w:szCs w:val="20"/>
                <w:rtl/>
              </w:rPr>
              <w:drawing>
                <wp:inline distT="0" distB="0" distL="0" distR="0" wp14:anchorId="27715348" wp14:editId="4194C813">
                  <wp:extent cx="360000" cy="187590"/>
                  <wp:effectExtent l="0" t="0" r="2540" b="3175"/>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5368"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449" w:type="dxa"/>
            <w:shd w:val="clear" w:color="auto" w:fill="auto"/>
            <w:noWrap/>
            <w:vAlign w:val="bottom"/>
            <w:hideMark/>
          </w:tcPr>
          <w:p w14:paraId="2B566429" w14:textId="77777777" w:rsidR="00BA23AE" w:rsidRPr="00B56902" w:rsidRDefault="00BA23AE" w:rsidP="00B56902">
            <w:pPr>
              <w:pStyle w:val="B"/>
              <w:rPr>
                <w:szCs w:val="20"/>
                <w:rtl/>
              </w:rPr>
            </w:pPr>
            <w:r w:rsidRPr="00B56902">
              <w:rPr>
                <w:rFonts w:hint="cs"/>
                <w:szCs w:val="20"/>
                <w:rtl/>
              </w:rPr>
              <w:t>עבירות רכוש</w:t>
            </w:r>
          </w:p>
        </w:tc>
        <w:tc>
          <w:tcPr>
            <w:tcW w:w="1237" w:type="dxa"/>
            <w:shd w:val="clear" w:color="auto" w:fill="auto"/>
            <w:noWrap/>
            <w:vAlign w:val="bottom"/>
            <w:hideMark/>
          </w:tcPr>
          <w:p w14:paraId="2C4D3BA8" w14:textId="77777777" w:rsidR="00BA23AE" w:rsidRPr="00B56902" w:rsidRDefault="00BA23AE" w:rsidP="00B56902">
            <w:pPr>
              <w:pStyle w:val="R"/>
              <w:rPr>
                <w:rtl/>
              </w:rPr>
            </w:pPr>
            <w:r w:rsidRPr="00B56902">
              <w:rPr>
                <w:rFonts w:hint="cs"/>
                <w:rtl/>
              </w:rPr>
              <w:t>75%</w:t>
            </w:r>
          </w:p>
        </w:tc>
        <w:tc>
          <w:tcPr>
            <w:tcW w:w="1238" w:type="dxa"/>
            <w:shd w:val="clear" w:color="auto" w:fill="auto"/>
            <w:noWrap/>
            <w:vAlign w:val="bottom"/>
            <w:hideMark/>
          </w:tcPr>
          <w:p w14:paraId="29F66FCE" w14:textId="77777777" w:rsidR="00BA23AE" w:rsidRPr="00B56902" w:rsidRDefault="00BA23AE" w:rsidP="00B56902">
            <w:pPr>
              <w:pStyle w:val="R"/>
              <w:rPr>
                <w:rtl/>
              </w:rPr>
            </w:pPr>
            <w:r w:rsidRPr="00B56902">
              <w:rPr>
                <w:rFonts w:hint="cs"/>
                <w:rtl/>
              </w:rPr>
              <w:t>7%</w:t>
            </w:r>
          </w:p>
        </w:tc>
        <w:tc>
          <w:tcPr>
            <w:tcW w:w="1238" w:type="dxa"/>
            <w:shd w:val="clear" w:color="auto" w:fill="auto"/>
            <w:noWrap/>
            <w:vAlign w:val="bottom"/>
            <w:hideMark/>
          </w:tcPr>
          <w:p w14:paraId="6E2BE828" w14:textId="77777777" w:rsidR="00BA23AE" w:rsidRPr="00B56902" w:rsidRDefault="00BA23AE" w:rsidP="00B56902">
            <w:pPr>
              <w:pStyle w:val="R"/>
              <w:rPr>
                <w:rtl/>
              </w:rPr>
            </w:pPr>
            <w:r w:rsidRPr="00B56902">
              <w:rPr>
                <w:rFonts w:hint="cs"/>
                <w:rtl/>
              </w:rPr>
              <w:t>18%</w:t>
            </w:r>
          </w:p>
        </w:tc>
        <w:tc>
          <w:tcPr>
            <w:tcW w:w="1238" w:type="dxa"/>
            <w:shd w:val="clear" w:color="auto" w:fill="auto"/>
            <w:noWrap/>
            <w:vAlign w:val="bottom"/>
            <w:hideMark/>
          </w:tcPr>
          <w:p w14:paraId="25763AD2" w14:textId="77777777" w:rsidR="00BA23AE" w:rsidRPr="00B56902" w:rsidRDefault="00BA23AE" w:rsidP="00B56902">
            <w:pPr>
              <w:pStyle w:val="R"/>
              <w:rPr>
                <w:rtl/>
              </w:rPr>
            </w:pPr>
            <w:r w:rsidRPr="00B56902">
              <w:rPr>
                <w:rFonts w:hint="cs"/>
                <w:rtl/>
              </w:rPr>
              <w:t>14,257</w:t>
            </w:r>
          </w:p>
        </w:tc>
      </w:tr>
      <w:tr w:rsidR="00BA23AE" w:rsidRPr="00F13DA5" w14:paraId="02C526CF" w14:textId="77777777" w:rsidTr="00890A6C">
        <w:trPr>
          <w:trHeight w:val="330"/>
        </w:trPr>
        <w:tc>
          <w:tcPr>
            <w:tcW w:w="958" w:type="dxa"/>
            <w:shd w:val="clear" w:color="auto" w:fill="auto"/>
            <w:vAlign w:val="bottom"/>
            <w:hideMark/>
          </w:tcPr>
          <w:p w14:paraId="06731DDF" w14:textId="77777777" w:rsidR="00BA23AE" w:rsidRPr="00B56902" w:rsidRDefault="00BA23AE" w:rsidP="00B56902">
            <w:pPr>
              <w:pStyle w:val="B"/>
              <w:rPr>
                <w:szCs w:val="20"/>
                <w:rtl/>
              </w:rPr>
            </w:pPr>
            <w:r w:rsidRPr="00B56902">
              <w:rPr>
                <w:rFonts w:hint="cs"/>
                <w:noProof/>
                <w:szCs w:val="20"/>
                <w:rtl/>
              </w:rPr>
              <w:drawing>
                <wp:inline distT="0" distB="0" distL="0" distR="0" wp14:anchorId="03CC4F5B" wp14:editId="500D105A">
                  <wp:extent cx="360000" cy="187590"/>
                  <wp:effectExtent l="0" t="0" r="2540" b="3175"/>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90801"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449" w:type="dxa"/>
            <w:shd w:val="clear" w:color="auto" w:fill="auto"/>
            <w:noWrap/>
            <w:vAlign w:val="bottom"/>
            <w:hideMark/>
          </w:tcPr>
          <w:p w14:paraId="094DAD09" w14:textId="77777777" w:rsidR="00BA23AE" w:rsidRPr="00B56902" w:rsidRDefault="00BA23AE" w:rsidP="00B56902">
            <w:pPr>
              <w:pStyle w:val="B"/>
              <w:rPr>
                <w:szCs w:val="20"/>
                <w:rtl/>
              </w:rPr>
            </w:pPr>
            <w:r w:rsidRPr="00B56902">
              <w:rPr>
                <w:rFonts w:hint="cs"/>
                <w:szCs w:val="20"/>
                <w:rtl/>
              </w:rPr>
              <w:t>עבירות מוסר</w:t>
            </w:r>
          </w:p>
        </w:tc>
        <w:tc>
          <w:tcPr>
            <w:tcW w:w="1237" w:type="dxa"/>
            <w:shd w:val="clear" w:color="auto" w:fill="auto"/>
            <w:noWrap/>
            <w:vAlign w:val="bottom"/>
            <w:hideMark/>
          </w:tcPr>
          <w:p w14:paraId="03F3EE84" w14:textId="77777777" w:rsidR="00BA23AE" w:rsidRPr="00B56902" w:rsidRDefault="00BA23AE" w:rsidP="00B56902">
            <w:pPr>
              <w:pStyle w:val="R"/>
              <w:rPr>
                <w:rtl/>
              </w:rPr>
            </w:pPr>
            <w:r w:rsidRPr="00B56902">
              <w:rPr>
                <w:rFonts w:hint="cs"/>
                <w:rtl/>
              </w:rPr>
              <w:t>64%</w:t>
            </w:r>
          </w:p>
        </w:tc>
        <w:tc>
          <w:tcPr>
            <w:tcW w:w="1238" w:type="dxa"/>
            <w:shd w:val="clear" w:color="auto" w:fill="auto"/>
            <w:noWrap/>
            <w:vAlign w:val="bottom"/>
            <w:hideMark/>
          </w:tcPr>
          <w:p w14:paraId="4011F2EE" w14:textId="77777777" w:rsidR="00BA23AE" w:rsidRPr="00B56902" w:rsidRDefault="00BA23AE" w:rsidP="00B56902">
            <w:pPr>
              <w:pStyle w:val="R"/>
              <w:rPr>
                <w:rtl/>
              </w:rPr>
            </w:pPr>
            <w:r w:rsidRPr="00B56902">
              <w:rPr>
                <w:rFonts w:hint="cs"/>
                <w:rtl/>
              </w:rPr>
              <w:t>9%</w:t>
            </w:r>
          </w:p>
        </w:tc>
        <w:tc>
          <w:tcPr>
            <w:tcW w:w="1238" w:type="dxa"/>
            <w:shd w:val="clear" w:color="auto" w:fill="auto"/>
            <w:noWrap/>
            <w:vAlign w:val="bottom"/>
            <w:hideMark/>
          </w:tcPr>
          <w:p w14:paraId="0BA1580D" w14:textId="77777777" w:rsidR="00BA23AE" w:rsidRPr="00B56902" w:rsidRDefault="00BA23AE" w:rsidP="00B56902">
            <w:pPr>
              <w:pStyle w:val="R"/>
              <w:rPr>
                <w:rtl/>
              </w:rPr>
            </w:pPr>
            <w:r w:rsidRPr="00B56902">
              <w:rPr>
                <w:rFonts w:hint="cs"/>
                <w:rtl/>
              </w:rPr>
              <w:t>27%</w:t>
            </w:r>
          </w:p>
        </w:tc>
        <w:tc>
          <w:tcPr>
            <w:tcW w:w="1238" w:type="dxa"/>
            <w:shd w:val="clear" w:color="auto" w:fill="auto"/>
            <w:noWrap/>
            <w:vAlign w:val="bottom"/>
            <w:hideMark/>
          </w:tcPr>
          <w:p w14:paraId="47BB980E" w14:textId="77777777" w:rsidR="00BA23AE" w:rsidRPr="00B56902" w:rsidRDefault="00BA23AE" w:rsidP="00B56902">
            <w:pPr>
              <w:pStyle w:val="R"/>
              <w:rPr>
                <w:rtl/>
              </w:rPr>
            </w:pPr>
            <w:r w:rsidRPr="00B56902">
              <w:rPr>
                <w:rFonts w:hint="cs"/>
                <w:rtl/>
              </w:rPr>
              <w:t>10,683</w:t>
            </w:r>
          </w:p>
        </w:tc>
      </w:tr>
      <w:tr w:rsidR="00BA23AE" w:rsidRPr="00F13DA5" w14:paraId="2A5FF55C" w14:textId="77777777" w:rsidTr="00890A6C">
        <w:trPr>
          <w:trHeight w:val="330"/>
        </w:trPr>
        <w:tc>
          <w:tcPr>
            <w:tcW w:w="958" w:type="dxa"/>
            <w:shd w:val="clear" w:color="auto" w:fill="auto"/>
            <w:vAlign w:val="bottom"/>
            <w:hideMark/>
          </w:tcPr>
          <w:p w14:paraId="606E7EE1" w14:textId="77777777" w:rsidR="00BA23AE" w:rsidRPr="00B56902" w:rsidRDefault="00BA23AE" w:rsidP="00B56902">
            <w:pPr>
              <w:pStyle w:val="B"/>
              <w:rPr>
                <w:szCs w:val="20"/>
                <w:rtl/>
              </w:rPr>
            </w:pPr>
            <w:r w:rsidRPr="00B56902">
              <w:rPr>
                <w:rFonts w:hint="cs"/>
                <w:noProof/>
                <w:szCs w:val="20"/>
                <w:rtl/>
              </w:rPr>
              <w:drawing>
                <wp:inline distT="0" distB="0" distL="0" distR="0" wp14:anchorId="203932AD" wp14:editId="4D59D27D">
                  <wp:extent cx="360000" cy="187590"/>
                  <wp:effectExtent l="0" t="0" r="2540" b="3175"/>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39188"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449" w:type="dxa"/>
            <w:shd w:val="clear" w:color="auto" w:fill="auto"/>
            <w:noWrap/>
            <w:vAlign w:val="bottom"/>
            <w:hideMark/>
          </w:tcPr>
          <w:p w14:paraId="0A0679FA" w14:textId="77777777" w:rsidR="00BA23AE" w:rsidRPr="00B56902" w:rsidRDefault="00BA23AE" w:rsidP="00B56902">
            <w:pPr>
              <w:pStyle w:val="B"/>
              <w:rPr>
                <w:szCs w:val="20"/>
                <w:rtl/>
              </w:rPr>
            </w:pPr>
            <w:r w:rsidRPr="00B56902">
              <w:rPr>
                <w:rFonts w:hint="cs"/>
                <w:szCs w:val="20"/>
                <w:rtl/>
              </w:rPr>
              <w:t>עבירות ביטחון</w:t>
            </w:r>
          </w:p>
        </w:tc>
        <w:tc>
          <w:tcPr>
            <w:tcW w:w="1237" w:type="dxa"/>
            <w:shd w:val="clear" w:color="auto" w:fill="auto"/>
            <w:noWrap/>
            <w:vAlign w:val="bottom"/>
            <w:hideMark/>
          </w:tcPr>
          <w:p w14:paraId="35821615" w14:textId="77777777" w:rsidR="00BA23AE" w:rsidRPr="00B56902" w:rsidRDefault="00BA23AE" w:rsidP="00B56902">
            <w:pPr>
              <w:pStyle w:val="R"/>
              <w:rPr>
                <w:rtl/>
              </w:rPr>
            </w:pPr>
            <w:r w:rsidRPr="00B56902">
              <w:rPr>
                <w:rFonts w:hint="cs"/>
                <w:rtl/>
              </w:rPr>
              <w:t>78%</w:t>
            </w:r>
          </w:p>
        </w:tc>
        <w:tc>
          <w:tcPr>
            <w:tcW w:w="1238" w:type="dxa"/>
            <w:shd w:val="clear" w:color="auto" w:fill="auto"/>
            <w:noWrap/>
            <w:vAlign w:val="bottom"/>
            <w:hideMark/>
          </w:tcPr>
          <w:p w14:paraId="5A95E830" w14:textId="77777777" w:rsidR="00BA23AE" w:rsidRPr="00B56902" w:rsidRDefault="00BA23AE" w:rsidP="00B56902">
            <w:pPr>
              <w:pStyle w:val="R"/>
              <w:rPr>
                <w:rtl/>
              </w:rPr>
            </w:pPr>
            <w:r w:rsidRPr="00B56902">
              <w:rPr>
                <w:rFonts w:hint="cs"/>
                <w:rtl/>
              </w:rPr>
              <w:t>6%</w:t>
            </w:r>
          </w:p>
        </w:tc>
        <w:tc>
          <w:tcPr>
            <w:tcW w:w="1238" w:type="dxa"/>
            <w:shd w:val="clear" w:color="auto" w:fill="auto"/>
            <w:noWrap/>
            <w:vAlign w:val="bottom"/>
            <w:hideMark/>
          </w:tcPr>
          <w:p w14:paraId="43F95AFF" w14:textId="77777777" w:rsidR="00BA23AE" w:rsidRPr="00B56902" w:rsidRDefault="00BA23AE" w:rsidP="00B56902">
            <w:pPr>
              <w:pStyle w:val="R"/>
              <w:rPr>
                <w:rtl/>
              </w:rPr>
            </w:pPr>
            <w:r w:rsidRPr="00B56902">
              <w:rPr>
                <w:rFonts w:hint="cs"/>
                <w:rtl/>
              </w:rPr>
              <w:t>16%</w:t>
            </w:r>
          </w:p>
        </w:tc>
        <w:tc>
          <w:tcPr>
            <w:tcW w:w="1238" w:type="dxa"/>
            <w:shd w:val="clear" w:color="auto" w:fill="auto"/>
            <w:noWrap/>
            <w:vAlign w:val="bottom"/>
            <w:hideMark/>
          </w:tcPr>
          <w:p w14:paraId="5024AF25" w14:textId="77777777" w:rsidR="00BA23AE" w:rsidRPr="00B56902" w:rsidRDefault="00BA23AE" w:rsidP="00B56902">
            <w:pPr>
              <w:pStyle w:val="R"/>
              <w:rPr>
                <w:rtl/>
              </w:rPr>
            </w:pPr>
            <w:r w:rsidRPr="00B56902">
              <w:rPr>
                <w:rFonts w:hint="cs"/>
                <w:rtl/>
              </w:rPr>
              <w:t>8,064</w:t>
            </w:r>
          </w:p>
        </w:tc>
      </w:tr>
      <w:tr w:rsidR="00BA23AE" w:rsidRPr="00F13DA5" w14:paraId="2E0A6B50" w14:textId="77777777" w:rsidTr="00890A6C">
        <w:trPr>
          <w:trHeight w:val="330"/>
        </w:trPr>
        <w:tc>
          <w:tcPr>
            <w:tcW w:w="958" w:type="dxa"/>
            <w:shd w:val="clear" w:color="auto" w:fill="auto"/>
            <w:vAlign w:val="bottom"/>
            <w:hideMark/>
          </w:tcPr>
          <w:p w14:paraId="3E5498DF" w14:textId="77777777" w:rsidR="00BA23AE" w:rsidRPr="00B56902" w:rsidRDefault="00BA23AE" w:rsidP="00B56902">
            <w:pPr>
              <w:pStyle w:val="B"/>
              <w:rPr>
                <w:szCs w:val="20"/>
                <w:rtl/>
              </w:rPr>
            </w:pPr>
            <w:r w:rsidRPr="00B56902">
              <w:rPr>
                <w:rFonts w:hint="cs"/>
                <w:noProof/>
                <w:szCs w:val="20"/>
                <w:rtl/>
              </w:rPr>
              <w:drawing>
                <wp:inline distT="0" distB="0" distL="0" distR="0" wp14:anchorId="09ECF5BB" wp14:editId="629BC51F">
                  <wp:extent cx="360000" cy="187590"/>
                  <wp:effectExtent l="0" t="0" r="2540" b="3175"/>
                  <wp:docPr id="25"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04972"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449" w:type="dxa"/>
            <w:shd w:val="clear" w:color="auto" w:fill="auto"/>
            <w:noWrap/>
            <w:vAlign w:val="bottom"/>
            <w:hideMark/>
          </w:tcPr>
          <w:p w14:paraId="4E7983AB" w14:textId="77777777" w:rsidR="00BA23AE" w:rsidRPr="00B56902" w:rsidRDefault="00BA23AE" w:rsidP="00B56902">
            <w:pPr>
              <w:pStyle w:val="B"/>
              <w:rPr>
                <w:szCs w:val="20"/>
                <w:rtl/>
              </w:rPr>
            </w:pPr>
            <w:r w:rsidRPr="00B56902">
              <w:rPr>
                <w:rFonts w:hint="cs"/>
                <w:szCs w:val="20"/>
                <w:rtl/>
              </w:rPr>
              <w:t>עבירות מין</w:t>
            </w:r>
          </w:p>
        </w:tc>
        <w:tc>
          <w:tcPr>
            <w:tcW w:w="1237" w:type="dxa"/>
            <w:shd w:val="clear" w:color="auto" w:fill="auto"/>
            <w:noWrap/>
            <w:vAlign w:val="bottom"/>
            <w:hideMark/>
          </w:tcPr>
          <w:p w14:paraId="26BD1D1A" w14:textId="77777777" w:rsidR="00BA23AE" w:rsidRPr="00B56902" w:rsidRDefault="00BA23AE" w:rsidP="00B56902">
            <w:pPr>
              <w:pStyle w:val="R"/>
              <w:rPr>
                <w:rtl/>
              </w:rPr>
            </w:pPr>
            <w:r w:rsidRPr="00B56902">
              <w:rPr>
                <w:rFonts w:hint="cs"/>
                <w:rtl/>
              </w:rPr>
              <w:t>68%</w:t>
            </w:r>
          </w:p>
        </w:tc>
        <w:tc>
          <w:tcPr>
            <w:tcW w:w="1238" w:type="dxa"/>
            <w:shd w:val="clear" w:color="auto" w:fill="auto"/>
            <w:noWrap/>
            <w:vAlign w:val="bottom"/>
            <w:hideMark/>
          </w:tcPr>
          <w:p w14:paraId="40122A17" w14:textId="77777777" w:rsidR="00BA23AE" w:rsidRPr="00B56902" w:rsidRDefault="00BA23AE" w:rsidP="00B56902">
            <w:pPr>
              <w:pStyle w:val="R"/>
              <w:rPr>
                <w:rtl/>
              </w:rPr>
            </w:pPr>
            <w:r w:rsidRPr="00B56902">
              <w:rPr>
                <w:rFonts w:hint="cs"/>
                <w:rtl/>
              </w:rPr>
              <w:t>11%</w:t>
            </w:r>
          </w:p>
        </w:tc>
        <w:tc>
          <w:tcPr>
            <w:tcW w:w="1238" w:type="dxa"/>
            <w:shd w:val="clear" w:color="auto" w:fill="auto"/>
            <w:noWrap/>
            <w:vAlign w:val="bottom"/>
            <w:hideMark/>
          </w:tcPr>
          <w:p w14:paraId="13E57E50" w14:textId="77777777" w:rsidR="00BA23AE" w:rsidRPr="00B56902" w:rsidRDefault="00BA23AE" w:rsidP="00B56902">
            <w:pPr>
              <w:pStyle w:val="R"/>
              <w:rPr>
                <w:rtl/>
              </w:rPr>
            </w:pPr>
            <w:r w:rsidRPr="00B56902">
              <w:rPr>
                <w:rFonts w:hint="cs"/>
                <w:rtl/>
              </w:rPr>
              <w:t>21%</w:t>
            </w:r>
          </w:p>
        </w:tc>
        <w:tc>
          <w:tcPr>
            <w:tcW w:w="1238" w:type="dxa"/>
            <w:shd w:val="clear" w:color="auto" w:fill="auto"/>
            <w:noWrap/>
            <w:vAlign w:val="bottom"/>
            <w:hideMark/>
          </w:tcPr>
          <w:p w14:paraId="662B8140" w14:textId="77777777" w:rsidR="00BA23AE" w:rsidRPr="00B56902" w:rsidRDefault="00BA23AE" w:rsidP="00B56902">
            <w:pPr>
              <w:pStyle w:val="R"/>
              <w:rPr>
                <w:rtl/>
              </w:rPr>
            </w:pPr>
            <w:r w:rsidRPr="00B56902">
              <w:rPr>
                <w:rFonts w:hint="cs"/>
                <w:rtl/>
              </w:rPr>
              <w:t>2,139</w:t>
            </w:r>
          </w:p>
        </w:tc>
      </w:tr>
      <w:tr w:rsidR="00BA23AE" w:rsidRPr="00F13DA5" w14:paraId="63431E4D" w14:textId="77777777" w:rsidTr="00890A6C">
        <w:trPr>
          <w:trHeight w:val="330"/>
        </w:trPr>
        <w:tc>
          <w:tcPr>
            <w:tcW w:w="958" w:type="dxa"/>
            <w:shd w:val="clear" w:color="auto" w:fill="auto"/>
            <w:vAlign w:val="bottom"/>
            <w:hideMark/>
          </w:tcPr>
          <w:p w14:paraId="60C3A797" w14:textId="77777777" w:rsidR="00BA23AE" w:rsidRPr="00B56902" w:rsidRDefault="00BA23AE" w:rsidP="00B56902">
            <w:pPr>
              <w:pStyle w:val="B"/>
              <w:rPr>
                <w:szCs w:val="20"/>
                <w:rtl/>
              </w:rPr>
            </w:pPr>
            <w:r w:rsidRPr="00B56902">
              <w:rPr>
                <w:rFonts w:hint="cs"/>
                <w:noProof/>
                <w:szCs w:val="20"/>
                <w:rtl/>
              </w:rPr>
              <w:drawing>
                <wp:inline distT="0" distB="0" distL="0" distR="0" wp14:anchorId="0CE62D54" wp14:editId="756594AD">
                  <wp:extent cx="360000" cy="187590"/>
                  <wp:effectExtent l="0" t="0" r="2540" b="3175"/>
                  <wp:docPr id="3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95309"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449" w:type="dxa"/>
            <w:shd w:val="clear" w:color="auto" w:fill="auto"/>
            <w:noWrap/>
            <w:vAlign w:val="bottom"/>
            <w:hideMark/>
          </w:tcPr>
          <w:p w14:paraId="4D01294A" w14:textId="77777777" w:rsidR="00BA23AE" w:rsidRPr="00B56902" w:rsidRDefault="00BA23AE" w:rsidP="00B56902">
            <w:pPr>
              <w:pStyle w:val="B"/>
              <w:rPr>
                <w:szCs w:val="20"/>
                <w:rtl/>
              </w:rPr>
            </w:pPr>
            <w:r w:rsidRPr="00B56902">
              <w:rPr>
                <w:rFonts w:hint="cs"/>
                <w:szCs w:val="20"/>
                <w:rtl/>
              </w:rPr>
              <w:t>עבירות מרמה</w:t>
            </w:r>
          </w:p>
        </w:tc>
        <w:tc>
          <w:tcPr>
            <w:tcW w:w="1237" w:type="dxa"/>
            <w:shd w:val="clear" w:color="auto" w:fill="auto"/>
            <w:noWrap/>
            <w:vAlign w:val="bottom"/>
            <w:hideMark/>
          </w:tcPr>
          <w:p w14:paraId="4099E921" w14:textId="77777777" w:rsidR="00BA23AE" w:rsidRPr="00B56902" w:rsidRDefault="00BA23AE" w:rsidP="00B56902">
            <w:pPr>
              <w:pStyle w:val="R"/>
              <w:rPr>
                <w:rtl/>
              </w:rPr>
            </w:pPr>
            <w:r w:rsidRPr="00B56902">
              <w:rPr>
                <w:rFonts w:hint="cs"/>
                <w:rtl/>
              </w:rPr>
              <w:t>80%</w:t>
            </w:r>
          </w:p>
        </w:tc>
        <w:tc>
          <w:tcPr>
            <w:tcW w:w="1238" w:type="dxa"/>
            <w:shd w:val="clear" w:color="auto" w:fill="auto"/>
            <w:noWrap/>
            <w:vAlign w:val="bottom"/>
            <w:hideMark/>
          </w:tcPr>
          <w:p w14:paraId="6B916A62" w14:textId="77777777" w:rsidR="00BA23AE" w:rsidRPr="00B56902" w:rsidRDefault="00BA23AE" w:rsidP="00B56902">
            <w:pPr>
              <w:pStyle w:val="R"/>
              <w:rPr>
                <w:rtl/>
              </w:rPr>
            </w:pPr>
            <w:r w:rsidRPr="00B56902">
              <w:rPr>
                <w:rFonts w:hint="cs"/>
                <w:rtl/>
              </w:rPr>
              <w:t>8%</w:t>
            </w:r>
          </w:p>
        </w:tc>
        <w:tc>
          <w:tcPr>
            <w:tcW w:w="1238" w:type="dxa"/>
            <w:shd w:val="clear" w:color="auto" w:fill="auto"/>
            <w:noWrap/>
            <w:vAlign w:val="bottom"/>
            <w:hideMark/>
          </w:tcPr>
          <w:p w14:paraId="44AB11CF" w14:textId="77777777" w:rsidR="00BA23AE" w:rsidRPr="00B56902" w:rsidRDefault="00BA23AE" w:rsidP="00B56902">
            <w:pPr>
              <w:pStyle w:val="R"/>
              <w:rPr>
                <w:rtl/>
              </w:rPr>
            </w:pPr>
            <w:r w:rsidRPr="00B56902">
              <w:rPr>
                <w:rFonts w:hint="cs"/>
                <w:rtl/>
              </w:rPr>
              <w:t>12%</w:t>
            </w:r>
          </w:p>
        </w:tc>
        <w:tc>
          <w:tcPr>
            <w:tcW w:w="1238" w:type="dxa"/>
            <w:shd w:val="clear" w:color="auto" w:fill="auto"/>
            <w:noWrap/>
            <w:vAlign w:val="bottom"/>
            <w:hideMark/>
          </w:tcPr>
          <w:p w14:paraId="71D714BA" w14:textId="77777777" w:rsidR="00BA23AE" w:rsidRPr="00B56902" w:rsidRDefault="00BA23AE" w:rsidP="00B56902">
            <w:pPr>
              <w:pStyle w:val="R"/>
              <w:rPr>
                <w:rtl/>
              </w:rPr>
            </w:pPr>
            <w:r w:rsidRPr="00B56902">
              <w:rPr>
                <w:rFonts w:hint="cs"/>
                <w:rtl/>
              </w:rPr>
              <w:t>817</w:t>
            </w:r>
          </w:p>
        </w:tc>
      </w:tr>
      <w:tr w:rsidR="00BA23AE" w:rsidRPr="00F13DA5" w14:paraId="6179B7C5" w14:textId="77777777" w:rsidTr="00890A6C">
        <w:trPr>
          <w:trHeight w:val="330"/>
        </w:trPr>
        <w:tc>
          <w:tcPr>
            <w:tcW w:w="958" w:type="dxa"/>
            <w:shd w:val="clear" w:color="auto" w:fill="auto"/>
            <w:vAlign w:val="bottom"/>
            <w:hideMark/>
          </w:tcPr>
          <w:p w14:paraId="20EE5E32" w14:textId="77777777" w:rsidR="00BA23AE" w:rsidRPr="00B56902" w:rsidRDefault="00BA23AE" w:rsidP="00B56902">
            <w:pPr>
              <w:pStyle w:val="B"/>
              <w:rPr>
                <w:szCs w:val="20"/>
                <w:rtl/>
              </w:rPr>
            </w:pPr>
            <w:r w:rsidRPr="00B56902">
              <w:rPr>
                <w:rFonts w:hint="cs"/>
                <w:noProof/>
                <w:szCs w:val="20"/>
                <w:rtl/>
              </w:rPr>
              <w:drawing>
                <wp:inline distT="0" distB="0" distL="0" distR="0" wp14:anchorId="5505B4A5" wp14:editId="56F00B43">
                  <wp:extent cx="360000" cy="187590"/>
                  <wp:effectExtent l="0" t="0" r="2540" b="3175"/>
                  <wp:docPr id="3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09932"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449" w:type="dxa"/>
            <w:shd w:val="clear" w:color="auto" w:fill="auto"/>
            <w:noWrap/>
            <w:vAlign w:val="bottom"/>
            <w:hideMark/>
          </w:tcPr>
          <w:p w14:paraId="73A05F0E" w14:textId="77777777" w:rsidR="00BA23AE" w:rsidRPr="00B56902" w:rsidRDefault="00BA23AE" w:rsidP="00B56902">
            <w:pPr>
              <w:pStyle w:val="B"/>
              <w:rPr>
                <w:szCs w:val="20"/>
                <w:rtl/>
              </w:rPr>
            </w:pPr>
            <w:r w:rsidRPr="00B56902">
              <w:rPr>
                <w:rFonts w:hint="cs"/>
                <w:szCs w:val="20"/>
                <w:rtl/>
              </w:rPr>
              <w:t>עבירות כנגד חיי אדם</w:t>
            </w:r>
          </w:p>
        </w:tc>
        <w:tc>
          <w:tcPr>
            <w:tcW w:w="1237" w:type="dxa"/>
            <w:shd w:val="clear" w:color="auto" w:fill="auto"/>
            <w:noWrap/>
            <w:vAlign w:val="bottom"/>
            <w:hideMark/>
          </w:tcPr>
          <w:p w14:paraId="6A6B9372" w14:textId="77777777" w:rsidR="00BA23AE" w:rsidRPr="00B56902" w:rsidRDefault="00BA23AE" w:rsidP="00B56902">
            <w:pPr>
              <w:pStyle w:val="R"/>
              <w:rPr>
                <w:rtl/>
              </w:rPr>
            </w:pPr>
            <w:r w:rsidRPr="00B56902">
              <w:rPr>
                <w:rFonts w:hint="cs"/>
                <w:rtl/>
              </w:rPr>
              <w:t>70%</w:t>
            </w:r>
          </w:p>
        </w:tc>
        <w:tc>
          <w:tcPr>
            <w:tcW w:w="1238" w:type="dxa"/>
            <w:shd w:val="clear" w:color="auto" w:fill="auto"/>
            <w:noWrap/>
            <w:vAlign w:val="bottom"/>
            <w:hideMark/>
          </w:tcPr>
          <w:p w14:paraId="3C0463E4" w14:textId="77777777" w:rsidR="00BA23AE" w:rsidRPr="00B56902" w:rsidRDefault="00BA23AE" w:rsidP="00B56902">
            <w:pPr>
              <w:pStyle w:val="R"/>
              <w:rPr>
                <w:rtl/>
              </w:rPr>
            </w:pPr>
            <w:r w:rsidRPr="00B56902">
              <w:rPr>
                <w:rFonts w:hint="cs"/>
                <w:rtl/>
              </w:rPr>
              <w:t>8%</w:t>
            </w:r>
          </w:p>
        </w:tc>
        <w:tc>
          <w:tcPr>
            <w:tcW w:w="1238" w:type="dxa"/>
            <w:shd w:val="clear" w:color="auto" w:fill="auto"/>
            <w:noWrap/>
            <w:vAlign w:val="bottom"/>
            <w:hideMark/>
          </w:tcPr>
          <w:p w14:paraId="0F78F5C0" w14:textId="77777777" w:rsidR="00BA23AE" w:rsidRPr="00B56902" w:rsidRDefault="00BA23AE" w:rsidP="00B56902">
            <w:pPr>
              <w:pStyle w:val="R"/>
              <w:rPr>
                <w:rtl/>
              </w:rPr>
            </w:pPr>
            <w:r w:rsidRPr="00B56902">
              <w:rPr>
                <w:rFonts w:hint="cs"/>
                <w:rtl/>
              </w:rPr>
              <w:t>22%</w:t>
            </w:r>
          </w:p>
        </w:tc>
        <w:tc>
          <w:tcPr>
            <w:tcW w:w="1238" w:type="dxa"/>
            <w:shd w:val="clear" w:color="auto" w:fill="auto"/>
            <w:noWrap/>
            <w:vAlign w:val="bottom"/>
            <w:hideMark/>
          </w:tcPr>
          <w:p w14:paraId="2E788B03" w14:textId="77777777" w:rsidR="00BA23AE" w:rsidRPr="00B56902" w:rsidRDefault="00BA23AE" w:rsidP="00B56902">
            <w:pPr>
              <w:pStyle w:val="R"/>
              <w:rPr>
                <w:rtl/>
              </w:rPr>
            </w:pPr>
            <w:r w:rsidRPr="00B56902">
              <w:rPr>
                <w:rFonts w:hint="cs"/>
                <w:rtl/>
              </w:rPr>
              <w:t>465</w:t>
            </w:r>
          </w:p>
        </w:tc>
      </w:tr>
      <w:tr w:rsidR="00BA23AE" w:rsidRPr="00F13DA5" w14:paraId="2463A59E" w14:textId="77777777" w:rsidTr="00890A6C">
        <w:trPr>
          <w:trHeight w:val="330"/>
        </w:trPr>
        <w:tc>
          <w:tcPr>
            <w:tcW w:w="958" w:type="dxa"/>
            <w:shd w:val="clear" w:color="auto" w:fill="auto"/>
            <w:vAlign w:val="bottom"/>
            <w:hideMark/>
          </w:tcPr>
          <w:p w14:paraId="158BFDED" w14:textId="77777777" w:rsidR="00BA23AE" w:rsidRPr="00B56902" w:rsidRDefault="00BA23AE" w:rsidP="00B56902">
            <w:pPr>
              <w:pStyle w:val="B"/>
              <w:rPr>
                <w:szCs w:val="20"/>
                <w:rtl/>
              </w:rPr>
            </w:pPr>
            <w:r w:rsidRPr="00B56902">
              <w:rPr>
                <w:rFonts w:hint="cs"/>
                <w:noProof/>
                <w:szCs w:val="20"/>
                <w:rtl/>
              </w:rPr>
              <w:drawing>
                <wp:inline distT="0" distB="0" distL="0" distR="0" wp14:anchorId="51ECE3B4" wp14:editId="07E84C7B">
                  <wp:extent cx="360000" cy="187590"/>
                  <wp:effectExtent l="0" t="0" r="2540" b="3175"/>
                  <wp:docPr id="3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80257"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449" w:type="dxa"/>
            <w:shd w:val="clear" w:color="auto" w:fill="auto"/>
            <w:noWrap/>
            <w:vAlign w:val="bottom"/>
            <w:hideMark/>
          </w:tcPr>
          <w:p w14:paraId="36991C27" w14:textId="77777777" w:rsidR="00BA23AE" w:rsidRPr="00B56902" w:rsidRDefault="00BA23AE" w:rsidP="00B56902">
            <w:pPr>
              <w:pStyle w:val="B"/>
              <w:rPr>
                <w:szCs w:val="20"/>
                <w:rtl/>
              </w:rPr>
            </w:pPr>
            <w:r w:rsidRPr="00B56902">
              <w:rPr>
                <w:rFonts w:hint="cs"/>
                <w:szCs w:val="20"/>
                <w:rtl/>
              </w:rPr>
              <w:t>עבירות אחרות</w:t>
            </w:r>
          </w:p>
        </w:tc>
        <w:tc>
          <w:tcPr>
            <w:tcW w:w="1237" w:type="dxa"/>
            <w:shd w:val="clear" w:color="auto" w:fill="auto"/>
            <w:noWrap/>
            <w:vAlign w:val="bottom"/>
            <w:hideMark/>
          </w:tcPr>
          <w:p w14:paraId="2AD9E0B5" w14:textId="77777777" w:rsidR="00BA23AE" w:rsidRPr="00B56902" w:rsidRDefault="00BA23AE" w:rsidP="00B56902">
            <w:pPr>
              <w:pStyle w:val="R"/>
              <w:rPr>
                <w:rtl/>
              </w:rPr>
            </w:pPr>
            <w:r w:rsidRPr="00B56902">
              <w:rPr>
                <w:rFonts w:hint="cs"/>
                <w:rtl/>
              </w:rPr>
              <w:t>82%</w:t>
            </w:r>
          </w:p>
        </w:tc>
        <w:tc>
          <w:tcPr>
            <w:tcW w:w="1238" w:type="dxa"/>
            <w:shd w:val="clear" w:color="auto" w:fill="auto"/>
            <w:noWrap/>
            <w:vAlign w:val="bottom"/>
            <w:hideMark/>
          </w:tcPr>
          <w:p w14:paraId="038E3FBF" w14:textId="77777777" w:rsidR="00BA23AE" w:rsidRPr="00B56902" w:rsidRDefault="00BA23AE" w:rsidP="00B56902">
            <w:pPr>
              <w:pStyle w:val="R"/>
              <w:rPr>
                <w:rtl/>
              </w:rPr>
            </w:pPr>
            <w:r w:rsidRPr="00B56902">
              <w:rPr>
                <w:rFonts w:hint="cs"/>
                <w:rtl/>
              </w:rPr>
              <w:t>7%</w:t>
            </w:r>
          </w:p>
        </w:tc>
        <w:tc>
          <w:tcPr>
            <w:tcW w:w="1238" w:type="dxa"/>
            <w:shd w:val="clear" w:color="auto" w:fill="auto"/>
            <w:noWrap/>
            <w:vAlign w:val="bottom"/>
            <w:hideMark/>
          </w:tcPr>
          <w:p w14:paraId="03303A83" w14:textId="77777777" w:rsidR="00BA23AE" w:rsidRPr="00B56902" w:rsidRDefault="00BA23AE" w:rsidP="00B56902">
            <w:pPr>
              <w:pStyle w:val="R"/>
              <w:rPr>
                <w:rtl/>
              </w:rPr>
            </w:pPr>
            <w:r w:rsidRPr="00B56902">
              <w:rPr>
                <w:rFonts w:hint="cs"/>
                <w:rtl/>
              </w:rPr>
              <w:t>12%</w:t>
            </w:r>
          </w:p>
        </w:tc>
        <w:tc>
          <w:tcPr>
            <w:tcW w:w="1238" w:type="dxa"/>
            <w:shd w:val="clear" w:color="auto" w:fill="auto"/>
            <w:noWrap/>
            <w:vAlign w:val="bottom"/>
            <w:hideMark/>
          </w:tcPr>
          <w:p w14:paraId="6C4168F0" w14:textId="77777777" w:rsidR="00BA23AE" w:rsidRPr="00B56902" w:rsidRDefault="00BA23AE" w:rsidP="00B56902">
            <w:pPr>
              <w:pStyle w:val="R"/>
              <w:rPr>
                <w:rtl/>
              </w:rPr>
            </w:pPr>
            <w:r w:rsidRPr="00B56902">
              <w:rPr>
                <w:rFonts w:hint="cs"/>
                <w:rtl/>
              </w:rPr>
              <w:t>168</w:t>
            </w:r>
          </w:p>
        </w:tc>
      </w:tr>
      <w:tr w:rsidR="00BA23AE" w:rsidRPr="00F13DA5" w14:paraId="1100E590" w14:textId="77777777" w:rsidTr="00654926">
        <w:trPr>
          <w:trHeight w:val="330"/>
        </w:trPr>
        <w:tc>
          <w:tcPr>
            <w:tcW w:w="958" w:type="dxa"/>
            <w:shd w:val="clear" w:color="auto" w:fill="C6D9F1"/>
            <w:vAlign w:val="bottom"/>
            <w:hideMark/>
          </w:tcPr>
          <w:p w14:paraId="1DD5747E" w14:textId="77777777" w:rsidR="00BA23AE" w:rsidRPr="00B56902" w:rsidRDefault="00BA23AE" w:rsidP="00B56902">
            <w:pPr>
              <w:pStyle w:val="B"/>
              <w:rPr>
                <w:szCs w:val="20"/>
                <w:rtl/>
              </w:rPr>
            </w:pPr>
            <w:r w:rsidRPr="00B56902">
              <w:rPr>
                <w:rFonts w:hint="cs"/>
                <w:szCs w:val="20"/>
                <w:rtl/>
              </w:rPr>
              <w:t> </w:t>
            </w:r>
          </w:p>
        </w:tc>
        <w:tc>
          <w:tcPr>
            <w:tcW w:w="2449" w:type="dxa"/>
            <w:shd w:val="clear" w:color="auto" w:fill="C6D9F1"/>
            <w:noWrap/>
            <w:vAlign w:val="bottom"/>
            <w:hideMark/>
          </w:tcPr>
          <w:p w14:paraId="20E2D44D" w14:textId="77777777" w:rsidR="00BA23AE" w:rsidRPr="00B56902" w:rsidRDefault="00BA23AE" w:rsidP="00B56902">
            <w:pPr>
              <w:pStyle w:val="B"/>
              <w:rPr>
                <w:szCs w:val="20"/>
                <w:rtl/>
              </w:rPr>
            </w:pPr>
            <w:r w:rsidRPr="00B56902">
              <w:rPr>
                <w:rFonts w:hint="cs"/>
                <w:szCs w:val="20"/>
                <w:rtl/>
              </w:rPr>
              <w:t>סה"כ</w:t>
            </w:r>
          </w:p>
        </w:tc>
        <w:tc>
          <w:tcPr>
            <w:tcW w:w="1237" w:type="dxa"/>
            <w:shd w:val="clear" w:color="auto" w:fill="C6D9F1"/>
            <w:noWrap/>
            <w:vAlign w:val="bottom"/>
            <w:hideMark/>
          </w:tcPr>
          <w:p w14:paraId="38F74F3C" w14:textId="77777777" w:rsidR="00BA23AE" w:rsidRPr="00B56902" w:rsidRDefault="00BA23AE" w:rsidP="00B56902">
            <w:pPr>
              <w:pStyle w:val="R"/>
              <w:rPr>
                <w:rtl/>
              </w:rPr>
            </w:pPr>
            <w:r w:rsidRPr="00B56902">
              <w:rPr>
                <w:rFonts w:hint="cs"/>
                <w:rtl/>
              </w:rPr>
              <w:t>75%</w:t>
            </w:r>
          </w:p>
        </w:tc>
        <w:tc>
          <w:tcPr>
            <w:tcW w:w="1238" w:type="dxa"/>
            <w:shd w:val="clear" w:color="auto" w:fill="C6D9F1"/>
            <w:noWrap/>
            <w:vAlign w:val="bottom"/>
            <w:hideMark/>
          </w:tcPr>
          <w:p w14:paraId="02A792A8" w14:textId="77777777" w:rsidR="00BA23AE" w:rsidRPr="00B56902" w:rsidRDefault="00BA23AE" w:rsidP="00B56902">
            <w:pPr>
              <w:pStyle w:val="R"/>
              <w:rPr>
                <w:rtl/>
              </w:rPr>
            </w:pPr>
            <w:r w:rsidRPr="00B56902">
              <w:rPr>
                <w:rFonts w:hint="cs"/>
                <w:rtl/>
              </w:rPr>
              <w:t>8%</w:t>
            </w:r>
          </w:p>
        </w:tc>
        <w:tc>
          <w:tcPr>
            <w:tcW w:w="1238" w:type="dxa"/>
            <w:shd w:val="clear" w:color="auto" w:fill="C6D9F1"/>
            <w:noWrap/>
            <w:vAlign w:val="bottom"/>
            <w:hideMark/>
          </w:tcPr>
          <w:p w14:paraId="71B1F30C" w14:textId="77777777" w:rsidR="00BA23AE" w:rsidRPr="00B56902" w:rsidRDefault="00BA23AE" w:rsidP="00B56902">
            <w:pPr>
              <w:pStyle w:val="R"/>
              <w:rPr>
                <w:rtl/>
              </w:rPr>
            </w:pPr>
            <w:r w:rsidRPr="00B56902">
              <w:rPr>
                <w:rFonts w:hint="cs"/>
                <w:rtl/>
              </w:rPr>
              <w:t>17%</w:t>
            </w:r>
          </w:p>
        </w:tc>
        <w:tc>
          <w:tcPr>
            <w:tcW w:w="1238" w:type="dxa"/>
            <w:shd w:val="clear" w:color="auto" w:fill="C6D9F1"/>
            <w:noWrap/>
            <w:vAlign w:val="bottom"/>
            <w:hideMark/>
          </w:tcPr>
          <w:p w14:paraId="52C60028" w14:textId="77777777" w:rsidR="00BA23AE" w:rsidRPr="00B56902" w:rsidRDefault="00BA23AE" w:rsidP="00B56902">
            <w:pPr>
              <w:pStyle w:val="R"/>
              <w:rPr>
                <w:rtl/>
              </w:rPr>
            </w:pPr>
            <w:r w:rsidRPr="00B56902">
              <w:rPr>
                <w:rFonts w:hint="cs"/>
                <w:rtl/>
              </w:rPr>
              <w:t>114,294</w:t>
            </w:r>
          </w:p>
        </w:tc>
      </w:tr>
    </w:tbl>
    <w:p w14:paraId="6A736F6C" w14:textId="77777777" w:rsidR="00BA23AE" w:rsidRPr="00F13DA5" w:rsidRDefault="00BA23AE" w:rsidP="007536B9">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נתוני </w:t>
      </w:r>
      <w:r w:rsidRPr="00F13DA5">
        <w:rPr>
          <w:rFonts w:hint="eastAsia"/>
          <w:rtl/>
        </w:rPr>
        <w:t>משטרת</w:t>
      </w:r>
      <w:r w:rsidRPr="00F13DA5">
        <w:rPr>
          <w:rtl/>
        </w:rPr>
        <w:t xml:space="preserve"> </w:t>
      </w:r>
      <w:r w:rsidRPr="00F13DA5">
        <w:rPr>
          <w:rFonts w:hint="eastAsia"/>
          <w:rtl/>
        </w:rPr>
        <w:t>ישראל</w:t>
      </w:r>
      <w:r w:rsidRPr="00F13DA5">
        <w:rPr>
          <w:rtl/>
        </w:rPr>
        <w:t>, בעיבוד משרד מבקר המדינה.</w:t>
      </w:r>
    </w:p>
    <w:p w14:paraId="4B3C6584" w14:textId="670F557D" w:rsidR="00BC65A4" w:rsidRDefault="00BC65A4" w:rsidP="00BC65A4">
      <w:pPr>
        <w:pStyle w:val="100"/>
        <w:jc w:val="center"/>
        <w:rPr>
          <w:rtl/>
        </w:rPr>
      </w:pPr>
    </w:p>
    <w:p w14:paraId="62FFD124" w14:textId="4F585153" w:rsidR="00BA23AE" w:rsidRPr="00F13DA5" w:rsidRDefault="00BA23AE" w:rsidP="00C255F6">
      <w:pPr>
        <w:pStyle w:val="100"/>
        <w:rPr>
          <w:rtl/>
        </w:rPr>
      </w:pPr>
      <w:r w:rsidRPr="00F13DA5">
        <w:rPr>
          <w:rFonts w:hint="cs"/>
          <w:rtl/>
        </w:rPr>
        <w:t>מן הלוח ניתן לראות שהעבירה השכיחה ביותר המביאה למעצר (לפי העבירה החמורה ביותר בתיק) היא עבירה מקבוצת עבירות סדר ציבורי. כמו כן, אין מתאם כלשהו בין דרגת העבירה החמורה ביותר בתיק לבין שכיחותה במעצרים. עוד עולה כי במעצרים שבהם העבירה החמורה ביותר היא עבירת מין, עבירת מוסר</w:t>
      </w:r>
      <w:r w:rsidRPr="00F13DA5">
        <w:rPr>
          <w:rStyle w:val="FootnoteReference"/>
          <w:rtl/>
        </w:rPr>
        <w:footnoteReference w:id="11"/>
      </w:r>
      <w:r w:rsidRPr="00F13DA5">
        <w:rPr>
          <w:rFonts w:hint="cs"/>
          <w:rtl/>
        </w:rPr>
        <w:t xml:space="preserve"> או עבירה כנגד חיי אדם, שיעור הגשת הבקשות למעצר עד תום ההליכים המשפטיים גבוה יותר משאר קבוצות </w:t>
      </w:r>
      <w:r>
        <w:rPr>
          <w:rFonts w:hint="cs"/>
          <w:rtl/>
        </w:rPr>
        <w:t>העבירות</w:t>
      </w:r>
      <w:r w:rsidRPr="00F13DA5">
        <w:rPr>
          <w:rFonts w:hint="cs"/>
          <w:rtl/>
        </w:rPr>
        <w:t>. מצד שני, בקבוצת עבירות אחרות ו</w:t>
      </w:r>
      <w:r>
        <w:rPr>
          <w:rFonts w:hint="cs"/>
          <w:rtl/>
        </w:rPr>
        <w:t xml:space="preserve">בקבוצת </w:t>
      </w:r>
      <w:r w:rsidRPr="00F13DA5">
        <w:rPr>
          <w:rFonts w:hint="cs"/>
          <w:rtl/>
        </w:rPr>
        <w:t xml:space="preserve">עבירות מרמה </w:t>
      </w:r>
      <w:r>
        <w:rPr>
          <w:rFonts w:hint="cs"/>
          <w:rtl/>
        </w:rPr>
        <w:t>שיעור</w:t>
      </w:r>
      <w:r w:rsidRPr="00F13DA5">
        <w:rPr>
          <w:rFonts w:hint="cs"/>
          <w:rtl/>
        </w:rPr>
        <w:t xml:space="preserve"> הגש</w:t>
      </w:r>
      <w:r>
        <w:rPr>
          <w:rFonts w:hint="cs"/>
          <w:rtl/>
        </w:rPr>
        <w:t>ת</w:t>
      </w:r>
      <w:r w:rsidRPr="00F13DA5">
        <w:rPr>
          <w:rFonts w:hint="cs"/>
          <w:rtl/>
        </w:rPr>
        <w:t xml:space="preserve"> בקש</w:t>
      </w:r>
      <w:r>
        <w:rPr>
          <w:rFonts w:hint="cs"/>
          <w:rtl/>
        </w:rPr>
        <w:t>ו</w:t>
      </w:r>
      <w:r w:rsidRPr="00F13DA5">
        <w:rPr>
          <w:rFonts w:hint="cs"/>
          <w:rtl/>
        </w:rPr>
        <w:t>ת מעצר עד תום ההליכים המשפטיים ה</w:t>
      </w:r>
      <w:r>
        <w:rPr>
          <w:rFonts w:hint="cs"/>
          <w:rtl/>
        </w:rPr>
        <w:t>ו</w:t>
      </w:r>
      <w:r w:rsidRPr="00F13DA5">
        <w:rPr>
          <w:rFonts w:hint="cs"/>
          <w:rtl/>
        </w:rPr>
        <w:t xml:space="preserve">א </w:t>
      </w:r>
      <w:r>
        <w:rPr>
          <w:rFonts w:hint="cs"/>
          <w:rtl/>
        </w:rPr>
        <w:t>הנמוך</w:t>
      </w:r>
      <w:r w:rsidRPr="00F13DA5">
        <w:rPr>
          <w:rFonts w:hint="cs"/>
          <w:rtl/>
        </w:rPr>
        <w:t xml:space="preserve"> ביותר. </w:t>
      </w:r>
    </w:p>
    <w:p w14:paraId="030E20AB" w14:textId="77777777" w:rsidR="00BA23AE" w:rsidRPr="00F13DA5" w:rsidRDefault="00BA23AE" w:rsidP="00073D9F">
      <w:pPr>
        <w:pStyle w:val="414"/>
        <w:rPr>
          <w:rtl/>
        </w:rPr>
      </w:pPr>
      <w:bookmarkStart w:id="0" w:name="_Toc6326441"/>
      <w:r w:rsidRPr="00F13DA5">
        <w:rPr>
          <w:rFonts w:hint="cs"/>
          <w:rtl/>
        </w:rPr>
        <w:lastRenderedPageBreak/>
        <w:t xml:space="preserve">מועד המעצר ומשך החזקת העצור </w:t>
      </w:r>
      <w:bookmarkEnd w:id="0"/>
    </w:p>
    <w:p w14:paraId="5D71F6BC" w14:textId="77777777" w:rsidR="00BA23AE" w:rsidRPr="00F13DA5" w:rsidRDefault="00BA23AE" w:rsidP="008A0C03">
      <w:pPr>
        <w:pStyle w:val="a1"/>
        <w:numPr>
          <w:ilvl w:val="0"/>
          <w:numId w:val="15"/>
        </w:numPr>
        <w:rPr>
          <w:rtl/>
        </w:rPr>
      </w:pPr>
      <w:r w:rsidRPr="00F13DA5">
        <w:rPr>
          <w:rFonts w:hint="cs"/>
          <w:rtl/>
        </w:rPr>
        <w:t>משרד מבקר המדינה ניתח את שעת המעצר המוקדמת ביותר מתו</w:t>
      </w:r>
      <w:r>
        <w:rPr>
          <w:rFonts w:hint="cs"/>
          <w:rtl/>
        </w:rPr>
        <w:t>ך כלל המעצרים בשנים 2016 - 2018</w:t>
      </w:r>
      <w:r w:rsidRPr="00F13DA5">
        <w:rPr>
          <w:rFonts w:hint="cs"/>
          <w:rtl/>
        </w:rPr>
        <w:t>. מבחינה זו, בכל שעה ביממה מתבצעים בממוצע כ-6.62 מעצרים בכל הארץ. משרד מבקר המדינה בחן עוד את ממוצע המעצרים לשעה בפילוח לפי פרקי זמן לאורך היממה.</w:t>
      </w:r>
      <w:r>
        <w:rPr>
          <w:rFonts w:hint="cs"/>
          <w:rtl/>
        </w:rPr>
        <w:t xml:space="preserve"> </w:t>
      </w:r>
      <w:r w:rsidRPr="00F13DA5">
        <w:rPr>
          <w:rFonts w:hint="eastAsia"/>
          <w:rtl/>
        </w:rPr>
        <w:t>הפילוח</w:t>
      </w:r>
      <w:r w:rsidRPr="00F13DA5">
        <w:rPr>
          <w:rtl/>
        </w:rPr>
        <w:t xml:space="preserve"> נעשה בהתאם למגבלות </w:t>
      </w:r>
      <w:r w:rsidRPr="00F13DA5">
        <w:rPr>
          <w:rFonts w:hint="cs"/>
          <w:rtl/>
        </w:rPr>
        <w:t>החלות על</w:t>
      </w:r>
      <w:r w:rsidRPr="00F13DA5">
        <w:rPr>
          <w:rtl/>
        </w:rPr>
        <w:t xml:space="preserve"> טיפול</w:t>
      </w:r>
      <w:r w:rsidRPr="00F13DA5">
        <w:rPr>
          <w:rFonts w:hint="cs"/>
          <w:rtl/>
        </w:rPr>
        <w:t>ם של</w:t>
      </w:r>
      <w:r w:rsidRPr="00F13DA5">
        <w:rPr>
          <w:rtl/>
        </w:rPr>
        <w:t xml:space="preserve"> </w:t>
      </w:r>
      <w:r w:rsidRPr="00F13DA5">
        <w:rPr>
          <w:rFonts w:hint="eastAsia"/>
          <w:rtl/>
        </w:rPr>
        <w:t>הגורמים</w:t>
      </w:r>
      <w:r w:rsidRPr="00F13DA5">
        <w:rPr>
          <w:rtl/>
        </w:rPr>
        <w:t xml:space="preserve"> המעורבים </w:t>
      </w:r>
      <w:r w:rsidRPr="00F13DA5">
        <w:rPr>
          <w:rFonts w:hint="eastAsia"/>
          <w:rtl/>
        </w:rPr>
        <w:t>במעצרים</w:t>
      </w:r>
      <w:r w:rsidRPr="00F13DA5">
        <w:rPr>
          <w:rStyle w:val="FootnoteReference"/>
          <w:rtl/>
        </w:rPr>
        <w:footnoteReference w:id="12"/>
      </w:r>
      <w:r w:rsidRPr="00F13DA5">
        <w:rPr>
          <w:rtl/>
        </w:rPr>
        <w:t>.</w:t>
      </w:r>
      <w:r w:rsidRPr="00F13DA5">
        <w:rPr>
          <w:rFonts w:hint="cs"/>
          <w:rtl/>
        </w:rPr>
        <w:t xml:space="preserve"> להלן תרשים המפרט את מספר המעצרים הממוצע לשעה בפילוח לפי חלקי היממה ובהשוואה למספר המעצרים הממוצע לשעה בכל היממה:</w:t>
      </w:r>
    </w:p>
    <w:p w14:paraId="1EF79638" w14:textId="77777777" w:rsidR="00BA23AE" w:rsidRPr="00D920CA" w:rsidRDefault="00BA23AE" w:rsidP="00D920CA">
      <w:pPr>
        <w:pStyle w:val="a9"/>
        <w:rPr>
          <w:b/>
          <w:bCs/>
          <w:rtl/>
        </w:rPr>
      </w:pPr>
      <w:r w:rsidRPr="00F13DA5">
        <w:rPr>
          <w:rFonts w:hint="eastAsia"/>
          <w:rtl/>
        </w:rPr>
        <w:t>תרשים</w:t>
      </w:r>
      <w:r w:rsidRPr="00F13DA5">
        <w:rPr>
          <w:rtl/>
        </w:rPr>
        <w:t xml:space="preserve"> </w:t>
      </w:r>
      <w:r w:rsidRPr="00F13DA5">
        <w:rPr>
          <w:rFonts w:hint="cs"/>
          <w:rtl/>
        </w:rPr>
        <w:t>6</w:t>
      </w:r>
      <w:r w:rsidRPr="00F13DA5">
        <w:rPr>
          <w:rtl/>
        </w:rPr>
        <w:t xml:space="preserve">: </w:t>
      </w:r>
      <w:r w:rsidRPr="00D920CA">
        <w:rPr>
          <w:b/>
          <w:bCs/>
          <w:rtl/>
        </w:rPr>
        <w:t>מספר המעצרים הממוצע לשעה</w:t>
      </w:r>
      <w:r w:rsidRPr="00D920CA">
        <w:rPr>
          <w:rFonts w:hint="cs"/>
          <w:b/>
          <w:bCs/>
          <w:rtl/>
        </w:rPr>
        <w:t>,</w:t>
      </w:r>
      <w:r w:rsidRPr="00D920CA">
        <w:rPr>
          <w:b/>
          <w:bCs/>
          <w:rtl/>
        </w:rPr>
        <w:t xml:space="preserve"> לפי חלקי היממה ובהשוואה למספר המעצרים הממוצע </w:t>
      </w:r>
      <w:r w:rsidRPr="00D920CA">
        <w:rPr>
          <w:rFonts w:hint="eastAsia"/>
          <w:b/>
          <w:bCs/>
          <w:rtl/>
        </w:rPr>
        <w:t>לשעה</w:t>
      </w:r>
      <w:r w:rsidRPr="00D920CA">
        <w:rPr>
          <w:b/>
          <w:bCs/>
          <w:rtl/>
        </w:rPr>
        <w:t xml:space="preserve"> </w:t>
      </w:r>
      <w:r w:rsidRPr="00D920CA">
        <w:rPr>
          <w:rFonts w:hint="eastAsia"/>
          <w:b/>
          <w:bCs/>
          <w:rtl/>
        </w:rPr>
        <w:t>בכל</w:t>
      </w:r>
      <w:r w:rsidRPr="00D920CA">
        <w:rPr>
          <w:b/>
          <w:bCs/>
          <w:rtl/>
        </w:rPr>
        <w:t xml:space="preserve"> </w:t>
      </w:r>
      <w:r w:rsidRPr="00D920CA">
        <w:rPr>
          <w:rFonts w:hint="eastAsia"/>
          <w:b/>
          <w:bCs/>
          <w:rtl/>
        </w:rPr>
        <w:t>היממה</w:t>
      </w:r>
      <w:r w:rsidRPr="00D920CA">
        <w:rPr>
          <w:rFonts w:hint="cs"/>
          <w:b/>
          <w:bCs/>
          <w:rtl/>
        </w:rPr>
        <w:t>, 2016 - 2018</w:t>
      </w:r>
    </w:p>
    <w:p w14:paraId="1B4AAE66" w14:textId="77777777" w:rsidR="00BA23AE" w:rsidRPr="00F13DA5" w:rsidRDefault="00BA23AE" w:rsidP="00D920CA">
      <w:pPr>
        <w:spacing w:line="269" w:lineRule="auto"/>
        <w:jc w:val="center"/>
        <w:rPr>
          <w:rtl/>
        </w:rPr>
      </w:pPr>
      <w:r w:rsidRPr="00F13DA5">
        <w:rPr>
          <w:noProof/>
        </w:rPr>
        <w:drawing>
          <wp:inline distT="0" distB="0" distL="0" distR="0" wp14:anchorId="75CAC739" wp14:editId="6FE8B7C1">
            <wp:extent cx="4292129" cy="2430337"/>
            <wp:effectExtent l="0" t="0" r="13335" b="8255"/>
            <wp:docPr id="44" name="תרשים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11408B" w14:textId="356F4575" w:rsidR="00BA23AE" w:rsidRDefault="00BA23AE" w:rsidP="00D920CA">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נתוני </w:t>
      </w:r>
      <w:r w:rsidRPr="00F13DA5">
        <w:rPr>
          <w:rFonts w:hint="eastAsia"/>
          <w:rtl/>
        </w:rPr>
        <w:t>משטרת</w:t>
      </w:r>
      <w:r w:rsidRPr="00F13DA5">
        <w:rPr>
          <w:rtl/>
        </w:rPr>
        <w:t xml:space="preserve"> </w:t>
      </w:r>
      <w:r w:rsidRPr="00F13DA5">
        <w:rPr>
          <w:rFonts w:hint="eastAsia"/>
          <w:rtl/>
        </w:rPr>
        <w:t>ישראל</w:t>
      </w:r>
      <w:r w:rsidRPr="00F13DA5">
        <w:rPr>
          <w:rtl/>
        </w:rPr>
        <w:t>, בעיבוד משרד מבקר המדינה.</w:t>
      </w:r>
    </w:p>
    <w:p w14:paraId="474ED494" w14:textId="77777777" w:rsidR="009B1690" w:rsidRDefault="009B1690" w:rsidP="00A74D94">
      <w:pPr>
        <w:pStyle w:val="af3"/>
        <w:rPr>
          <w:rtl/>
        </w:rPr>
      </w:pPr>
    </w:p>
    <w:p w14:paraId="318AFB36" w14:textId="111E0267" w:rsidR="00BA23AE" w:rsidRPr="00F13DA5" w:rsidRDefault="00BA23AE" w:rsidP="00A74D94">
      <w:pPr>
        <w:pStyle w:val="af3"/>
        <w:rPr>
          <w:rtl/>
        </w:rPr>
      </w:pPr>
      <w:r w:rsidRPr="00F13DA5">
        <w:rPr>
          <w:rFonts w:hint="eastAsia"/>
          <w:rtl/>
        </w:rPr>
        <w:t>מן</w:t>
      </w:r>
      <w:r w:rsidRPr="00F13DA5">
        <w:rPr>
          <w:rtl/>
        </w:rPr>
        <w:t xml:space="preserve"> התרשים עולה כי משעות הבוקר ועד לשעות הלילה ממוצע </w:t>
      </w:r>
      <w:r w:rsidRPr="00F13DA5">
        <w:rPr>
          <w:rFonts w:hint="eastAsia"/>
          <w:rtl/>
        </w:rPr>
        <w:t>מספר</w:t>
      </w:r>
      <w:r w:rsidRPr="00F13DA5">
        <w:rPr>
          <w:rtl/>
        </w:rPr>
        <w:t xml:space="preserve"> </w:t>
      </w:r>
      <w:r w:rsidRPr="00F13DA5">
        <w:rPr>
          <w:rFonts w:hint="eastAsia"/>
          <w:rtl/>
        </w:rPr>
        <w:t>המעצרים</w:t>
      </w:r>
      <w:r w:rsidRPr="00F13DA5">
        <w:rPr>
          <w:rtl/>
        </w:rPr>
        <w:t xml:space="preserve"> לשעה גבוה יותר </w:t>
      </w:r>
      <w:r w:rsidRPr="00F13DA5">
        <w:rPr>
          <w:rFonts w:hint="cs"/>
          <w:rtl/>
        </w:rPr>
        <w:t>מ</w:t>
      </w:r>
      <w:r w:rsidRPr="00F13DA5">
        <w:rPr>
          <w:rFonts w:hint="eastAsia"/>
          <w:rtl/>
        </w:rPr>
        <w:t>ממוצע</w:t>
      </w:r>
      <w:r w:rsidRPr="00F13DA5">
        <w:rPr>
          <w:rtl/>
        </w:rPr>
        <w:t xml:space="preserve"> </w:t>
      </w:r>
      <w:r w:rsidRPr="00F13DA5">
        <w:rPr>
          <w:rFonts w:hint="eastAsia"/>
          <w:rtl/>
        </w:rPr>
        <w:t>מספר</w:t>
      </w:r>
      <w:r w:rsidRPr="00F13DA5">
        <w:rPr>
          <w:rtl/>
        </w:rPr>
        <w:t xml:space="preserve"> המעצרים </w:t>
      </w:r>
      <w:r w:rsidRPr="00F13DA5">
        <w:rPr>
          <w:rFonts w:hint="eastAsia"/>
          <w:rtl/>
        </w:rPr>
        <w:t>בשעות</w:t>
      </w:r>
      <w:r w:rsidRPr="00F13DA5">
        <w:rPr>
          <w:rtl/>
        </w:rPr>
        <w:t xml:space="preserve"> הלילה </w:t>
      </w:r>
      <w:r w:rsidRPr="00F13DA5">
        <w:rPr>
          <w:rFonts w:hint="eastAsia"/>
          <w:rtl/>
        </w:rPr>
        <w:t>ועד</w:t>
      </w:r>
      <w:r w:rsidRPr="00F13DA5">
        <w:rPr>
          <w:rtl/>
        </w:rPr>
        <w:t xml:space="preserve"> </w:t>
      </w:r>
      <w:r w:rsidRPr="00F13DA5">
        <w:rPr>
          <w:rFonts w:hint="eastAsia"/>
          <w:rtl/>
        </w:rPr>
        <w:t>הבוקר</w:t>
      </w:r>
      <w:r w:rsidRPr="00F13DA5">
        <w:rPr>
          <w:rtl/>
        </w:rPr>
        <w:t xml:space="preserve">. </w:t>
      </w:r>
      <w:r w:rsidRPr="00F13DA5">
        <w:rPr>
          <w:rFonts w:hint="cs"/>
          <w:rtl/>
        </w:rPr>
        <w:t xml:space="preserve">עם זאת, השונות אינה כה משמעותית, בפרט בכל הנוגע למעצרים בשעות הלילה עד לפנות בוקר. </w:t>
      </w:r>
    </w:p>
    <w:p w14:paraId="513099BB" w14:textId="77777777" w:rsidR="00BA23AE" w:rsidRPr="00F13DA5" w:rsidRDefault="00BA23AE" w:rsidP="00A74D94">
      <w:pPr>
        <w:pStyle w:val="af3"/>
        <w:rPr>
          <w:rtl/>
        </w:rPr>
      </w:pPr>
      <w:r w:rsidRPr="00F13DA5">
        <w:rPr>
          <w:rFonts w:hint="cs"/>
          <w:rtl/>
        </w:rPr>
        <w:lastRenderedPageBreak/>
        <w:t>המשטרה מסרה בתגובתה למשרד מבקר המדינה מינואר 2020, כי שימוש בסמכות המעצר נערך באופן מקצועי במהלך כל שעות היממה. לעמדת המשטרה</w:t>
      </w:r>
      <w:r>
        <w:rPr>
          <w:rFonts w:hint="cs"/>
          <w:rtl/>
        </w:rPr>
        <w:t>,</w:t>
      </w:r>
      <w:r w:rsidRPr="00F13DA5">
        <w:rPr>
          <w:rFonts w:hint="cs"/>
          <w:rtl/>
        </w:rPr>
        <w:t xml:space="preserve"> הגורמים המשלימים את הטיפול בסמכות המעצר, </w:t>
      </w:r>
      <w:r w:rsidRPr="00F13DA5">
        <w:rPr>
          <w:rFonts w:hint="eastAsia"/>
          <w:sz w:val="24"/>
          <w:rtl/>
        </w:rPr>
        <w:t>ובהם</w:t>
      </w:r>
      <w:r w:rsidRPr="00F13DA5">
        <w:rPr>
          <w:sz w:val="24"/>
          <w:rtl/>
        </w:rPr>
        <w:t xml:space="preserve"> </w:t>
      </w:r>
      <w:r w:rsidRPr="00F13DA5">
        <w:rPr>
          <w:rFonts w:hint="eastAsia"/>
          <w:sz w:val="24"/>
          <w:rtl/>
        </w:rPr>
        <w:t>מזכירויות</w:t>
      </w:r>
      <w:r w:rsidRPr="00F13DA5">
        <w:rPr>
          <w:sz w:val="24"/>
          <w:rtl/>
        </w:rPr>
        <w:t xml:space="preserve"> </w:t>
      </w:r>
      <w:r w:rsidRPr="00F13DA5">
        <w:rPr>
          <w:rFonts w:hint="eastAsia"/>
          <w:sz w:val="24"/>
          <w:rtl/>
        </w:rPr>
        <w:t>בתי</w:t>
      </w:r>
      <w:r w:rsidRPr="00F13DA5">
        <w:rPr>
          <w:sz w:val="24"/>
          <w:rtl/>
        </w:rPr>
        <w:t xml:space="preserve"> </w:t>
      </w:r>
      <w:r w:rsidRPr="00F13DA5">
        <w:rPr>
          <w:rFonts w:hint="eastAsia"/>
          <w:sz w:val="24"/>
          <w:rtl/>
        </w:rPr>
        <w:t>המשפט</w:t>
      </w:r>
      <w:r w:rsidRPr="00F13DA5">
        <w:rPr>
          <w:sz w:val="24"/>
          <w:rtl/>
        </w:rPr>
        <w:t xml:space="preserve"> </w:t>
      </w:r>
      <w:r w:rsidRPr="00F13DA5">
        <w:rPr>
          <w:rFonts w:hint="eastAsia"/>
          <w:sz w:val="24"/>
          <w:rtl/>
        </w:rPr>
        <w:t>ויחידת</w:t>
      </w:r>
      <w:r w:rsidRPr="00F13DA5">
        <w:rPr>
          <w:sz w:val="24"/>
          <w:rtl/>
        </w:rPr>
        <w:t xml:space="preserve"> </w:t>
      </w:r>
      <w:r w:rsidRPr="00F13DA5">
        <w:rPr>
          <w:rFonts w:hint="eastAsia"/>
          <w:sz w:val="24"/>
          <w:rtl/>
        </w:rPr>
        <w:t>נחשון</w:t>
      </w:r>
      <w:r w:rsidRPr="00F13DA5">
        <w:rPr>
          <w:rFonts w:hint="cs"/>
          <w:rtl/>
        </w:rPr>
        <w:t xml:space="preserve">, חייבים להתאים את עצמם לשעות המעצר על מנת שניתן יהיה לנצל אותן </w:t>
      </w:r>
      <w:r>
        <w:rPr>
          <w:rFonts w:hint="cs"/>
          <w:rtl/>
        </w:rPr>
        <w:t>ביעילות, דהיינו</w:t>
      </w:r>
      <w:r w:rsidRPr="00F13DA5">
        <w:rPr>
          <w:rFonts w:hint="cs"/>
          <w:rtl/>
        </w:rPr>
        <w:t xml:space="preserve"> לביצוע פעולות החקירה הנדרשות ולא לפעולות מנהלתיות וטכניות. </w:t>
      </w:r>
      <w:r>
        <w:rPr>
          <w:rFonts w:hint="cs"/>
          <w:rtl/>
        </w:rPr>
        <w:t xml:space="preserve">לטענת המשטרה </w:t>
      </w:r>
      <w:r w:rsidRPr="00F13DA5">
        <w:rPr>
          <w:rFonts w:hint="cs"/>
          <w:rtl/>
        </w:rPr>
        <w:t xml:space="preserve">הדבר אף יביא לצמצום שעות המעצר לצורכי חקירה למינימום ההכרחי. </w:t>
      </w:r>
    </w:p>
    <w:p w14:paraId="525FD469" w14:textId="77777777" w:rsidR="00BA23AE" w:rsidRPr="00F13DA5" w:rsidRDefault="00BA23AE" w:rsidP="00A74D94">
      <w:pPr>
        <w:pStyle w:val="a1"/>
        <w:rPr>
          <w:rtl/>
        </w:rPr>
      </w:pPr>
      <w:r w:rsidRPr="00F13DA5">
        <w:rPr>
          <w:rFonts w:hint="cs"/>
          <w:rtl/>
        </w:rPr>
        <w:t>מתוך כלל המעצרים בשנים 2016 - 2018 בחן משרד מבקר המדינה מעצרים שבהם נמצאו במערכת הממוחשבת כל המסמכים הרלוונטיים לבחינת הימשכות המעצר ושלביו</w:t>
      </w:r>
      <w:r>
        <w:rPr>
          <w:rStyle w:val="FootnoteReference"/>
          <w:rtl/>
        </w:rPr>
        <w:footnoteReference w:id="13"/>
      </w:r>
      <w:r w:rsidRPr="00F13DA5">
        <w:rPr>
          <w:rFonts w:hint="cs"/>
          <w:rtl/>
        </w:rPr>
        <w:t>. מהנתונים עולה ש</w:t>
      </w:r>
      <w:r w:rsidRPr="00F13DA5">
        <w:rPr>
          <w:rtl/>
        </w:rPr>
        <w:t>משך הזמן החציוני של החזקת עצור במעצר, ממועד מעצרו המוקדם ביותר ועד למועד סיום המעצר</w:t>
      </w:r>
      <w:r w:rsidRPr="00F13DA5">
        <w:rPr>
          <w:rFonts w:hint="cs"/>
          <w:rtl/>
        </w:rPr>
        <w:t>,</w:t>
      </w:r>
      <w:r w:rsidRPr="00F13DA5">
        <w:rPr>
          <w:rtl/>
        </w:rPr>
        <w:t xml:space="preserve"> </w:t>
      </w:r>
      <w:r>
        <w:rPr>
          <w:rFonts w:hint="cs"/>
          <w:rtl/>
        </w:rPr>
        <w:t>הוא</w:t>
      </w:r>
      <w:r w:rsidRPr="00F13DA5">
        <w:rPr>
          <w:rtl/>
        </w:rPr>
        <w:t xml:space="preserve"> כ-</w:t>
      </w:r>
      <w:r>
        <w:rPr>
          <w:rFonts w:hint="cs"/>
          <w:rtl/>
        </w:rPr>
        <w:t>174</w:t>
      </w:r>
      <w:r w:rsidRPr="00F13DA5">
        <w:rPr>
          <w:rtl/>
        </w:rPr>
        <w:t xml:space="preserve"> שעות (</w:t>
      </w:r>
      <w:r w:rsidRPr="00F13DA5">
        <w:rPr>
          <w:rFonts w:hint="cs"/>
          <w:rtl/>
        </w:rPr>
        <w:t>כשבעה</w:t>
      </w:r>
      <w:r w:rsidRPr="00F13DA5">
        <w:rPr>
          <w:rtl/>
        </w:rPr>
        <w:t xml:space="preserve"> ימים)</w:t>
      </w:r>
      <w:r w:rsidRPr="00F13DA5">
        <w:rPr>
          <w:rFonts w:hint="cs"/>
          <w:rtl/>
        </w:rPr>
        <w:t>.</w:t>
      </w:r>
      <w:r w:rsidRPr="00F13DA5">
        <w:rPr>
          <w:rtl/>
        </w:rPr>
        <w:t xml:space="preserve"> משך הזמן החציוני של החזקת עצור ישראלי בגיר בעבירות שאינן עבירות ביטחון </w:t>
      </w:r>
      <w:r>
        <w:rPr>
          <w:rFonts w:hint="cs"/>
          <w:rtl/>
        </w:rPr>
        <w:t>הוא</w:t>
      </w:r>
      <w:r w:rsidRPr="00F13DA5">
        <w:rPr>
          <w:rtl/>
        </w:rPr>
        <w:t xml:space="preserve"> כ-</w:t>
      </w:r>
      <w:r>
        <w:rPr>
          <w:rFonts w:hint="cs"/>
          <w:rtl/>
        </w:rPr>
        <w:t>193</w:t>
      </w:r>
      <w:r w:rsidRPr="00F13DA5">
        <w:rPr>
          <w:rtl/>
        </w:rPr>
        <w:t xml:space="preserve"> שעות (</w:t>
      </w:r>
      <w:r w:rsidRPr="00F13DA5">
        <w:rPr>
          <w:rFonts w:hint="cs"/>
          <w:rtl/>
        </w:rPr>
        <w:t>כשמונה</w:t>
      </w:r>
      <w:r w:rsidRPr="00F13DA5">
        <w:rPr>
          <w:rtl/>
        </w:rPr>
        <w:t xml:space="preserve"> ימים). </w:t>
      </w:r>
    </w:p>
    <w:p w14:paraId="4BA22826" w14:textId="77777777" w:rsidR="00BA23AE" w:rsidRPr="00F13DA5" w:rsidRDefault="00BA23AE" w:rsidP="00A74D94">
      <w:pPr>
        <w:pStyle w:val="af3"/>
        <w:rPr>
          <w:rtl/>
        </w:rPr>
      </w:pPr>
      <w:r w:rsidRPr="00F13DA5">
        <w:rPr>
          <w:rFonts w:hint="cs"/>
          <w:rtl/>
        </w:rPr>
        <w:t xml:space="preserve">מטבע הדברים, ישנם פערים במשך ההחזקה החציוני של עצורים שמעצרם הסתיים בשלב מעצר הימים לעומת עצורים שמעצרם הסתיים לאחר שהוגשה בקשת מעצר עד תום ההליכים: משך הזמן החציוני של החזקת עצור שמעצרו הסתיים בשלב מעצר הימים </w:t>
      </w:r>
      <w:r>
        <w:rPr>
          <w:rFonts w:hint="cs"/>
          <w:rtl/>
        </w:rPr>
        <w:t>הוא</w:t>
      </w:r>
      <w:r w:rsidRPr="00F13DA5">
        <w:rPr>
          <w:rFonts w:hint="cs"/>
          <w:rtl/>
        </w:rPr>
        <w:t xml:space="preserve"> </w:t>
      </w:r>
      <w:r>
        <w:rPr>
          <w:rFonts w:hint="cs"/>
          <w:rtl/>
        </w:rPr>
        <w:t>105</w:t>
      </w:r>
      <w:r w:rsidRPr="00F13DA5">
        <w:rPr>
          <w:rFonts w:hint="cs"/>
          <w:rtl/>
        </w:rPr>
        <w:t xml:space="preserve"> שעות (כארבעה ימים); משך הזמן החציוני של החזקת עצור </w:t>
      </w:r>
      <w:r>
        <w:rPr>
          <w:rFonts w:hint="cs"/>
          <w:rtl/>
        </w:rPr>
        <w:t>ש</w:t>
      </w:r>
      <w:r w:rsidRPr="00F13DA5">
        <w:rPr>
          <w:rFonts w:hint="cs"/>
          <w:rtl/>
        </w:rPr>
        <w:t xml:space="preserve">מעצרו הסתיים לאחר שנעצר עד להחלטה אחרת </w:t>
      </w:r>
      <w:r>
        <w:rPr>
          <w:rFonts w:hint="cs"/>
          <w:rtl/>
        </w:rPr>
        <w:t>הוא</w:t>
      </w:r>
      <w:r w:rsidRPr="00F13DA5">
        <w:rPr>
          <w:rFonts w:hint="cs"/>
          <w:rtl/>
        </w:rPr>
        <w:t xml:space="preserve"> </w:t>
      </w:r>
      <w:r>
        <w:rPr>
          <w:rFonts w:hint="cs"/>
          <w:rtl/>
        </w:rPr>
        <w:t>481</w:t>
      </w:r>
      <w:r w:rsidRPr="00F13DA5">
        <w:rPr>
          <w:rFonts w:hint="cs"/>
          <w:rtl/>
        </w:rPr>
        <w:t xml:space="preserve"> שעות (כ-20 יום); משך הזמן החציוני של החזקת עצור אשר מעצרו הסתיים בשלב המעצר עד תום ההליכים </w:t>
      </w:r>
      <w:r>
        <w:rPr>
          <w:rFonts w:hint="cs"/>
          <w:rtl/>
        </w:rPr>
        <w:t>הוא</w:t>
      </w:r>
      <w:r w:rsidRPr="00F13DA5">
        <w:rPr>
          <w:rFonts w:hint="cs"/>
          <w:rtl/>
        </w:rPr>
        <w:t xml:space="preserve"> 1,</w:t>
      </w:r>
      <w:r>
        <w:rPr>
          <w:rFonts w:hint="cs"/>
          <w:rtl/>
        </w:rPr>
        <w:t>638</w:t>
      </w:r>
      <w:r w:rsidRPr="00F13DA5">
        <w:rPr>
          <w:rFonts w:hint="cs"/>
          <w:rtl/>
        </w:rPr>
        <w:t xml:space="preserve"> שעות (כ-</w:t>
      </w:r>
      <w:r>
        <w:rPr>
          <w:rFonts w:hint="cs"/>
          <w:rtl/>
        </w:rPr>
        <w:t>68</w:t>
      </w:r>
      <w:r w:rsidRPr="00F13DA5">
        <w:rPr>
          <w:rFonts w:hint="cs"/>
          <w:rtl/>
        </w:rPr>
        <w:t xml:space="preserve"> יום). בלוח להלן פירוט אומדן משכי ההחזקה החציונים</w:t>
      </w:r>
      <w:r>
        <w:rPr>
          <w:rFonts w:hint="cs"/>
          <w:rtl/>
        </w:rPr>
        <w:t xml:space="preserve"> (בשעות)</w:t>
      </w:r>
      <w:r w:rsidRPr="00F13DA5">
        <w:rPr>
          <w:rFonts w:hint="cs"/>
          <w:rtl/>
        </w:rPr>
        <w:t xml:space="preserve"> בהתאם לעבירה החמורה ביותר המיוחסת לעצור:</w:t>
      </w:r>
    </w:p>
    <w:p w14:paraId="0A5DD990" w14:textId="77777777" w:rsidR="007F253B" w:rsidRDefault="007F253B">
      <w:pPr>
        <w:bidi w:val="0"/>
        <w:spacing w:after="200" w:line="276" w:lineRule="auto"/>
        <w:rPr>
          <w:rFonts w:ascii="Tahoma" w:eastAsiaTheme="minorEastAsia" w:hAnsi="Tahoma" w:cs="Tahoma"/>
          <w:color w:val="365F91" w:themeColor="accent1" w:themeShade="BF"/>
          <w:szCs w:val="20"/>
          <w:rtl/>
        </w:rPr>
      </w:pPr>
      <w:r>
        <w:rPr>
          <w:rtl/>
        </w:rPr>
        <w:br w:type="page"/>
      </w:r>
    </w:p>
    <w:p w14:paraId="24EA20C5" w14:textId="18E31054" w:rsidR="00BA23AE" w:rsidRPr="00553469" w:rsidRDefault="00BA23AE" w:rsidP="00553469">
      <w:pPr>
        <w:pStyle w:val="a9"/>
        <w:rPr>
          <w:b/>
          <w:bCs/>
          <w:rtl/>
        </w:rPr>
      </w:pPr>
      <w:r w:rsidRPr="00F13DA5">
        <w:rPr>
          <w:rFonts w:hint="cs"/>
          <w:rtl/>
        </w:rPr>
        <w:lastRenderedPageBreak/>
        <w:t>ל</w:t>
      </w:r>
      <w:r w:rsidRPr="00F13DA5">
        <w:rPr>
          <w:rFonts w:hint="eastAsia"/>
          <w:rtl/>
        </w:rPr>
        <w:t>וח</w:t>
      </w:r>
      <w:r w:rsidRPr="00F13DA5">
        <w:rPr>
          <w:rFonts w:hint="cs"/>
          <w:rtl/>
        </w:rPr>
        <w:t xml:space="preserve"> 4</w:t>
      </w:r>
      <w:r w:rsidRPr="00F13DA5">
        <w:rPr>
          <w:rtl/>
        </w:rPr>
        <w:t xml:space="preserve">: </w:t>
      </w:r>
      <w:r w:rsidRPr="00553469">
        <w:rPr>
          <w:rFonts w:hint="cs"/>
          <w:b/>
          <w:bCs/>
          <w:rtl/>
        </w:rPr>
        <w:t>אומדן</w:t>
      </w:r>
      <w:r w:rsidRPr="00553469">
        <w:rPr>
          <w:b/>
          <w:bCs/>
          <w:rtl/>
        </w:rPr>
        <w:t xml:space="preserve"> משכי </w:t>
      </w:r>
      <w:r w:rsidRPr="00553469">
        <w:rPr>
          <w:rFonts w:hint="cs"/>
          <w:b/>
          <w:bCs/>
          <w:rtl/>
        </w:rPr>
        <w:t>ה</w:t>
      </w:r>
      <w:r w:rsidRPr="00553469">
        <w:rPr>
          <w:b/>
          <w:bCs/>
          <w:rtl/>
        </w:rPr>
        <w:t xml:space="preserve">החזקה </w:t>
      </w:r>
      <w:r w:rsidRPr="00553469">
        <w:rPr>
          <w:rFonts w:hint="cs"/>
          <w:b/>
          <w:bCs/>
          <w:rtl/>
        </w:rPr>
        <w:t>ה</w:t>
      </w:r>
      <w:r w:rsidRPr="00553469">
        <w:rPr>
          <w:rFonts w:hint="eastAsia"/>
          <w:b/>
          <w:bCs/>
          <w:rtl/>
        </w:rPr>
        <w:t>חציוניים</w:t>
      </w:r>
      <w:r w:rsidRPr="00553469">
        <w:rPr>
          <w:rFonts w:hint="cs"/>
          <w:b/>
          <w:bCs/>
          <w:rtl/>
        </w:rPr>
        <w:t xml:space="preserve"> (בשעות),</w:t>
      </w:r>
      <w:r w:rsidRPr="00553469">
        <w:rPr>
          <w:b/>
          <w:bCs/>
          <w:rtl/>
        </w:rPr>
        <w:t xml:space="preserve"> </w:t>
      </w:r>
      <w:r w:rsidRPr="00553469">
        <w:rPr>
          <w:rFonts w:hint="cs"/>
          <w:b/>
          <w:bCs/>
          <w:rtl/>
        </w:rPr>
        <w:t>לפי</w:t>
      </w:r>
      <w:r w:rsidRPr="00553469">
        <w:rPr>
          <w:b/>
          <w:bCs/>
          <w:rtl/>
        </w:rPr>
        <w:t xml:space="preserve"> </w:t>
      </w:r>
      <w:r w:rsidRPr="00553469">
        <w:rPr>
          <w:rFonts w:hint="cs"/>
          <w:b/>
          <w:bCs/>
          <w:rtl/>
        </w:rPr>
        <w:t xml:space="preserve">שכיחות העבירה החמורה ביותר ודרגת החומרה </w:t>
      </w:r>
      <w:r w:rsidRPr="00553469">
        <w:rPr>
          <w:b/>
          <w:bCs/>
          <w:rtl/>
        </w:rPr>
        <w:t>2016 - 2018</w:t>
      </w:r>
    </w:p>
    <w:tbl>
      <w:tblPr>
        <w:bidiVisual/>
        <w:tblW w:w="7930" w:type="dxa"/>
        <w:tblInd w:w="1382" w:type="dxa"/>
        <w:tblLook w:val="04A0" w:firstRow="1" w:lastRow="0" w:firstColumn="1" w:lastColumn="0" w:noHBand="0" w:noVBand="1"/>
      </w:tblPr>
      <w:tblGrid>
        <w:gridCol w:w="810"/>
        <w:gridCol w:w="2254"/>
        <w:gridCol w:w="866"/>
        <w:gridCol w:w="992"/>
        <w:gridCol w:w="992"/>
        <w:gridCol w:w="1175"/>
        <w:gridCol w:w="943"/>
      </w:tblGrid>
      <w:tr w:rsidR="00BA23AE" w:rsidRPr="005D25B7" w14:paraId="6FE31296" w14:textId="77777777" w:rsidTr="00BD38A0">
        <w:trPr>
          <w:trHeight w:val="960"/>
          <w:tblHeader/>
        </w:trPr>
        <w:tc>
          <w:tcPr>
            <w:tcW w:w="708"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44F7DF56" w14:textId="77777777" w:rsidR="00BA23AE" w:rsidRPr="005D25B7" w:rsidRDefault="00BA23AE" w:rsidP="00A348FE">
            <w:pPr>
              <w:pStyle w:val="af0"/>
              <w:rPr>
                <w:sz w:val="18"/>
                <w:szCs w:val="18"/>
              </w:rPr>
            </w:pPr>
            <w:r w:rsidRPr="005D25B7">
              <w:rPr>
                <w:rFonts w:hint="cs"/>
                <w:sz w:val="18"/>
                <w:szCs w:val="18"/>
                <w:rtl/>
              </w:rPr>
              <w:t>דרגת חומרה</w:t>
            </w:r>
          </w:p>
        </w:tc>
        <w:tc>
          <w:tcPr>
            <w:tcW w:w="2254" w:type="dxa"/>
            <w:tcBorders>
              <w:top w:val="single" w:sz="4" w:space="0" w:color="auto"/>
              <w:left w:val="single" w:sz="4" w:space="0" w:color="auto"/>
              <w:bottom w:val="single" w:sz="4" w:space="0" w:color="auto"/>
              <w:right w:val="single" w:sz="4" w:space="0" w:color="auto"/>
              <w:tr2bl w:val="single" w:sz="4" w:space="0" w:color="auto"/>
            </w:tcBorders>
            <w:shd w:val="clear" w:color="auto" w:fill="C6D9F1"/>
            <w:vAlign w:val="center"/>
            <w:hideMark/>
          </w:tcPr>
          <w:p w14:paraId="743FC1CD" w14:textId="77777777" w:rsidR="00BA23AE" w:rsidRPr="005D25B7" w:rsidRDefault="00BA23AE" w:rsidP="00A348FE">
            <w:pPr>
              <w:pStyle w:val="af0"/>
              <w:rPr>
                <w:sz w:val="18"/>
                <w:szCs w:val="18"/>
                <w:rtl/>
              </w:rPr>
            </w:pPr>
          </w:p>
          <w:p w14:paraId="4CFAD453" w14:textId="3A7A1197" w:rsidR="00BA23AE" w:rsidRPr="005D25B7" w:rsidRDefault="00BA23AE" w:rsidP="005D25B7">
            <w:pPr>
              <w:pStyle w:val="af0"/>
              <w:jc w:val="right"/>
              <w:rPr>
                <w:sz w:val="18"/>
                <w:szCs w:val="18"/>
                <w:rtl/>
              </w:rPr>
            </w:pPr>
            <w:r w:rsidRPr="005D25B7">
              <w:rPr>
                <w:rFonts w:hint="cs"/>
                <w:sz w:val="18"/>
                <w:szCs w:val="18"/>
                <w:rtl/>
              </w:rPr>
              <w:t xml:space="preserve">              הפרשי </w:t>
            </w:r>
            <w:r w:rsidR="005D25B7">
              <w:rPr>
                <w:rFonts w:hint="cs"/>
                <w:sz w:val="18"/>
                <w:szCs w:val="18"/>
                <w:rtl/>
              </w:rPr>
              <w:t>ז</w:t>
            </w:r>
            <w:r w:rsidRPr="005D25B7">
              <w:rPr>
                <w:rFonts w:hint="cs"/>
                <w:sz w:val="18"/>
                <w:szCs w:val="18"/>
                <w:rtl/>
              </w:rPr>
              <w:t xml:space="preserve">מן </w:t>
            </w:r>
          </w:p>
          <w:p w14:paraId="4DB061EC" w14:textId="77777777" w:rsidR="00BA23AE" w:rsidRPr="005D25B7" w:rsidRDefault="00BA23AE" w:rsidP="005D25B7">
            <w:pPr>
              <w:pStyle w:val="af0"/>
              <w:jc w:val="right"/>
              <w:rPr>
                <w:sz w:val="18"/>
                <w:szCs w:val="18"/>
                <w:rtl/>
              </w:rPr>
            </w:pPr>
            <w:r w:rsidRPr="005D25B7">
              <w:rPr>
                <w:rFonts w:hint="cs"/>
                <w:sz w:val="18"/>
                <w:szCs w:val="18"/>
                <w:rtl/>
              </w:rPr>
              <w:t xml:space="preserve">              (בשעות)</w:t>
            </w:r>
          </w:p>
          <w:p w14:paraId="02A9788C" w14:textId="77777777" w:rsidR="00BA23AE" w:rsidRPr="005D25B7" w:rsidRDefault="00BA23AE" w:rsidP="00A348FE">
            <w:pPr>
              <w:pStyle w:val="af0"/>
              <w:rPr>
                <w:sz w:val="18"/>
                <w:szCs w:val="18"/>
                <w:rtl/>
              </w:rPr>
            </w:pPr>
          </w:p>
          <w:p w14:paraId="3A825638" w14:textId="77777777" w:rsidR="00BA23AE" w:rsidRPr="005D25B7" w:rsidRDefault="00BA23AE" w:rsidP="00B014AD">
            <w:pPr>
              <w:pStyle w:val="af0"/>
              <w:rPr>
                <w:sz w:val="18"/>
                <w:szCs w:val="18"/>
                <w:rtl/>
              </w:rPr>
            </w:pPr>
            <w:r w:rsidRPr="005D25B7">
              <w:rPr>
                <w:rFonts w:hint="cs"/>
                <w:sz w:val="18"/>
                <w:szCs w:val="18"/>
                <w:rtl/>
              </w:rPr>
              <w:t xml:space="preserve">העבירה </w:t>
            </w:r>
          </w:p>
          <w:p w14:paraId="35328780" w14:textId="77777777" w:rsidR="00BA23AE" w:rsidRPr="005D25B7" w:rsidRDefault="00BA23AE" w:rsidP="00B014AD">
            <w:pPr>
              <w:pStyle w:val="af0"/>
              <w:rPr>
                <w:sz w:val="18"/>
                <w:szCs w:val="18"/>
                <w:rtl/>
              </w:rPr>
            </w:pPr>
            <w:r w:rsidRPr="005D25B7">
              <w:rPr>
                <w:rFonts w:hint="cs"/>
                <w:sz w:val="18"/>
                <w:szCs w:val="18"/>
                <w:rtl/>
              </w:rPr>
              <w:t xml:space="preserve">החמורה </w:t>
            </w:r>
          </w:p>
          <w:p w14:paraId="6E850C38" w14:textId="77777777" w:rsidR="00BA23AE" w:rsidRPr="005D25B7" w:rsidRDefault="00BA23AE" w:rsidP="00B014AD">
            <w:pPr>
              <w:pStyle w:val="af0"/>
              <w:rPr>
                <w:sz w:val="18"/>
                <w:szCs w:val="18"/>
                <w:rtl/>
              </w:rPr>
            </w:pPr>
            <w:r w:rsidRPr="005D25B7">
              <w:rPr>
                <w:rFonts w:hint="cs"/>
                <w:sz w:val="18"/>
                <w:szCs w:val="18"/>
                <w:rtl/>
              </w:rPr>
              <w:t>ביותר במעצר</w:t>
            </w:r>
          </w:p>
        </w:tc>
        <w:tc>
          <w:tcPr>
            <w:tcW w:w="866" w:type="dxa"/>
            <w:tcBorders>
              <w:top w:val="single" w:sz="4" w:space="0" w:color="auto"/>
              <w:left w:val="single" w:sz="4" w:space="0" w:color="auto"/>
              <w:bottom w:val="single" w:sz="4" w:space="0" w:color="auto"/>
              <w:right w:val="single" w:sz="4" w:space="0" w:color="auto"/>
            </w:tcBorders>
            <w:shd w:val="clear" w:color="auto" w:fill="C6D9F1"/>
            <w:vAlign w:val="bottom"/>
          </w:tcPr>
          <w:p w14:paraId="0132AE91" w14:textId="77777777" w:rsidR="00BA23AE" w:rsidRPr="005D25B7" w:rsidRDefault="00BA23AE" w:rsidP="00A348FE">
            <w:pPr>
              <w:pStyle w:val="af0"/>
              <w:rPr>
                <w:sz w:val="18"/>
                <w:szCs w:val="18"/>
                <w:rtl/>
              </w:rPr>
            </w:pPr>
            <w:r w:rsidRPr="005D25B7">
              <w:rPr>
                <w:rFonts w:hint="cs"/>
                <w:sz w:val="18"/>
                <w:szCs w:val="18"/>
                <w:rtl/>
              </w:rPr>
              <w:t>ממועד ה</w:t>
            </w:r>
            <w:r w:rsidRPr="005D25B7">
              <w:rPr>
                <w:rFonts w:hint="eastAsia"/>
                <w:sz w:val="18"/>
                <w:szCs w:val="18"/>
                <w:rtl/>
              </w:rPr>
              <w:t>אירוע</w:t>
            </w:r>
            <w:r w:rsidRPr="005D25B7">
              <w:rPr>
                <w:sz w:val="18"/>
                <w:szCs w:val="18"/>
                <w:rtl/>
              </w:rPr>
              <w:t xml:space="preserve"> למועד המעצר</w:t>
            </w:r>
          </w:p>
        </w:tc>
        <w:tc>
          <w:tcPr>
            <w:tcW w:w="992" w:type="dxa"/>
            <w:tcBorders>
              <w:top w:val="single" w:sz="4" w:space="0" w:color="auto"/>
              <w:left w:val="single" w:sz="4" w:space="0" w:color="auto"/>
              <w:bottom w:val="single" w:sz="4" w:space="0" w:color="auto"/>
              <w:right w:val="single" w:sz="4" w:space="0" w:color="auto"/>
            </w:tcBorders>
            <w:shd w:val="clear" w:color="auto" w:fill="C6D9F1"/>
            <w:vAlign w:val="bottom"/>
          </w:tcPr>
          <w:p w14:paraId="105FABA6" w14:textId="77777777" w:rsidR="00BA23AE" w:rsidRPr="005D25B7" w:rsidRDefault="00BA23AE" w:rsidP="00A348FE">
            <w:pPr>
              <w:pStyle w:val="af0"/>
              <w:rPr>
                <w:sz w:val="18"/>
                <w:szCs w:val="18"/>
                <w:rtl/>
              </w:rPr>
            </w:pPr>
            <w:r w:rsidRPr="005D25B7">
              <w:rPr>
                <w:rFonts w:hint="eastAsia"/>
                <w:sz w:val="18"/>
                <w:szCs w:val="18"/>
                <w:rtl/>
              </w:rPr>
              <w:t>מ</w:t>
            </w:r>
            <w:r w:rsidRPr="005D25B7">
              <w:rPr>
                <w:rFonts w:hint="cs"/>
                <w:sz w:val="18"/>
                <w:szCs w:val="18"/>
                <w:rtl/>
              </w:rPr>
              <w:t xml:space="preserve">מועד </w:t>
            </w:r>
            <w:r w:rsidRPr="005D25B7">
              <w:rPr>
                <w:rFonts w:hint="eastAsia"/>
                <w:sz w:val="18"/>
                <w:szCs w:val="18"/>
                <w:rtl/>
              </w:rPr>
              <w:t>המעצר</w:t>
            </w:r>
            <w:r w:rsidRPr="005D25B7">
              <w:rPr>
                <w:sz w:val="18"/>
                <w:szCs w:val="18"/>
                <w:rtl/>
              </w:rPr>
              <w:t xml:space="preserve"> </w:t>
            </w:r>
            <w:r w:rsidRPr="005D25B7">
              <w:rPr>
                <w:rFonts w:hint="eastAsia"/>
                <w:sz w:val="18"/>
                <w:szCs w:val="18"/>
                <w:rtl/>
              </w:rPr>
              <w:t>למועד</w:t>
            </w:r>
            <w:r w:rsidRPr="005D25B7">
              <w:rPr>
                <w:sz w:val="18"/>
                <w:szCs w:val="18"/>
                <w:rtl/>
              </w:rPr>
              <w:t xml:space="preserve"> </w:t>
            </w:r>
            <w:r w:rsidRPr="005D25B7">
              <w:rPr>
                <w:rFonts w:hint="cs"/>
                <w:sz w:val="18"/>
                <w:szCs w:val="18"/>
                <w:rtl/>
              </w:rPr>
              <w:t>ה</w:t>
            </w:r>
            <w:r w:rsidRPr="005D25B7">
              <w:rPr>
                <w:rFonts w:hint="eastAsia"/>
                <w:sz w:val="18"/>
                <w:szCs w:val="18"/>
                <w:rtl/>
              </w:rPr>
              <w:t>הבאה</w:t>
            </w:r>
            <w:r w:rsidRPr="005D25B7">
              <w:rPr>
                <w:sz w:val="18"/>
                <w:szCs w:val="18"/>
                <w:rtl/>
              </w:rPr>
              <w:t xml:space="preserve"> </w:t>
            </w:r>
            <w:r w:rsidRPr="005D25B7">
              <w:rPr>
                <w:rFonts w:hint="eastAsia"/>
                <w:sz w:val="18"/>
                <w:szCs w:val="18"/>
                <w:rtl/>
              </w:rPr>
              <w:t>לתחנה</w:t>
            </w:r>
          </w:p>
        </w:tc>
        <w:tc>
          <w:tcPr>
            <w:tcW w:w="992" w:type="dxa"/>
            <w:tcBorders>
              <w:top w:val="single" w:sz="4" w:space="0" w:color="auto"/>
              <w:left w:val="single" w:sz="4" w:space="0" w:color="auto"/>
              <w:bottom w:val="single" w:sz="4" w:space="0" w:color="auto"/>
              <w:right w:val="single" w:sz="4" w:space="0" w:color="auto"/>
            </w:tcBorders>
            <w:shd w:val="clear" w:color="auto" w:fill="C6D9F1"/>
            <w:vAlign w:val="bottom"/>
          </w:tcPr>
          <w:p w14:paraId="4148B0E9" w14:textId="77777777" w:rsidR="00BA23AE" w:rsidRPr="005D25B7" w:rsidRDefault="00BA23AE" w:rsidP="00A348FE">
            <w:pPr>
              <w:pStyle w:val="af0"/>
              <w:rPr>
                <w:sz w:val="18"/>
                <w:szCs w:val="18"/>
                <w:rtl/>
              </w:rPr>
            </w:pPr>
            <w:r w:rsidRPr="005D25B7">
              <w:rPr>
                <w:rFonts w:hint="cs"/>
                <w:sz w:val="18"/>
                <w:szCs w:val="18"/>
                <w:rtl/>
              </w:rPr>
              <w:t>ממועד ה</w:t>
            </w:r>
            <w:r w:rsidRPr="005D25B7">
              <w:rPr>
                <w:rFonts w:hint="eastAsia"/>
                <w:sz w:val="18"/>
                <w:szCs w:val="18"/>
                <w:rtl/>
              </w:rPr>
              <w:t>הבאה</w:t>
            </w:r>
            <w:r w:rsidRPr="005D25B7">
              <w:rPr>
                <w:sz w:val="18"/>
                <w:szCs w:val="18"/>
                <w:rtl/>
              </w:rPr>
              <w:t xml:space="preserve"> </w:t>
            </w:r>
            <w:r w:rsidRPr="005D25B7">
              <w:rPr>
                <w:rFonts w:hint="eastAsia"/>
                <w:sz w:val="18"/>
                <w:szCs w:val="18"/>
                <w:rtl/>
              </w:rPr>
              <w:t>לתחנה</w:t>
            </w:r>
            <w:r w:rsidRPr="005D25B7">
              <w:rPr>
                <w:sz w:val="18"/>
                <w:szCs w:val="18"/>
                <w:rtl/>
              </w:rPr>
              <w:t xml:space="preserve"> </w:t>
            </w:r>
            <w:r w:rsidRPr="005D25B7">
              <w:rPr>
                <w:rFonts w:hint="eastAsia"/>
                <w:sz w:val="18"/>
                <w:szCs w:val="18"/>
                <w:rtl/>
              </w:rPr>
              <w:t>למועד</w:t>
            </w:r>
            <w:r w:rsidRPr="005D25B7">
              <w:rPr>
                <w:sz w:val="18"/>
                <w:szCs w:val="18"/>
                <w:rtl/>
              </w:rPr>
              <w:t xml:space="preserve"> </w:t>
            </w:r>
            <w:r w:rsidRPr="005D25B7">
              <w:rPr>
                <w:rFonts w:hint="cs"/>
                <w:sz w:val="18"/>
                <w:szCs w:val="18"/>
                <w:rtl/>
              </w:rPr>
              <w:t>ה</w:t>
            </w:r>
            <w:r w:rsidRPr="005D25B7">
              <w:rPr>
                <w:rFonts w:hint="eastAsia"/>
                <w:sz w:val="18"/>
                <w:szCs w:val="18"/>
                <w:rtl/>
              </w:rPr>
              <w:t>חקירה</w:t>
            </w:r>
          </w:p>
        </w:tc>
        <w:tc>
          <w:tcPr>
            <w:tcW w:w="1175" w:type="dxa"/>
            <w:tcBorders>
              <w:top w:val="single" w:sz="4" w:space="0" w:color="auto"/>
              <w:left w:val="single" w:sz="4" w:space="0" w:color="auto"/>
              <w:bottom w:val="single" w:sz="4" w:space="0" w:color="auto"/>
              <w:right w:val="single" w:sz="4" w:space="0" w:color="auto"/>
            </w:tcBorders>
            <w:shd w:val="clear" w:color="auto" w:fill="C6D9F1"/>
            <w:vAlign w:val="bottom"/>
          </w:tcPr>
          <w:p w14:paraId="1CB7A311" w14:textId="77777777" w:rsidR="00BA23AE" w:rsidRPr="005D25B7" w:rsidRDefault="00BA23AE" w:rsidP="00A348FE">
            <w:pPr>
              <w:pStyle w:val="af0"/>
              <w:rPr>
                <w:sz w:val="18"/>
                <w:szCs w:val="18"/>
                <w:rtl/>
              </w:rPr>
            </w:pPr>
            <w:r w:rsidRPr="005D25B7">
              <w:rPr>
                <w:rFonts w:hint="eastAsia"/>
                <w:sz w:val="18"/>
                <w:szCs w:val="18"/>
                <w:rtl/>
              </w:rPr>
              <w:t>מ</w:t>
            </w:r>
            <w:r w:rsidRPr="005D25B7">
              <w:rPr>
                <w:rFonts w:hint="cs"/>
                <w:sz w:val="18"/>
                <w:szCs w:val="18"/>
                <w:rtl/>
              </w:rPr>
              <w:t>מועד ה</w:t>
            </w:r>
            <w:r w:rsidRPr="005D25B7">
              <w:rPr>
                <w:rFonts w:hint="eastAsia"/>
                <w:sz w:val="18"/>
                <w:szCs w:val="18"/>
                <w:rtl/>
              </w:rPr>
              <w:t>הבאה</w:t>
            </w:r>
            <w:r w:rsidRPr="005D25B7">
              <w:rPr>
                <w:sz w:val="18"/>
                <w:szCs w:val="18"/>
                <w:rtl/>
              </w:rPr>
              <w:t xml:space="preserve"> </w:t>
            </w:r>
            <w:r w:rsidRPr="005D25B7">
              <w:rPr>
                <w:rFonts w:hint="eastAsia"/>
                <w:sz w:val="18"/>
                <w:szCs w:val="18"/>
                <w:rtl/>
              </w:rPr>
              <w:t>ל</w:t>
            </w:r>
            <w:r w:rsidRPr="005D25B7">
              <w:rPr>
                <w:rFonts w:hint="cs"/>
                <w:sz w:val="18"/>
                <w:szCs w:val="18"/>
                <w:rtl/>
              </w:rPr>
              <w:t>תחנה</w:t>
            </w:r>
            <w:r w:rsidRPr="005D25B7">
              <w:rPr>
                <w:sz w:val="18"/>
                <w:szCs w:val="18"/>
                <w:rtl/>
              </w:rPr>
              <w:t xml:space="preserve"> למועד </w:t>
            </w:r>
            <w:r w:rsidRPr="005D25B7">
              <w:rPr>
                <w:rFonts w:hint="cs"/>
                <w:sz w:val="18"/>
                <w:szCs w:val="18"/>
                <w:rtl/>
              </w:rPr>
              <w:t>ה</w:t>
            </w:r>
            <w:r w:rsidRPr="005D25B7">
              <w:rPr>
                <w:sz w:val="18"/>
                <w:szCs w:val="18"/>
                <w:rtl/>
              </w:rPr>
              <w:t>הבאה בפני קצין ממונה</w:t>
            </w:r>
          </w:p>
        </w:tc>
        <w:tc>
          <w:tcPr>
            <w:tcW w:w="943" w:type="dxa"/>
            <w:tcBorders>
              <w:top w:val="single" w:sz="4" w:space="0" w:color="auto"/>
              <w:left w:val="single" w:sz="4" w:space="0" w:color="auto"/>
              <w:bottom w:val="single" w:sz="4" w:space="0" w:color="auto"/>
              <w:right w:val="single" w:sz="4" w:space="0" w:color="auto"/>
            </w:tcBorders>
            <w:shd w:val="clear" w:color="auto" w:fill="C6D9F1"/>
            <w:vAlign w:val="bottom"/>
          </w:tcPr>
          <w:p w14:paraId="4BF778D3" w14:textId="77777777" w:rsidR="00BA23AE" w:rsidRPr="005D25B7" w:rsidRDefault="00BA23AE" w:rsidP="00A348FE">
            <w:pPr>
              <w:pStyle w:val="af0"/>
              <w:rPr>
                <w:sz w:val="18"/>
                <w:szCs w:val="18"/>
                <w:rtl/>
              </w:rPr>
            </w:pPr>
            <w:r w:rsidRPr="005D25B7">
              <w:rPr>
                <w:rFonts w:hint="cs"/>
                <w:sz w:val="18"/>
                <w:szCs w:val="18"/>
                <w:rtl/>
              </w:rPr>
              <w:t xml:space="preserve">ממועד </w:t>
            </w:r>
            <w:r w:rsidRPr="005D25B7">
              <w:rPr>
                <w:rFonts w:hint="eastAsia"/>
                <w:sz w:val="18"/>
                <w:szCs w:val="18"/>
                <w:rtl/>
              </w:rPr>
              <w:t>המעצר</w:t>
            </w:r>
            <w:r w:rsidRPr="005D25B7">
              <w:rPr>
                <w:sz w:val="18"/>
                <w:szCs w:val="18"/>
                <w:rtl/>
              </w:rPr>
              <w:t xml:space="preserve"> </w:t>
            </w:r>
            <w:r w:rsidRPr="005D25B7">
              <w:rPr>
                <w:rFonts w:hint="eastAsia"/>
                <w:sz w:val="18"/>
                <w:szCs w:val="18"/>
                <w:rtl/>
              </w:rPr>
              <w:t>למועד</w:t>
            </w:r>
            <w:r w:rsidRPr="005D25B7">
              <w:rPr>
                <w:sz w:val="18"/>
                <w:szCs w:val="18"/>
                <w:rtl/>
              </w:rPr>
              <w:t xml:space="preserve"> </w:t>
            </w:r>
            <w:r w:rsidRPr="005D25B7">
              <w:rPr>
                <w:rFonts w:hint="cs"/>
                <w:sz w:val="18"/>
                <w:szCs w:val="18"/>
                <w:rtl/>
              </w:rPr>
              <w:t>ה</w:t>
            </w:r>
            <w:r w:rsidRPr="005D25B7">
              <w:rPr>
                <w:rFonts w:hint="eastAsia"/>
                <w:sz w:val="18"/>
                <w:szCs w:val="18"/>
                <w:rtl/>
              </w:rPr>
              <w:t>שחרור</w:t>
            </w:r>
          </w:p>
        </w:tc>
      </w:tr>
      <w:tr w:rsidR="00BA23AE" w:rsidRPr="005D25B7" w14:paraId="48495939" w14:textId="77777777" w:rsidTr="007F253B">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CFFD2" w14:textId="77777777" w:rsidR="00BA23AE" w:rsidRPr="005D25B7" w:rsidRDefault="00BA23AE" w:rsidP="00465562">
            <w:pPr>
              <w:rPr>
                <w:rFonts w:ascii="Arial" w:eastAsia="Times New Roman" w:hAnsi="Arial"/>
                <w:b/>
                <w:bCs/>
                <w:color w:val="000000"/>
                <w:sz w:val="18"/>
                <w:szCs w:val="18"/>
                <w:rtl/>
              </w:rPr>
            </w:pPr>
            <w:r w:rsidRPr="005D25B7">
              <w:rPr>
                <w:rFonts w:ascii="Arial" w:eastAsia="Times New Roman" w:hAnsi="Arial" w:hint="cs"/>
                <w:b/>
                <w:bCs/>
                <w:noProof/>
                <w:color w:val="000000"/>
                <w:sz w:val="18"/>
                <w:szCs w:val="18"/>
                <w:rtl/>
              </w:rPr>
              <w:drawing>
                <wp:inline distT="0" distB="0" distL="0" distR="0" wp14:anchorId="4D472CE9" wp14:editId="3E92C2E2">
                  <wp:extent cx="360000" cy="187591"/>
                  <wp:effectExtent l="0" t="0" r="0" b="3175"/>
                  <wp:docPr id="1992297238" name="תמונה 199229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9328"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0000" cy="187591"/>
                          </a:xfrm>
                          <a:prstGeom prst="rect">
                            <a:avLst/>
                          </a:prstGeom>
                          <a:noFill/>
                          <a:ln>
                            <a:noFill/>
                          </a:ln>
                        </pic:spPr>
                      </pic:pic>
                    </a:graphicData>
                  </a:graphic>
                </wp:inline>
              </w:drawing>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F1AE5" w14:textId="77777777" w:rsidR="00BA23AE" w:rsidRPr="005D25B7" w:rsidRDefault="00BA23AE" w:rsidP="00CA0837">
            <w:pPr>
              <w:pStyle w:val="B"/>
              <w:rPr>
                <w:sz w:val="18"/>
                <w:szCs w:val="18"/>
                <w:rtl/>
              </w:rPr>
            </w:pPr>
            <w:r w:rsidRPr="005D25B7">
              <w:rPr>
                <w:rFonts w:hint="cs"/>
                <w:sz w:val="18"/>
                <w:szCs w:val="18"/>
                <w:rtl/>
              </w:rPr>
              <w:t>עבירות סדר ציבורי</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7838E" w14:textId="77777777" w:rsidR="00BA23AE" w:rsidRPr="005D25B7" w:rsidRDefault="00BA23AE" w:rsidP="00153D95">
            <w:pPr>
              <w:pStyle w:val="R"/>
              <w:rPr>
                <w:sz w:val="18"/>
                <w:szCs w:val="18"/>
                <w:rtl/>
              </w:rPr>
            </w:pPr>
            <w:r w:rsidRPr="005D25B7">
              <w:rPr>
                <w:rFonts w:hint="cs"/>
                <w:sz w:val="18"/>
                <w:szCs w:val="18"/>
                <w:rtl/>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EB98D"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11D54"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2.75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F07D2"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53CBB0C5"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192</w:t>
            </w:r>
          </w:p>
        </w:tc>
      </w:tr>
      <w:tr w:rsidR="00BA23AE" w:rsidRPr="005D25B7" w14:paraId="7077E3B6" w14:textId="77777777" w:rsidTr="007F253B">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0A983" w14:textId="77777777" w:rsidR="00BA23AE" w:rsidRPr="005D25B7" w:rsidRDefault="00BA23AE" w:rsidP="00465562">
            <w:pPr>
              <w:rPr>
                <w:rFonts w:ascii="Arial" w:eastAsia="Times New Roman" w:hAnsi="Arial"/>
                <w:b/>
                <w:bCs/>
                <w:color w:val="000000"/>
                <w:sz w:val="18"/>
                <w:szCs w:val="18"/>
                <w:rtl/>
              </w:rPr>
            </w:pPr>
            <w:r w:rsidRPr="005D25B7">
              <w:rPr>
                <w:rFonts w:ascii="Arial" w:eastAsia="Times New Roman" w:hAnsi="Arial" w:hint="cs"/>
                <w:b/>
                <w:bCs/>
                <w:noProof/>
                <w:color w:val="000000"/>
                <w:sz w:val="18"/>
                <w:szCs w:val="18"/>
                <w:rtl/>
              </w:rPr>
              <w:drawing>
                <wp:inline distT="0" distB="0" distL="0" distR="0" wp14:anchorId="1F4B2295" wp14:editId="207A76BD">
                  <wp:extent cx="360000" cy="187590"/>
                  <wp:effectExtent l="0" t="0" r="2540" b="3175"/>
                  <wp:docPr id="1992297239" name="תמונה 199229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96585"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3DD34" w14:textId="77777777" w:rsidR="00BA23AE" w:rsidRPr="005D25B7" w:rsidRDefault="00BA23AE" w:rsidP="00CA0837">
            <w:pPr>
              <w:pStyle w:val="B"/>
              <w:rPr>
                <w:sz w:val="18"/>
                <w:szCs w:val="18"/>
                <w:rtl/>
              </w:rPr>
            </w:pPr>
            <w:r w:rsidRPr="005D25B7">
              <w:rPr>
                <w:rFonts w:hint="cs"/>
                <w:sz w:val="18"/>
                <w:szCs w:val="18"/>
                <w:rtl/>
              </w:rPr>
              <w:t>עבירות נגד גוף האדם</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A1333" w14:textId="77777777" w:rsidR="00BA23AE" w:rsidRPr="005D25B7" w:rsidRDefault="00BA23AE" w:rsidP="00153D95">
            <w:pPr>
              <w:pStyle w:val="R"/>
              <w:rPr>
                <w:sz w:val="18"/>
                <w:szCs w:val="18"/>
                <w:rtl/>
              </w:rPr>
            </w:pPr>
            <w:r w:rsidRPr="005D25B7">
              <w:rPr>
                <w:rFonts w:hint="cs"/>
                <w:sz w:val="18"/>
                <w:szCs w:val="18"/>
                <w:rtl/>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F3004"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1F4E7"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0786"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2.75</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2FC69611"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239</w:t>
            </w:r>
          </w:p>
        </w:tc>
      </w:tr>
      <w:tr w:rsidR="00BA23AE" w:rsidRPr="005D25B7" w14:paraId="27F153EE" w14:textId="77777777" w:rsidTr="007F253B">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7BFA4" w14:textId="77777777" w:rsidR="00BA23AE" w:rsidRPr="005D25B7" w:rsidRDefault="00BA23AE" w:rsidP="00465562">
            <w:pPr>
              <w:rPr>
                <w:rFonts w:ascii="Arial" w:eastAsia="Times New Roman" w:hAnsi="Arial"/>
                <w:b/>
                <w:bCs/>
                <w:color w:val="000000"/>
                <w:sz w:val="18"/>
                <w:szCs w:val="18"/>
                <w:rtl/>
              </w:rPr>
            </w:pPr>
            <w:r w:rsidRPr="005D25B7">
              <w:rPr>
                <w:rFonts w:ascii="Arial" w:eastAsia="Times New Roman" w:hAnsi="Arial" w:hint="cs"/>
                <w:b/>
                <w:bCs/>
                <w:noProof/>
                <w:color w:val="000000"/>
                <w:sz w:val="18"/>
                <w:szCs w:val="18"/>
                <w:rtl/>
              </w:rPr>
              <w:drawing>
                <wp:inline distT="0" distB="0" distL="0" distR="0" wp14:anchorId="1529E483" wp14:editId="033043BE">
                  <wp:extent cx="360000" cy="187590"/>
                  <wp:effectExtent l="0" t="0" r="2540" b="3175"/>
                  <wp:docPr id="1992297240" name="תמונה 199229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5368"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FE09B" w14:textId="77777777" w:rsidR="00BA23AE" w:rsidRPr="005D25B7" w:rsidRDefault="00BA23AE" w:rsidP="00CA0837">
            <w:pPr>
              <w:pStyle w:val="B"/>
              <w:rPr>
                <w:sz w:val="18"/>
                <w:szCs w:val="18"/>
                <w:rtl/>
              </w:rPr>
            </w:pPr>
            <w:r w:rsidRPr="005D25B7">
              <w:rPr>
                <w:rFonts w:hint="cs"/>
                <w:sz w:val="18"/>
                <w:szCs w:val="18"/>
                <w:rtl/>
              </w:rPr>
              <w:t>עבירות רכוש</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84E9C"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C8845"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4917C"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2.75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E3AC1"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1DB0EFEF"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140</w:t>
            </w:r>
          </w:p>
        </w:tc>
      </w:tr>
      <w:tr w:rsidR="00BA23AE" w:rsidRPr="005D25B7" w14:paraId="0132A8D8" w14:textId="77777777" w:rsidTr="007F253B">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D9C76" w14:textId="77777777" w:rsidR="00BA23AE" w:rsidRPr="005D25B7" w:rsidRDefault="00BA23AE" w:rsidP="00465562">
            <w:pPr>
              <w:rPr>
                <w:rFonts w:ascii="Arial" w:eastAsia="Times New Roman" w:hAnsi="Arial"/>
                <w:b/>
                <w:bCs/>
                <w:color w:val="000000"/>
                <w:sz w:val="18"/>
                <w:szCs w:val="18"/>
                <w:rtl/>
              </w:rPr>
            </w:pPr>
            <w:r w:rsidRPr="005D25B7">
              <w:rPr>
                <w:rFonts w:ascii="Arial" w:eastAsia="Times New Roman" w:hAnsi="Arial" w:hint="cs"/>
                <w:b/>
                <w:bCs/>
                <w:noProof/>
                <w:color w:val="000000"/>
                <w:sz w:val="18"/>
                <w:szCs w:val="18"/>
                <w:rtl/>
              </w:rPr>
              <w:drawing>
                <wp:inline distT="0" distB="0" distL="0" distR="0" wp14:anchorId="6DA394CE" wp14:editId="3790994D">
                  <wp:extent cx="360000" cy="187590"/>
                  <wp:effectExtent l="0" t="0" r="2540" b="3175"/>
                  <wp:docPr id="1992297241" name="תמונה 199229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90801"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85441" w14:textId="77777777" w:rsidR="00BA23AE" w:rsidRPr="005D25B7" w:rsidRDefault="00BA23AE" w:rsidP="00CA0837">
            <w:pPr>
              <w:pStyle w:val="B"/>
              <w:rPr>
                <w:sz w:val="18"/>
                <w:szCs w:val="18"/>
                <w:rtl/>
              </w:rPr>
            </w:pPr>
            <w:r w:rsidRPr="005D25B7">
              <w:rPr>
                <w:rFonts w:hint="cs"/>
                <w:sz w:val="18"/>
                <w:szCs w:val="18"/>
                <w:rtl/>
              </w:rPr>
              <w:t>עבירות מוסר</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4FEFB"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6B3F4"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29080"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E57E4"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3.75</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646E940D"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208</w:t>
            </w:r>
          </w:p>
        </w:tc>
      </w:tr>
      <w:tr w:rsidR="00BA23AE" w:rsidRPr="005D25B7" w14:paraId="4D0D5858" w14:textId="77777777" w:rsidTr="007F253B">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40C16" w14:textId="77777777" w:rsidR="00BA23AE" w:rsidRPr="005D25B7" w:rsidRDefault="00BA23AE" w:rsidP="00465562">
            <w:pPr>
              <w:rPr>
                <w:rFonts w:ascii="Arial" w:eastAsia="Times New Roman" w:hAnsi="Arial"/>
                <w:b/>
                <w:bCs/>
                <w:color w:val="000000"/>
                <w:sz w:val="18"/>
                <w:szCs w:val="18"/>
                <w:rtl/>
              </w:rPr>
            </w:pPr>
            <w:r w:rsidRPr="005D25B7">
              <w:rPr>
                <w:rFonts w:ascii="Arial" w:eastAsia="Times New Roman" w:hAnsi="Arial" w:hint="cs"/>
                <w:b/>
                <w:bCs/>
                <w:noProof/>
                <w:color w:val="000000"/>
                <w:sz w:val="18"/>
                <w:szCs w:val="18"/>
                <w:rtl/>
              </w:rPr>
              <w:drawing>
                <wp:inline distT="0" distB="0" distL="0" distR="0" wp14:anchorId="4155F01F" wp14:editId="18E9A43D">
                  <wp:extent cx="360000" cy="187590"/>
                  <wp:effectExtent l="0" t="0" r="2540" b="3175"/>
                  <wp:docPr id="1992297242" name="תמונה 199229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39188"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06283" w14:textId="77777777" w:rsidR="00BA23AE" w:rsidRPr="005D25B7" w:rsidRDefault="00BA23AE" w:rsidP="00CA0837">
            <w:pPr>
              <w:pStyle w:val="B"/>
              <w:rPr>
                <w:sz w:val="18"/>
                <w:szCs w:val="18"/>
                <w:rtl/>
              </w:rPr>
            </w:pPr>
            <w:r w:rsidRPr="005D25B7">
              <w:rPr>
                <w:rFonts w:hint="cs"/>
                <w:sz w:val="18"/>
                <w:szCs w:val="18"/>
                <w:rtl/>
              </w:rPr>
              <w:t>עבירות ביטחון</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01B9C"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013ED"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94670"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2.75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FFA47"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79E1231F"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209</w:t>
            </w:r>
          </w:p>
        </w:tc>
      </w:tr>
      <w:tr w:rsidR="00BA23AE" w:rsidRPr="005D25B7" w14:paraId="6A265E6C" w14:textId="77777777" w:rsidTr="007F253B">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2FA05" w14:textId="77777777" w:rsidR="00BA23AE" w:rsidRPr="005D25B7" w:rsidRDefault="00BA23AE" w:rsidP="00465562">
            <w:pPr>
              <w:rPr>
                <w:rFonts w:ascii="Arial" w:eastAsia="Times New Roman" w:hAnsi="Arial"/>
                <w:b/>
                <w:bCs/>
                <w:color w:val="000000"/>
                <w:sz w:val="18"/>
                <w:szCs w:val="18"/>
                <w:rtl/>
              </w:rPr>
            </w:pPr>
            <w:r w:rsidRPr="005D25B7">
              <w:rPr>
                <w:rFonts w:ascii="Arial" w:eastAsia="Times New Roman" w:hAnsi="Arial" w:hint="cs"/>
                <w:b/>
                <w:bCs/>
                <w:noProof/>
                <w:color w:val="000000"/>
                <w:sz w:val="18"/>
                <w:szCs w:val="18"/>
                <w:rtl/>
              </w:rPr>
              <w:drawing>
                <wp:inline distT="0" distB="0" distL="0" distR="0" wp14:anchorId="564E7CDE" wp14:editId="1C194025">
                  <wp:extent cx="360000" cy="187590"/>
                  <wp:effectExtent l="0" t="0" r="2540" b="3175"/>
                  <wp:docPr id="1992297243" name="תמונה 199229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04972"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E4152" w14:textId="77777777" w:rsidR="00BA23AE" w:rsidRPr="005D25B7" w:rsidRDefault="00BA23AE" w:rsidP="00CA0837">
            <w:pPr>
              <w:pStyle w:val="B"/>
              <w:rPr>
                <w:sz w:val="18"/>
                <w:szCs w:val="18"/>
                <w:rtl/>
              </w:rPr>
            </w:pPr>
            <w:r w:rsidRPr="005D25B7">
              <w:rPr>
                <w:rFonts w:hint="cs"/>
                <w:sz w:val="18"/>
                <w:szCs w:val="18"/>
                <w:rtl/>
              </w:rPr>
              <w:t>עבירות מין</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CC6C5"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132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2678E"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B9353"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2.25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F7771"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75B63544"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398</w:t>
            </w:r>
          </w:p>
        </w:tc>
      </w:tr>
      <w:tr w:rsidR="00BA23AE" w:rsidRPr="005D25B7" w14:paraId="4CF8DAB5" w14:textId="77777777" w:rsidTr="007F253B">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144A7" w14:textId="77777777" w:rsidR="00BA23AE" w:rsidRPr="005D25B7" w:rsidRDefault="00BA23AE" w:rsidP="00465562">
            <w:pPr>
              <w:rPr>
                <w:rFonts w:ascii="Arial" w:eastAsia="Times New Roman" w:hAnsi="Arial"/>
                <w:b/>
                <w:bCs/>
                <w:color w:val="000000"/>
                <w:sz w:val="18"/>
                <w:szCs w:val="18"/>
                <w:rtl/>
              </w:rPr>
            </w:pPr>
            <w:r w:rsidRPr="005D25B7">
              <w:rPr>
                <w:rFonts w:ascii="Arial" w:eastAsia="Times New Roman" w:hAnsi="Arial" w:hint="cs"/>
                <w:b/>
                <w:bCs/>
                <w:noProof/>
                <w:color w:val="000000"/>
                <w:sz w:val="18"/>
                <w:szCs w:val="18"/>
                <w:rtl/>
              </w:rPr>
              <w:drawing>
                <wp:inline distT="0" distB="0" distL="0" distR="0" wp14:anchorId="0FBE89B6" wp14:editId="1BB5BC6C">
                  <wp:extent cx="360000" cy="187590"/>
                  <wp:effectExtent l="0" t="0" r="2540" b="3175"/>
                  <wp:docPr id="1992297244" name="תמונה 199229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95309"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39855" w14:textId="77777777" w:rsidR="00BA23AE" w:rsidRPr="005D25B7" w:rsidRDefault="00BA23AE" w:rsidP="00153D95">
            <w:pPr>
              <w:pStyle w:val="B"/>
              <w:rPr>
                <w:sz w:val="18"/>
                <w:szCs w:val="18"/>
                <w:rtl/>
              </w:rPr>
            </w:pPr>
            <w:r w:rsidRPr="005D25B7">
              <w:rPr>
                <w:rFonts w:hint="cs"/>
                <w:sz w:val="18"/>
                <w:szCs w:val="18"/>
                <w:rtl/>
              </w:rPr>
              <w:t>עבירות מרמה</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7AA4D"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943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D395D"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0.75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EAC7B"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3.25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BC2BA"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4</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476A1D75"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314</w:t>
            </w:r>
          </w:p>
        </w:tc>
      </w:tr>
      <w:tr w:rsidR="00BA23AE" w:rsidRPr="005D25B7" w14:paraId="2919C5AD" w14:textId="77777777" w:rsidTr="007F253B">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B3D5B" w14:textId="77777777" w:rsidR="00BA23AE" w:rsidRPr="005D25B7" w:rsidRDefault="00BA23AE" w:rsidP="00465562">
            <w:pPr>
              <w:rPr>
                <w:rFonts w:ascii="Arial" w:eastAsia="Times New Roman" w:hAnsi="Arial"/>
                <w:b/>
                <w:bCs/>
                <w:color w:val="000000"/>
                <w:sz w:val="18"/>
                <w:szCs w:val="18"/>
                <w:rtl/>
              </w:rPr>
            </w:pPr>
            <w:r w:rsidRPr="005D25B7">
              <w:rPr>
                <w:rFonts w:ascii="Arial" w:eastAsia="Times New Roman" w:hAnsi="Arial" w:hint="cs"/>
                <w:b/>
                <w:bCs/>
                <w:noProof/>
                <w:color w:val="000000"/>
                <w:sz w:val="18"/>
                <w:szCs w:val="18"/>
                <w:rtl/>
              </w:rPr>
              <w:drawing>
                <wp:inline distT="0" distB="0" distL="0" distR="0" wp14:anchorId="260A42A5" wp14:editId="72AB6B63">
                  <wp:extent cx="360000" cy="187590"/>
                  <wp:effectExtent l="0" t="0" r="2540" b="3175"/>
                  <wp:docPr id="1992297245" name="תמונה 199229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09932"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D793E" w14:textId="77777777" w:rsidR="00BA23AE" w:rsidRPr="005D25B7" w:rsidRDefault="00BA23AE" w:rsidP="00153D95">
            <w:pPr>
              <w:pStyle w:val="B"/>
              <w:rPr>
                <w:sz w:val="18"/>
                <w:szCs w:val="18"/>
                <w:rtl/>
              </w:rPr>
            </w:pPr>
            <w:r w:rsidRPr="005D25B7">
              <w:rPr>
                <w:rFonts w:hint="cs"/>
                <w:sz w:val="18"/>
                <w:szCs w:val="18"/>
                <w:rtl/>
              </w:rPr>
              <w:t>עבירות כנגד חיי אדם</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10750"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22CA1"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6E88A"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3.75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3DDFB"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4</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1BE7DD19"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273</w:t>
            </w:r>
          </w:p>
        </w:tc>
      </w:tr>
      <w:tr w:rsidR="00BA23AE" w:rsidRPr="005D25B7" w14:paraId="62CF676F" w14:textId="77777777" w:rsidTr="007F253B">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13D29" w14:textId="77777777" w:rsidR="00BA23AE" w:rsidRPr="005D25B7" w:rsidRDefault="00BA23AE" w:rsidP="00465562">
            <w:pPr>
              <w:rPr>
                <w:rFonts w:ascii="Arial" w:eastAsia="Times New Roman" w:hAnsi="Arial"/>
                <w:b/>
                <w:bCs/>
                <w:color w:val="000000"/>
                <w:sz w:val="18"/>
                <w:szCs w:val="18"/>
                <w:rtl/>
              </w:rPr>
            </w:pPr>
            <w:r w:rsidRPr="005D25B7">
              <w:rPr>
                <w:rFonts w:ascii="Arial" w:eastAsia="Times New Roman" w:hAnsi="Arial" w:hint="cs"/>
                <w:b/>
                <w:bCs/>
                <w:noProof/>
                <w:color w:val="000000"/>
                <w:sz w:val="18"/>
                <w:szCs w:val="18"/>
                <w:rtl/>
              </w:rPr>
              <w:drawing>
                <wp:inline distT="0" distB="0" distL="0" distR="0" wp14:anchorId="35439EB1" wp14:editId="7E2BAB2A">
                  <wp:extent cx="360000" cy="187590"/>
                  <wp:effectExtent l="0" t="0" r="2540" b="3175"/>
                  <wp:docPr id="1992297246" name="תמונה 199229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80257"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43A63" w14:textId="77777777" w:rsidR="00BA23AE" w:rsidRPr="005D25B7" w:rsidRDefault="00BA23AE" w:rsidP="00153D95">
            <w:pPr>
              <w:pStyle w:val="B"/>
              <w:rPr>
                <w:sz w:val="18"/>
                <w:szCs w:val="18"/>
                <w:rtl/>
              </w:rPr>
            </w:pPr>
            <w:r w:rsidRPr="005D25B7">
              <w:rPr>
                <w:rFonts w:hint="cs"/>
                <w:sz w:val="18"/>
                <w:szCs w:val="18"/>
                <w:rtl/>
              </w:rPr>
              <w:t>עבירות אחרות</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0E8C4"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E8A56"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DC4A2"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2.25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D47F4"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2.5</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70FE31F5"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111</w:t>
            </w:r>
          </w:p>
        </w:tc>
      </w:tr>
      <w:tr w:rsidR="00BA23AE" w:rsidRPr="005D25B7" w14:paraId="3986E614" w14:textId="77777777" w:rsidTr="007F253B">
        <w:trPr>
          <w:trHeight w:val="33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FE8A9" w14:textId="77777777" w:rsidR="00BA23AE" w:rsidRPr="005D25B7" w:rsidRDefault="00BA23AE" w:rsidP="00465562">
            <w:pPr>
              <w:rPr>
                <w:rFonts w:ascii="Arial" w:eastAsia="Times New Roman" w:hAnsi="Arial"/>
                <w:b/>
                <w:bCs/>
                <w:color w:val="000000"/>
                <w:sz w:val="18"/>
                <w:szCs w:val="18"/>
                <w:rtl/>
              </w:rPr>
            </w:pPr>
            <w:r w:rsidRPr="005D25B7">
              <w:rPr>
                <w:rFonts w:ascii="Arial" w:eastAsia="Times New Roman" w:hAnsi="Arial" w:hint="cs"/>
                <w:b/>
                <w:bCs/>
                <w:color w:val="000000"/>
                <w:sz w:val="18"/>
                <w:szCs w:val="18"/>
                <w:rtl/>
              </w:rPr>
              <w:t> </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D8557" w14:textId="77777777" w:rsidR="00BA23AE" w:rsidRPr="005D25B7" w:rsidRDefault="00BA23AE" w:rsidP="00153D95">
            <w:pPr>
              <w:pStyle w:val="B"/>
              <w:rPr>
                <w:sz w:val="18"/>
                <w:szCs w:val="18"/>
                <w:rtl/>
              </w:rPr>
            </w:pPr>
            <w:r w:rsidRPr="005D25B7">
              <w:rPr>
                <w:rFonts w:hint="cs"/>
                <w:sz w:val="18"/>
                <w:szCs w:val="18"/>
                <w:rtl/>
              </w:rPr>
              <w:t>כל המעצרים</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154AA"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9D379"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2C15D"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2.75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10918"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3</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79D69E61" w14:textId="77777777" w:rsidR="00BA23AE" w:rsidRPr="005D25B7" w:rsidRDefault="00BA23AE" w:rsidP="00153D95">
            <w:pPr>
              <w:pStyle w:val="R"/>
              <w:rPr>
                <w:rFonts w:ascii="Arial" w:eastAsia="Times New Roman" w:hAnsi="Arial"/>
                <w:color w:val="000000"/>
                <w:sz w:val="18"/>
                <w:szCs w:val="18"/>
                <w:rtl/>
              </w:rPr>
            </w:pPr>
            <w:r w:rsidRPr="005D25B7">
              <w:rPr>
                <w:rFonts w:ascii="Arial" w:eastAsia="Times New Roman" w:hAnsi="Arial" w:hint="cs"/>
                <w:color w:val="000000"/>
                <w:sz w:val="18"/>
                <w:szCs w:val="18"/>
                <w:rtl/>
              </w:rPr>
              <w:t>174</w:t>
            </w:r>
          </w:p>
        </w:tc>
      </w:tr>
    </w:tbl>
    <w:p w14:paraId="24EF9D6F" w14:textId="77777777" w:rsidR="00BA23AE" w:rsidRDefault="00BA23AE" w:rsidP="00E05984">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sidRPr="00E05984">
        <w:rPr>
          <w:rtl/>
        </w:rPr>
        <w:t>נתוני</w:t>
      </w:r>
      <w:r w:rsidRPr="00F13DA5">
        <w:rPr>
          <w:rtl/>
        </w:rPr>
        <w:t xml:space="preserve"> </w:t>
      </w:r>
      <w:r w:rsidRPr="00F13DA5">
        <w:rPr>
          <w:rFonts w:hint="eastAsia"/>
          <w:rtl/>
        </w:rPr>
        <w:t>משטרת</w:t>
      </w:r>
      <w:r w:rsidRPr="00F13DA5">
        <w:rPr>
          <w:rtl/>
        </w:rPr>
        <w:t xml:space="preserve"> </w:t>
      </w:r>
      <w:r w:rsidRPr="00F13DA5">
        <w:rPr>
          <w:rFonts w:hint="eastAsia"/>
          <w:rtl/>
        </w:rPr>
        <w:t>ישראל</w:t>
      </w:r>
      <w:r w:rsidRPr="00F13DA5">
        <w:rPr>
          <w:rtl/>
        </w:rPr>
        <w:t>, בעיבוד משרד מבקר המדינה.</w:t>
      </w:r>
    </w:p>
    <w:p w14:paraId="4CB78A14" w14:textId="4CA4317D" w:rsidR="00BA23AE" w:rsidRPr="00F13DA5" w:rsidRDefault="00BA23AE" w:rsidP="00BA23AE">
      <w:pPr>
        <w:spacing w:line="269" w:lineRule="auto"/>
        <w:rPr>
          <w:rtl/>
        </w:rPr>
      </w:pPr>
    </w:p>
    <w:p w14:paraId="3838F94F" w14:textId="77777777" w:rsidR="00BA23AE" w:rsidRPr="00F13DA5" w:rsidRDefault="00BA23AE" w:rsidP="00E05984">
      <w:pPr>
        <w:pStyle w:val="ad"/>
        <w:rPr>
          <w:rtl/>
        </w:rPr>
      </w:pPr>
      <w:r w:rsidRPr="00F13DA5">
        <w:rPr>
          <w:rtl/>
        </w:rPr>
        <w:t>ניתן ללמוד</w:t>
      </w:r>
      <w:r>
        <w:rPr>
          <w:rFonts w:hint="cs"/>
          <w:rtl/>
        </w:rPr>
        <w:t xml:space="preserve"> מן הלוח כי</w:t>
      </w:r>
      <w:r w:rsidRPr="00F13DA5">
        <w:rPr>
          <w:rtl/>
        </w:rPr>
        <w:t xml:space="preserve"> </w:t>
      </w:r>
      <w:r>
        <w:rPr>
          <w:rFonts w:hint="cs"/>
          <w:rtl/>
        </w:rPr>
        <w:t>כש</w:t>
      </w:r>
      <w:r w:rsidRPr="00F13DA5">
        <w:rPr>
          <w:rtl/>
        </w:rPr>
        <w:t>העבירה החמורה ביותר המיוחסת לעצור היא עבירת מין</w:t>
      </w:r>
      <w:r>
        <w:rPr>
          <w:rFonts w:hint="cs"/>
          <w:rtl/>
        </w:rPr>
        <w:t xml:space="preserve"> </w:t>
      </w:r>
      <w:r w:rsidRPr="00F13DA5">
        <w:rPr>
          <w:rtl/>
        </w:rPr>
        <w:t>משך המעצר החציוני</w:t>
      </w:r>
      <w:r>
        <w:rPr>
          <w:rFonts w:hint="cs"/>
          <w:rtl/>
        </w:rPr>
        <w:t>,</w:t>
      </w:r>
      <w:r w:rsidRPr="00F13DA5">
        <w:rPr>
          <w:rtl/>
        </w:rPr>
        <w:t xml:space="preserve"> </w:t>
      </w:r>
      <w:r>
        <w:rPr>
          <w:rFonts w:hint="cs"/>
          <w:rtl/>
        </w:rPr>
        <w:t xml:space="preserve">ממועד המעצר למועד השחרור, הוא </w:t>
      </w:r>
      <w:r w:rsidRPr="00F13DA5">
        <w:rPr>
          <w:rtl/>
        </w:rPr>
        <w:t>הארוך ביותר</w:t>
      </w:r>
      <w:r>
        <w:rPr>
          <w:rFonts w:hint="cs"/>
          <w:rtl/>
        </w:rPr>
        <w:t>:</w:t>
      </w:r>
      <w:r w:rsidRPr="00F13DA5">
        <w:rPr>
          <w:rtl/>
        </w:rPr>
        <w:t xml:space="preserve"> </w:t>
      </w:r>
      <w:r>
        <w:rPr>
          <w:rFonts w:hint="cs"/>
          <w:rtl/>
        </w:rPr>
        <w:t>כ-</w:t>
      </w:r>
      <w:r w:rsidRPr="00F13DA5">
        <w:rPr>
          <w:rtl/>
        </w:rPr>
        <w:t xml:space="preserve">400 שעות </w:t>
      </w:r>
      <w:r w:rsidRPr="00F13DA5">
        <w:rPr>
          <w:rFonts w:hint="cs"/>
          <w:rtl/>
        </w:rPr>
        <w:t>(כלומר</w:t>
      </w:r>
      <w:r>
        <w:rPr>
          <w:rFonts w:hint="cs"/>
          <w:rtl/>
        </w:rPr>
        <w:t xml:space="preserve"> כ-</w:t>
      </w:r>
      <w:r w:rsidRPr="00F13DA5">
        <w:rPr>
          <w:rFonts w:hint="cs"/>
          <w:rtl/>
        </w:rPr>
        <w:t>16 יום)</w:t>
      </w:r>
      <w:r w:rsidRPr="00F13DA5">
        <w:rPr>
          <w:rtl/>
        </w:rPr>
        <w:t xml:space="preserve">. מסתמן כי אין הלימה בין חומרת העבירה </w:t>
      </w:r>
      <w:r w:rsidRPr="00F13DA5">
        <w:rPr>
          <w:rFonts w:hint="eastAsia"/>
          <w:rtl/>
        </w:rPr>
        <w:t>המיוחסת</w:t>
      </w:r>
      <w:r w:rsidRPr="00F13DA5">
        <w:rPr>
          <w:rtl/>
        </w:rPr>
        <w:t xml:space="preserve"> </w:t>
      </w:r>
      <w:r w:rsidRPr="00F13DA5">
        <w:rPr>
          <w:rFonts w:hint="eastAsia"/>
          <w:rtl/>
        </w:rPr>
        <w:t>לעצור</w:t>
      </w:r>
      <w:r w:rsidRPr="00F13DA5">
        <w:rPr>
          <w:rtl/>
        </w:rPr>
        <w:t xml:space="preserve"> </w:t>
      </w:r>
      <w:r w:rsidRPr="00F13DA5">
        <w:rPr>
          <w:rFonts w:hint="eastAsia"/>
          <w:rtl/>
        </w:rPr>
        <w:t>לבין</w:t>
      </w:r>
      <w:r w:rsidRPr="00F13DA5">
        <w:rPr>
          <w:rtl/>
        </w:rPr>
        <w:t xml:space="preserve"> </w:t>
      </w:r>
      <w:r w:rsidRPr="00F13DA5">
        <w:rPr>
          <w:rFonts w:hint="eastAsia"/>
          <w:rtl/>
        </w:rPr>
        <w:t>משך</w:t>
      </w:r>
      <w:r w:rsidRPr="00F13DA5">
        <w:rPr>
          <w:rtl/>
        </w:rPr>
        <w:t xml:space="preserve"> </w:t>
      </w:r>
      <w:r w:rsidRPr="00F13DA5">
        <w:rPr>
          <w:rFonts w:hint="eastAsia"/>
          <w:rtl/>
        </w:rPr>
        <w:t>החזקתו</w:t>
      </w:r>
      <w:r w:rsidRPr="00F13DA5">
        <w:rPr>
          <w:rtl/>
        </w:rPr>
        <w:t xml:space="preserve"> </w:t>
      </w:r>
      <w:r w:rsidRPr="00F13DA5">
        <w:rPr>
          <w:rFonts w:hint="eastAsia"/>
          <w:rtl/>
        </w:rPr>
        <w:t>החציוני</w:t>
      </w:r>
      <w:r w:rsidRPr="00F13DA5">
        <w:rPr>
          <w:rtl/>
        </w:rPr>
        <w:t xml:space="preserve"> </w:t>
      </w:r>
      <w:r w:rsidRPr="00F13DA5">
        <w:rPr>
          <w:rFonts w:hint="eastAsia"/>
          <w:rtl/>
        </w:rPr>
        <w:t>של</w:t>
      </w:r>
      <w:r w:rsidRPr="00F13DA5">
        <w:rPr>
          <w:rtl/>
        </w:rPr>
        <w:t xml:space="preserve"> </w:t>
      </w:r>
      <w:r w:rsidRPr="00F13DA5">
        <w:rPr>
          <w:rFonts w:hint="eastAsia"/>
          <w:rtl/>
        </w:rPr>
        <w:t>העצור</w:t>
      </w:r>
      <w:r w:rsidRPr="00F13DA5">
        <w:rPr>
          <w:rtl/>
        </w:rPr>
        <w:t xml:space="preserve"> </w:t>
      </w:r>
      <w:r w:rsidRPr="00F13DA5">
        <w:rPr>
          <w:rFonts w:hint="eastAsia"/>
          <w:rtl/>
        </w:rPr>
        <w:t>במעצר</w:t>
      </w:r>
      <w:r w:rsidRPr="00F13DA5">
        <w:rPr>
          <w:rFonts w:hint="cs"/>
          <w:rtl/>
        </w:rPr>
        <w:t>.</w:t>
      </w:r>
    </w:p>
    <w:p w14:paraId="157FB6B3" w14:textId="77777777" w:rsidR="00BA23AE" w:rsidRDefault="00BA23AE" w:rsidP="00E05984">
      <w:pPr>
        <w:pStyle w:val="af3"/>
        <w:rPr>
          <w:rtl/>
        </w:rPr>
      </w:pPr>
      <w:r w:rsidRPr="00F13DA5">
        <w:rPr>
          <w:rFonts w:hint="cs"/>
          <w:rtl/>
        </w:rPr>
        <w:t xml:space="preserve">עוד ניתן להיווכח כי כאשר העבירה החמורה ביותר היא מקבוצת עבירות מוסר, עבירות סדר ציבורי ועבירות כנגד גוף האדם, זמן התגובה המביא להחלטת מעצר ממועד האירוע הוא הקצר ביותר. יתרה מכך, כאשר העבירה החמורה ביותר היא מקבוצת עבירות מרמה, עבירות מוסר ועבירות כנגד חיי אדם, משך הזמן החציוני </w:t>
      </w:r>
      <w:r>
        <w:rPr>
          <w:rFonts w:hint="cs"/>
          <w:rtl/>
        </w:rPr>
        <w:t>ממועד הבאת העצור לתחנה ו</w:t>
      </w:r>
      <w:r w:rsidRPr="00F13DA5">
        <w:rPr>
          <w:rFonts w:hint="cs"/>
          <w:rtl/>
        </w:rPr>
        <w:t>עד ש</w:t>
      </w:r>
      <w:r>
        <w:rPr>
          <w:rFonts w:hint="cs"/>
          <w:rtl/>
        </w:rPr>
        <w:t xml:space="preserve">הוא </w:t>
      </w:r>
      <w:r w:rsidRPr="00F13DA5">
        <w:rPr>
          <w:rFonts w:hint="cs"/>
          <w:rtl/>
        </w:rPr>
        <w:t xml:space="preserve">מוכנס לחקירה </w:t>
      </w:r>
      <w:r>
        <w:rPr>
          <w:rFonts w:hint="cs"/>
          <w:rtl/>
        </w:rPr>
        <w:t xml:space="preserve">או </w:t>
      </w:r>
      <w:r w:rsidRPr="00F13DA5">
        <w:rPr>
          <w:rFonts w:hint="cs"/>
          <w:rtl/>
        </w:rPr>
        <w:t>מובא לפני קצין ממונה הוא הארוך ביותר.</w:t>
      </w:r>
    </w:p>
    <w:p w14:paraId="4DAFDBC1" w14:textId="77777777" w:rsidR="00BA23AE" w:rsidRPr="00F13DA5" w:rsidRDefault="00BA23AE" w:rsidP="00E05984">
      <w:pPr>
        <w:pStyle w:val="af3"/>
        <w:rPr>
          <w:rtl/>
        </w:rPr>
      </w:pPr>
      <w:r>
        <w:rPr>
          <w:rFonts w:hint="cs"/>
          <w:rtl/>
        </w:rPr>
        <w:t xml:space="preserve">המשטרה ציינה בתשובתה כי </w:t>
      </w:r>
      <w:r w:rsidRPr="00F13DA5">
        <w:rPr>
          <w:rFonts w:hint="cs"/>
          <w:rtl/>
        </w:rPr>
        <w:t>הפער בין קבוצות העבירות השונות נובע ממאפייני העבירות, זמן הדיווח עליהן, מועד גילוי העבירה, מורכבות החקירה, האפשרות לאתר ראיות רלוונטיות,</w:t>
      </w:r>
      <w:r>
        <w:rPr>
          <w:rFonts w:hint="cs"/>
          <w:rtl/>
        </w:rPr>
        <w:t xml:space="preserve"> הימשכות פעולות החקירה</w:t>
      </w:r>
      <w:r w:rsidRPr="00F13DA5">
        <w:rPr>
          <w:rFonts w:hint="cs"/>
          <w:rtl/>
        </w:rPr>
        <w:t xml:space="preserve"> ו</w:t>
      </w:r>
      <w:r>
        <w:rPr>
          <w:rFonts w:hint="cs"/>
          <w:rtl/>
        </w:rPr>
        <w:t>עוד</w:t>
      </w:r>
      <w:r w:rsidRPr="00F13DA5">
        <w:rPr>
          <w:rFonts w:hint="cs"/>
          <w:rtl/>
        </w:rPr>
        <w:t xml:space="preserve">. </w:t>
      </w:r>
    </w:p>
    <w:p w14:paraId="69C2BCFC" w14:textId="77777777" w:rsidR="00BA23AE" w:rsidRPr="00F13DA5" w:rsidRDefault="00BA23AE" w:rsidP="00E05984">
      <w:pPr>
        <w:pStyle w:val="ad"/>
        <w:rPr>
          <w:rtl/>
        </w:rPr>
      </w:pPr>
      <w:r w:rsidRPr="00F13DA5">
        <w:rPr>
          <w:rFonts w:hint="eastAsia"/>
          <w:rtl/>
        </w:rPr>
        <w:lastRenderedPageBreak/>
        <w:t>על</w:t>
      </w:r>
      <w:r w:rsidRPr="00F13DA5">
        <w:rPr>
          <w:rtl/>
        </w:rPr>
        <w:t xml:space="preserve"> </w:t>
      </w:r>
      <w:r w:rsidRPr="00F13DA5">
        <w:rPr>
          <w:rFonts w:hint="eastAsia"/>
          <w:rtl/>
        </w:rPr>
        <w:t>המשטרה</w:t>
      </w:r>
      <w:r w:rsidRPr="00F13DA5">
        <w:rPr>
          <w:rtl/>
        </w:rPr>
        <w:t xml:space="preserve"> </w:t>
      </w:r>
      <w:r>
        <w:rPr>
          <w:rFonts w:hint="cs"/>
          <w:rtl/>
        </w:rPr>
        <w:t>לבדוק</w:t>
      </w:r>
      <w:r w:rsidRPr="00F13DA5">
        <w:rPr>
          <w:rtl/>
        </w:rPr>
        <w:t xml:space="preserve"> </w:t>
      </w:r>
      <w:r w:rsidRPr="00F13DA5">
        <w:rPr>
          <w:rFonts w:hint="eastAsia"/>
          <w:rtl/>
        </w:rPr>
        <w:t>מה</w:t>
      </w:r>
      <w:r w:rsidRPr="00F13DA5">
        <w:rPr>
          <w:rFonts w:hint="cs"/>
          <w:rtl/>
        </w:rPr>
        <w:t>ן</w:t>
      </w:r>
      <w:r w:rsidRPr="00F13DA5">
        <w:rPr>
          <w:rtl/>
        </w:rPr>
        <w:t xml:space="preserve"> </w:t>
      </w:r>
      <w:r w:rsidRPr="00F13DA5">
        <w:rPr>
          <w:rFonts w:hint="eastAsia"/>
          <w:rtl/>
        </w:rPr>
        <w:t>הסיבות</w:t>
      </w:r>
      <w:r w:rsidRPr="00F13DA5">
        <w:rPr>
          <w:rtl/>
        </w:rPr>
        <w:t xml:space="preserve"> </w:t>
      </w:r>
      <w:r w:rsidRPr="00F13DA5">
        <w:rPr>
          <w:rFonts w:hint="eastAsia"/>
          <w:rtl/>
        </w:rPr>
        <w:t>לשוני</w:t>
      </w:r>
      <w:r w:rsidRPr="00F13DA5">
        <w:rPr>
          <w:rtl/>
        </w:rPr>
        <w:t xml:space="preserve"> </w:t>
      </w:r>
      <w:r w:rsidRPr="00F13DA5">
        <w:rPr>
          <w:rFonts w:hint="eastAsia"/>
          <w:rtl/>
        </w:rPr>
        <w:t>במשך</w:t>
      </w:r>
      <w:r w:rsidRPr="00F13DA5">
        <w:rPr>
          <w:rtl/>
        </w:rPr>
        <w:t xml:space="preserve"> </w:t>
      </w:r>
      <w:r w:rsidRPr="00F13DA5">
        <w:rPr>
          <w:rFonts w:hint="eastAsia"/>
          <w:rtl/>
        </w:rPr>
        <w:t>החזקתם</w:t>
      </w:r>
      <w:r w:rsidRPr="00F13DA5">
        <w:rPr>
          <w:rtl/>
        </w:rPr>
        <w:t xml:space="preserve"> </w:t>
      </w:r>
      <w:r w:rsidRPr="00F13DA5">
        <w:rPr>
          <w:rFonts w:hint="eastAsia"/>
          <w:rtl/>
        </w:rPr>
        <w:t>החציוני</w:t>
      </w:r>
      <w:r w:rsidRPr="00F13DA5">
        <w:rPr>
          <w:rtl/>
        </w:rPr>
        <w:t xml:space="preserve"> </w:t>
      </w:r>
      <w:r w:rsidRPr="00F13DA5">
        <w:rPr>
          <w:rFonts w:hint="eastAsia"/>
          <w:rtl/>
        </w:rPr>
        <w:t>של</w:t>
      </w:r>
      <w:r w:rsidRPr="00F13DA5">
        <w:rPr>
          <w:rtl/>
        </w:rPr>
        <w:t xml:space="preserve"> </w:t>
      </w:r>
      <w:r w:rsidRPr="00F13DA5">
        <w:rPr>
          <w:rFonts w:hint="eastAsia"/>
          <w:rtl/>
        </w:rPr>
        <w:t>עצורים</w:t>
      </w:r>
      <w:r w:rsidRPr="00F13DA5">
        <w:rPr>
          <w:rtl/>
        </w:rPr>
        <w:t xml:space="preserve"> </w:t>
      </w:r>
      <w:r w:rsidRPr="00F13DA5">
        <w:rPr>
          <w:rFonts w:hint="eastAsia"/>
          <w:rtl/>
        </w:rPr>
        <w:t>בגין</w:t>
      </w:r>
      <w:r w:rsidRPr="00F13DA5">
        <w:rPr>
          <w:rtl/>
        </w:rPr>
        <w:t xml:space="preserve"> </w:t>
      </w:r>
      <w:r w:rsidRPr="00F13DA5">
        <w:rPr>
          <w:rFonts w:hint="eastAsia"/>
          <w:rtl/>
        </w:rPr>
        <w:t>עבירות</w:t>
      </w:r>
      <w:r w:rsidRPr="00F13DA5">
        <w:rPr>
          <w:rtl/>
        </w:rPr>
        <w:t xml:space="preserve"> </w:t>
      </w:r>
      <w:r w:rsidRPr="00F13DA5">
        <w:rPr>
          <w:rFonts w:hint="eastAsia"/>
          <w:rtl/>
        </w:rPr>
        <w:t>שונות</w:t>
      </w:r>
      <w:r w:rsidRPr="00F13DA5">
        <w:rPr>
          <w:rFonts w:hint="cs"/>
          <w:rtl/>
        </w:rPr>
        <w:t>, האם שונות זו מוצדקת וכיצד ניתן לצמצמה</w:t>
      </w:r>
      <w:r w:rsidRPr="00F13DA5">
        <w:rPr>
          <w:rtl/>
        </w:rPr>
        <w:t xml:space="preserve">. </w:t>
      </w:r>
    </w:p>
    <w:p w14:paraId="5085FE62" w14:textId="77777777" w:rsidR="007F253B" w:rsidRDefault="007F253B">
      <w:pPr>
        <w:bidi w:val="0"/>
        <w:spacing w:after="200" w:line="276" w:lineRule="auto"/>
        <w:rPr>
          <w:rFonts w:ascii="Arial Bold" w:eastAsia="Times New Roman" w:hAnsi="Arial Bold" w:cs="Tahoma"/>
          <w:color w:val="365F91"/>
          <w:sz w:val="36"/>
          <w:szCs w:val="36"/>
          <w:rtl/>
        </w:rPr>
      </w:pPr>
      <w:bookmarkStart w:id="1" w:name="_Toc23159659"/>
      <w:bookmarkStart w:id="2" w:name="_Toc23160157"/>
      <w:bookmarkStart w:id="3" w:name="_Toc24624822"/>
      <w:r>
        <w:rPr>
          <w:rtl/>
        </w:rPr>
        <w:br w:type="page"/>
      </w:r>
    </w:p>
    <w:p w14:paraId="13786163" w14:textId="5CAC13F1" w:rsidR="00BA23AE" w:rsidRPr="00F13DA5" w:rsidRDefault="00BA23AE" w:rsidP="00CD7B3A">
      <w:pPr>
        <w:pStyle w:val="218"/>
        <w:rPr>
          <w:rtl/>
        </w:rPr>
      </w:pPr>
      <w:r w:rsidRPr="00F13DA5">
        <w:rPr>
          <w:rFonts w:hint="cs"/>
          <w:rtl/>
        </w:rPr>
        <w:lastRenderedPageBreak/>
        <w:t>הפעלת סמכות המעצר</w:t>
      </w:r>
      <w:bookmarkEnd w:id="1"/>
      <w:bookmarkEnd w:id="2"/>
      <w:bookmarkEnd w:id="3"/>
    </w:p>
    <w:p w14:paraId="0C3CDF2C" w14:textId="77777777" w:rsidR="00BA23AE" w:rsidRPr="00F13DA5" w:rsidRDefault="00BA23AE" w:rsidP="00CD7B3A">
      <w:pPr>
        <w:pStyle w:val="316"/>
        <w:rPr>
          <w:rtl/>
        </w:rPr>
      </w:pPr>
      <w:bookmarkStart w:id="4" w:name="_Toc6326495"/>
      <w:bookmarkStart w:id="5" w:name="_Toc6326443"/>
      <w:r w:rsidRPr="00F13DA5">
        <w:rPr>
          <w:rFonts w:hint="cs"/>
          <w:rtl/>
        </w:rPr>
        <w:t xml:space="preserve">שימוש </w:t>
      </w:r>
      <w:bookmarkEnd w:id="4"/>
      <w:r w:rsidRPr="00F13DA5">
        <w:rPr>
          <w:rFonts w:hint="cs"/>
          <w:rtl/>
        </w:rPr>
        <w:t>שוטר בסמכות המעצר</w:t>
      </w:r>
    </w:p>
    <w:p w14:paraId="164A440C" w14:textId="77777777" w:rsidR="00BA23AE" w:rsidRPr="00F13DA5" w:rsidRDefault="00BA23AE" w:rsidP="00CD7B3A">
      <w:pPr>
        <w:pStyle w:val="414"/>
        <w:rPr>
          <w:rtl/>
        </w:rPr>
      </w:pPr>
      <w:r w:rsidRPr="00F13DA5">
        <w:rPr>
          <w:rFonts w:hint="cs"/>
          <w:rtl/>
        </w:rPr>
        <w:t>סמכות העיכוב</w:t>
      </w:r>
    </w:p>
    <w:p w14:paraId="29E7C6B9" w14:textId="77777777" w:rsidR="00BA23AE" w:rsidRPr="00F13DA5" w:rsidRDefault="00BA23AE" w:rsidP="00CD7B3A">
      <w:pPr>
        <w:pStyle w:val="100"/>
        <w:rPr>
          <w:rtl/>
        </w:rPr>
      </w:pPr>
      <w:r w:rsidRPr="00F13DA5">
        <w:rPr>
          <w:rFonts w:hint="cs"/>
          <w:rtl/>
        </w:rPr>
        <w:t xml:space="preserve">על פי חוק המעצרים, </w:t>
      </w:r>
      <w:r w:rsidRPr="00F13DA5">
        <w:rPr>
          <w:rtl/>
        </w:rPr>
        <w:t xml:space="preserve">שוטר </w:t>
      </w:r>
      <w:r w:rsidRPr="00F13DA5">
        <w:rPr>
          <w:rFonts w:hint="cs"/>
          <w:rtl/>
        </w:rPr>
        <w:t xml:space="preserve">רשאי לעכב אדם שיש </w:t>
      </w:r>
      <w:r w:rsidRPr="00F13DA5">
        <w:rPr>
          <w:rtl/>
        </w:rPr>
        <w:t xml:space="preserve">חשד כי עבר עבירה או עומד לעבור עבירה </w:t>
      </w:r>
      <w:r w:rsidRPr="00F13DA5">
        <w:rPr>
          <w:rFonts w:hint="cs"/>
          <w:rtl/>
        </w:rPr>
        <w:t>כדי ל</w:t>
      </w:r>
      <w:r w:rsidRPr="00F13DA5">
        <w:rPr>
          <w:rtl/>
        </w:rPr>
        <w:t>ברר את זהותו או לחקור אותו.</w:t>
      </w:r>
      <w:r w:rsidRPr="00F13DA5">
        <w:rPr>
          <w:rFonts w:hint="cs"/>
          <w:rtl/>
        </w:rPr>
        <w:t xml:space="preserve"> אם קיים חשד לביצוע עבירה שוטר אף רשאי לעכב עדים כדי שימסרו ידיעות בעניין. משך העיכוב </w:t>
      </w:r>
      <w:r w:rsidRPr="00F13DA5">
        <w:rPr>
          <w:rtl/>
        </w:rPr>
        <w:t xml:space="preserve">לא </w:t>
      </w:r>
      <w:r w:rsidRPr="00F13DA5">
        <w:rPr>
          <w:rFonts w:hint="cs"/>
          <w:rtl/>
        </w:rPr>
        <w:t>יע</w:t>
      </w:r>
      <w:r w:rsidRPr="00F13DA5">
        <w:rPr>
          <w:rtl/>
        </w:rPr>
        <w:t>לה על שלוש שעות</w:t>
      </w:r>
      <w:r w:rsidRPr="00F13DA5">
        <w:rPr>
          <w:rFonts w:hint="cs"/>
          <w:rtl/>
        </w:rPr>
        <w:t xml:space="preserve">. כדי לצמצם את השימוש בסמכות המעצר, על שוטר להעדיף את השימוש בסמכות העיכוב, שמטבעו חמור פחות. </w:t>
      </w:r>
    </w:p>
    <w:p w14:paraId="38FAE6BE" w14:textId="77777777" w:rsidR="00BA23AE" w:rsidRPr="00F13DA5" w:rsidRDefault="00BA23AE" w:rsidP="00CD7B3A">
      <w:pPr>
        <w:pStyle w:val="100"/>
        <w:rPr>
          <w:rtl/>
        </w:rPr>
      </w:pPr>
      <w:r w:rsidRPr="00F13DA5">
        <w:rPr>
          <w:rtl/>
        </w:rPr>
        <w:t xml:space="preserve">עם תום העיכוב </w:t>
      </w:r>
      <w:r w:rsidRPr="00F13DA5">
        <w:rPr>
          <w:rFonts w:hint="cs"/>
          <w:rtl/>
        </w:rPr>
        <w:t>על השוטר</w:t>
      </w:r>
      <w:r w:rsidRPr="00F13DA5">
        <w:rPr>
          <w:rtl/>
        </w:rPr>
        <w:t xml:space="preserve"> </w:t>
      </w:r>
      <w:r w:rsidRPr="00F13DA5">
        <w:rPr>
          <w:rFonts w:hint="cs"/>
          <w:rtl/>
        </w:rPr>
        <w:t xml:space="preserve">לערוך </w:t>
      </w:r>
      <w:r w:rsidRPr="00F13DA5">
        <w:rPr>
          <w:rtl/>
        </w:rPr>
        <w:t>דוח שבו יפרט את שמו של מי שעוכב, סיבת העיכוב ומשך העיכוב</w:t>
      </w:r>
      <w:r w:rsidRPr="00F13DA5">
        <w:rPr>
          <w:rFonts w:hint="cs"/>
          <w:rtl/>
        </w:rPr>
        <w:t>. להלן תרשים המציג את היקף השימוש בסמכות העיכוב בשנים 2016 - 2018 בחלוקה למספר דוחות העיכוב שהוכנו ומספר המעוכבים, בהשוואה להיקף השימוש בסמכות המעצר:</w:t>
      </w:r>
    </w:p>
    <w:p w14:paraId="2FDE3C4D" w14:textId="77777777" w:rsidR="00BA23AE" w:rsidRPr="00701441" w:rsidRDefault="00BA23AE" w:rsidP="00CD7B3A">
      <w:pPr>
        <w:pStyle w:val="a9"/>
        <w:rPr>
          <w:b/>
          <w:bCs/>
          <w:rtl/>
        </w:rPr>
      </w:pPr>
      <w:r w:rsidRPr="00F13DA5">
        <w:rPr>
          <w:rFonts w:hint="cs"/>
          <w:rtl/>
        </w:rPr>
        <w:t xml:space="preserve">תרשים 7: </w:t>
      </w:r>
      <w:r w:rsidRPr="00701441">
        <w:rPr>
          <w:rFonts w:hint="cs"/>
          <w:b/>
          <w:bCs/>
          <w:rtl/>
        </w:rPr>
        <w:t>היקף השימוש בסמכות העיכוב בהשוואה לסמכות המעצר, 2016 - 2018</w:t>
      </w:r>
    </w:p>
    <w:p w14:paraId="7BBC22C5" w14:textId="77777777" w:rsidR="00BA23AE" w:rsidRPr="00F13DA5" w:rsidRDefault="00BA23AE" w:rsidP="00701441">
      <w:pPr>
        <w:pStyle w:val="ab"/>
        <w:rPr>
          <w:rtl/>
        </w:rPr>
      </w:pPr>
      <w:r>
        <w:rPr>
          <w:noProof/>
          <w:rtl/>
        </w:rPr>
        <w:drawing>
          <wp:inline distT="0" distB="0" distL="0" distR="0" wp14:anchorId="6C52534E" wp14:editId="58282B34">
            <wp:extent cx="5220335" cy="3305810"/>
            <wp:effectExtent l="0" t="0" r="0" b="8890"/>
            <wp:docPr id="1992297223" name="תמונה 199229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7223" name="הטיפול המערכתי במעצרים 110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0335" cy="3305810"/>
                    </a:xfrm>
                    <a:prstGeom prst="rect">
                      <a:avLst/>
                    </a:prstGeom>
                  </pic:spPr>
                </pic:pic>
              </a:graphicData>
            </a:graphic>
          </wp:inline>
        </w:drawing>
      </w:r>
    </w:p>
    <w:p w14:paraId="7B8EE6BC" w14:textId="78B853CB" w:rsidR="00BA23AE" w:rsidRDefault="00BA23AE" w:rsidP="00701441">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sidRPr="00F13DA5">
        <w:rPr>
          <w:rFonts w:hint="eastAsia"/>
          <w:rtl/>
        </w:rPr>
        <w:t>נתוני</w:t>
      </w:r>
      <w:r w:rsidRPr="00F13DA5">
        <w:rPr>
          <w:rtl/>
        </w:rPr>
        <w:t xml:space="preserve"> </w:t>
      </w:r>
      <w:r w:rsidRPr="00F13DA5">
        <w:rPr>
          <w:rFonts w:hint="eastAsia"/>
          <w:rtl/>
        </w:rPr>
        <w:t>משטרת</w:t>
      </w:r>
      <w:r w:rsidRPr="00F13DA5">
        <w:rPr>
          <w:rtl/>
        </w:rPr>
        <w:t xml:space="preserve"> </w:t>
      </w:r>
      <w:r w:rsidRPr="00F13DA5">
        <w:rPr>
          <w:rFonts w:hint="eastAsia"/>
          <w:rtl/>
        </w:rPr>
        <w:t>ישראל</w:t>
      </w:r>
      <w:r w:rsidRPr="00F13DA5">
        <w:rPr>
          <w:rtl/>
        </w:rPr>
        <w:t>, בעיבוד משרד מבקר המדינה.</w:t>
      </w:r>
    </w:p>
    <w:p w14:paraId="527398F1" w14:textId="77777777" w:rsidR="00AA74C0" w:rsidRPr="00F13DA5" w:rsidRDefault="00AA74C0" w:rsidP="00AA74C0">
      <w:pPr>
        <w:pStyle w:val="100"/>
        <w:rPr>
          <w:rtl/>
        </w:rPr>
      </w:pPr>
    </w:p>
    <w:p w14:paraId="25D5E8BD" w14:textId="7D78DB31" w:rsidR="00BA23AE" w:rsidRDefault="00BA23AE" w:rsidP="008A0C03">
      <w:pPr>
        <w:pStyle w:val="a1"/>
        <w:numPr>
          <w:ilvl w:val="0"/>
          <w:numId w:val="16"/>
        </w:numPr>
      </w:pPr>
      <w:r w:rsidRPr="00F13DA5">
        <w:rPr>
          <w:rFonts w:hint="eastAsia"/>
          <w:rtl/>
        </w:rPr>
        <w:t>מן</w:t>
      </w:r>
      <w:r w:rsidRPr="00F13DA5">
        <w:rPr>
          <w:rtl/>
        </w:rPr>
        <w:t xml:space="preserve"> </w:t>
      </w:r>
      <w:r w:rsidRPr="00F13DA5">
        <w:rPr>
          <w:rFonts w:hint="cs"/>
          <w:rtl/>
        </w:rPr>
        <w:t>התרשים</w:t>
      </w:r>
      <w:r w:rsidRPr="00F13DA5">
        <w:rPr>
          <w:rtl/>
        </w:rPr>
        <w:t xml:space="preserve"> </w:t>
      </w:r>
      <w:r w:rsidRPr="00F13DA5">
        <w:rPr>
          <w:rFonts w:hint="eastAsia"/>
          <w:rtl/>
        </w:rPr>
        <w:t>עולה</w:t>
      </w:r>
      <w:r w:rsidRPr="00F13DA5">
        <w:rPr>
          <w:rtl/>
        </w:rPr>
        <w:t xml:space="preserve"> </w:t>
      </w:r>
      <w:r w:rsidRPr="00F13DA5">
        <w:rPr>
          <w:rFonts w:hint="cs"/>
          <w:rtl/>
        </w:rPr>
        <w:t>ש</w:t>
      </w:r>
      <w:r w:rsidRPr="00F13DA5">
        <w:rPr>
          <w:rFonts w:hint="eastAsia"/>
          <w:rtl/>
        </w:rPr>
        <w:t>בשנת</w:t>
      </w:r>
      <w:r w:rsidRPr="00F13DA5">
        <w:rPr>
          <w:rtl/>
        </w:rPr>
        <w:t xml:space="preserve"> 2018 </w:t>
      </w:r>
      <w:r w:rsidRPr="00F13DA5">
        <w:rPr>
          <w:rFonts w:hint="eastAsia"/>
          <w:rtl/>
        </w:rPr>
        <w:t>חלה</w:t>
      </w:r>
      <w:r w:rsidRPr="00F13DA5">
        <w:rPr>
          <w:rtl/>
        </w:rPr>
        <w:t xml:space="preserve"> </w:t>
      </w:r>
      <w:r w:rsidRPr="00F13DA5">
        <w:rPr>
          <w:rFonts w:hint="eastAsia"/>
          <w:rtl/>
        </w:rPr>
        <w:t>עלייה</w:t>
      </w:r>
      <w:r w:rsidRPr="00F13DA5">
        <w:rPr>
          <w:rtl/>
        </w:rPr>
        <w:t xml:space="preserve"> </w:t>
      </w:r>
      <w:r w:rsidRPr="00F13DA5">
        <w:rPr>
          <w:rFonts w:hint="cs"/>
          <w:rtl/>
        </w:rPr>
        <w:t>של</w:t>
      </w:r>
      <w:r w:rsidRPr="00F13DA5">
        <w:rPr>
          <w:rtl/>
        </w:rPr>
        <w:t xml:space="preserve"> </w:t>
      </w:r>
      <w:r w:rsidRPr="00F13DA5">
        <w:rPr>
          <w:rFonts w:hint="eastAsia"/>
          <w:rtl/>
        </w:rPr>
        <w:t>כ</w:t>
      </w:r>
      <w:r w:rsidRPr="00F13DA5">
        <w:rPr>
          <w:rtl/>
        </w:rPr>
        <w:t>-</w:t>
      </w:r>
      <w:r>
        <w:rPr>
          <w:rFonts w:hint="cs"/>
          <w:rtl/>
        </w:rPr>
        <w:t>5</w:t>
      </w:r>
      <w:r w:rsidRPr="00F13DA5">
        <w:rPr>
          <w:rtl/>
        </w:rPr>
        <w:t xml:space="preserve">% </w:t>
      </w:r>
      <w:r w:rsidRPr="00F13DA5">
        <w:rPr>
          <w:rFonts w:hint="eastAsia"/>
          <w:rtl/>
        </w:rPr>
        <w:t>בהיקף</w:t>
      </w:r>
      <w:r w:rsidRPr="00F13DA5">
        <w:rPr>
          <w:rtl/>
        </w:rPr>
        <w:t xml:space="preserve"> </w:t>
      </w:r>
      <w:r w:rsidRPr="00F13DA5">
        <w:rPr>
          <w:rFonts w:hint="eastAsia"/>
          <w:rtl/>
        </w:rPr>
        <w:t>העיכובים</w:t>
      </w:r>
      <w:r w:rsidRPr="00F13DA5">
        <w:rPr>
          <w:rtl/>
        </w:rPr>
        <w:t xml:space="preserve"> </w:t>
      </w:r>
      <w:r w:rsidRPr="00F13DA5">
        <w:rPr>
          <w:rFonts w:hint="eastAsia"/>
          <w:rtl/>
        </w:rPr>
        <w:t>ו</w:t>
      </w:r>
      <w:r w:rsidRPr="00F13DA5">
        <w:rPr>
          <w:rFonts w:hint="cs"/>
          <w:rtl/>
        </w:rPr>
        <w:t>ב</w:t>
      </w:r>
      <w:r w:rsidRPr="00F13DA5">
        <w:rPr>
          <w:rFonts w:hint="eastAsia"/>
          <w:rtl/>
        </w:rPr>
        <w:t>מספר</w:t>
      </w:r>
      <w:r w:rsidRPr="00F13DA5">
        <w:rPr>
          <w:rtl/>
        </w:rPr>
        <w:t xml:space="preserve"> </w:t>
      </w:r>
      <w:r w:rsidRPr="00F13DA5">
        <w:rPr>
          <w:rFonts w:hint="eastAsia"/>
          <w:rtl/>
        </w:rPr>
        <w:t>המעוכבים</w:t>
      </w:r>
      <w:r w:rsidRPr="00F13DA5">
        <w:rPr>
          <w:rtl/>
        </w:rPr>
        <w:t xml:space="preserve"> </w:t>
      </w:r>
      <w:r w:rsidRPr="00F13DA5">
        <w:rPr>
          <w:rFonts w:hint="eastAsia"/>
          <w:rtl/>
        </w:rPr>
        <w:t>לעומת</w:t>
      </w:r>
      <w:r w:rsidRPr="00F13DA5">
        <w:rPr>
          <w:rtl/>
        </w:rPr>
        <w:t xml:space="preserve"> </w:t>
      </w:r>
      <w:r w:rsidRPr="00F13DA5">
        <w:rPr>
          <w:rFonts w:hint="eastAsia"/>
          <w:rtl/>
        </w:rPr>
        <w:t>שנת</w:t>
      </w:r>
      <w:r w:rsidRPr="00F13DA5">
        <w:rPr>
          <w:rtl/>
        </w:rPr>
        <w:t xml:space="preserve"> 2017.</w:t>
      </w:r>
      <w:r w:rsidRPr="00F13DA5">
        <w:rPr>
          <w:rFonts w:hint="cs"/>
          <w:rtl/>
        </w:rPr>
        <w:t xml:space="preserve"> המשטרה פרסמה </w:t>
      </w:r>
      <w:r>
        <w:rPr>
          <w:rFonts w:hint="cs"/>
          <w:rtl/>
        </w:rPr>
        <w:t>בנוגע</w:t>
      </w:r>
      <w:r w:rsidRPr="00F13DA5">
        <w:rPr>
          <w:rFonts w:hint="cs"/>
          <w:rtl/>
        </w:rPr>
        <w:t xml:space="preserve"> לאותה תקופה כי היקף המעצרים ירד בשיעור </w:t>
      </w:r>
      <w:r w:rsidRPr="00F13DA5">
        <w:rPr>
          <w:rFonts w:hint="cs"/>
          <w:rtl/>
        </w:rPr>
        <w:lastRenderedPageBreak/>
        <w:t>של כ-11%, וכי מספר תיקי החקירה ירד אף הוא בשיעור של 2.5%</w:t>
      </w:r>
      <w:r w:rsidRPr="00F13DA5">
        <w:rPr>
          <w:vertAlign w:val="superscript"/>
          <w:rtl/>
        </w:rPr>
        <w:footnoteReference w:id="14"/>
      </w:r>
      <w:r w:rsidRPr="00F13DA5">
        <w:rPr>
          <w:rFonts w:hint="cs"/>
          <w:rtl/>
        </w:rPr>
        <w:t xml:space="preserve">. </w:t>
      </w:r>
      <w:r w:rsidRPr="00F13DA5">
        <w:rPr>
          <w:rtl/>
        </w:rPr>
        <w:t xml:space="preserve">דהיינו, </w:t>
      </w:r>
      <w:r w:rsidRPr="00F13DA5">
        <w:rPr>
          <w:rFonts w:hint="cs"/>
          <w:rtl/>
        </w:rPr>
        <w:t>ל</w:t>
      </w:r>
      <w:r w:rsidRPr="00F13DA5">
        <w:rPr>
          <w:rtl/>
        </w:rPr>
        <w:t xml:space="preserve">פי נתוני </w:t>
      </w:r>
      <w:r w:rsidRPr="00F13DA5">
        <w:rPr>
          <w:rFonts w:hint="cs"/>
          <w:rtl/>
        </w:rPr>
        <w:t>המשטרה</w:t>
      </w:r>
      <w:r w:rsidRPr="00F13DA5">
        <w:rPr>
          <w:rtl/>
        </w:rPr>
        <w:t xml:space="preserve"> היקף העבירות שבהן טיפלה מצוי במגמת ירידה.</w:t>
      </w:r>
    </w:p>
    <w:p w14:paraId="4D1A9838" w14:textId="77777777" w:rsidR="00BA23AE" w:rsidRPr="00F13DA5" w:rsidRDefault="00BA23AE" w:rsidP="00701441">
      <w:pPr>
        <w:pStyle w:val="ad"/>
        <w:rPr>
          <w:rtl/>
        </w:rPr>
      </w:pPr>
      <w:r>
        <w:rPr>
          <w:rFonts w:hint="cs"/>
          <w:rtl/>
        </w:rPr>
        <w:t>נמצא כי ישנה אי-הלימה בין מגמת השימוש בסמכות</w:t>
      </w:r>
      <w:r w:rsidRPr="00F13DA5">
        <w:rPr>
          <w:rtl/>
        </w:rPr>
        <w:t xml:space="preserve"> </w:t>
      </w:r>
      <w:r w:rsidRPr="00F13DA5">
        <w:rPr>
          <w:rFonts w:hint="cs"/>
          <w:rtl/>
        </w:rPr>
        <w:t xml:space="preserve">העיכוב </w:t>
      </w:r>
      <w:r>
        <w:rPr>
          <w:rFonts w:hint="cs"/>
          <w:rtl/>
        </w:rPr>
        <w:t>לבין</w:t>
      </w:r>
      <w:r w:rsidRPr="00F13DA5">
        <w:rPr>
          <w:rtl/>
        </w:rPr>
        <w:t xml:space="preserve"> </w:t>
      </w:r>
      <w:r>
        <w:rPr>
          <w:rFonts w:hint="cs"/>
          <w:rtl/>
        </w:rPr>
        <w:t>מגמת השימוש בסמכות המעצר ו</w:t>
      </w:r>
      <w:r w:rsidRPr="00F13DA5">
        <w:rPr>
          <w:rFonts w:hint="cs"/>
          <w:rtl/>
        </w:rPr>
        <w:t xml:space="preserve">היקף </w:t>
      </w:r>
      <w:r>
        <w:rPr>
          <w:rFonts w:hint="cs"/>
          <w:rtl/>
        </w:rPr>
        <w:t>תיקי החקירה שטופלו באותה התקופה.</w:t>
      </w:r>
    </w:p>
    <w:p w14:paraId="2B04F2AC" w14:textId="77777777" w:rsidR="00BA23AE" w:rsidRDefault="00BA23AE" w:rsidP="00701441">
      <w:pPr>
        <w:pStyle w:val="af3"/>
        <w:rPr>
          <w:rtl/>
        </w:rPr>
      </w:pPr>
      <w:r w:rsidRPr="00F13DA5">
        <w:rPr>
          <w:rFonts w:hint="cs"/>
          <w:rtl/>
        </w:rPr>
        <w:t>משטרת ישראל מסרה בתגובתה כי</w:t>
      </w:r>
      <w:r>
        <w:rPr>
          <w:rFonts w:hint="cs"/>
          <w:rtl/>
        </w:rPr>
        <w:t xml:space="preserve"> מפקדיהם של השוטרים עורכים הליכי בקרה ומעבירים משוב לשוטרים על מנת לוודא כי הם מפעילים נכונה את סמכויות העיכוב והמעצר.</w:t>
      </w:r>
      <w:r w:rsidRPr="00F13DA5">
        <w:rPr>
          <w:rFonts w:hint="cs"/>
          <w:rtl/>
        </w:rPr>
        <w:t xml:space="preserve"> עוד נמסר כי קיים קושי לבחון </w:t>
      </w:r>
      <w:r>
        <w:rPr>
          <w:rFonts w:hint="cs"/>
          <w:rtl/>
        </w:rPr>
        <w:t>את ה</w:t>
      </w:r>
      <w:r w:rsidRPr="00F13DA5">
        <w:rPr>
          <w:rFonts w:hint="cs"/>
          <w:rtl/>
        </w:rPr>
        <w:t xml:space="preserve">הלימה בין נתוני השימוש בסמכות המעצר </w:t>
      </w:r>
      <w:r>
        <w:rPr>
          <w:rFonts w:hint="cs"/>
          <w:rtl/>
        </w:rPr>
        <w:t xml:space="preserve">לבין השימוש בסמכות </w:t>
      </w:r>
      <w:r w:rsidRPr="00F13DA5">
        <w:rPr>
          <w:rFonts w:hint="cs"/>
          <w:rtl/>
        </w:rPr>
        <w:t>העיכוב</w:t>
      </w:r>
      <w:r>
        <w:rPr>
          <w:rFonts w:hint="cs"/>
          <w:rtl/>
        </w:rPr>
        <w:t>,</w:t>
      </w:r>
      <w:r w:rsidRPr="00F13DA5">
        <w:rPr>
          <w:rFonts w:hint="cs"/>
          <w:rtl/>
        </w:rPr>
        <w:t xml:space="preserve"> משום </w:t>
      </w:r>
      <w:r>
        <w:rPr>
          <w:rFonts w:hint="cs"/>
          <w:rtl/>
        </w:rPr>
        <w:t>שנתונים אלו</w:t>
      </w:r>
      <w:r w:rsidRPr="00F13DA5">
        <w:rPr>
          <w:rFonts w:hint="cs"/>
          <w:rtl/>
        </w:rPr>
        <w:t xml:space="preserve"> מצויים במערכות ממוחשבות שונות. משכך, קיים קושי לדעת אם נעשה שימוש בסמכויות השונות באותו מקרה ולהצביע על קשר סיבתי בין </w:t>
      </w:r>
      <w:r>
        <w:rPr>
          <w:rFonts w:hint="cs"/>
          <w:rtl/>
        </w:rPr>
        <w:t>ה</w:t>
      </w:r>
      <w:r w:rsidRPr="00F13DA5">
        <w:rPr>
          <w:rFonts w:hint="cs"/>
          <w:rtl/>
        </w:rPr>
        <w:t xml:space="preserve">עלייה בכמות העיכובים לעומת </w:t>
      </w:r>
      <w:r>
        <w:rPr>
          <w:rFonts w:hint="cs"/>
          <w:rtl/>
        </w:rPr>
        <w:t>ה</w:t>
      </w:r>
      <w:r w:rsidRPr="00F13DA5">
        <w:rPr>
          <w:rFonts w:hint="cs"/>
          <w:rtl/>
        </w:rPr>
        <w:t xml:space="preserve">ירידה בכמות המעצרים. </w:t>
      </w:r>
    </w:p>
    <w:p w14:paraId="2EA14D02" w14:textId="77777777" w:rsidR="00BA23AE" w:rsidRPr="00F13DA5" w:rsidRDefault="00BA23AE" w:rsidP="00701441">
      <w:pPr>
        <w:pStyle w:val="ad"/>
        <w:rPr>
          <w:rtl/>
        </w:rPr>
      </w:pPr>
      <w:r>
        <w:rPr>
          <w:rFonts w:hint="cs"/>
          <w:rtl/>
        </w:rPr>
        <w:t xml:space="preserve">על המשטרה לבחון את הפערים בשימוש בסמכות העיכוב לעומת המעצר ואת </w:t>
      </w:r>
      <w:r w:rsidRPr="00F13DA5">
        <w:rPr>
          <w:rFonts w:hint="cs"/>
          <w:rtl/>
        </w:rPr>
        <w:t>הסיבות</w:t>
      </w:r>
      <w:r>
        <w:rPr>
          <w:rFonts w:hint="cs"/>
          <w:rtl/>
        </w:rPr>
        <w:t xml:space="preserve"> לכך.</w:t>
      </w:r>
    </w:p>
    <w:p w14:paraId="05D868B3" w14:textId="77777777" w:rsidR="00BA23AE" w:rsidRPr="00F13DA5" w:rsidRDefault="00BA23AE" w:rsidP="00701441">
      <w:pPr>
        <w:pStyle w:val="a1"/>
        <w:rPr>
          <w:rtl/>
        </w:rPr>
      </w:pPr>
      <w:r w:rsidRPr="00F13DA5">
        <w:rPr>
          <w:rFonts w:hint="eastAsia"/>
          <w:rtl/>
        </w:rPr>
        <w:t>מתוך</w:t>
      </w:r>
      <w:r w:rsidRPr="00F13DA5">
        <w:rPr>
          <w:rtl/>
        </w:rPr>
        <w:t xml:space="preserve"> </w:t>
      </w:r>
      <w:r w:rsidRPr="00F13DA5">
        <w:rPr>
          <w:rFonts w:hint="eastAsia"/>
          <w:rtl/>
        </w:rPr>
        <w:t>נתוני</w:t>
      </w:r>
      <w:r w:rsidRPr="00F13DA5">
        <w:rPr>
          <w:rtl/>
        </w:rPr>
        <w:t xml:space="preserve"> </w:t>
      </w:r>
      <w:r w:rsidRPr="00F13DA5">
        <w:rPr>
          <w:rFonts w:hint="eastAsia"/>
          <w:rtl/>
        </w:rPr>
        <w:t>המעצרים</w:t>
      </w:r>
      <w:r>
        <w:rPr>
          <w:rFonts w:hint="cs"/>
          <w:rtl/>
        </w:rPr>
        <w:t xml:space="preserve"> עלה כי במרבית המעצרים לא נמצא תיעוד להעדפת השימוש בסמכות העיכוב בטרם נעשה שימוש בסמכות המעצר - </w:t>
      </w:r>
      <w:r w:rsidRPr="00F13DA5">
        <w:rPr>
          <w:rFonts w:hint="eastAsia"/>
          <w:rtl/>
        </w:rPr>
        <w:t>ב</w:t>
      </w:r>
      <w:r w:rsidRPr="00F13DA5">
        <w:rPr>
          <w:rFonts w:hint="cs"/>
          <w:rtl/>
        </w:rPr>
        <w:t>כ</w:t>
      </w:r>
      <w:r w:rsidRPr="00F13DA5">
        <w:rPr>
          <w:rtl/>
        </w:rPr>
        <w:t>-</w:t>
      </w:r>
      <w:r w:rsidRPr="00F13DA5">
        <w:rPr>
          <w:rFonts w:hint="cs"/>
          <w:rtl/>
        </w:rPr>
        <w:t xml:space="preserve">50,000 </w:t>
      </w:r>
      <w:r w:rsidRPr="00F13DA5">
        <w:rPr>
          <w:rFonts w:hint="eastAsia"/>
          <w:rtl/>
        </w:rPr>
        <w:t>מעצרים</w:t>
      </w:r>
      <w:r w:rsidRPr="00F13DA5">
        <w:rPr>
          <w:rtl/>
        </w:rPr>
        <w:t xml:space="preserve"> (28%) </w:t>
      </w:r>
      <w:r w:rsidRPr="00F13DA5">
        <w:rPr>
          <w:rFonts w:hint="eastAsia"/>
          <w:rtl/>
        </w:rPr>
        <w:t>נמצא</w:t>
      </w:r>
      <w:r w:rsidRPr="00F13DA5">
        <w:rPr>
          <w:rtl/>
        </w:rPr>
        <w:t xml:space="preserve"> </w:t>
      </w:r>
      <w:r w:rsidRPr="00F13DA5">
        <w:rPr>
          <w:rFonts w:hint="cs"/>
          <w:rtl/>
        </w:rPr>
        <w:t>שהוצא</w:t>
      </w:r>
      <w:r w:rsidRPr="00F13DA5">
        <w:rPr>
          <w:rtl/>
        </w:rPr>
        <w:t xml:space="preserve"> </w:t>
      </w:r>
      <w:r w:rsidRPr="00F13DA5">
        <w:rPr>
          <w:rFonts w:hint="eastAsia"/>
          <w:rtl/>
        </w:rPr>
        <w:t>דוח</w:t>
      </w:r>
      <w:r w:rsidRPr="00F13DA5">
        <w:rPr>
          <w:rtl/>
        </w:rPr>
        <w:t xml:space="preserve"> </w:t>
      </w:r>
      <w:r w:rsidRPr="00F13DA5">
        <w:rPr>
          <w:rFonts w:hint="eastAsia"/>
          <w:rtl/>
        </w:rPr>
        <w:t>עיכוב</w:t>
      </w:r>
      <w:r w:rsidRPr="00F13DA5">
        <w:rPr>
          <w:rtl/>
        </w:rPr>
        <w:t xml:space="preserve"> </w:t>
      </w:r>
      <w:r w:rsidRPr="00F13DA5">
        <w:rPr>
          <w:rFonts w:hint="cs"/>
          <w:rtl/>
        </w:rPr>
        <w:t>לפני שהתקבלה</w:t>
      </w:r>
      <w:r w:rsidRPr="00F13DA5">
        <w:rPr>
          <w:rtl/>
        </w:rPr>
        <w:t xml:space="preserve"> </w:t>
      </w:r>
      <w:r w:rsidRPr="00F13DA5">
        <w:rPr>
          <w:rFonts w:hint="eastAsia"/>
          <w:rtl/>
        </w:rPr>
        <w:t>החלטה</w:t>
      </w:r>
      <w:r w:rsidRPr="00F13DA5">
        <w:rPr>
          <w:rtl/>
        </w:rPr>
        <w:t xml:space="preserve"> </w:t>
      </w:r>
      <w:r w:rsidRPr="00F13DA5">
        <w:rPr>
          <w:rFonts w:hint="cs"/>
          <w:rtl/>
        </w:rPr>
        <w:t>לעצור</w:t>
      </w:r>
      <w:r w:rsidRPr="00F13DA5">
        <w:rPr>
          <w:rtl/>
        </w:rPr>
        <w:t xml:space="preserve"> </w:t>
      </w:r>
      <w:r w:rsidRPr="00F13DA5">
        <w:rPr>
          <w:rFonts w:hint="eastAsia"/>
          <w:rtl/>
        </w:rPr>
        <w:t>אדם</w:t>
      </w:r>
      <w:r w:rsidRPr="00F13DA5">
        <w:rPr>
          <w:vertAlign w:val="superscript"/>
          <w:rtl/>
        </w:rPr>
        <w:footnoteReference w:id="15"/>
      </w:r>
      <w:r w:rsidRPr="00F13DA5">
        <w:rPr>
          <w:rtl/>
        </w:rPr>
        <w:t xml:space="preserve">, </w:t>
      </w:r>
      <w:r w:rsidRPr="00F13DA5">
        <w:rPr>
          <w:rFonts w:hint="cs"/>
          <w:rtl/>
        </w:rPr>
        <w:t>ו</w:t>
      </w:r>
      <w:r>
        <w:rPr>
          <w:rFonts w:hint="cs"/>
          <w:rtl/>
        </w:rPr>
        <w:t>אילו ב</w:t>
      </w:r>
      <w:r w:rsidRPr="00F13DA5">
        <w:rPr>
          <w:rFonts w:hint="cs"/>
          <w:rtl/>
        </w:rPr>
        <w:t xml:space="preserve">כ-125,000 </w:t>
      </w:r>
      <w:r w:rsidRPr="00F13DA5">
        <w:rPr>
          <w:rtl/>
        </w:rPr>
        <w:t>המעצרים</w:t>
      </w:r>
      <w:r w:rsidRPr="00F13DA5">
        <w:rPr>
          <w:rFonts w:hint="cs"/>
          <w:rtl/>
        </w:rPr>
        <w:t xml:space="preserve"> הנותרים (72%)</w:t>
      </w:r>
      <w:r w:rsidRPr="00F13DA5">
        <w:rPr>
          <w:rtl/>
        </w:rPr>
        <w:t xml:space="preserve"> לא נמצא</w:t>
      </w:r>
      <w:r w:rsidRPr="00F13DA5">
        <w:rPr>
          <w:rFonts w:hint="cs"/>
          <w:rtl/>
        </w:rPr>
        <w:t>ו</w:t>
      </w:r>
      <w:r w:rsidRPr="00F13DA5">
        <w:rPr>
          <w:rtl/>
        </w:rPr>
        <w:t xml:space="preserve"> </w:t>
      </w:r>
      <w:r w:rsidRPr="00F13DA5">
        <w:rPr>
          <w:rFonts w:hint="cs"/>
          <w:rtl/>
        </w:rPr>
        <w:t>מסמכים המעידים</w:t>
      </w:r>
      <w:r w:rsidRPr="00F13DA5">
        <w:rPr>
          <w:rtl/>
        </w:rPr>
        <w:t xml:space="preserve"> </w:t>
      </w:r>
      <w:r w:rsidRPr="00F13DA5">
        <w:rPr>
          <w:rFonts w:hint="cs"/>
          <w:rtl/>
        </w:rPr>
        <w:t>שנעשה</w:t>
      </w:r>
      <w:r w:rsidRPr="00F13DA5">
        <w:rPr>
          <w:rtl/>
        </w:rPr>
        <w:t xml:space="preserve"> שימוש בסמכות העיכוב </w:t>
      </w:r>
      <w:r w:rsidRPr="00F13DA5">
        <w:rPr>
          <w:rFonts w:hint="cs"/>
          <w:rtl/>
        </w:rPr>
        <w:t>לפני</w:t>
      </w:r>
      <w:r w:rsidRPr="00F13DA5">
        <w:rPr>
          <w:rtl/>
        </w:rPr>
        <w:t xml:space="preserve"> </w:t>
      </w:r>
      <w:r w:rsidRPr="00F13DA5">
        <w:rPr>
          <w:rFonts w:hint="cs"/>
          <w:rtl/>
        </w:rPr>
        <w:t>שנ</w:t>
      </w:r>
      <w:r w:rsidRPr="00F13DA5">
        <w:rPr>
          <w:rtl/>
        </w:rPr>
        <w:t xml:space="preserve">עצר החשוד </w:t>
      </w:r>
      <w:r w:rsidRPr="00F13DA5">
        <w:rPr>
          <w:rFonts w:hint="cs"/>
          <w:rtl/>
        </w:rPr>
        <w:t>והובא</w:t>
      </w:r>
      <w:r w:rsidRPr="00F13DA5">
        <w:rPr>
          <w:rtl/>
        </w:rPr>
        <w:t xml:space="preserve"> לתחנת המשטרה. ייתכן </w:t>
      </w:r>
      <w:r w:rsidRPr="00F13DA5">
        <w:rPr>
          <w:rFonts w:hint="cs"/>
          <w:rtl/>
        </w:rPr>
        <w:t>שהדבר אינו מעיד על כך שלא נעשה</w:t>
      </w:r>
      <w:r w:rsidRPr="00F13DA5">
        <w:rPr>
          <w:rtl/>
        </w:rPr>
        <w:t xml:space="preserve"> שימוש בסמכות</w:t>
      </w:r>
      <w:r w:rsidRPr="00F13DA5">
        <w:rPr>
          <w:rFonts w:hint="cs"/>
          <w:rtl/>
        </w:rPr>
        <w:t xml:space="preserve"> העיכוב, אבל שיעור השימוש הנמוך בסמכות זו לפני שבוצע מעצר דורש בדיקה</w:t>
      </w:r>
      <w:r w:rsidRPr="00F13DA5">
        <w:rPr>
          <w:rtl/>
        </w:rPr>
        <w:t>.</w:t>
      </w:r>
    </w:p>
    <w:p w14:paraId="4A56796E" w14:textId="37BF3BAE" w:rsidR="00701441" w:rsidRDefault="00BA23AE" w:rsidP="00701441">
      <w:pPr>
        <w:pStyle w:val="af3"/>
        <w:rPr>
          <w:rtl/>
        </w:rPr>
      </w:pPr>
      <w:r w:rsidRPr="00F13DA5">
        <w:rPr>
          <w:rFonts w:hint="cs"/>
          <w:rtl/>
        </w:rPr>
        <w:t>משטרת ישראל מסרה כי דוחות עיכוב ומעצר נרשמים על ידי שוטרי הסיור והבילוש. לשוטרי הסיור ישנה מערכת ממוחשבת המאפשרת</w:t>
      </w:r>
      <w:r>
        <w:rPr>
          <w:rFonts w:hint="cs"/>
          <w:rtl/>
        </w:rPr>
        <w:t xml:space="preserve"> את</w:t>
      </w:r>
      <w:r w:rsidRPr="00F13DA5">
        <w:rPr>
          <w:rFonts w:hint="cs"/>
          <w:rtl/>
        </w:rPr>
        <w:t xml:space="preserve"> מילוי הדוחות באופן מקוון. לעיתים כשלא מתאפשר </w:t>
      </w:r>
      <w:r>
        <w:rPr>
          <w:rFonts w:hint="cs"/>
          <w:rtl/>
        </w:rPr>
        <w:t>למלא</w:t>
      </w:r>
      <w:r w:rsidRPr="00F13DA5">
        <w:rPr>
          <w:rFonts w:hint="cs"/>
          <w:rtl/>
        </w:rPr>
        <w:t xml:space="preserve"> דוח באופן מקוון, חלק מהדוחות נרשם ידני</w:t>
      </w:r>
      <w:r>
        <w:rPr>
          <w:rFonts w:hint="cs"/>
          <w:rtl/>
        </w:rPr>
        <w:t>ת</w:t>
      </w:r>
      <w:r w:rsidRPr="00F13DA5">
        <w:rPr>
          <w:rFonts w:hint="cs"/>
          <w:rtl/>
        </w:rPr>
        <w:t xml:space="preserve">. הדוח הידני נסרק למערכת אך לא לפי הפרמטרים שבטופס המקוון. </w:t>
      </w:r>
      <w:r>
        <w:rPr>
          <w:rFonts w:hint="cs"/>
          <w:rtl/>
        </w:rPr>
        <w:t xml:space="preserve">כמו כן, </w:t>
      </w:r>
      <w:r w:rsidRPr="00F13DA5">
        <w:rPr>
          <w:rFonts w:hint="cs"/>
          <w:rtl/>
        </w:rPr>
        <w:t>בשונה משוטרי הסיור, למערך הבילוש אין מערכת ממוחשבת המאפשרת מילוי דוחות באופן מקוון. על כן, אח"ם מובילה פרויקט להקמת מערכת ממוחשבת עבור מערך הבילוש</w:t>
      </w:r>
      <w:r>
        <w:rPr>
          <w:rFonts w:hint="cs"/>
          <w:rtl/>
        </w:rPr>
        <w:t>.</w:t>
      </w:r>
      <w:r w:rsidRPr="00F13DA5">
        <w:rPr>
          <w:rFonts w:hint="cs"/>
          <w:rtl/>
        </w:rPr>
        <w:t xml:space="preserve"> הקמה זו דורשת פיתוח, יצירת ממשקים והקצאת משאבים רבים וזוכה לתעדוף ארגוני.</w:t>
      </w:r>
    </w:p>
    <w:p w14:paraId="4E0710FC" w14:textId="77777777" w:rsidR="00BA23AE" w:rsidRDefault="00BA23AE" w:rsidP="00701441">
      <w:pPr>
        <w:pStyle w:val="af4"/>
        <w:rPr>
          <w:rtl/>
        </w:rPr>
      </w:pPr>
      <w:r w:rsidRPr="00F13DA5">
        <w:rPr>
          <w:rFonts w:hint="cs"/>
          <w:rtl/>
        </w:rPr>
        <w:t>עיכוב שאינו מתועד מונע מהמשטרה את האפשרות לוודא</w:t>
      </w:r>
      <w:r>
        <w:rPr>
          <w:rFonts w:hint="cs"/>
          <w:rtl/>
        </w:rPr>
        <w:t>, ברמה הארצית ובתיק הספציפי,</w:t>
      </w:r>
      <w:r w:rsidRPr="00F13DA5">
        <w:rPr>
          <w:rFonts w:hint="cs"/>
          <w:rtl/>
        </w:rPr>
        <w:t xml:space="preserve"> שהיא עושה שימוש מידתי</w:t>
      </w:r>
      <w:r>
        <w:rPr>
          <w:rFonts w:hint="cs"/>
          <w:rtl/>
        </w:rPr>
        <w:t xml:space="preserve"> וראוי</w:t>
      </w:r>
      <w:r w:rsidRPr="00F13DA5">
        <w:rPr>
          <w:rFonts w:hint="cs"/>
          <w:rtl/>
        </w:rPr>
        <w:t xml:space="preserve"> בסמכויותיה - כלומר, </w:t>
      </w:r>
      <w:r>
        <w:rPr>
          <w:rFonts w:hint="cs"/>
          <w:rtl/>
        </w:rPr>
        <w:t>ש</w:t>
      </w:r>
      <w:r w:rsidRPr="00F13DA5">
        <w:rPr>
          <w:rFonts w:hint="cs"/>
          <w:rtl/>
        </w:rPr>
        <w:t xml:space="preserve">שוטרים אכן מעדיפים להשתמש בסמכות העיכוב על פני סמכות המעצר ומונעים </w:t>
      </w:r>
      <w:r>
        <w:rPr>
          <w:rFonts w:hint="cs"/>
          <w:rtl/>
        </w:rPr>
        <w:t xml:space="preserve">בכך </w:t>
      </w:r>
      <w:r w:rsidRPr="00F13DA5">
        <w:rPr>
          <w:rFonts w:hint="cs"/>
          <w:rtl/>
        </w:rPr>
        <w:t>פגיעה יתרה בחשודים.</w:t>
      </w:r>
      <w:r w:rsidRPr="00F13DA5">
        <w:rPr>
          <w:rtl/>
        </w:rPr>
        <w:t xml:space="preserve"> </w:t>
      </w:r>
    </w:p>
    <w:p w14:paraId="6CA0A42F" w14:textId="77777777" w:rsidR="00BA23AE" w:rsidRPr="00302134" w:rsidRDefault="00BA23AE" w:rsidP="00302134">
      <w:pPr>
        <w:pStyle w:val="af4"/>
      </w:pPr>
      <w:r w:rsidRPr="00302134">
        <w:rPr>
          <w:rFonts w:hint="cs"/>
          <w:rtl/>
        </w:rPr>
        <w:lastRenderedPageBreak/>
        <w:t>ע</w:t>
      </w:r>
      <w:r w:rsidRPr="00302134">
        <w:rPr>
          <w:rtl/>
        </w:rPr>
        <w:t xml:space="preserve">ל המשטרה להחזיק בנתונים </w:t>
      </w:r>
      <w:r w:rsidRPr="00302134">
        <w:rPr>
          <w:rFonts w:hint="cs"/>
          <w:rtl/>
        </w:rPr>
        <w:t xml:space="preserve">מלאים </w:t>
      </w:r>
      <w:r w:rsidRPr="00302134">
        <w:rPr>
          <w:rtl/>
        </w:rPr>
        <w:t xml:space="preserve">על השימוש בסמכות העיכוב וכן לתעד </w:t>
      </w:r>
      <w:r w:rsidRPr="00302134">
        <w:rPr>
          <w:rFonts w:hint="cs"/>
          <w:rtl/>
        </w:rPr>
        <w:t>במערכות הממוחשבות</w:t>
      </w:r>
      <w:r w:rsidRPr="00302134">
        <w:rPr>
          <w:rtl/>
        </w:rPr>
        <w:t xml:space="preserve"> </w:t>
      </w:r>
      <w:r w:rsidRPr="00302134">
        <w:rPr>
          <w:rFonts w:hint="cs"/>
          <w:rtl/>
        </w:rPr>
        <w:t>א</w:t>
      </w:r>
      <w:r w:rsidRPr="00302134">
        <w:rPr>
          <w:rtl/>
        </w:rPr>
        <w:t xml:space="preserve">ת </w:t>
      </w:r>
      <w:r w:rsidRPr="00302134">
        <w:rPr>
          <w:rFonts w:hint="cs"/>
          <w:rtl/>
        </w:rPr>
        <w:t>השימוש ב</w:t>
      </w:r>
      <w:r w:rsidRPr="00302134">
        <w:rPr>
          <w:rtl/>
        </w:rPr>
        <w:t xml:space="preserve">סמכות </w:t>
      </w:r>
      <w:r w:rsidRPr="00302134">
        <w:rPr>
          <w:rFonts w:hint="cs"/>
          <w:rtl/>
        </w:rPr>
        <w:t>זאת, לרבות תיעוד שמאפשר זיהוי חד-ערכי של המקרים</w:t>
      </w:r>
      <w:r w:rsidRPr="00302134">
        <w:rPr>
          <w:rtl/>
        </w:rPr>
        <w:t>.</w:t>
      </w:r>
      <w:r w:rsidRPr="00302134">
        <w:rPr>
          <w:rFonts w:hint="cs"/>
          <w:rtl/>
        </w:rPr>
        <w:t xml:space="preserve"> ככלל, על השוטרים להכין את הדוח באופן מקוון באמצעות המערכות הממוחשבות. אם הם הכינו את הדוח ידנית, עליהם להזינו במערכת הממוחשבת לאחר מעשה, בהתאם לפרמטרים המופיעים בו, על מנת לאפשר את איתורם וניתוחם של הנתונים. </w:t>
      </w:r>
    </w:p>
    <w:p w14:paraId="58D4ACD3" w14:textId="77777777" w:rsidR="00BA23AE" w:rsidRPr="00F13DA5" w:rsidRDefault="00BA23AE" w:rsidP="00302134">
      <w:pPr>
        <w:pStyle w:val="414"/>
        <w:rPr>
          <w:rtl/>
        </w:rPr>
      </w:pPr>
      <w:r w:rsidRPr="00F13DA5">
        <w:rPr>
          <w:rFonts w:hint="cs"/>
          <w:rtl/>
        </w:rPr>
        <w:t xml:space="preserve">העדפת הוצאת צו שיפוטי </w:t>
      </w:r>
    </w:p>
    <w:p w14:paraId="2C69FC4A" w14:textId="77777777" w:rsidR="00BA23AE" w:rsidRPr="00F13DA5" w:rsidRDefault="00BA23AE" w:rsidP="00302134">
      <w:pPr>
        <w:pStyle w:val="100"/>
        <w:rPr>
          <w:rtl/>
        </w:rPr>
      </w:pPr>
      <w:r w:rsidRPr="00F13DA5">
        <w:rPr>
          <w:rFonts w:hint="cs"/>
          <w:rtl/>
        </w:rPr>
        <w:t xml:space="preserve">חוק המעצרים קובע עדיפות למעצר בצו של שופט, דהיינו, על המשטרה </w:t>
      </w:r>
      <w:r>
        <w:rPr>
          <w:rFonts w:hint="cs"/>
          <w:rtl/>
        </w:rPr>
        <w:t xml:space="preserve">לחתור למצב שבו </w:t>
      </w:r>
      <w:r w:rsidRPr="00F13DA5">
        <w:rPr>
          <w:rFonts w:hint="cs"/>
          <w:rtl/>
        </w:rPr>
        <w:t xml:space="preserve">ההחלטה הראשונית לעצור אדם תינתן על ידי שופט ולא על ידי שוטר. </w:t>
      </w:r>
    </w:p>
    <w:p w14:paraId="1F763CA5" w14:textId="77777777" w:rsidR="00BA23AE" w:rsidRPr="00F13DA5" w:rsidRDefault="00BA23AE" w:rsidP="00302134">
      <w:pPr>
        <w:pStyle w:val="af4"/>
        <w:rPr>
          <w:rtl/>
        </w:rPr>
      </w:pPr>
      <w:bookmarkStart w:id="6" w:name="_Toc6326448"/>
      <w:r w:rsidRPr="00F13DA5">
        <w:rPr>
          <w:rFonts w:hint="cs"/>
          <w:rtl/>
        </w:rPr>
        <w:t xml:space="preserve">מבדיקת משרד מבקר המדינה את נתוני המעצרים עולה כי למרות העדיפות שניתנה בחוק למעצר בצו של שופט, שיעור המעצרים שמקורם בצו שיפוטי </w:t>
      </w:r>
      <w:r>
        <w:rPr>
          <w:rFonts w:hint="cs"/>
          <w:rtl/>
        </w:rPr>
        <w:t>הוא</w:t>
      </w:r>
      <w:r w:rsidRPr="00F13DA5">
        <w:rPr>
          <w:rFonts w:hint="cs"/>
          <w:rtl/>
        </w:rPr>
        <w:t xml:space="preserve"> 5%. כמו כן, </w:t>
      </w:r>
      <w:r w:rsidRPr="00F13DA5">
        <w:rPr>
          <w:rFonts w:hint="eastAsia"/>
          <w:rtl/>
        </w:rPr>
        <w:t>במהלך</w:t>
      </w:r>
      <w:r w:rsidRPr="00F13DA5">
        <w:rPr>
          <w:rtl/>
        </w:rPr>
        <w:t xml:space="preserve"> </w:t>
      </w:r>
      <w:r w:rsidRPr="00F13DA5">
        <w:rPr>
          <w:rFonts w:hint="eastAsia"/>
          <w:rtl/>
        </w:rPr>
        <w:t>השנים</w:t>
      </w:r>
      <w:r w:rsidRPr="00F13DA5">
        <w:rPr>
          <w:rtl/>
        </w:rPr>
        <w:t xml:space="preserve"> </w:t>
      </w:r>
      <w:r w:rsidRPr="00F13DA5">
        <w:rPr>
          <w:rFonts w:hint="eastAsia"/>
          <w:rtl/>
        </w:rPr>
        <w:t>האחרונות</w:t>
      </w:r>
      <w:r w:rsidRPr="00F13DA5">
        <w:rPr>
          <w:rtl/>
        </w:rPr>
        <w:t xml:space="preserve"> </w:t>
      </w:r>
      <w:r w:rsidRPr="00F13DA5">
        <w:rPr>
          <w:rFonts w:hint="eastAsia"/>
          <w:rtl/>
        </w:rPr>
        <w:t>לא</w:t>
      </w:r>
      <w:r w:rsidRPr="00F13DA5">
        <w:rPr>
          <w:rtl/>
        </w:rPr>
        <w:t xml:space="preserve"> </w:t>
      </w:r>
      <w:r w:rsidRPr="00F13DA5">
        <w:rPr>
          <w:rFonts w:hint="eastAsia"/>
          <w:rtl/>
        </w:rPr>
        <w:t>חל</w:t>
      </w:r>
      <w:r w:rsidRPr="00F13DA5">
        <w:rPr>
          <w:rtl/>
        </w:rPr>
        <w:t xml:space="preserve"> </w:t>
      </w:r>
      <w:r w:rsidRPr="00F13DA5">
        <w:rPr>
          <w:rFonts w:hint="eastAsia"/>
          <w:rtl/>
        </w:rPr>
        <w:t>שינוי</w:t>
      </w:r>
      <w:r w:rsidRPr="00F13DA5">
        <w:rPr>
          <w:rtl/>
        </w:rPr>
        <w:t xml:space="preserve"> </w:t>
      </w:r>
      <w:r w:rsidRPr="00F13DA5">
        <w:rPr>
          <w:rFonts w:hint="eastAsia"/>
          <w:rtl/>
        </w:rPr>
        <w:t>משמעותי</w:t>
      </w:r>
      <w:r w:rsidRPr="00F13DA5">
        <w:rPr>
          <w:rtl/>
        </w:rPr>
        <w:t xml:space="preserve"> </w:t>
      </w:r>
      <w:r w:rsidRPr="00F13DA5">
        <w:rPr>
          <w:rFonts w:hint="cs"/>
          <w:rtl/>
        </w:rPr>
        <w:t>בשיעור</w:t>
      </w:r>
      <w:r w:rsidRPr="00F13DA5">
        <w:rPr>
          <w:rtl/>
        </w:rPr>
        <w:t xml:space="preserve"> </w:t>
      </w:r>
      <w:r w:rsidRPr="00F13DA5">
        <w:rPr>
          <w:rFonts w:hint="cs"/>
          <w:rtl/>
        </w:rPr>
        <w:t>זה</w:t>
      </w:r>
      <w:r w:rsidRPr="00F13DA5">
        <w:rPr>
          <w:rtl/>
        </w:rPr>
        <w:t xml:space="preserve">. </w:t>
      </w:r>
    </w:p>
    <w:p w14:paraId="4A1577BF" w14:textId="77777777" w:rsidR="00BA23AE" w:rsidRDefault="00BA23AE" w:rsidP="00302134">
      <w:pPr>
        <w:pStyle w:val="100"/>
        <w:rPr>
          <w:rtl/>
        </w:rPr>
      </w:pPr>
      <w:r w:rsidRPr="00F13DA5">
        <w:rPr>
          <w:rFonts w:hint="cs"/>
          <w:rtl/>
        </w:rPr>
        <w:t>בדיקת משרד מבקר המדינה מעלה שונות ברורה בהיקף השימוש בצו מעצר שיפוטי בהתאם לקבוצת העבירה החמורה ביותר במעצר. להלן לוח המציג את היקף השימוש בצו שיפוטי בחלוקה לקבוצת העבירה החמורה ביותר במעצרים של ישראלים בגירים בשנים 2016 - 2018.</w:t>
      </w:r>
    </w:p>
    <w:p w14:paraId="6F1997FF" w14:textId="77777777" w:rsidR="00BA23AE" w:rsidRPr="00F13DA5" w:rsidRDefault="00BA23AE" w:rsidP="00302134">
      <w:pPr>
        <w:pStyle w:val="a9"/>
        <w:rPr>
          <w:rtl/>
        </w:rPr>
      </w:pPr>
      <w:r w:rsidRPr="00F13DA5">
        <w:rPr>
          <w:rFonts w:hint="cs"/>
          <w:rtl/>
        </w:rPr>
        <w:t xml:space="preserve">לוח 5: </w:t>
      </w:r>
      <w:r w:rsidRPr="00302134">
        <w:rPr>
          <w:rFonts w:hint="cs"/>
          <w:b/>
          <w:bCs/>
          <w:rtl/>
        </w:rPr>
        <w:t>השימוש בצו מעצר שיפוטי, לפי שכיחות העבירה החמורה ביותר ודרגת החומרה 2016 - 2018 (באחוזים ובמספרים)</w:t>
      </w:r>
    </w:p>
    <w:tbl>
      <w:tblPr>
        <w:bidiVisual/>
        <w:tblW w:w="8238" w:type="dxa"/>
        <w:jc w:val="center"/>
        <w:tblLook w:val="04A0" w:firstRow="1" w:lastRow="0" w:firstColumn="1" w:lastColumn="0" w:noHBand="0" w:noVBand="1"/>
      </w:tblPr>
      <w:tblGrid>
        <w:gridCol w:w="876"/>
        <w:gridCol w:w="3400"/>
        <w:gridCol w:w="2265"/>
        <w:gridCol w:w="1697"/>
      </w:tblGrid>
      <w:tr w:rsidR="00BA23AE" w:rsidRPr="00F13DA5" w14:paraId="3E86A3B9" w14:textId="77777777" w:rsidTr="00302134">
        <w:trPr>
          <w:trHeight w:val="535"/>
          <w:jc w:val="center"/>
        </w:trPr>
        <w:tc>
          <w:tcPr>
            <w:tcW w:w="876" w:type="dxa"/>
            <w:tcBorders>
              <w:top w:val="single" w:sz="4" w:space="0" w:color="auto"/>
              <w:left w:val="single" w:sz="4" w:space="0" w:color="auto"/>
              <w:bottom w:val="single" w:sz="4" w:space="0" w:color="auto"/>
              <w:right w:val="single" w:sz="8" w:space="0" w:color="auto"/>
            </w:tcBorders>
            <w:shd w:val="clear" w:color="auto" w:fill="C6D9F1"/>
            <w:vAlign w:val="bottom"/>
            <w:hideMark/>
          </w:tcPr>
          <w:p w14:paraId="43E907F3" w14:textId="77777777" w:rsidR="00BA23AE" w:rsidRPr="00BC65A4" w:rsidRDefault="00BA23AE" w:rsidP="00302134">
            <w:pPr>
              <w:pStyle w:val="af0"/>
              <w:rPr>
                <w:sz w:val="18"/>
                <w:szCs w:val="18"/>
              </w:rPr>
            </w:pPr>
            <w:r w:rsidRPr="00BC65A4">
              <w:rPr>
                <w:rFonts w:hint="cs"/>
                <w:sz w:val="18"/>
                <w:szCs w:val="18"/>
                <w:rtl/>
              </w:rPr>
              <w:t>דרגת חומרה</w:t>
            </w:r>
          </w:p>
        </w:tc>
        <w:tc>
          <w:tcPr>
            <w:tcW w:w="3400" w:type="dxa"/>
            <w:tcBorders>
              <w:top w:val="single" w:sz="4" w:space="0" w:color="auto"/>
              <w:left w:val="single" w:sz="8" w:space="0" w:color="auto"/>
              <w:bottom w:val="single" w:sz="4" w:space="0" w:color="auto"/>
              <w:right w:val="nil"/>
            </w:tcBorders>
            <w:shd w:val="clear" w:color="auto" w:fill="C6D9F1"/>
            <w:vAlign w:val="bottom"/>
            <w:hideMark/>
          </w:tcPr>
          <w:p w14:paraId="5DE2C7EC" w14:textId="77777777" w:rsidR="00BA23AE" w:rsidRPr="00BC65A4" w:rsidRDefault="00BA23AE" w:rsidP="00302134">
            <w:pPr>
              <w:pStyle w:val="af0"/>
              <w:rPr>
                <w:sz w:val="18"/>
                <w:szCs w:val="18"/>
                <w:rtl/>
              </w:rPr>
            </w:pPr>
            <w:r w:rsidRPr="00BC65A4">
              <w:rPr>
                <w:rFonts w:hint="cs"/>
                <w:sz w:val="18"/>
                <w:szCs w:val="18"/>
                <w:rtl/>
              </w:rPr>
              <w:t>העבירה החמורה ביותר במעצר</w:t>
            </w:r>
          </w:p>
        </w:tc>
        <w:tc>
          <w:tcPr>
            <w:tcW w:w="2265" w:type="dxa"/>
            <w:tcBorders>
              <w:top w:val="single" w:sz="4" w:space="0" w:color="auto"/>
              <w:left w:val="single" w:sz="8" w:space="0" w:color="auto"/>
              <w:bottom w:val="single" w:sz="4" w:space="0" w:color="auto"/>
              <w:right w:val="nil"/>
            </w:tcBorders>
            <w:shd w:val="clear" w:color="auto" w:fill="C6D9F1"/>
            <w:vAlign w:val="bottom"/>
            <w:hideMark/>
          </w:tcPr>
          <w:p w14:paraId="601C8FFC" w14:textId="77777777" w:rsidR="00BA23AE" w:rsidRPr="00BC65A4" w:rsidRDefault="00BA23AE" w:rsidP="00302134">
            <w:pPr>
              <w:pStyle w:val="af0"/>
              <w:rPr>
                <w:sz w:val="18"/>
                <w:szCs w:val="18"/>
                <w:rtl/>
              </w:rPr>
            </w:pPr>
            <w:r w:rsidRPr="00BC65A4">
              <w:rPr>
                <w:rFonts w:hint="cs"/>
                <w:sz w:val="18"/>
                <w:szCs w:val="18"/>
                <w:rtl/>
              </w:rPr>
              <w:t>שיעור השימוש בצו מעצר שיפוטי</w:t>
            </w:r>
          </w:p>
        </w:tc>
        <w:tc>
          <w:tcPr>
            <w:tcW w:w="1697" w:type="dxa"/>
            <w:tcBorders>
              <w:top w:val="single" w:sz="4" w:space="0" w:color="auto"/>
              <w:left w:val="single" w:sz="8" w:space="0" w:color="auto"/>
              <w:bottom w:val="single" w:sz="4" w:space="0" w:color="auto"/>
              <w:right w:val="single" w:sz="4" w:space="0" w:color="auto"/>
            </w:tcBorders>
            <w:shd w:val="clear" w:color="auto" w:fill="C6D9F1"/>
            <w:vAlign w:val="bottom"/>
            <w:hideMark/>
          </w:tcPr>
          <w:p w14:paraId="42CC9BED" w14:textId="77777777" w:rsidR="00BA23AE" w:rsidRPr="00BC65A4" w:rsidRDefault="00BA23AE" w:rsidP="00302134">
            <w:pPr>
              <w:pStyle w:val="af0"/>
              <w:rPr>
                <w:sz w:val="18"/>
                <w:szCs w:val="18"/>
                <w:rtl/>
              </w:rPr>
            </w:pPr>
            <w:r w:rsidRPr="00BC65A4">
              <w:rPr>
                <w:rFonts w:hint="cs"/>
                <w:sz w:val="18"/>
                <w:szCs w:val="18"/>
                <w:rtl/>
              </w:rPr>
              <w:t>שכיחות העבירה</w:t>
            </w:r>
          </w:p>
        </w:tc>
      </w:tr>
      <w:tr w:rsidR="00BA23AE" w:rsidRPr="00F13DA5" w14:paraId="590829B3" w14:textId="77777777" w:rsidTr="00302134">
        <w:trPr>
          <w:trHeight w:val="330"/>
          <w:jc w:val="center"/>
        </w:trPr>
        <w:tc>
          <w:tcPr>
            <w:tcW w:w="87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E43B4C4" w14:textId="77777777" w:rsidR="00BA23AE" w:rsidRPr="00BC65A4" w:rsidRDefault="00BA23AE" w:rsidP="00302134">
            <w:pPr>
              <w:pStyle w:val="B"/>
              <w:rPr>
                <w:sz w:val="18"/>
                <w:szCs w:val="18"/>
                <w:rtl/>
              </w:rPr>
            </w:pPr>
            <w:r w:rsidRPr="00BC65A4">
              <w:rPr>
                <w:rFonts w:hint="cs"/>
                <w:noProof/>
                <w:sz w:val="18"/>
                <w:szCs w:val="18"/>
                <w:rtl/>
              </w:rPr>
              <w:drawing>
                <wp:inline distT="0" distB="0" distL="0" distR="0" wp14:anchorId="5C35311F" wp14:editId="7FAA64E6">
                  <wp:extent cx="360000" cy="187591"/>
                  <wp:effectExtent l="0" t="0" r="0" b="3175"/>
                  <wp:docPr id="3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63642"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0000" cy="187591"/>
                          </a:xfrm>
                          <a:prstGeom prst="rect">
                            <a:avLst/>
                          </a:prstGeom>
                          <a:noFill/>
                          <a:ln>
                            <a:noFill/>
                          </a:ln>
                        </pic:spPr>
                      </pic:pic>
                    </a:graphicData>
                  </a:graphic>
                </wp:inline>
              </w:drawing>
            </w:r>
          </w:p>
        </w:tc>
        <w:tc>
          <w:tcPr>
            <w:tcW w:w="3400" w:type="dxa"/>
            <w:tcBorders>
              <w:top w:val="single" w:sz="4" w:space="0" w:color="auto"/>
              <w:left w:val="single" w:sz="8" w:space="0" w:color="auto"/>
              <w:bottom w:val="single" w:sz="4" w:space="0" w:color="auto"/>
              <w:right w:val="nil"/>
            </w:tcBorders>
            <w:shd w:val="clear" w:color="auto" w:fill="auto"/>
            <w:noWrap/>
            <w:vAlign w:val="center"/>
            <w:hideMark/>
          </w:tcPr>
          <w:p w14:paraId="167AA4C3" w14:textId="77777777" w:rsidR="00BA23AE" w:rsidRPr="00BC65A4" w:rsidRDefault="00BA23AE" w:rsidP="00302134">
            <w:pPr>
              <w:pStyle w:val="B"/>
              <w:rPr>
                <w:sz w:val="18"/>
                <w:szCs w:val="18"/>
                <w:rtl/>
              </w:rPr>
            </w:pPr>
            <w:r w:rsidRPr="00BC65A4">
              <w:rPr>
                <w:rFonts w:hint="cs"/>
                <w:sz w:val="18"/>
                <w:szCs w:val="18"/>
                <w:rtl/>
              </w:rPr>
              <w:t>עבירות סדר ציבורי</w:t>
            </w:r>
          </w:p>
        </w:tc>
        <w:tc>
          <w:tcPr>
            <w:tcW w:w="2265" w:type="dxa"/>
            <w:tcBorders>
              <w:top w:val="single" w:sz="4" w:space="0" w:color="auto"/>
              <w:left w:val="single" w:sz="8" w:space="0" w:color="auto"/>
              <w:bottom w:val="single" w:sz="4" w:space="0" w:color="auto"/>
              <w:right w:val="nil"/>
            </w:tcBorders>
            <w:shd w:val="clear" w:color="auto" w:fill="auto"/>
            <w:noWrap/>
            <w:vAlign w:val="center"/>
            <w:hideMark/>
          </w:tcPr>
          <w:p w14:paraId="7A0F9358" w14:textId="77777777" w:rsidR="00BA23AE" w:rsidRPr="00BC65A4" w:rsidRDefault="00BA23AE" w:rsidP="00302134">
            <w:pPr>
              <w:pStyle w:val="R"/>
              <w:rPr>
                <w:sz w:val="18"/>
                <w:szCs w:val="18"/>
                <w:rtl/>
              </w:rPr>
            </w:pPr>
            <w:r w:rsidRPr="00BC65A4">
              <w:rPr>
                <w:rFonts w:hint="cs"/>
                <w:sz w:val="18"/>
                <w:szCs w:val="18"/>
                <w:rtl/>
              </w:rPr>
              <w:t>5%</w:t>
            </w:r>
          </w:p>
        </w:tc>
        <w:tc>
          <w:tcPr>
            <w:tcW w:w="169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2949440" w14:textId="77777777" w:rsidR="00BA23AE" w:rsidRPr="00BC65A4" w:rsidRDefault="00BA23AE" w:rsidP="00302134">
            <w:pPr>
              <w:pStyle w:val="R"/>
              <w:rPr>
                <w:sz w:val="18"/>
                <w:szCs w:val="18"/>
                <w:rtl/>
              </w:rPr>
            </w:pPr>
            <w:r w:rsidRPr="00BC65A4">
              <w:rPr>
                <w:rFonts w:hint="cs"/>
                <w:sz w:val="18"/>
                <w:szCs w:val="18"/>
                <w:rtl/>
              </w:rPr>
              <w:t>63,235</w:t>
            </w:r>
          </w:p>
        </w:tc>
      </w:tr>
      <w:tr w:rsidR="00BA23AE" w:rsidRPr="00F13DA5" w14:paraId="40DC4585" w14:textId="77777777" w:rsidTr="00302134">
        <w:trPr>
          <w:trHeight w:val="330"/>
          <w:jc w:val="center"/>
        </w:trPr>
        <w:tc>
          <w:tcPr>
            <w:tcW w:w="87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93498B0" w14:textId="77777777" w:rsidR="00BA23AE" w:rsidRPr="00BC65A4" w:rsidRDefault="00BA23AE" w:rsidP="00302134">
            <w:pPr>
              <w:pStyle w:val="B"/>
              <w:rPr>
                <w:sz w:val="18"/>
                <w:szCs w:val="18"/>
                <w:rtl/>
              </w:rPr>
            </w:pPr>
            <w:r w:rsidRPr="00BC65A4">
              <w:rPr>
                <w:rFonts w:hint="cs"/>
                <w:noProof/>
                <w:sz w:val="18"/>
                <w:szCs w:val="18"/>
                <w:rtl/>
              </w:rPr>
              <w:drawing>
                <wp:inline distT="0" distB="0" distL="0" distR="0" wp14:anchorId="46EDC84F" wp14:editId="2B2A692D">
                  <wp:extent cx="360000" cy="187590"/>
                  <wp:effectExtent l="0" t="0" r="2540" b="3175"/>
                  <wp:docPr id="3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74876"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3400" w:type="dxa"/>
            <w:tcBorders>
              <w:top w:val="single" w:sz="4" w:space="0" w:color="auto"/>
              <w:left w:val="single" w:sz="8" w:space="0" w:color="auto"/>
              <w:bottom w:val="single" w:sz="4" w:space="0" w:color="auto"/>
              <w:right w:val="nil"/>
            </w:tcBorders>
            <w:shd w:val="clear" w:color="auto" w:fill="auto"/>
            <w:noWrap/>
            <w:vAlign w:val="center"/>
            <w:hideMark/>
          </w:tcPr>
          <w:p w14:paraId="61D2578D" w14:textId="77777777" w:rsidR="00BA23AE" w:rsidRPr="00BC65A4" w:rsidRDefault="00BA23AE" w:rsidP="00302134">
            <w:pPr>
              <w:pStyle w:val="B"/>
              <w:rPr>
                <w:sz w:val="18"/>
                <w:szCs w:val="18"/>
                <w:rtl/>
              </w:rPr>
            </w:pPr>
            <w:r w:rsidRPr="00BC65A4">
              <w:rPr>
                <w:rFonts w:hint="cs"/>
                <w:sz w:val="18"/>
                <w:szCs w:val="18"/>
                <w:rtl/>
              </w:rPr>
              <w:t>עבירות כנגד גוף האדם</w:t>
            </w:r>
          </w:p>
        </w:tc>
        <w:tc>
          <w:tcPr>
            <w:tcW w:w="2265" w:type="dxa"/>
            <w:tcBorders>
              <w:top w:val="single" w:sz="4" w:space="0" w:color="auto"/>
              <w:left w:val="single" w:sz="8" w:space="0" w:color="auto"/>
              <w:bottom w:val="single" w:sz="4" w:space="0" w:color="auto"/>
              <w:right w:val="nil"/>
            </w:tcBorders>
            <w:shd w:val="clear" w:color="auto" w:fill="auto"/>
            <w:noWrap/>
            <w:vAlign w:val="center"/>
            <w:hideMark/>
          </w:tcPr>
          <w:p w14:paraId="5D759E3A" w14:textId="77777777" w:rsidR="00BA23AE" w:rsidRPr="00BC65A4" w:rsidRDefault="00BA23AE" w:rsidP="00302134">
            <w:pPr>
              <w:pStyle w:val="R"/>
              <w:rPr>
                <w:sz w:val="18"/>
                <w:szCs w:val="18"/>
                <w:rtl/>
              </w:rPr>
            </w:pPr>
            <w:r w:rsidRPr="00BC65A4">
              <w:rPr>
                <w:rFonts w:hint="cs"/>
                <w:sz w:val="18"/>
                <w:szCs w:val="18"/>
                <w:rtl/>
              </w:rPr>
              <w:t>3%</w:t>
            </w:r>
          </w:p>
        </w:tc>
        <w:tc>
          <w:tcPr>
            <w:tcW w:w="169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4440764" w14:textId="77777777" w:rsidR="00BA23AE" w:rsidRPr="00BC65A4" w:rsidRDefault="00BA23AE" w:rsidP="00302134">
            <w:pPr>
              <w:pStyle w:val="R"/>
              <w:rPr>
                <w:sz w:val="18"/>
                <w:szCs w:val="18"/>
                <w:rtl/>
              </w:rPr>
            </w:pPr>
            <w:r w:rsidRPr="00BC65A4">
              <w:rPr>
                <w:rFonts w:hint="cs"/>
                <w:sz w:val="18"/>
                <w:szCs w:val="18"/>
                <w:rtl/>
              </w:rPr>
              <w:t>14,466</w:t>
            </w:r>
          </w:p>
        </w:tc>
      </w:tr>
      <w:tr w:rsidR="00BA23AE" w:rsidRPr="00F13DA5" w14:paraId="5B910D56" w14:textId="77777777" w:rsidTr="00302134">
        <w:trPr>
          <w:trHeight w:val="330"/>
          <w:jc w:val="center"/>
        </w:trPr>
        <w:tc>
          <w:tcPr>
            <w:tcW w:w="87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D63D003" w14:textId="77777777" w:rsidR="00BA23AE" w:rsidRPr="00BC65A4" w:rsidRDefault="00BA23AE" w:rsidP="00302134">
            <w:pPr>
              <w:pStyle w:val="B"/>
              <w:rPr>
                <w:sz w:val="18"/>
                <w:szCs w:val="18"/>
                <w:rtl/>
              </w:rPr>
            </w:pPr>
            <w:r w:rsidRPr="00BC65A4">
              <w:rPr>
                <w:rFonts w:hint="cs"/>
                <w:noProof/>
                <w:sz w:val="18"/>
                <w:szCs w:val="18"/>
                <w:rtl/>
              </w:rPr>
              <w:drawing>
                <wp:inline distT="0" distB="0" distL="0" distR="0" wp14:anchorId="15119B19" wp14:editId="5F77C6F3">
                  <wp:extent cx="360000" cy="187590"/>
                  <wp:effectExtent l="0" t="0" r="2540" b="3175"/>
                  <wp:docPr id="3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28089"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3400" w:type="dxa"/>
            <w:tcBorders>
              <w:top w:val="single" w:sz="4" w:space="0" w:color="auto"/>
              <w:left w:val="single" w:sz="8" w:space="0" w:color="auto"/>
              <w:bottom w:val="single" w:sz="4" w:space="0" w:color="auto"/>
              <w:right w:val="nil"/>
            </w:tcBorders>
            <w:shd w:val="clear" w:color="auto" w:fill="auto"/>
            <w:noWrap/>
            <w:vAlign w:val="center"/>
            <w:hideMark/>
          </w:tcPr>
          <w:p w14:paraId="592FF4FB" w14:textId="77777777" w:rsidR="00BA23AE" w:rsidRPr="00BC65A4" w:rsidRDefault="00BA23AE" w:rsidP="00302134">
            <w:pPr>
              <w:pStyle w:val="B"/>
              <w:rPr>
                <w:sz w:val="18"/>
                <w:szCs w:val="18"/>
                <w:rtl/>
              </w:rPr>
            </w:pPr>
            <w:r w:rsidRPr="00BC65A4">
              <w:rPr>
                <w:rFonts w:hint="cs"/>
                <w:sz w:val="18"/>
                <w:szCs w:val="18"/>
                <w:rtl/>
              </w:rPr>
              <w:t>עבירות רכוש</w:t>
            </w:r>
          </w:p>
        </w:tc>
        <w:tc>
          <w:tcPr>
            <w:tcW w:w="2265" w:type="dxa"/>
            <w:tcBorders>
              <w:top w:val="single" w:sz="4" w:space="0" w:color="auto"/>
              <w:left w:val="single" w:sz="8" w:space="0" w:color="auto"/>
              <w:bottom w:val="single" w:sz="4" w:space="0" w:color="auto"/>
              <w:right w:val="nil"/>
            </w:tcBorders>
            <w:shd w:val="clear" w:color="auto" w:fill="auto"/>
            <w:noWrap/>
            <w:vAlign w:val="center"/>
            <w:hideMark/>
          </w:tcPr>
          <w:p w14:paraId="1FD61E9F" w14:textId="77777777" w:rsidR="00BA23AE" w:rsidRPr="00BC65A4" w:rsidRDefault="00BA23AE" w:rsidP="00302134">
            <w:pPr>
              <w:pStyle w:val="R"/>
              <w:rPr>
                <w:sz w:val="18"/>
                <w:szCs w:val="18"/>
                <w:rtl/>
              </w:rPr>
            </w:pPr>
            <w:r w:rsidRPr="00BC65A4">
              <w:rPr>
                <w:rFonts w:hint="cs"/>
                <w:sz w:val="18"/>
                <w:szCs w:val="18"/>
                <w:rtl/>
              </w:rPr>
              <w:t>5%</w:t>
            </w:r>
          </w:p>
        </w:tc>
        <w:tc>
          <w:tcPr>
            <w:tcW w:w="169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6180A4" w14:textId="77777777" w:rsidR="00BA23AE" w:rsidRPr="00BC65A4" w:rsidRDefault="00BA23AE" w:rsidP="00302134">
            <w:pPr>
              <w:pStyle w:val="R"/>
              <w:rPr>
                <w:sz w:val="18"/>
                <w:szCs w:val="18"/>
                <w:rtl/>
              </w:rPr>
            </w:pPr>
            <w:r w:rsidRPr="00BC65A4">
              <w:rPr>
                <w:rFonts w:hint="cs"/>
                <w:sz w:val="18"/>
                <w:szCs w:val="18"/>
                <w:rtl/>
              </w:rPr>
              <w:t>14,257</w:t>
            </w:r>
          </w:p>
        </w:tc>
      </w:tr>
      <w:tr w:rsidR="00BA23AE" w:rsidRPr="00F13DA5" w14:paraId="1B6B6286" w14:textId="77777777" w:rsidTr="00302134">
        <w:trPr>
          <w:trHeight w:val="330"/>
          <w:jc w:val="center"/>
        </w:trPr>
        <w:tc>
          <w:tcPr>
            <w:tcW w:w="87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6B97C86" w14:textId="77777777" w:rsidR="00BA23AE" w:rsidRPr="00BC65A4" w:rsidRDefault="00BA23AE" w:rsidP="00302134">
            <w:pPr>
              <w:pStyle w:val="B"/>
              <w:rPr>
                <w:sz w:val="18"/>
                <w:szCs w:val="18"/>
                <w:rtl/>
              </w:rPr>
            </w:pPr>
            <w:r w:rsidRPr="00BC65A4">
              <w:rPr>
                <w:rFonts w:hint="cs"/>
                <w:noProof/>
                <w:sz w:val="18"/>
                <w:szCs w:val="18"/>
                <w:rtl/>
              </w:rPr>
              <w:drawing>
                <wp:inline distT="0" distB="0" distL="0" distR="0" wp14:anchorId="11185350" wp14:editId="6D40E147">
                  <wp:extent cx="360000" cy="187590"/>
                  <wp:effectExtent l="0" t="0" r="2540" b="3175"/>
                  <wp:docPr id="3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39786"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3400" w:type="dxa"/>
            <w:tcBorders>
              <w:top w:val="single" w:sz="4" w:space="0" w:color="auto"/>
              <w:left w:val="single" w:sz="8" w:space="0" w:color="auto"/>
              <w:bottom w:val="single" w:sz="4" w:space="0" w:color="auto"/>
              <w:right w:val="nil"/>
            </w:tcBorders>
            <w:shd w:val="clear" w:color="auto" w:fill="auto"/>
            <w:noWrap/>
            <w:vAlign w:val="center"/>
            <w:hideMark/>
          </w:tcPr>
          <w:p w14:paraId="74EB0A2D" w14:textId="77777777" w:rsidR="00BA23AE" w:rsidRPr="00BC65A4" w:rsidRDefault="00BA23AE" w:rsidP="00302134">
            <w:pPr>
              <w:pStyle w:val="B"/>
              <w:rPr>
                <w:sz w:val="18"/>
                <w:szCs w:val="18"/>
                <w:rtl/>
              </w:rPr>
            </w:pPr>
            <w:r w:rsidRPr="00BC65A4">
              <w:rPr>
                <w:rFonts w:hint="cs"/>
                <w:sz w:val="18"/>
                <w:szCs w:val="18"/>
                <w:rtl/>
              </w:rPr>
              <w:t>עבירות מוסר</w:t>
            </w:r>
          </w:p>
        </w:tc>
        <w:tc>
          <w:tcPr>
            <w:tcW w:w="2265" w:type="dxa"/>
            <w:tcBorders>
              <w:top w:val="single" w:sz="4" w:space="0" w:color="auto"/>
              <w:left w:val="single" w:sz="8" w:space="0" w:color="auto"/>
              <w:bottom w:val="single" w:sz="4" w:space="0" w:color="auto"/>
              <w:right w:val="nil"/>
            </w:tcBorders>
            <w:shd w:val="clear" w:color="auto" w:fill="auto"/>
            <w:noWrap/>
            <w:vAlign w:val="center"/>
            <w:hideMark/>
          </w:tcPr>
          <w:p w14:paraId="77F256F5" w14:textId="77777777" w:rsidR="00BA23AE" w:rsidRPr="00BC65A4" w:rsidRDefault="00BA23AE" w:rsidP="00302134">
            <w:pPr>
              <w:pStyle w:val="R"/>
              <w:rPr>
                <w:sz w:val="18"/>
                <w:szCs w:val="18"/>
                <w:rtl/>
              </w:rPr>
            </w:pPr>
            <w:r w:rsidRPr="00BC65A4">
              <w:rPr>
                <w:rFonts w:hint="cs"/>
                <w:sz w:val="18"/>
                <w:szCs w:val="18"/>
                <w:rtl/>
              </w:rPr>
              <w:t>5%</w:t>
            </w:r>
          </w:p>
        </w:tc>
        <w:tc>
          <w:tcPr>
            <w:tcW w:w="169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6FEE386" w14:textId="77777777" w:rsidR="00BA23AE" w:rsidRPr="00BC65A4" w:rsidRDefault="00BA23AE" w:rsidP="00302134">
            <w:pPr>
              <w:pStyle w:val="R"/>
              <w:rPr>
                <w:sz w:val="18"/>
                <w:szCs w:val="18"/>
                <w:rtl/>
              </w:rPr>
            </w:pPr>
            <w:r w:rsidRPr="00BC65A4">
              <w:rPr>
                <w:rFonts w:hint="cs"/>
                <w:sz w:val="18"/>
                <w:szCs w:val="18"/>
                <w:rtl/>
              </w:rPr>
              <w:t>10,683</w:t>
            </w:r>
          </w:p>
        </w:tc>
      </w:tr>
      <w:tr w:rsidR="00BA23AE" w:rsidRPr="00F13DA5" w14:paraId="1734A12D" w14:textId="77777777" w:rsidTr="00302134">
        <w:trPr>
          <w:trHeight w:val="330"/>
          <w:jc w:val="center"/>
        </w:trPr>
        <w:tc>
          <w:tcPr>
            <w:tcW w:w="87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1AF762A" w14:textId="77777777" w:rsidR="00BA23AE" w:rsidRPr="00BC65A4" w:rsidRDefault="00BA23AE" w:rsidP="00302134">
            <w:pPr>
              <w:pStyle w:val="B"/>
              <w:rPr>
                <w:sz w:val="18"/>
                <w:szCs w:val="18"/>
                <w:rtl/>
              </w:rPr>
            </w:pPr>
            <w:r w:rsidRPr="00BC65A4">
              <w:rPr>
                <w:rFonts w:hint="cs"/>
                <w:noProof/>
                <w:sz w:val="18"/>
                <w:szCs w:val="18"/>
                <w:rtl/>
              </w:rPr>
              <w:drawing>
                <wp:inline distT="0" distB="0" distL="0" distR="0" wp14:anchorId="6D0F49FD" wp14:editId="7E967002">
                  <wp:extent cx="360000" cy="187590"/>
                  <wp:effectExtent l="0" t="0" r="2540" b="3175"/>
                  <wp:docPr id="43"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8851"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3400" w:type="dxa"/>
            <w:tcBorders>
              <w:top w:val="single" w:sz="4" w:space="0" w:color="auto"/>
              <w:left w:val="single" w:sz="8" w:space="0" w:color="auto"/>
              <w:bottom w:val="single" w:sz="4" w:space="0" w:color="auto"/>
              <w:right w:val="nil"/>
            </w:tcBorders>
            <w:shd w:val="clear" w:color="auto" w:fill="auto"/>
            <w:noWrap/>
            <w:vAlign w:val="center"/>
            <w:hideMark/>
          </w:tcPr>
          <w:p w14:paraId="4354E7AC" w14:textId="77777777" w:rsidR="00BA23AE" w:rsidRPr="00BC65A4" w:rsidRDefault="00BA23AE" w:rsidP="00302134">
            <w:pPr>
              <w:pStyle w:val="B"/>
              <w:rPr>
                <w:sz w:val="18"/>
                <w:szCs w:val="18"/>
                <w:rtl/>
              </w:rPr>
            </w:pPr>
            <w:r w:rsidRPr="00BC65A4">
              <w:rPr>
                <w:rFonts w:hint="cs"/>
                <w:sz w:val="18"/>
                <w:szCs w:val="18"/>
                <w:rtl/>
              </w:rPr>
              <w:t>עבירות ביטחון</w:t>
            </w:r>
          </w:p>
        </w:tc>
        <w:tc>
          <w:tcPr>
            <w:tcW w:w="2265" w:type="dxa"/>
            <w:tcBorders>
              <w:top w:val="single" w:sz="4" w:space="0" w:color="auto"/>
              <w:left w:val="single" w:sz="8" w:space="0" w:color="auto"/>
              <w:bottom w:val="single" w:sz="4" w:space="0" w:color="auto"/>
              <w:right w:val="nil"/>
            </w:tcBorders>
            <w:shd w:val="clear" w:color="auto" w:fill="auto"/>
            <w:noWrap/>
            <w:vAlign w:val="center"/>
            <w:hideMark/>
          </w:tcPr>
          <w:p w14:paraId="2B489717" w14:textId="77777777" w:rsidR="00BA23AE" w:rsidRPr="00BC65A4" w:rsidRDefault="00BA23AE" w:rsidP="00302134">
            <w:pPr>
              <w:pStyle w:val="R"/>
              <w:rPr>
                <w:sz w:val="18"/>
                <w:szCs w:val="18"/>
                <w:rtl/>
              </w:rPr>
            </w:pPr>
            <w:r w:rsidRPr="00BC65A4">
              <w:rPr>
                <w:rFonts w:hint="cs"/>
                <w:sz w:val="18"/>
                <w:szCs w:val="18"/>
                <w:rtl/>
              </w:rPr>
              <w:t>13%</w:t>
            </w:r>
          </w:p>
        </w:tc>
        <w:tc>
          <w:tcPr>
            <w:tcW w:w="169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AD92387" w14:textId="77777777" w:rsidR="00BA23AE" w:rsidRPr="00BC65A4" w:rsidRDefault="00BA23AE" w:rsidP="00302134">
            <w:pPr>
              <w:pStyle w:val="R"/>
              <w:rPr>
                <w:sz w:val="18"/>
                <w:szCs w:val="18"/>
                <w:rtl/>
              </w:rPr>
            </w:pPr>
            <w:r w:rsidRPr="00BC65A4">
              <w:rPr>
                <w:rFonts w:hint="cs"/>
                <w:sz w:val="18"/>
                <w:szCs w:val="18"/>
                <w:rtl/>
              </w:rPr>
              <w:t>8,064</w:t>
            </w:r>
          </w:p>
        </w:tc>
      </w:tr>
      <w:tr w:rsidR="00BA23AE" w:rsidRPr="00F13DA5" w14:paraId="60E1B48F" w14:textId="77777777" w:rsidTr="00302134">
        <w:trPr>
          <w:trHeight w:val="330"/>
          <w:jc w:val="center"/>
        </w:trPr>
        <w:tc>
          <w:tcPr>
            <w:tcW w:w="87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917F87D" w14:textId="77777777" w:rsidR="00BA23AE" w:rsidRPr="00BC65A4" w:rsidRDefault="00BA23AE" w:rsidP="00302134">
            <w:pPr>
              <w:pStyle w:val="B"/>
              <w:rPr>
                <w:sz w:val="18"/>
                <w:szCs w:val="18"/>
                <w:rtl/>
              </w:rPr>
            </w:pPr>
            <w:r w:rsidRPr="00BC65A4">
              <w:rPr>
                <w:rFonts w:hint="cs"/>
                <w:noProof/>
                <w:sz w:val="18"/>
                <w:szCs w:val="18"/>
                <w:rtl/>
              </w:rPr>
              <w:drawing>
                <wp:inline distT="0" distB="0" distL="0" distR="0" wp14:anchorId="6C53FBBA" wp14:editId="6CED0A46">
                  <wp:extent cx="360000" cy="187590"/>
                  <wp:effectExtent l="0" t="0" r="2540" b="3175"/>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22009"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3400" w:type="dxa"/>
            <w:tcBorders>
              <w:top w:val="single" w:sz="4" w:space="0" w:color="auto"/>
              <w:left w:val="single" w:sz="8" w:space="0" w:color="auto"/>
              <w:bottom w:val="single" w:sz="4" w:space="0" w:color="auto"/>
              <w:right w:val="nil"/>
            </w:tcBorders>
            <w:shd w:val="clear" w:color="auto" w:fill="auto"/>
            <w:noWrap/>
            <w:vAlign w:val="center"/>
            <w:hideMark/>
          </w:tcPr>
          <w:p w14:paraId="07A4B5A5" w14:textId="77777777" w:rsidR="00BA23AE" w:rsidRPr="00BC65A4" w:rsidRDefault="00BA23AE" w:rsidP="00302134">
            <w:pPr>
              <w:pStyle w:val="B"/>
              <w:rPr>
                <w:sz w:val="18"/>
                <w:szCs w:val="18"/>
                <w:rtl/>
              </w:rPr>
            </w:pPr>
            <w:r w:rsidRPr="00BC65A4">
              <w:rPr>
                <w:rFonts w:hint="cs"/>
                <w:sz w:val="18"/>
                <w:szCs w:val="18"/>
                <w:rtl/>
              </w:rPr>
              <w:t>עבירות מין</w:t>
            </w:r>
          </w:p>
        </w:tc>
        <w:tc>
          <w:tcPr>
            <w:tcW w:w="2265" w:type="dxa"/>
            <w:tcBorders>
              <w:top w:val="single" w:sz="4" w:space="0" w:color="auto"/>
              <w:left w:val="single" w:sz="8" w:space="0" w:color="auto"/>
              <w:bottom w:val="single" w:sz="4" w:space="0" w:color="auto"/>
              <w:right w:val="nil"/>
            </w:tcBorders>
            <w:shd w:val="clear" w:color="auto" w:fill="auto"/>
            <w:noWrap/>
            <w:vAlign w:val="center"/>
            <w:hideMark/>
          </w:tcPr>
          <w:p w14:paraId="54D93370" w14:textId="77777777" w:rsidR="00BA23AE" w:rsidRPr="00BC65A4" w:rsidRDefault="00BA23AE" w:rsidP="00302134">
            <w:pPr>
              <w:pStyle w:val="R"/>
              <w:rPr>
                <w:sz w:val="18"/>
                <w:szCs w:val="18"/>
                <w:rtl/>
              </w:rPr>
            </w:pPr>
            <w:r w:rsidRPr="00BC65A4">
              <w:rPr>
                <w:rFonts w:hint="cs"/>
                <w:sz w:val="18"/>
                <w:szCs w:val="18"/>
                <w:rtl/>
              </w:rPr>
              <w:t>6%</w:t>
            </w:r>
          </w:p>
        </w:tc>
        <w:tc>
          <w:tcPr>
            <w:tcW w:w="169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B9727E1" w14:textId="77777777" w:rsidR="00BA23AE" w:rsidRPr="00BC65A4" w:rsidRDefault="00BA23AE" w:rsidP="00302134">
            <w:pPr>
              <w:pStyle w:val="R"/>
              <w:rPr>
                <w:sz w:val="18"/>
                <w:szCs w:val="18"/>
                <w:rtl/>
              </w:rPr>
            </w:pPr>
            <w:r w:rsidRPr="00BC65A4">
              <w:rPr>
                <w:rFonts w:hint="cs"/>
                <w:sz w:val="18"/>
                <w:szCs w:val="18"/>
                <w:rtl/>
              </w:rPr>
              <w:t>2,139</w:t>
            </w:r>
          </w:p>
        </w:tc>
      </w:tr>
      <w:tr w:rsidR="00BA23AE" w:rsidRPr="00F13DA5" w14:paraId="52AE4308" w14:textId="77777777" w:rsidTr="00302134">
        <w:trPr>
          <w:trHeight w:val="330"/>
          <w:jc w:val="center"/>
        </w:trPr>
        <w:tc>
          <w:tcPr>
            <w:tcW w:w="87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DD8B946" w14:textId="77777777" w:rsidR="00BA23AE" w:rsidRPr="00BC65A4" w:rsidRDefault="00BA23AE" w:rsidP="00302134">
            <w:pPr>
              <w:pStyle w:val="B"/>
              <w:rPr>
                <w:sz w:val="18"/>
                <w:szCs w:val="18"/>
                <w:rtl/>
              </w:rPr>
            </w:pPr>
            <w:r w:rsidRPr="00BC65A4">
              <w:rPr>
                <w:rFonts w:hint="cs"/>
                <w:noProof/>
                <w:sz w:val="18"/>
                <w:szCs w:val="18"/>
                <w:rtl/>
              </w:rPr>
              <w:drawing>
                <wp:inline distT="0" distB="0" distL="0" distR="0" wp14:anchorId="5CB01B6F" wp14:editId="6B1962D7">
                  <wp:extent cx="360000" cy="187590"/>
                  <wp:effectExtent l="0" t="0" r="2540" b="3175"/>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7642"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3400" w:type="dxa"/>
            <w:tcBorders>
              <w:top w:val="single" w:sz="4" w:space="0" w:color="auto"/>
              <w:left w:val="single" w:sz="8" w:space="0" w:color="auto"/>
              <w:bottom w:val="single" w:sz="4" w:space="0" w:color="auto"/>
              <w:right w:val="nil"/>
            </w:tcBorders>
            <w:shd w:val="clear" w:color="auto" w:fill="auto"/>
            <w:noWrap/>
            <w:vAlign w:val="center"/>
            <w:hideMark/>
          </w:tcPr>
          <w:p w14:paraId="0E489EC8" w14:textId="77777777" w:rsidR="00BA23AE" w:rsidRPr="00BC65A4" w:rsidRDefault="00BA23AE" w:rsidP="00302134">
            <w:pPr>
              <w:pStyle w:val="B"/>
              <w:rPr>
                <w:sz w:val="18"/>
                <w:szCs w:val="18"/>
                <w:rtl/>
              </w:rPr>
            </w:pPr>
            <w:r w:rsidRPr="00BC65A4">
              <w:rPr>
                <w:rFonts w:hint="cs"/>
                <w:sz w:val="18"/>
                <w:szCs w:val="18"/>
                <w:rtl/>
              </w:rPr>
              <w:t>עבירות מרמה</w:t>
            </w:r>
          </w:p>
        </w:tc>
        <w:tc>
          <w:tcPr>
            <w:tcW w:w="2265" w:type="dxa"/>
            <w:tcBorders>
              <w:top w:val="single" w:sz="4" w:space="0" w:color="auto"/>
              <w:left w:val="single" w:sz="8" w:space="0" w:color="auto"/>
              <w:bottom w:val="single" w:sz="4" w:space="0" w:color="auto"/>
              <w:right w:val="nil"/>
            </w:tcBorders>
            <w:shd w:val="clear" w:color="auto" w:fill="auto"/>
            <w:noWrap/>
            <w:vAlign w:val="center"/>
            <w:hideMark/>
          </w:tcPr>
          <w:p w14:paraId="130004CC" w14:textId="77777777" w:rsidR="00BA23AE" w:rsidRPr="00BC65A4" w:rsidRDefault="00BA23AE" w:rsidP="00302134">
            <w:pPr>
              <w:pStyle w:val="R"/>
              <w:rPr>
                <w:sz w:val="18"/>
                <w:szCs w:val="18"/>
                <w:rtl/>
              </w:rPr>
            </w:pPr>
            <w:r w:rsidRPr="00BC65A4">
              <w:rPr>
                <w:rFonts w:hint="cs"/>
                <w:sz w:val="18"/>
                <w:szCs w:val="18"/>
                <w:rtl/>
              </w:rPr>
              <w:t>18%</w:t>
            </w:r>
          </w:p>
        </w:tc>
        <w:tc>
          <w:tcPr>
            <w:tcW w:w="169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C4CB0C" w14:textId="77777777" w:rsidR="00BA23AE" w:rsidRPr="00BC65A4" w:rsidRDefault="00BA23AE" w:rsidP="00302134">
            <w:pPr>
              <w:pStyle w:val="R"/>
              <w:rPr>
                <w:sz w:val="18"/>
                <w:szCs w:val="18"/>
                <w:rtl/>
              </w:rPr>
            </w:pPr>
            <w:r w:rsidRPr="00BC65A4">
              <w:rPr>
                <w:rFonts w:hint="cs"/>
                <w:sz w:val="18"/>
                <w:szCs w:val="18"/>
                <w:rtl/>
              </w:rPr>
              <w:t>817</w:t>
            </w:r>
          </w:p>
        </w:tc>
      </w:tr>
      <w:tr w:rsidR="00BA23AE" w:rsidRPr="00F13DA5" w14:paraId="389A926E" w14:textId="77777777" w:rsidTr="00302134">
        <w:trPr>
          <w:trHeight w:val="330"/>
          <w:jc w:val="center"/>
        </w:trPr>
        <w:tc>
          <w:tcPr>
            <w:tcW w:w="87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24E622E" w14:textId="77777777" w:rsidR="00BA23AE" w:rsidRPr="00BC65A4" w:rsidRDefault="00BA23AE" w:rsidP="00302134">
            <w:pPr>
              <w:pStyle w:val="B"/>
              <w:rPr>
                <w:sz w:val="18"/>
                <w:szCs w:val="18"/>
                <w:rtl/>
              </w:rPr>
            </w:pPr>
            <w:r w:rsidRPr="00BC65A4">
              <w:rPr>
                <w:rFonts w:hint="cs"/>
                <w:noProof/>
                <w:sz w:val="18"/>
                <w:szCs w:val="18"/>
                <w:rtl/>
              </w:rPr>
              <w:drawing>
                <wp:inline distT="0" distB="0" distL="0" distR="0" wp14:anchorId="47F1B310" wp14:editId="1E6F4874">
                  <wp:extent cx="360000" cy="187590"/>
                  <wp:effectExtent l="0" t="0" r="2540" b="3175"/>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956"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3400" w:type="dxa"/>
            <w:tcBorders>
              <w:top w:val="single" w:sz="4" w:space="0" w:color="auto"/>
              <w:left w:val="single" w:sz="8" w:space="0" w:color="auto"/>
              <w:bottom w:val="single" w:sz="4" w:space="0" w:color="auto"/>
              <w:right w:val="nil"/>
            </w:tcBorders>
            <w:shd w:val="clear" w:color="auto" w:fill="auto"/>
            <w:noWrap/>
            <w:vAlign w:val="center"/>
            <w:hideMark/>
          </w:tcPr>
          <w:p w14:paraId="141921C8" w14:textId="77777777" w:rsidR="00BA23AE" w:rsidRPr="00BC65A4" w:rsidRDefault="00BA23AE" w:rsidP="00302134">
            <w:pPr>
              <w:pStyle w:val="B"/>
              <w:rPr>
                <w:sz w:val="18"/>
                <w:szCs w:val="18"/>
                <w:rtl/>
              </w:rPr>
            </w:pPr>
            <w:r w:rsidRPr="00BC65A4">
              <w:rPr>
                <w:rFonts w:hint="cs"/>
                <w:sz w:val="18"/>
                <w:szCs w:val="18"/>
                <w:rtl/>
              </w:rPr>
              <w:t>עבירות כנגד חיי אדם</w:t>
            </w:r>
          </w:p>
        </w:tc>
        <w:tc>
          <w:tcPr>
            <w:tcW w:w="2265" w:type="dxa"/>
            <w:tcBorders>
              <w:top w:val="single" w:sz="4" w:space="0" w:color="auto"/>
              <w:left w:val="single" w:sz="8" w:space="0" w:color="auto"/>
              <w:bottom w:val="single" w:sz="4" w:space="0" w:color="auto"/>
              <w:right w:val="nil"/>
            </w:tcBorders>
            <w:shd w:val="clear" w:color="auto" w:fill="auto"/>
            <w:noWrap/>
            <w:vAlign w:val="center"/>
            <w:hideMark/>
          </w:tcPr>
          <w:p w14:paraId="2331A970" w14:textId="77777777" w:rsidR="00BA23AE" w:rsidRPr="00BC65A4" w:rsidRDefault="00BA23AE" w:rsidP="00302134">
            <w:pPr>
              <w:pStyle w:val="R"/>
              <w:rPr>
                <w:sz w:val="18"/>
                <w:szCs w:val="18"/>
                <w:rtl/>
              </w:rPr>
            </w:pPr>
            <w:r w:rsidRPr="00BC65A4">
              <w:rPr>
                <w:rFonts w:hint="cs"/>
                <w:sz w:val="18"/>
                <w:szCs w:val="18"/>
                <w:rtl/>
              </w:rPr>
              <w:t>8%</w:t>
            </w:r>
          </w:p>
        </w:tc>
        <w:tc>
          <w:tcPr>
            <w:tcW w:w="169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33DE582" w14:textId="77777777" w:rsidR="00BA23AE" w:rsidRPr="00BC65A4" w:rsidRDefault="00BA23AE" w:rsidP="00302134">
            <w:pPr>
              <w:pStyle w:val="R"/>
              <w:rPr>
                <w:sz w:val="18"/>
                <w:szCs w:val="18"/>
                <w:rtl/>
              </w:rPr>
            </w:pPr>
            <w:r w:rsidRPr="00BC65A4">
              <w:rPr>
                <w:rFonts w:hint="cs"/>
                <w:sz w:val="18"/>
                <w:szCs w:val="18"/>
                <w:rtl/>
              </w:rPr>
              <w:t>465</w:t>
            </w:r>
          </w:p>
        </w:tc>
      </w:tr>
      <w:tr w:rsidR="00BA23AE" w:rsidRPr="00F13DA5" w14:paraId="5955AE4E" w14:textId="77777777" w:rsidTr="00302134">
        <w:trPr>
          <w:trHeight w:val="330"/>
          <w:jc w:val="center"/>
        </w:trPr>
        <w:tc>
          <w:tcPr>
            <w:tcW w:w="87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CF05683" w14:textId="77777777" w:rsidR="00BA23AE" w:rsidRPr="00BC65A4" w:rsidRDefault="00BA23AE" w:rsidP="00302134">
            <w:pPr>
              <w:pStyle w:val="B"/>
              <w:rPr>
                <w:sz w:val="18"/>
                <w:szCs w:val="18"/>
                <w:rtl/>
              </w:rPr>
            </w:pPr>
            <w:r w:rsidRPr="00BC65A4">
              <w:rPr>
                <w:rFonts w:hint="cs"/>
                <w:noProof/>
                <w:sz w:val="18"/>
                <w:szCs w:val="18"/>
                <w:rtl/>
              </w:rPr>
              <w:drawing>
                <wp:inline distT="0" distB="0" distL="0" distR="0" wp14:anchorId="2E3B433D" wp14:editId="328F3E5F">
                  <wp:extent cx="360000" cy="187590"/>
                  <wp:effectExtent l="0" t="0" r="2540" b="3175"/>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99734"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0000" cy="187590"/>
                          </a:xfrm>
                          <a:prstGeom prst="rect">
                            <a:avLst/>
                          </a:prstGeom>
                          <a:noFill/>
                          <a:ln>
                            <a:noFill/>
                          </a:ln>
                        </pic:spPr>
                      </pic:pic>
                    </a:graphicData>
                  </a:graphic>
                </wp:inline>
              </w:drawing>
            </w:r>
          </w:p>
        </w:tc>
        <w:tc>
          <w:tcPr>
            <w:tcW w:w="3400" w:type="dxa"/>
            <w:tcBorders>
              <w:top w:val="single" w:sz="4" w:space="0" w:color="auto"/>
              <w:left w:val="single" w:sz="8" w:space="0" w:color="auto"/>
              <w:bottom w:val="single" w:sz="4" w:space="0" w:color="auto"/>
              <w:right w:val="nil"/>
            </w:tcBorders>
            <w:shd w:val="clear" w:color="auto" w:fill="auto"/>
            <w:noWrap/>
            <w:vAlign w:val="center"/>
            <w:hideMark/>
          </w:tcPr>
          <w:p w14:paraId="4B339D2E" w14:textId="77777777" w:rsidR="00BA23AE" w:rsidRPr="00BC65A4" w:rsidRDefault="00BA23AE" w:rsidP="00302134">
            <w:pPr>
              <w:pStyle w:val="B"/>
              <w:rPr>
                <w:sz w:val="18"/>
                <w:szCs w:val="18"/>
                <w:rtl/>
              </w:rPr>
            </w:pPr>
            <w:r w:rsidRPr="00BC65A4">
              <w:rPr>
                <w:rFonts w:hint="cs"/>
                <w:sz w:val="18"/>
                <w:szCs w:val="18"/>
                <w:rtl/>
              </w:rPr>
              <w:t>עבירות אחרות</w:t>
            </w:r>
          </w:p>
        </w:tc>
        <w:tc>
          <w:tcPr>
            <w:tcW w:w="2265" w:type="dxa"/>
            <w:tcBorders>
              <w:top w:val="single" w:sz="4" w:space="0" w:color="auto"/>
              <w:left w:val="single" w:sz="8" w:space="0" w:color="auto"/>
              <w:bottom w:val="single" w:sz="4" w:space="0" w:color="auto"/>
              <w:right w:val="nil"/>
            </w:tcBorders>
            <w:shd w:val="clear" w:color="auto" w:fill="auto"/>
            <w:noWrap/>
            <w:vAlign w:val="center"/>
            <w:hideMark/>
          </w:tcPr>
          <w:p w14:paraId="1621D364" w14:textId="77777777" w:rsidR="00BA23AE" w:rsidRPr="00BC65A4" w:rsidRDefault="00BA23AE" w:rsidP="00302134">
            <w:pPr>
              <w:pStyle w:val="R"/>
              <w:rPr>
                <w:sz w:val="18"/>
                <w:szCs w:val="18"/>
                <w:rtl/>
              </w:rPr>
            </w:pPr>
            <w:r w:rsidRPr="00BC65A4">
              <w:rPr>
                <w:rFonts w:hint="cs"/>
                <w:sz w:val="18"/>
                <w:szCs w:val="18"/>
                <w:rtl/>
              </w:rPr>
              <w:t>11%</w:t>
            </w:r>
          </w:p>
        </w:tc>
        <w:tc>
          <w:tcPr>
            <w:tcW w:w="169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B76976" w14:textId="77777777" w:rsidR="00BA23AE" w:rsidRPr="00BC65A4" w:rsidRDefault="00BA23AE" w:rsidP="00302134">
            <w:pPr>
              <w:pStyle w:val="R"/>
              <w:rPr>
                <w:sz w:val="18"/>
                <w:szCs w:val="18"/>
                <w:rtl/>
              </w:rPr>
            </w:pPr>
            <w:r w:rsidRPr="00BC65A4">
              <w:rPr>
                <w:rFonts w:hint="cs"/>
                <w:sz w:val="18"/>
                <w:szCs w:val="18"/>
                <w:rtl/>
              </w:rPr>
              <w:t>168</w:t>
            </w:r>
          </w:p>
        </w:tc>
      </w:tr>
      <w:tr w:rsidR="00BA23AE" w:rsidRPr="00F13DA5" w14:paraId="4676C8D3" w14:textId="77777777" w:rsidTr="002C06EB">
        <w:trPr>
          <w:trHeight w:val="330"/>
          <w:jc w:val="center"/>
        </w:trPr>
        <w:tc>
          <w:tcPr>
            <w:tcW w:w="876" w:type="dxa"/>
            <w:tcBorders>
              <w:top w:val="single" w:sz="4" w:space="0" w:color="auto"/>
              <w:left w:val="single" w:sz="4" w:space="0" w:color="auto"/>
              <w:bottom w:val="single" w:sz="4" w:space="0" w:color="auto"/>
              <w:right w:val="single" w:sz="8" w:space="0" w:color="auto"/>
            </w:tcBorders>
            <w:shd w:val="clear" w:color="auto" w:fill="C6D9F1"/>
            <w:vAlign w:val="center"/>
            <w:hideMark/>
          </w:tcPr>
          <w:p w14:paraId="470CC964" w14:textId="77777777" w:rsidR="00BA23AE" w:rsidRPr="00BC65A4" w:rsidRDefault="00BA23AE" w:rsidP="00302134">
            <w:pPr>
              <w:pStyle w:val="B"/>
              <w:rPr>
                <w:sz w:val="18"/>
                <w:szCs w:val="18"/>
                <w:rtl/>
              </w:rPr>
            </w:pPr>
            <w:r w:rsidRPr="00BC65A4">
              <w:rPr>
                <w:rFonts w:hint="cs"/>
                <w:sz w:val="18"/>
                <w:szCs w:val="18"/>
                <w:rtl/>
              </w:rPr>
              <w:t> </w:t>
            </w:r>
          </w:p>
        </w:tc>
        <w:tc>
          <w:tcPr>
            <w:tcW w:w="3400" w:type="dxa"/>
            <w:tcBorders>
              <w:top w:val="single" w:sz="4" w:space="0" w:color="auto"/>
              <w:left w:val="single" w:sz="8" w:space="0" w:color="auto"/>
              <w:bottom w:val="single" w:sz="4" w:space="0" w:color="auto"/>
              <w:right w:val="nil"/>
            </w:tcBorders>
            <w:shd w:val="clear" w:color="auto" w:fill="C6D9F1"/>
            <w:noWrap/>
            <w:vAlign w:val="center"/>
            <w:hideMark/>
          </w:tcPr>
          <w:p w14:paraId="5096E01D" w14:textId="77777777" w:rsidR="00BA23AE" w:rsidRPr="00BC65A4" w:rsidRDefault="00BA23AE" w:rsidP="00302134">
            <w:pPr>
              <w:pStyle w:val="B"/>
              <w:rPr>
                <w:sz w:val="18"/>
                <w:szCs w:val="18"/>
                <w:rtl/>
              </w:rPr>
            </w:pPr>
            <w:r w:rsidRPr="00BC65A4">
              <w:rPr>
                <w:rFonts w:hint="cs"/>
                <w:sz w:val="18"/>
                <w:szCs w:val="18"/>
                <w:rtl/>
              </w:rPr>
              <w:t>סה"כ</w:t>
            </w:r>
          </w:p>
        </w:tc>
        <w:tc>
          <w:tcPr>
            <w:tcW w:w="2265" w:type="dxa"/>
            <w:tcBorders>
              <w:top w:val="single" w:sz="4" w:space="0" w:color="auto"/>
              <w:left w:val="single" w:sz="8" w:space="0" w:color="auto"/>
              <w:bottom w:val="single" w:sz="4" w:space="0" w:color="auto"/>
              <w:right w:val="nil"/>
            </w:tcBorders>
            <w:shd w:val="clear" w:color="auto" w:fill="C6D9F1"/>
            <w:noWrap/>
            <w:vAlign w:val="center"/>
            <w:hideMark/>
          </w:tcPr>
          <w:p w14:paraId="472089C2" w14:textId="77777777" w:rsidR="00BA23AE" w:rsidRPr="00BC65A4" w:rsidRDefault="00BA23AE" w:rsidP="00302134">
            <w:pPr>
              <w:pStyle w:val="R"/>
              <w:rPr>
                <w:sz w:val="18"/>
                <w:szCs w:val="18"/>
                <w:rtl/>
              </w:rPr>
            </w:pPr>
            <w:r w:rsidRPr="00BC65A4">
              <w:rPr>
                <w:rFonts w:hint="cs"/>
                <w:sz w:val="18"/>
                <w:szCs w:val="18"/>
                <w:rtl/>
              </w:rPr>
              <w:t>5%</w:t>
            </w:r>
          </w:p>
        </w:tc>
        <w:tc>
          <w:tcPr>
            <w:tcW w:w="1697" w:type="dxa"/>
            <w:tcBorders>
              <w:top w:val="single" w:sz="4" w:space="0" w:color="auto"/>
              <w:left w:val="single" w:sz="8" w:space="0" w:color="auto"/>
              <w:bottom w:val="single" w:sz="4" w:space="0" w:color="auto"/>
              <w:right w:val="single" w:sz="4" w:space="0" w:color="auto"/>
            </w:tcBorders>
            <w:shd w:val="clear" w:color="auto" w:fill="C6D9F1"/>
            <w:noWrap/>
            <w:vAlign w:val="center"/>
            <w:hideMark/>
          </w:tcPr>
          <w:p w14:paraId="4651AD6B" w14:textId="77777777" w:rsidR="00BA23AE" w:rsidRPr="00BC65A4" w:rsidRDefault="00BA23AE" w:rsidP="00302134">
            <w:pPr>
              <w:pStyle w:val="R"/>
              <w:rPr>
                <w:sz w:val="18"/>
                <w:szCs w:val="18"/>
                <w:rtl/>
              </w:rPr>
            </w:pPr>
            <w:r w:rsidRPr="00BC65A4">
              <w:rPr>
                <w:rFonts w:hint="cs"/>
                <w:sz w:val="18"/>
                <w:szCs w:val="18"/>
                <w:rtl/>
              </w:rPr>
              <w:t>114,294</w:t>
            </w:r>
          </w:p>
        </w:tc>
      </w:tr>
    </w:tbl>
    <w:p w14:paraId="56031028" w14:textId="77777777" w:rsidR="00BA23AE" w:rsidRPr="00F13DA5" w:rsidRDefault="00BA23AE" w:rsidP="00302134">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sidRPr="00F13DA5">
        <w:rPr>
          <w:rFonts w:hint="eastAsia"/>
          <w:rtl/>
        </w:rPr>
        <w:t>נתוני</w:t>
      </w:r>
      <w:r w:rsidRPr="00F13DA5">
        <w:rPr>
          <w:rtl/>
        </w:rPr>
        <w:t xml:space="preserve"> </w:t>
      </w:r>
      <w:r w:rsidRPr="00F13DA5">
        <w:rPr>
          <w:rFonts w:hint="eastAsia"/>
          <w:rtl/>
        </w:rPr>
        <w:t>משטרת</w:t>
      </w:r>
      <w:r w:rsidRPr="00F13DA5">
        <w:rPr>
          <w:rtl/>
        </w:rPr>
        <w:t xml:space="preserve"> </w:t>
      </w:r>
      <w:r w:rsidRPr="00F13DA5">
        <w:rPr>
          <w:rFonts w:hint="eastAsia"/>
          <w:rtl/>
        </w:rPr>
        <w:t>ישראל</w:t>
      </w:r>
      <w:r w:rsidRPr="00F13DA5">
        <w:rPr>
          <w:rtl/>
        </w:rPr>
        <w:t xml:space="preserve">, בעיבוד משרד מבקר המדינה. </w:t>
      </w:r>
    </w:p>
    <w:p w14:paraId="7951E9A3" w14:textId="77777777" w:rsidR="00BA23AE" w:rsidRPr="002B30DB" w:rsidRDefault="00BA23AE" w:rsidP="002B30DB">
      <w:pPr>
        <w:pStyle w:val="100"/>
        <w:rPr>
          <w:rtl/>
        </w:rPr>
      </w:pPr>
      <w:r w:rsidRPr="00F13DA5">
        <w:rPr>
          <w:rFonts w:hint="cs"/>
          <w:rtl/>
        </w:rPr>
        <w:lastRenderedPageBreak/>
        <w:t xml:space="preserve">מן </w:t>
      </w:r>
      <w:r w:rsidRPr="002B30DB">
        <w:rPr>
          <w:rFonts w:hint="cs"/>
          <w:rtl/>
        </w:rPr>
        <w:t xml:space="preserve">הלוח עולה כי כשהעבירה החמורה ביותר של העצור היא עבירת מרמה או ביטחון, אזי שיעור השימוש בצו מעצר שיפוטי טרם ביצוע המעצר עולה במידה ניכרת לעומת יתר קבוצות העבירה. </w:t>
      </w:r>
    </w:p>
    <w:p w14:paraId="14BD2147" w14:textId="77777777" w:rsidR="00BA23AE" w:rsidRPr="00F13DA5" w:rsidRDefault="00BA23AE" w:rsidP="002B30DB">
      <w:pPr>
        <w:pStyle w:val="100"/>
        <w:rPr>
          <w:rtl/>
        </w:rPr>
      </w:pPr>
      <w:r w:rsidRPr="002B30DB">
        <w:rPr>
          <w:rFonts w:hint="cs"/>
          <w:rtl/>
        </w:rPr>
        <w:t>לעמדת המשטרה, השימוש בצו מעצר שיפוטי בטרם מעצר תלוי בסוג האירוע נשוא המעצר ובנסיבותיו. רוב המעצרים שמבצעת המשטרה הם מעצרי תגובה, ולא ניתן להקדים בהם הוצאת צו בבית המשפט. למשל, עבירה שנעברה זה מקרוב, המחייבת שימוש בסמכות השוטר, או אירוע שבו עוכב אדם ולאחר העיכוב נמצא כי יש לעצור אותו; זאת לעומת פעילות יזומה של המשטרה המאפשרת ל</w:t>
      </w:r>
      <w:r>
        <w:rPr>
          <w:rFonts w:hint="cs"/>
          <w:rtl/>
        </w:rPr>
        <w:t>הוציא</w:t>
      </w:r>
      <w:r w:rsidRPr="00F13DA5">
        <w:rPr>
          <w:rFonts w:hint="cs"/>
          <w:rtl/>
        </w:rPr>
        <w:t xml:space="preserve"> צו מעצר שיפוטי.</w:t>
      </w:r>
      <w:r>
        <w:rPr>
          <w:rFonts w:hint="cs"/>
          <w:rtl/>
        </w:rPr>
        <w:t xml:space="preserve"> </w:t>
      </w:r>
    </w:p>
    <w:p w14:paraId="202AB181" w14:textId="77777777" w:rsidR="00BA23AE" w:rsidRPr="00F13DA5" w:rsidRDefault="00BA23AE" w:rsidP="002B30DB">
      <w:pPr>
        <w:pStyle w:val="414"/>
        <w:rPr>
          <w:rtl/>
        </w:rPr>
      </w:pPr>
      <w:r w:rsidRPr="00F13DA5">
        <w:rPr>
          <w:rFonts w:hint="cs"/>
          <w:rtl/>
        </w:rPr>
        <w:t>תיעוד המעצר</w:t>
      </w:r>
    </w:p>
    <w:p w14:paraId="0D6F0D26" w14:textId="77777777" w:rsidR="00BA23AE" w:rsidRPr="00F13DA5" w:rsidRDefault="00BA23AE" w:rsidP="002B30DB">
      <w:pPr>
        <w:pStyle w:val="100"/>
        <w:rPr>
          <w:rtl/>
        </w:rPr>
      </w:pPr>
      <w:r w:rsidRPr="00F13DA5">
        <w:rPr>
          <w:rFonts w:hint="cs"/>
          <w:rtl/>
        </w:rPr>
        <w:t>ככלל, מעצרו של אדם מבוצע על ידי שוטר בשטח. בכל הפעלה של סמכות המעצר על השוטר להכין דוח מעצר החתום על ידו (להלן - דוח מעצר שוטר). זוהי האסמכתה הראשונית להחזקתו של עצור במעצר.</w:t>
      </w:r>
      <w:r>
        <w:rPr>
          <w:rFonts w:hint="cs"/>
          <w:rtl/>
        </w:rPr>
        <w:t xml:space="preserve"> על מנת לבחון את המשך החזקת העצור במעצר, על השוטר להביאו בפני קצין ממונה.</w:t>
      </w:r>
      <w:r w:rsidRPr="00F13DA5">
        <w:rPr>
          <w:rFonts w:hint="cs"/>
          <w:rtl/>
        </w:rPr>
        <w:t xml:space="preserve"> עם הבאתו של העצור </w:t>
      </w:r>
      <w:r>
        <w:rPr>
          <w:rFonts w:hint="cs"/>
          <w:rtl/>
        </w:rPr>
        <w:t>ל</w:t>
      </w:r>
      <w:r w:rsidRPr="00F13DA5">
        <w:rPr>
          <w:rFonts w:hint="cs"/>
          <w:rtl/>
        </w:rPr>
        <w:t xml:space="preserve">פני קצין ממונה ואם החליט קצין זה על </w:t>
      </w:r>
      <w:r>
        <w:rPr>
          <w:rFonts w:hint="cs"/>
          <w:rtl/>
        </w:rPr>
        <w:t xml:space="preserve">המשך </w:t>
      </w:r>
      <w:r w:rsidRPr="00F13DA5">
        <w:rPr>
          <w:rFonts w:hint="cs"/>
          <w:rtl/>
        </w:rPr>
        <w:t xml:space="preserve">מעצרו, ימלא הקצין אסמכתה לכליאה (להלן - דוח קצין ממונה). </w:t>
      </w:r>
    </w:p>
    <w:p w14:paraId="69F88605" w14:textId="77777777" w:rsidR="00BA23AE" w:rsidRDefault="00BA23AE" w:rsidP="002B30DB">
      <w:pPr>
        <w:pStyle w:val="100"/>
        <w:rPr>
          <w:rtl/>
        </w:rPr>
      </w:pPr>
      <w:r w:rsidRPr="00F13DA5">
        <w:rPr>
          <w:rFonts w:hint="cs"/>
          <w:rtl/>
        </w:rPr>
        <w:t>משטרת ישראל עורכת מדי שנה שנתון סטטיסטי המתפרסם בציבור ומכיל נתונים על עבודת המשטרה בתחומים שונים, ובהם תחום המעצרים (להלן - השנתון הסטטיסטי של המשטרה). איסוף הנתונים ועריכת השנתונים מבוסס על המערכות הממוחשבות שברשותה.</w:t>
      </w:r>
      <w:r>
        <w:rPr>
          <w:rFonts w:hint="cs"/>
          <w:rtl/>
        </w:rPr>
        <w:t xml:space="preserve"> </w:t>
      </w:r>
    </w:p>
    <w:p w14:paraId="22004E79" w14:textId="77777777" w:rsidR="00BA23AE" w:rsidRPr="00B85223" w:rsidRDefault="00BA23AE" w:rsidP="002B30DB">
      <w:pPr>
        <w:pStyle w:val="100"/>
        <w:rPr>
          <w:rtl/>
        </w:rPr>
      </w:pPr>
      <w:r w:rsidRPr="00F13DA5">
        <w:rPr>
          <w:rFonts w:hint="cs"/>
          <w:rtl/>
        </w:rPr>
        <w:t xml:space="preserve">נתוני המעצרים בשנתון הסטטיסטי של המשטרה נמדדים על בסיס ספירת </w:t>
      </w:r>
      <w:r>
        <w:rPr>
          <w:rFonts w:hint="cs"/>
          <w:rtl/>
        </w:rPr>
        <w:t>ה</w:t>
      </w:r>
      <w:r w:rsidRPr="00F13DA5">
        <w:rPr>
          <w:rFonts w:hint="cs"/>
          <w:rtl/>
        </w:rPr>
        <w:t xml:space="preserve">תיקים </w:t>
      </w:r>
      <w:r>
        <w:rPr>
          <w:rFonts w:hint="cs"/>
          <w:rtl/>
        </w:rPr>
        <w:t>ה</w:t>
      </w:r>
      <w:r w:rsidRPr="00F13DA5">
        <w:rPr>
          <w:rFonts w:hint="cs"/>
          <w:rtl/>
        </w:rPr>
        <w:t>פליליים מסוג פ"א וט"מ</w:t>
      </w:r>
      <w:r w:rsidRPr="00F13DA5">
        <w:rPr>
          <w:vertAlign w:val="superscript"/>
          <w:rtl/>
        </w:rPr>
        <w:footnoteReference w:id="16"/>
      </w:r>
      <w:r w:rsidRPr="00F13DA5">
        <w:rPr>
          <w:rFonts w:hint="cs"/>
          <w:rtl/>
        </w:rPr>
        <w:t>. נוסף על כך, המשטרה מחזיקה במאגרי מידע של דוחות מעצר שוטר ודוחות קצין ממונה (להלן - מאגרי דוחות המעצר).</w:t>
      </w:r>
      <w:r>
        <w:rPr>
          <w:rFonts w:hint="cs"/>
          <w:rtl/>
        </w:rPr>
        <w:t xml:space="preserve"> </w:t>
      </w:r>
    </w:p>
    <w:p w14:paraId="2B4B5EC0" w14:textId="252A9B67" w:rsidR="00BA23AE" w:rsidRPr="00F13DA5" w:rsidRDefault="00BA23AE" w:rsidP="002B30DB">
      <w:pPr>
        <w:pStyle w:val="af4"/>
        <w:rPr>
          <w:rtl/>
        </w:rPr>
      </w:pPr>
      <w:r w:rsidRPr="002B30DB">
        <w:rPr>
          <w:rStyle w:val="Heading5Char"/>
          <w:rFonts w:hint="eastAsia"/>
          <w:color w:val="387026"/>
          <w:spacing w:val="0"/>
          <w:rtl/>
        </w:rPr>
        <w:t>פערים</w:t>
      </w:r>
      <w:r w:rsidRPr="002B30DB">
        <w:rPr>
          <w:rStyle w:val="Heading5Char"/>
          <w:color w:val="387026"/>
          <w:spacing w:val="0"/>
          <w:rtl/>
        </w:rPr>
        <w:t xml:space="preserve"> </w:t>
      </w:r>
      <w:r w:rsidRPr="002B30DB">
        <w:rPr>
          <w:rStyle w:val="Heading5Char"/>
          <w:rFonts w:hint="eastAsia"/>
          <w:color w:val="387026"/>
          <w:spacing w:val="0"/>
          <w:rtl/>
        </w:rPr>
        <w:t>בין</w:t>
      </w:r>
      <w:r w:rsidRPr="002B30DB">
        <w:rPr>
          <w:rStyle w:val="Heading5Char"/>
          <w:color w:val="387026"/>
          <w:spacing w:val="0"/>
          <w:rtl/>
        </w:rPr>
        <w:t xml:space="preserve"> </w:t>
      </w:r>
      <w:r w:rsidRPr="002B30DB">
        <w:rPr>
          <w:rStyle w:val="Heading5Char"/>
          <w:rFonts w:hint="eastAsia"/>
          <w:color w:val="387026"/>
          <w:spacing w:val="0"/>
          <w:rtl/>
        </w:rPr>
        <w:t>נתוני</w:t>
      </w:r>
      <w:r w:rsidRPr="002B30DB">
        <w:rPr>
          <w:rStyle w:val="Heading5Char"/>
          <w:color w:val="387026"/>
          <w:spacing w:val="0"/>
          <w:rtl/>
        </w:rPr>
        <w:t xml:space="preserve"> </w:t>
      </w:r>
      <w:r w:rsidRPr="002B30DB">
        <w:rPr>
          <w:rStyle w:val="Heading5Char"/>
          <w:rFonts w:hint="eastAsia"/>
          <w:color w:val="387026"/>
          <w:spacing w:val="0"/>
          <w:rtl/>
        </w:rPr>
        <w:t>המעצרים</w:t>
      </w:r>
      <w:r w:rsidRPr="002B30DB">
        <w:rPr>
          <w:rStyle w:val="Heading5Char"/>
          <w:color w:val="387026"/>
          <w:spacing w:val="0"/>
          <w:rtl/>
        </w:rPr>
        <w:t xml:space="preserve"> </w:t>
      </w:r>
      <w:r w:rsidRPr="002B30DB">
        <w:rPr>
          <w:rStyle w:val="Heading5Char"/>
          <w:rFonts w:hint="eastAsia"/>
          <w:color w:val="387026"/>
          <w:spacing w:val="0"/>
          <w:rtl/>
        </w:rPr>
        <w:t>לדוחות</w:t>
      </w:r>
      <w:r w:rsidRPr="002B30DB">
        <w:rPr>
          <w:rStyle w:val="Heading5Char"/>
          <w:color w:val="387026"/>
          <w:spacing w:val="0"/>
          <w:rtl/>
        </w:rPr>
        <w:t xml:space="preserve"> </w:t>
      </w:r>
      <w:r w:rsidRPr="002B30DB">
        <w:rPr>
          <w:rStyle w:val="Heading5Char"/>
          <w:rFonts w:hint="eastAsia"/>
          <w:color w:val="387026"/>
          <w:spacing w:val="0"/>
          <w:rtl/>
        </w:rPr>
        <w:t>המעצר</w:t>
      </w:r>
      <w:r w:rsidRPr="002B30DB">
        <w:rPr>
          <w:rStyle w:val="Heading5Char"/>
          <w:rFonts w:hint="cs"/>
          <w:color w:val="387026"/>
          <w:spacing w:val="0"/>
          <w:rtl/>
        </w:rPr>
        <w:t>:</w:t>
      </w:r>
      <w:r w:rsidRPr="002B30DB">
        <w:rPr>
          <w:rFonts w:hint="cs"/>
          <w:color w:val="387026"/>
          <w:rtl/>
        </w:rPr>
        <w:t xml:space="preserve"> </w:t>
      </w:r>
      <w:r w:rsidRPr="00F13DA5">
        <w:rPr>
          <w:rFonts w:hint="eastAsia"/>
          <w:rtl/>
        </w:rPr>
        <w:t>מבדיקת</w:t>
      </w:r>
      <w:r w:rsidRPr="00F13DA5">
        <w:rPr>
          <w:rtl/>
        </w:rPr>
        <w:t xml:space="preserve"> </w:t>
      </w:r>
      <w:r w:rsidRPr="00F13DA5">
        <w:rPr>
          <w:rFonts w:hint="cs"/>
          <w:rtl/>
        </w:rPr>
        <w:t xml:space="preserve">משרד </w:t>
      </w:r>
      <w:r w:rsidRPr="00F13DA5">
        <w:rPr>
          <w:rtl/>
        </w:rPr>
        <w:t>מבקר המדינה ע</w:t>
      </w:r>
      <w:r w:rsidRPr="00F13DA5">
        <w:rPr>
          <w:rFonts w:hint="cs"/>
          <w:rtl/>
        </w:rPr>
        <w:t>ו</w:t>
      </w:r>
      <w:r w:rsidRPr="00F13DA5">
        <w:rPr>
          <w:rtl/>
        </w:rPr>
        <w:t xml:space="preserve">לה, כי </w:t>
      </w:r>
      <w:r w:rsidRPr="00F13DA5">
        <w:rPr>
          <w:rFonts w:hint="cs"/>
          <w:rtl/>
        </w:rPr>
        <w:t>נתוני המעצרים בשנתון הסטטיסטי של המשטרה מציגים תמונה חלקית של היקף השימוש בסמכות המעצר על ידי המשטרה.</w:t>
      </w:r>
      <w:r w:rsidRPr="00F13DA5">
        <w:rPr>
          <w:rtl/>
        </w:rPr>
        <w:t xml:space="preserve"> </w:t>
      </w:r>
      <w:r w:rsidRPr="00F13DA5">
        <w:rPr>
          <w:rFonts w:hint="cs"/>
          <w:rtl/>
        </w:rPr>
        <w:t>הצגה חלקית זו נובעת מכמה</w:t>
      </w:r>
      <w:r w:rsidRPr="00F13DA5">
        <w:rPr>
          <w:rtl/>
        </w:rPr>
        <w:t xml:space="preserve"> </w:t>
      </w:r>
      <w:r w:rsidRPr="00F13DA5">
        <w:rPr>
          <w:rFonts w:hint="eastAsia"/>
          <w:rtl/>
        </w:rPr>
        <w:t>טעמים</w:t>
      </w:r>
      <w:r w:rsidRPr="00F13DA5">
        <w:rPr>
          <w:rFonts w:hint="cs"/>
          <w:rtl/>
        </w:rPr>
        <w:t>,</w:t>
      </w:r>
      <w:r w:rsidRPr="00F13DA5">
        <w:rPr>
          <w:rtl/>
        </w:rPr>
        <w:t xml:space="preserve"> </w:t>
      </w:r>
      <w:r w:rsidRPr="00F13DA5">
        <w:rPr>
          <w:rFonts w:hint="cs"/>
          <w:rtl/>
        </w:rPr>
        <w:t>כמפורט</w:t>
      </w:r>
      <w:r w:rsidRPr="00F13DA5">
        <w:rPr>
          <w:rtl/>
        </w:rPr>
        <w:t>:</w:t>
      </w:r>
    </w:p>
    <w:p w14:paraId="69136A2F" w14:textId="263EA9CF" w:rsidR="00B10B1F" w:rsidRDefault="00BA23AE" w:rsidP="00B10B1F">
      <w:pPr>
        <w:pStyle w:val="100"/>
        <w:rPr>
          <w:rtl/>
        </w:rPr>
      </w:pPr>
      <w:r w:rsidRPr="00F13DA5">
        <w:rPr>
          <w:rFonts w:hint="cs"/>
          <w:rtl/>
        </w:rPr>
        <w:t>להלן לוח המציג נתונים מהשנים 2016 - 2018 מתוך נתוני המעצרים, מאגר דוחות מעצר שוטר ומאגר דוחות קצין ממונה, בחלוקה למספר המעצרים ולמספר העצורים כלפיהם הוצאו דוחות מעצר אלו.</w:t>
      </w:r>
    </w:p>
    <w:p w14:paraId="12D234BE" w14:textId="77777777" w:rsidR="00266D07" w:rsidRDefault="00266D07">
      <w:pPr>
        <w:bidi w:val="0"/>
        <w:spacing w:after="200" w:line="276" w:lineRule="auto"/>
        <w:rPr>
          <w:rFonts w:ascii="Tahoma" w:eastAsiaTheme="minorEastAsia" w:hAnsi="Tahoma" w:cs="Tahoma"/>
          <w:color w:val="365F91" w:themeColor="accent1" w:themeShade="BF"/>
          <w:szCs w:val="20"/>
          <w:rtl/>
        </w:rPr>
      </w:pPr>
      <w:r>
        <w:rPr>
          <w:rtl/>
        </w:rPr>
        <w:br w:type="page"/>
      </w:r>
    </w:p>
    <w:p w14:paraId="5618C339" w14:textId="619B0315" w:rsidR="00BA23AE" w:rsidRPr="004537EC" w:rsidRDefault="00BA23AE" w:rsidP="004537EC">
      <w:pPr>
        <w:pStyle w:val="a9"/>
        <w:rPr>
          <w:b/>
          <w:bCs/>
          <w:rtl/>
        </w:rPr>
      </w:pPr>
      <w:r w:rsidRPr="00F13DA5">
        <w:rPr>
          <w:rFonts w:hint="eastAsia"/>
          <w:rtl/>
        </w:rPr>
        <w:lastRenderedPageBreak/>
        <w:t>לוח</w:t>
      </w:r>
      <w:r w:rsidRPr="00F13DA5">
        <w:rPr>
          <w:rtl/>
        </w:rPr>
        <w:t xml:space="preserve"> </w:t>
      </w:r>
      <w:r w:rsidRPr="00F13DA5">
        <w:rPr>
          <w:rFonts w:hint="cs"/>
          <w:rtl/>
        </w:rPr>
        <w:t>6</w:t>
      </w:r>
      <w:r w:rsidRPr="00F13DA5">
        <w:rPr>
          <w:rtl/>
        </w:rPr>
        <w:t xml:space="preserve">: </w:t>
      </w:r>
      <w:r w:rsidRPr="004537EC">
        <w:rPr>
          <w:rFonts w:hint="eastAsia"/>
          <w:b/>
          <w:bCs/>
          <w:rtl/>
        </w:rPr>
        <w:t>מספר</w:t>
      </w:r>
      <w:r w:rsidRPr="004537EC">
        <w:rPr>
          <w:b/>
          <w:bCs/>
          <w:rtl/>
        </w:rPr>
        <w:t xml:space="preserve"> </w:t>
      </w:r>
      <w:r w:rsidRPr="004537EC">
        <w:rPr>
          <w:rFonts w:hint="cs"/>
          <w:b/>
          <w:bCs/>
          <w:rtl/>
        </w:rPr>
        <w:t>ה</w:t>
      </w:r>
      <w:r w:rsidRPr="004537EC">
        <w:rPr>
          <w:rFonts w:hint="eastAsia"/>
          <w:b/>
          <w:bCs/>
          <w:rtl/>
        </w:rPr>
        <w:t>מעצרים</w:t>
      </w:r>
      <w:r w:rsidRPr="004537EC">
        <w:rPr>
          <w:b/>
          <w:bCs/>
          <w:rtl/>
        </w:rPr>
        <w:t xml:space="preserve"> ו</w:t>
      </w:r>
      <w:r w:rsidRPr="004537EC">
        <w:rPr>
          <w:rFonts w:hint="cs"/>
          <w:b/>
          <w:bCs/>
          <w:rtl/>
        </w:rPr>
        <w:t>ה</w:t>
      </w:r>
      <w:r w:rsidRPr="004537EC">
        <w:rPr>
          <w:b/>
          <w:bCs/>
          <w:rtl/>
        </w:rPr>
        <w:t xml:space="preserve">עצורים במאגרי </w:t>
      </w:r>
      <w:r w:rsidRPr="004537EC">
        <w:rPr>
          <w:rFonts w:hint="eastAsia"/>
          <w:b/>
          <w:bCs/>
          <w:rtl/>
        </w:rPr>
        <w:t>דוחות</w:t>
      </w:r>
      <w:r w:rsidRPr="004537EC">
        <w:rPr>
          <w:b/>
          <w:bCs/>
          <w:rtl/>
        </w:rPr>
        <w:t xml:space="preserve"> המעצר </w:t>
      </w:r>
      <w:r w:rsidRPr="004537EC">
        <w:rPr>
          <w:rFonts w:hint="cs"/>
          <w:b/>
          <w:bCs/>
          <w:rtl/>
        </w:rPr>
        <w:t>בהשוואה למספר המעצרים והעצורים לפי נתוני המעצרים, 2016 - 2018</w:t>
      </w:r>
    </w:p>
    <w:tbl>
      <w:tblPr>
        <w:tblStyle w:val="TableGrid"/>
        <w:bidiVisual/>
        <w:tblW w:w="8219" w:type="dxa"/>
        <w:tblInd w:w="27" w:type="dxa"/>
        <w:tblLayout w:type="fixed"/>
        <w:tblLook w:val="04A0" w:firstRow="1" w:lastRow="0" w:firstColumn="1" w:lastColumn="0" w:noHBand="0" w:noVBand="1"/>
      </w:tblPr>
      <w:tblGrid>
        <w:gridCol w:w="2507"/>
        <w:gridCol w:w="1893"/>
        <w:gridCol w:w="993"/>
        <w:gridCol w:w="916"/>
        <w:gridCol w:w="955"/>
        <w:gridCol w:w="955"/>
      </w:tblGrid>
      <w:tr w:rsidR="00ED7E18" w:rsidRPr="002C5032" w14:paraId="4D4A4F81" w14:textId="77777777" w:rsidTr="00ED7E18">
        <w:trPr>
          <w:tblHeader/>
        </w:trPr>
        <w:tc>
          <w:tcPr>
            <w:tcW w:w="4400" w:type="dxa"/>
            <w:gridSpan w:val="2"/>
            <w:shd w:val="clear" w:color="auto" w:fill="C6D9F1"/>
          </w:tcPr>
          <w:p w14:paraId="0F063B8D" w14:textId="77777777" w:rsidR="00BA23AE" w:rsidRPr="00455C7E" w:rsidRDefault="00BA23AE" w:rsidP="00455C7E">
            <w:pPr>
              <w:pStyle w:val="B"/>
              <w:rPr>
                <w:szCs w:val="20"/>
                <w:rtl/>
              </w:rPr>
            </w:pPr>
          </w:p>
        </w:tc>
        <w:tc>
          <w:tcPr>
            <w:tcW w:w="993" w:type="dxa"/>
            <w:shd w:val="clear" w:color="auto" w:fill="C6D9F1"/>
            <w:vAlign w:val="center"/>
          </w:tcPr>
          <w:p w14:paraId="7D273B87" w14:textId="77777777" w:rsidR="00BA23AE" w:rsidRPr="00455C7E" w:rsidRDefault="00BA23AE" w:rsidP="00455C7E">
            <w:pPr>
              <w:pStyle w:val="B"/>
              <w:rPr>
                <w:szCs w:val="20"/>
                <w:rtl/>
              </w:rPr>
            </w:pPr>
            <w:r w:rsidRPr="00455C7E">
              <w:rPr>
                <w:rFonts w:hint="cs"/>
                <w:szCs w:val="20"/>
                <w:rtl/>
              </w:rPr>
              <w:t>2016</w:t>
            </w:r>
          </w:p>
        </w:tc>
        <w:tc>
          <w:tcPr>
            <w:tcW w:w="916" w:type="dxa"/>
            <w:shd w:val="clear" w:color="auto" w:fill="C6D9F1"/>
            <w:vAlign w:val="center"/>
          </w:tcPr>
          <w:p w14:paraId="6523A9CB" w14:textId="77777777" w:rsidR="00BA23AE" w:rsidRPr="00455C7E" w:rsidRDefault="00BA23AE" w:rsidP="00455C7E">
            <w:pPr>
              <w:pStyle w:val="B"/>
              <w:rPr>
                <w:szCs w:val="20"/>
                <w:rtl/>
              </w:rPr>
            </w:pPr>
            <w:r w:rsidRPr="00455C7E">
              <w:rPr>
                <w:rFonts w:hint="cs"/>
                <w:szCs w:val="20"/>
                <w:rtl/>
              </w:rPr>
              <w:t>2017</w:t>
            </w:r>
          </w:p>
        </w:tc>
        <w:tc>
          <w:tcPr>
            <w:tcW w:w="955" w:type="dxa"/>
            <w:shd w:val="clear" w:color="auto" w:fill="C6D9F1"/>
            <w:vAlign w:val="center"/>
          </w:tcPr>
          <w:p w14:paraId="2435C569" w14:textId="77777777" w:rsidR="00BA23AE" w:rsidRPr="00455C7E" w:rsidRDefault="00BA23AE" w:rsidP="00455C7E">
            <w:pPr>
              <w:pStyle w:val="B"/>
              <w:rPr>
                <w:szCs w:val="20"/>
                <w:rtl/>
              </w:rPr>
            </w:pPr>
            <w:r w:rsidRPr="00455C7E">
              <w:rPr>
                <w:rFonts w:hint="cs"/>
                <w:szCs w:val="20"/>
                <w:rtl/>
              </w:rPr>
              <w:t>2018</w:t>
            </w:r>
          </w:p>
        </w:tc>
        <w:tc>
          <w:tcPr>
            <w:tcW w:w="955" w:type="dxa"/>
            <w:shd w:val="clear" w:color="auto" w:fill="C6D9F1"/>
            <w:vAlign w:val="center"/>
          </w:tcPr>
          <w:p w14:paraId="3DE31FDE" w14:textId="77777777" w:rsidR="00BA23AE" w:rsidRPr="00455C7E" w:rsidRDefault="00BA23AE" w:rsidP="00455C7E">
            <w:pPr>
              <w:pStyle w:val="B"/>
              <w:rPr>
                <w:szCs w:val="20"/>
                <w:rtl/>
              </w:rPr>
            </w:pPr>
            <w:r w:rsidRPr="00455C7E">
              <w:rPr>
                <w:rFonts w:hint="cs"/>
                <w:szCs w:val="20"/>
                <w:rtl/>
              </w:rPr>
              <w:t>סה"כ</w:t>
            </w:r>
          </w:p>
        </w:tc>
      </w:tr>
      <w:tr w:rsidR="00ED7E18" w:rsidRPr="002C5032" w14:paraId="09EDA21E" w14:textId="77777777" w:rsidTr="00ED7E18">
        <w:tc>
          <w:tcPr>
            <w:tcW w:w="2507" w:type="dxa"/>
            <w:vMerge w:val="restart"/>
            <w:shd w:val="clear" w:color="auto" w:fill="auto"/>
          </w:tcPr>
          <w:p w14:paraId="36D8E91F" w14:textId="77777777" w:rsidR="00BA23AE" w:rsidRPr="00455C7E" w:rsidRDefault="00BA23AE" w:rsidP="00455C7E">
            <w:pPr>
              <w:pStyle w:val="R"/>
              <w:rPr>
                <w:rtl/>
              </w:rPr>
            </w:pPr>
            <w:r w:rsidRPr="00455C7E">
              <w:rPr>
                <w:rFonts w:hint="cs"/>
                <w:rtl/>
              </w:rPr>
              <w:t>נתוני המעצרים</w:t>
            </w:r>
          </w:p>
        </w:tc>
        <w:tc>
          <w:tcPr>
            <w:tcW w:w="1893" w:type="dxa"/>
            <w:shd w:val="clear" w:color="auto" w:fill="auto"/>
            <w:vAlign w:val="bottom"/>
          </w:tcPr>
          <w:p w14:paraId="3A741B43" w14:textId="77777777" w:rsidR="00BA23AE" w:rsidRPr="00455C7E" w:rsidRDefault="00BA23AE" w:rsidP="00455C7E">
            <w:pPr>
              <w:pStyle w:val="R"/>
              <w:rPr>
                <w:rtl/>
              </w:rPr>
            </w:pPr>
            <w:r w:rsidRPr="00455C7E">
              <w:rPr>
                <w:rtl/>
              </w:rPr>
              <w:t xml:space="preserve">מספר </w:t>
            </w:r>
            <w:r w:rsidRPr="00455C7E">
              <w:rPr>
                <w:rFonts w:hint="cs"/>
                <w:rtl/>
              </w:rPr>
              <w:t>המעצרים</w:t>
            </w:r>
          </w:p>
        </w:tc>
        <w:tc>
          <w:tcPr>
            <w:tcW w:w="993" w:type="dxa"/>
            <w:shd w:val="clear" w:color="auto" w:fill="auto"/>
            <w:vAlign w:val="center"/>
          </w:tcPr>
          <w:p w14:paraId="13469A61" w14:textId="77777777" w:rsidR="00BA23AE" w:rsidRPr="002C5032" w:rsidRDefault="00BA23AE" w:rsidP="00455C7E">
            <w:pPr>
              <w:pStyle w:val="R"/>
              <w:rPr>
                <w:rtl/>
              </w:rPr>
            </w:pPr>
            <w:r w:rsidRPr="002C5032">
              <w:rPr>
                <w:rFonts w:ascii="Arial" w:hAnsi="Arial" w:hint="cs"/>
                <w:color w:val="000000"/>
                <w:rtl/>
              </w:rPr>
              <w:t>60,848</w:t>
            </w:r>
          </w:p>
        </w:tc>
        <w:tc>
          <w:tcPr>
            <w:tcW w:w="916" w:type="dxa"/>
            <w:shd w:val="clear" w:color="auto" w:fill="auto"/>
            <w:vAlign w:val="center"/>
          </w:tcPr>
          <w:p w14:paraId="169D4831" w14:textId="77777777" w:rsidR="00BA23AE" w:rsidRPr="002C5032" w:rsidRDefault="00BA23AE" w:rsidP="00455C7E">
            <w:pPr>
              <w:pStyle w:val="R"/>
              <w:rPr>
                <w:rtl/>
              </w:rPr>
            </w:pPr>
            <w:r w:rsidRPr="002C5032">
              <w:rPr>
                <w:rFonts w:ascii="Arial" w:hAnsi="Arial" w:hint="cs"/>
                <w:color w:val="000000"/>
                <w:rtl/>
              </w:rPr>
              <w:t>60,072</w:t>
            </w:r>
          </w:p>
        </w:tc>
        <w:tc>
          <w:tcPr>
            <w:tcW w:w="955" w:type="dxa"/>
            <w:shd w:val="clear" w:color="auto" w:fill="auto"/>
            <w:vAlign w:val="center"/>
          </w:tcPr>
          <w:p w14:paraId="2AE7482F" w14:textId="77777777" w:rsidR="00BA23AE" w:rsidRPr="002C5032" w:rsidRDefault="00BA23AE" w:rsidP="00455C7E">
            <w:pPr>
              <w:pStyle w:val="R"/>
              <w:rPr>
                <w:rtl/>
              </w:rPr>
            </w:pPr>
            <w:r w:rsidRPr="002C5032">
              <w:rPr>
                <w:rFonts w:ascii="Arial" w:hAnsi="Arial" w:hint="cs"/>
                <w:color w:val="000000"/>
                <w:rtl/>
              </w:rPr>
              <w:t>53,253</w:t>
            </w:r>
          </w:p>
        </w:tc>
        <w:tc>
          <w:tcPr>
            <w:tcW w:w="955" w:type="dxa"/>
            <w:shd w:val="clear" w:color="auto" w:fill="auto"/>
            <w:vAlign w:val="center"/>
          </w:tcPr>
          <w:p w14:paraId="05C8F863" w14:textId="77777777" w:rsidR="00BA23AE" w:rsidRPr="002C5032" w:rsidRDefault="00BA23AE" w:rsidP="00455C7E">
            <w:pPr>
              <w:pStyle w:val="R"/>
              <w:rPr>
                <w:rtl/>
              </w:rPr>
            </w:pPr>
            <w:r w:rsidRPr="002C5032">
              <w:rPr>
                <w:rFonts w:ascii="Arial" w:hAnsi="Arial" w:hint="cs"/>
                <w:color w:val="000000"/>
                <w:rtl/>
              </w:rPr>
              <w:t>174,173</w:t>
            </w:r>
          </w:p>
        </w:tc>
      </w:tr>
      <w:tr w:rsidR="00ED7E18" w:rsidRPr="002C5032" w14:paraId="018F0DBA" w14:textId="77777777" w:rsidTr="00ED7E18">
        <w:tc>
          <w:tcPr>
            <w:tcW w:w="2507" w:type="dxa"/>
            <w:vMerge/>
            <w:shd w:val="clear" w:color="auto" w:fill="auto"/>
          </w:tcPr>
          <w:p w14:paraId="7C711C8E" w14:textId="77777777" w:rsidR="00BA23AE" w:rsidRPr="00455C7E" w:rsidRDefault="00BA23AE" w:rsidP="00455C7E">
            <w:pPr>
              <w:pStyle w:val="R"/>
              <w:rPr>
                <w:rtl/>
              </w:rPr>
            </w:pPr>
          </w:p>
        </w:tc>
        <w:tc>
          <w:tcPr>
            <w:tcW w:w="1893" w:type="dxa"/>
            <w:shd w:val="clear" w:color="auto" w:fill="auto"/>
            <w:vAlign w:val="bottom"/>
          </w:tcPr>
          <w:p w14:paraId="1A61749D" w14:textId="77777777" w:rsidR="00BA23AE" w:rsidRPr="00455C7E" w:rsidRDefault="00BA23AE" w:rsidP="00455C7E">
            <w:pPr>
              <w:pStyle w:val="R"/>
              <w:rPr>
                <w:rtl/>
              </w:rPr>
            </w:pPr>
            <w:r w:rsidRPr="00455C7E">
              <w:rPr>
                <w:rtl/>
              </w:rPr>
              <w:t xml:space="preserve">מספר </w:t>
            </w:r>
            <w:r w:rsidRPr="00455C7E">
              <w:rPr>
                <w:rFonts w:hint="cs"/>
                <w:rtl/>
              </w:rPr>
              <w:t>ה</w:t>
            </w:r>
            <w:r w:rsidRPr="00455C7E">
              <w:rPr>
                <w:rtl/>
              </w:rPr>
              <w:t>עצורים</w:t>
            </w:r>
          </w:p>
        </w:tc>
        <w:tc>
          <w:tcPr>
            <w:tcW w:w="993" w:type="dxa"/>
            <w:shd w:val="clear" w:color="auto" w:fill="auto"/>
            <w:vAlign w:val="center"/>
          </w:tcPr>
          <w:p w14:paraId="27C37CC9" w14:textId="77777777" w:rsidR="00BA23AE" w:rsidRPr="002C5032" w:rsidRDefault="00BA23AE" w:rsidP="00455C7E">
            <w:pPr>
              <w:pStyle w:val="R"/>
              <w:rPr>
                <w:rtl/>
              </w:rPr>
            </w:pPr>
            <w:r w:rsidRPr="002C5032">
              <w:rPr>
                <w:rFonts w:ascii="Arial" w:hAnsi="Arial" w:hint="cs"/>
                <w:color w:val="000000"/>
                <w:rtl/>
              </w:rPr>
              <w:t>49,787</w:t>
            </w:r>
          </w:p>
        </w:tc>
        <w:tc>
          <w:tcPr>
            <w:tcW w:w="916" w:type="dxa"/>
            <w:shd w:val="clear" w:color="auto" w:fill="auto"/>
            <w:vAlign w:val="center"/>
          </w:tcPr>
          <w:p w14:paraId="1196E504" w14:textId="77777777" w:rsidR="00BA23AE" w:rsidRPr="002C5032" w:rsidRDefault="00BA23AE" w:rsidP="00455C7E">
            <w:pPr>
              <w:pStyle w:val="R"/>
              <w:rPr>
                <w:rtl/>
              </w:rPr>
            </w:pPr>
            <w:r w:rsidRPr="002C5032">
              <w:rPr>
                <w:rFonts w:ascii="Arial" w:hAnsi="Arial" w:hint="cs"/>
                <w:color w:val="000000"/>
                <w:rtl/>
              </w:rPr>
              <w:t>49,044</w:t>
            </w:r>
          </w:p>
        </w:tc>
        <w:tc>
          <w:tcPr>
            <w:tcW w:w="955" w:type="dxa"/>
            <w:shd w:val="clear" w:color="auto" w:fill="auto"/>
            <w:vAlign w:val="center"/>
          </w:tcPr>
          <w:p w14:paraId="64DC948E" w14:textId="77777777" w:rsidR="00BA23AE" w:rsidRPr="002C5032" w:rsidRDefault="00BA23AE" w:rsidP="00455C7E">
            <w:pPr>
              <w:pStyle w:val="R"/>
              <w:rPr>
                <w:rtl/>
              </w:rPr>
            </w:pPr>
            <w:r w:rsidRPr="002C5032">
              <w:rPr>
                <w:rFonts w:ascii="Arial" w:hAnsi="Arial" w:hint="cs"/>
                <w:color w:val="000000"/>
                <w:rtl/>
              </w:rPr>
              <w:t>43,325</w:t>
            </w:r>
          </w:p>
        </w:tc>
        <w:tc>
          <w:tcPr>
            <w:tcW w:w="955" w:type="dxa"/>
            <w:shd w:val="clear" w:color="auto" w:fill="auto"/>
            <w:vAlign w:val="center"/>
          </w:tcPr>
          <w:p w14:paraId="7D3BFE13" w14:textId="77777777" w:rsidR="00BA23AE" w:rsidRPr="002C5032" w:rsidRDefault="00BA23AE" w:rsidP="00455C7E">
            <w:pPr>
              <w:pStyle w:val="R"/>
              <w:rPr>
                <w:rtl/>
              </w:rPr>
            </w:pPr>
            <w:r w:rsidRPr="002C5032">
              <w:rPr>
                <w:rFonts w:ascii="Arial" w:hAnsi="Arial" w:hint="cs"/>
                <w:color w:val="000000"/>
                <w:rtl/>
              </w:rPr>
              <w:t>142,156</w:t>
            </w:r>
          </w:p>
        </w:tc>
      </w:tr>
      <w:tr w:rsidR="00ED7E18" w:rsidRPr="002C5032" w14:paraId="70C7D112" w14:textId="77777777" w:rsidTr="00ED7E18">
        <w:tc>
          <w:tcPr>
            <w:tcW w:w="2507" w:type="dxa"/>
            <w:vMerge w:val="restart"/>
            <w:shd w:val="clear" w:color="auto" w:fill="auto"/>
          </w:tcPr>
          <w:p w14:paraId="680E3E8F" w14:textId="77777777" w:rsidR="00BA23AE" w:rsidRPr="00455C7E" w:rsidRDefault="00BA23AE" w:rsidP="00455C7E">
            <w:pPr>
              <w:pStyle w:val="R"/>
              <w:rPr>
                <w:rtl/>
              </w:rPr>
            </w:pPr>
            <w:r w:rsidRPr="00455C7E">
              <w:rPr>
                <w:rFonts w:hint="cs"/>
                <w:rtl/>
              </w:rPr>
              <w:t>מאגר דוחות מעצר שוטר</w:t>
            </w:r>
          </w:p>
        </w:tc>
        <w:tc>
          <w:tcPr>
            <w:tcW w:w="1893" w:type="dxa"/>
            <w:shd w:val="clear" w:color="auto" w:fill="auto"/>
          </w:tcPr>
          <w:p w14:paraId="0582D151" w14:textId="77777777" w:rsidR="00BA23AE" w:rsidRPr="00455C7E" w:rsidRDefault="00BA23AE" w:rsidP="00455C7E">
            <w:pPr>
              <w:pStyle w:val="R"/>
              <w:rPr>
                <w:rtl/>
              </w:rPr>
            </w:pPr>
            <w:r w:rsidRPr="00455C7E">
              <w:rPr>
                <w:rFonts w:hint="cs"/>
                <w:rtl/>
              </w:rPr>
              <w:t>מספר המעצרים</w:t>
            </w:r>
          </w:p>
        </w:tc>
        <w:tc>
          <w:tcPr>
            <w:tcW w:w="993" w:type="dxa"/>
            <w:shd w:val="clear" w:color="auto" w:fill="C6D9F1"/>
            <w:vAlign w:val="center"/>
          </w:tcPr>
          <w:p w14:paraId="06A4B572" w14:textId="77777777" w:rsidR="00BA23AE" w:rsidRPr="002C5032" w:rsidRDefault="00BA23AE" w:rsidP="00455C7E">
            <w:pPr>
              <w:pStyle w:val="R"/>
              <w:rPr>
                <w:rtl/>
              </w:rPr>
            </w:pPr>
            <w:r w:rsidRPr="002C5032">
              <w:rPr>
                <w:rFonts w:hint="cs"/>
                <w:rtl/>
              </w:rPr>
              <w:t>61,690</w:t>
            </w:r>
          </w:p>
        </w:tc>
        <w:tc>
          <w:tcPr>
            <w:tcW w:w="916" w:type="dxa"/>
            <w:shd w:val="clear" w:color="auto" w:fill="C6D9F1"/>
            <w:vAlign w:val="center"/>
          </w:tcPr>
          <w:p w14:paraId="77D17F8C" w14:textId="77777777" w:rsidR="00BA23AE" w:rsidRPr="002C5032" w:rsidRDefault="00BA23AE" w:rsidP="00455C7E">
            <w:pPr>
              <w:pStyle w:val="R"/>
              <w:rPr>
                <w:rtl/>
              </w:rPr>
            </w:pPr>
            <w:r w:rsidRPr="002C5032">
              <w:rPr>
                <w:rFonts w:hint="cs"/>
                <w:rtl/>
              </w:rPr>
              <w:t>68,788</w:t>
            </w:r>
          </w:p>
        </w:tc>
        <w:tc>
          <w:tcPr>
            <w:tcW w:w="955" w:type="dxa"/>
            <w:shd w:val="clear" w:color="auto" w:fill="C6D9F1"/>
            <w:vAlign w:val="center"/>
          </w:tcPr>
          <w:p w14:paraId="3B171359" w14:textId="77777777" w:rsidR="00BA23AE" w:rsidRPr="002C5032" w:rsidRDefault="00BA23AE" w:rsidP="00455C7E">
            <w:pPr>
              <w:pStyle w:val="R"/>
              <w:rPr>
                <w:rtl/>
              </w:rPr>
            </w:pPr>
            <w:r w:rsidRPr="002C5032">
              <w:rPr>
                <w:rFonts w:hint="cs"/>
                <w:rtl/>
              </w:rPr>
              <w:t>71,488</w:t>
            </w:r>
          </w:p>
        </w:tc>
        <w:tc>
          <w:tcPr>
            <w:tcW w:w="955" w:type="dxa"/>
            <w:shd w:val="clear" w:color="auto" w:fill="C6D9F1"/>
            <w:vAlign w:val="center"/>
          </w:tcPr>
          <w:p w14:paraId="7F4E0FF9" w14:textId="77777777" w:rsidR="00BA23AE" w:rsidRPr="002C5032" w:rsidRDefault="00BA23AE" w:rsidP="00455C7E">
            <w:pPr>
              <w:pStyle w:val="R"/>
              <w:rPr>
                <w:rtl/>
              </w:rPr>
            </w:pPr>
            <w:r w:rsidRPr="002C5032">
              <w:rPr>
                <w:rFonts w:hint="cs"/>
                <w:rtl/>
              </w:rPr>
              <w:t>201,966</w:t>
            </w:r>
          </w:p>
        </w:tc>
      </w:tr>
      <w:tr w:rsidR="00ED7E18" w:rsidRPr="002C5032" w14:paraId="4E00779C" w14:textId="77777777" w:rsidTr="00ED7E18">
        <w:tc>
          <w:tcPr>
            <w:tcW w:w="2507" w:type="dxa"/>
            <w:vMerge/>
            <w:shd w:val="clear" w:color="auto" w:fill="auto"/>
          </w:tcPr>
          <w:p w14:paraId="3CAC8511" w14:textId="77777777" w:rsidR="00BA23AE" w:rsidRPr="00455C7E" w:rsidRDefault="00BA23AE" w:rsidP="00455C7E">
            <w:pPr>
              <w:pStyle w:val="R"/>
              <w:rPr>
                <w:rtl/>
              </w:rPr>
            </w:pPr>
          </w:p>
        </w:tc>
        <w:tc>
          <w:tcPr>
            <w:tcW w:w="1893" w:type="dxa"/>
            <w:shd w:val="clear" w:color="auto" w:fill="auto"/>
          </w:tcPr>
          <w:p w14:paraId="4179BBCF" w14:textId="77777777" w:rsidR="00BA23AE" w:rsidRPr="00455C7E" w:rsidRDefault="00BA23AE" w:rsidP="00455C7E">
            <w:pPr>
              <w:pStyle w:val="R"/>
              <w:rPr>
                <w:rtl/>
              </w:rPr>
            </w:pPr>
            <w:r w:rsidRPr="00455C7E">
              <w:rPr>
                <w:rFonts w:hint="cs"/>
                <w:rtl/>
              </w:rPr>
              <w:t>מספר העצורים</w:t>
            </w:r>
          </w:p>
        </w:tc>
        <w:tc>
          <w:tcPr>
            <w:tcW w:w="993" w:type="dxa"/>
            <w:shd w:val="clear" w:color="auto" w:fill="auto"/>
            <w:vAlign w:val="center"/>
          </w:tcPr>
          <w:p w14:paraId="7626DDD8" w14:textId="77777777" w:rsidR="00BA23AE" w:rsidRPr="002C5032" w:rsidRDefault="00BA23AE" w:rsidP="00455C7E">
            <w:pPr>
              <w:pStyle w:val="R"/>
              <w:rPr>
                <w:rtl/>
              </w:rPr>
            </w:pPr>
            <w:r w:rsidRPr="002C5032">
              <w:rPr>
                <w:rFonts w:hint="cs"/>
                <w:rtl/>
              </w:rPr>
              <w:t>48,218</w:t>
            </w:r>
            <w:r w:rsidRPr="002C5032">
              <w:rPr>
                <w:rStyle w:val="FootnoteReference"/>
                <w:sz w:val="22"/>
                <w:szCs w:val="22"/>
                <w:rtl/>
              </w:rPr>
              <w:footnoteReference w:id="17"/>
            </w:r>
          </w:p>
        </w:tc>
        <w:tc>
          <w:tcPr>
            <w:tcW w:w="916" w:type="dxa"/>
            <w:shd w:val="clear" w:color="auto" w:fill="C6D9F1"/>
            <w:vAlign w:val="center"/>
          </w:tcPr>
          <w:p w14:paraId="4C19AC04" w14:textId="77777777" w:rsidR="00BA23AE" w:rsidRPr="002C5032" w:rsidRDefault="00BA23AE" w:rsidP="00455C7E">
            <w:pPr>
              <w:pStyle w:val="R"/>
              <w:rPr>
                <w:rtl/>
              </w:rPr>
            </w:pPr>
            <w:r w:rsidRPr="002C5032">
              <w:rPr>
                <w:rFonts w:hint="cs"/>
                <w:rtl/>
              </w:rPr>
              <w:t>53,860</w:t>
            </w:r>
          </w:p>
        </w:tc>
        <w:tc>
          <w:tcPr>
            <w:tcW w:w="955" w:type="dxa"/>
            <w:shd w:val="clear" w:color="auto" w:fill="C6D9F1"/>
            <w:vAlign w:val="center"/>
          </w:tcPr>
          <w:p w14:paraId="0FE8FBBC" w14:textId="77777777" w:rsidR="00BA23AE" w:rsidRPr="002C5032" w:rsidRDefault="00BA23AE" w:rsidP="00455C7E">
            <w:pPr>
              <w:pStyle w:val="R"/>
              <w:rPr>
                <w:rtl/>
              </w:rPr>
            </w:pPr>
            <w:r w:rsidRPr="002C5032">
              <w:rPr>
                <w:rFonts w:hint="cs"/>
                <w:rtl/>
              </w:rPr>
              <w:t>55,529</w:t>
            </w:r>
          </w:p>
        </w:tc>
        <w:tc>
          <w:tcPr>
            <w:tcW w:w="955" w:type="dxa"/>
            <w:shd w:val="clear" w:color="auto" w:fill="C6D9F1"/>
            <w:vAlign w:val="center"/>
          </w:tcPr>
          <w:p w14:paraId="780E0C72" w14:textId="77777777" w:rsidR="00BA23AE" w:rsidRPr="002C5032" w:rsidRDefault="00BA23AE" w:rsidP="00455C7E">
            <w:pPr>
              <w:pStyle w:val="R"/>
              <w:rPr>
                <w:rtl/>
              </w:rPr>
            </w:pPr>
            <w:r w:rsidRPr="002C5032">
              <w:rPr>
                <w:rFonts w:hint="cs"/>
                <w:rtl/>
              </w:rPr>
              <w:t>157,607</w:t>
            </w:r>
          </w:p>
        </w:tc>
      </w:tr>
      <w:tr w:rsidR="00ED7E18" w:rsidRPr="002C5032" w14:paraId="6488399E" w14:textId="77777777" w:rsidTr="00ED7E18">
        <w:tc>
          <w:tcPr>
            <w:tcW w:w="2507" w:type="dxa"/>
            <w:vMerge w:val="restart"/>
            <w:shd w:val="clear" w:color="auto" w:fill="auto"/>
          </w:tcPr>
          <w:p w14:paraId="02F981CE" w14:textId="77777777" w:rsidR="00BA23AE" w:rsidRPr="00455C7E" w:rsidRDefault="00BA23AE" w:rsidP="00455C7E">
            <w:pPr>
              <w:pStyle w:val="R"/>
              <w:rPr>
                <w:rtl/>
              </w:rPr>
            </w:pPr>
            <w:r w:rsidRPr="00455C7E">
              <w:rPr>
                <w:rFonts w:hint="cs"/>
                <w:rtl/>
              </w:rPr>
              <w:t>מאגר דוחות קצין ממונה</w:t>
            </w:r>
          </w:p>
        </w:tc>
        <w:tc>
          <w:tcPr>
            <w:tcW w:w="1893" w:type="dxa"/>
            <w:shd w:val="clear" w:color="auto" w:fill="auto"/>
          </w:tcPr>
          <w:p w14:paraId="38F55F0E" w14:textId="77777777" w:rsidR="00BA23AE" w:rsidRPr="00455C7E" w:rsidRDefault="00BA23AE" w:rsidP="00455C7E">
            <w:pPr>
              <w:pStyle w:val="R"/>
              <w:rPr>
                <w:rtl/>
              </w:rPr>
            </w:pPr>
            <w:r w:rsidRPr="00455C7E">
              <w:rPr>
                <w:rFonts w:hint="cs"/>
                <w:rtl/>
              </w:rPr>
              <w:t>מספר המעצרים</w:t>
            </w:r>
          </w:p>
        </w:tc>
        <w:tc>
          <w:tcPr>
            <w:tcW w:w="993" w:type="dxa"/>
            <w:shd w:val="clear" w:color="auto" w:fill="auto"/>
            <w:vAlign w:val="center"/>
          </w:tcPr>
          <w:p w14:paraId="384C5DCD" w14:textId="77777777" w:rsidR="00BA23AE" w:rsidRPr="002C5032" w:rsidRDefault="00BA23AE" w:rsidP="00455C7E">
            <w:pPr>
              <w:pStyle w:val="R"/>
              <w:rPr>
                <w:rFonts w:ascii="Arial" w:hAnsi="Arial"/>
                <w:color w:val="000000"/>
                <w:rtl/>
              </w:rPr>
            </w:pPr>
            <w:r w:rsidRPr="002C5032">
              <w:rPr>
                <w:rFonts w:hint="cs"/>
                <w:rtl/>
              </w:rPr>
              <w:t>52,481</w:t>
            </w:r>
          </w:p>
        </w:tc>
        <w:tc>
          <w:tcPr>
            <w:tcW w:w="916" w:type="dxa"/>
            <w:shd w:val="clear" w:color="auto" w:fill="auto"/>
            <w:vAlign w:val="center"/>
          </w:tcPr>
          <w:p w14:paraId="64B7576A" w14:textId="77777777" w:rsidR="00BA23AE" w:rsidRPr="002C5032" w:rsidRDefault="00BA23AE" w:rsidP="00455C7E">
            <w:pPr>
              <w:pStyle w:val="R"/>
              <w:rPr>
                <w:rFonts w:ascii="Arial" w:hAnsi="Arial"/>
                <w:color w:val="000000"/>
                <w:rtl/>
              </w:rPr>
            </w:pPr>
            <w:r w:rsidRPr="002C5032">
              <w:rPr>
                <w:rFonts w:hint="cs"/>
                <w:rtl/>
              </w:rPr>
              <w:t>51,078</w:t>
            </w:r>
          </w:p>
        </w:tc>
        <w:tc>
          <w:tcPr>
            <w:tcW w:w="955" w:type="dxa"/>
            <w:shd w:val="clear" w:color="auto" w:fill="auto"/>
            <w:vAlign w:val="center"/>
          </w:tcPr>
          <w:p w14:paraId="68A16475" w14:textId="77777777" w:rsidR="00BA23AE" w:rsidRPr="002C5032" w:rsidRDefault="00BA23AE" w:rsidP="00455C7E">
            <w:pPr>
              <w:pStyle w:val="R"/>
              <w:rPr>
                <w:rFonts w:ascii="Arial" w:hAnsi="Arial"/>
                <w:color w:val="000000"/>
                <w:rtl/>
              </w:rPr>
            </w:pPr>
            <w:r w:rsidRPr="002C5032">
              <w:rPr>
                <w:rFonts w:hint="cs"/>
                <w:rtl/>
              </w:rPr>
              <w:t>45,837</w:t>
            </w:r>
          </w:p>
        </w:tc>
        <w:tc>
          <w:tcPr>
            <w:tcW w:w="955" w:type="dxa"/>
            <w:shd w:val="clear" w:color="auto" w:fill="auto"/>
            <w:vAlign w:val="center"/>
          </w:tcPr>
          <w:p w14:paraId="1297CC60" w14:textId="77777777" w:rsidR="00BA23AE" w:rsidRPr="002C5032" w:rsidRDefault="00BA23AE" w:rsidP="00455C7E">
            <w:pPr>
              <w:pStyle w:val="R"/>
              <w:rPr>
                <w:rFonts w:ascii="Arial" w:hAnsi="Arial"/>
                <w:color w:val="000000"/>
                <w:rtl/>
              </w:rPr>
            </w:pPr>
            <w:r w:rsidRPr="002C5032">
              <w:rPr>
                <w:rFonts w:hint="cs"/>
                <w:rtl/>
              </w:rPr>
              <w:t>149,432</w:t>
            </w:r>
          </w:p>
        </w:tc>
      </w:tr>
      <w:tr w:rsidR="00ED7E18" w:rsidRPr="002C5032" w14:paraId="2BE2EA9C" w14:textId="77777777" w:rsidTr="00ED7E18">
        <w:tc>
          <w:tcPr>
            <w:tcW w:w="2507" w:type="dxa"/>
            <w:vMerge/>
            <w:shd w:val="clear" w:color="auto" w:fill="auto"/>
          </w:tcPr>
          <w:p w14:paraId="59174BD2" w14:textId="77777777" w:rsidR="00BA23AE" w:rsidRPr="00455C7E" w:rsidRDefault="00BA23AE" w:rsidP="00455C7E">
            <w:pPr>
              <w:pStyle w:val="R"/>
              <w:rPr>
                <w:rtl/>
              </w:rPr>
            </w:pPr>
          </w:p>
        </w:tc>
        <w:tc>
          <w:tcPr>
            <w:tcW w:w="1893" w:type="dxa"/>
            <w:shd w:val="clear" w:color="auto" w:fill="auto"/>
          </w:tcPr>
          <w:p w14:paraId="6DC4A6EE" w14:textId="77777777" w:rsidR="00BA23AE" w:rsidRPr="00455C7E" w:rsidRDefault="00BA23AE" w:rsidP="00455C7E">
            <w:pPr>
              <w:pStyle w:val="R"/>
              <w:rPr>
                <w:rtl/>
              </w:rPr>
            </w:pPr>
            <w:r w:rsidRPr="00455C7E">
              <w:rPr>
                <w:rFonts w:hint="cs"/>
                <w:rtl/>
              </w:rPr>
              <w:t>מספר העצורים</w:t>
            </w:r>
          </w:p>
        </w:tc>
        <w:tc>
          <w:tcPr>
            <w:tcW w:w="993" w:type="dxa"/>
            <w:shd w:val="clear" w:color="auto" w:fill="C6D9F1"/>
            <w:vAlign w:val="center"/>
          </w:tcPr>
          <w:p w14:paraId="2C44EB07" w14:textId="77777777" w:rsidR="00BA23AE" w:rsidRPr="002C5032" w:rsidRDefault="00BA23AE" w:rsidP="00455C7E">
            <w:pPr>
              <w:pStyle w:val="R"/>
              <w:rPr>
                <w:rFonts w:ascii="Arial" w:hAnsi="Arial"/>
                <w:color w:val="000000"/>
                <w:rtl/>
              </w:rPr>
            </w:pPr>
            <w:r w:rsidRPr="002C5032">
              <w:rPr>
                <w:rFonts w:hint="cs"/>
                <w:rtl/>
              </w:rPr>
              <w:t>51,917</w:t>
            </w:r>
          </w:p>
        </w:tc>
        <w:tc>
          <w:tcPr>
            <w:tcW w:w="916" w:type="dxa"/>
            <w:shd w:val="clear" w:color="auto" w:fill="C6D9F1"/>
            <w:vAlign w:val="center"/>
          </w:tcPr>
          <w:p w14:paraId="6AF93B0A" w14:textId="77777777" w:rsidR="00BA23AE" w:rsidRPr="002C5032" w:rsidRDefault="00BA23AE" w:rsidP="00455C7E">
            <w:pPr>
              <w:pStyle w:val="R"/>
              <w:rPr>
                <w:rFonts w:ascii="Arial" w:hAnsi="Arial"/>
                <w:color w:val="000000"/>
                <w:rtl/>
              </w:rPr>
            </w:pPr>
            <w:r w:rsidRPr="002C5032">
              <w:rPr>
                <w:rFonts w:hint="cs"/>
                <w:rtl/>
              </w:rPr>
              <w:t>50,830</w:t>
            </w:r>
          </w:p>
        </w:tc>
        <w:tc>
          <w:tcPr>
            <w:tcW w:w="955" w:type="dxa"/>
            <w:shd w:val="clear" w:color="auto" w:fill="C6D9F1"/>
            <w:vAlign w:val="center"/>
          </w:tcPr>
          <w:p w14:paraId="765AE41E" w14:textId="77777777" w:rsidR="00BA23AE" w:rsidRPr="002C5032" w:rsidRDefault="00BA23AE" w:rsidP="00455C7E">
            <w:pPr>
              <w:pStyle w:val="R"/>
              <w:rPr>
                <w:rFonts w:ascii="Arial" w:hAnsi="Arial"/>
                <w:color w:val="000000"/>
                <w:rtl/>
              </w:rPr>
            </w:pPr>
            <w:r w:rsidRPr="002C5032">
              <w:rPr>
                <w:rFonts w:hint="cs"/>
                <w:rtl/>
              </w:rPr>
              <w:t>45,625</w:t>
            </w:r>
          </w:p>
        </w:tc>
        <w:tc>
          <w:tcPr>
            <w:tcW w:w="955" w:type="dxa"/>
            <w:shd w:val="clear" w:color="auto" w:fill="C6D9F1"/>
            <w:vAlign w:val="center"/>
          </w:tcPr>
          <w:p w14:paraId="17EE4BE9" w14:textId="77777777" w:rsidR="00BA23AE" w:rsidRPr="002C5032" w:rsidRDefault="00BA23AE" w:rsidP="00455C7E">
            <w:pPr>
              <w:pStyle w:val="R"/>
              <w:rPr>
                <w:rFonts w:ascii="Arial" w:hAnsi="Arial"/>
                <w:color w:val="000000"/>
                <w:rtl/>
              </w:rPr>
            </w:pPr>
            <w:r w:rsidRPr="002C5032">
              <w:rPr>
                <w:rFonts w:hint="cs"/>
                <w:rtl/>
              </w:rPr>
              <w:t>148,372</w:t>
            </w:r>
          </w:p>
        </w:tc>
      </w:tr>
    </w:tbl>
    <w:p w14:paraId="3B4F28A8" w14:textId="77777777" w:rsidR="00BA23AE" w:rsidRPr="00F13DA5" w:rsidRDefault="00BA23AE" w:rsidP="00023E81">
      <w:pPr>
        <w:pStyle w:val="ab"/>
        <w:rPr>
          <w:rtl/>
        </w:rPr>
      </w:pPr>
      <w:r w:rsidRPr="00F13DA5">
        <w:rPr>
          <w:rtl/>
        </w:rPr>
        <w:t>על פי נתוני משטרת ישראל, בעיבוד משרד מבקר המדינה.</w:t>
      </w:r>
    </w:p>
    <w:p w14:paraId="6D3EBC54" w14:textId="77777777" w:rsidR="006516A6" w:rsidRDefault="006516A6" w:rsidP="000100D8">
      <w:pPr>
        <w:pStyle w:val="100"/>
        <w:rPr>
          <w:rtl/>
        </w:rPr>
      </w:pPr>
    </w:p>
    <w:p w14:paraId="7B67EE4F" w14:textId="77777777" w:rsidR="00AA74C0" w:rsidRDefault="00BA23AE" w:rsidP="00AA74C0">
      <w:pPr>
        <w:pStyle w:val="100"/>
        <w:rPr>
          <w:rtl/>
        </w:rPr>
      </w:pPr>
      <w:r w:rsidRPr="00F13DA5">
        <w:rPr>
          <w:rFonts w:hint="cs"/>
          <w:rtl/>
        </w:rPr>
        <w:t xml:space="preserve">מן הלוח עולה חוסר הלימה בין מספר העצורים והמעצרים בכל שנה לפי נתוני המעצרים לבין מספר העצורים והמעצרים אשר להם הוצאו דוחות מעצר, ובפרט בשנים שבהן מספר העצורים או המעצרים שבדוחות המעצר גבוה ממספר העצורים והמעצרים שבנתוני המעצרים (ראו המסומן בלוח לעיל). על כן נבדקה גם ההתאמה בין נתוני המעצרים לבין מאגר דוחות מעצר שוטר ומאגר דוחות קצין ממונה. להלן </w:t>
      </w:r>
      <w:r>
        <w:rPr>
          <w:rFonts w:hint="cs"/>
          <w:rtl/>
        </w:rPr>
        <w:t>תרשים</w:t>
      </w:r>
      <w:r w:rsidRPr="00F13DA5">
        <w:rPr>
          <w:rFonts w:hint="cs"/>
          <w:rtl/>
        </w:rPr>
        <w:t xml:space="preserve"> המרכז את פערי התיעוד </w:t>
      </w:r>
      <w:r>
        <w:rPr>
          <w:rFonts w:hint="cs"/>
          <w:rtl/>
        </w:rPr>
        <w:t>בין מאגרי דוחות המעצרים לבין מאגר נתוני המעצרים - ביחס לכל אחד ממאגרי המידע אותרו מקרים של מעצרים שלא תועדו כלל במאגרים האחרים; מקרים של מעצרים שאותרו בשני מאגרים שונים וחופפים רק ביניהם; ומקרים של מעצרים שאותרו בשלושת מאגרי המידע וחופפים באופן מלא. בתרשים כל אחד ממאגרי המידע מיוצג בהתאם לגודלו על ידי עיגול, וכל חפיפה בין הנתונים במאגרים השונים מיוצגת על ידי חפיפה בין העיגולים</w:t>
      </w:r>
      <w:r w:rsidRPr="00F13DA5">
        <w:rPr>
          <w:rFonts w:hint="cs"/>
          <w:rtl/>
        </w:rPr>
        <w:t>:</w:t>
      </w:r>
    </w:p>
    <w:p w14:paraId="6858CC05" w14:textId="48D20FEC" w:rsidR="00BA23AE" w:rsidRPr="00867ECB" w:rsidRDefault="00BA23AE" w:rsidP="00867ECB">
      <w:pPr>
        <w:pStyle w:val="a9"/>
        <w:rPr>
          <w:b/>
          <w:bCs/>
          <w:rtl/>
        </w:rPr>
      </w:pPr>
      <w:r>
        <w:rPr>
          <w:rFonts w:hint="cs"/>
          <w:rtl/>
        </w:rPr>
        <w:lastRenderedPageBreak/>
        <w:t>תרשים</w:t>
      </w:r>
      <w:r w:rsidRPr="00F13DA5">
        <w:rPr>
          <w:rFonts w:hint="cs"/>
          <w:rtl/>
        </w:rPr>
        <w:t xml:space="preserve"> </w:t>
      </w:r>
      <w:r>
        <w:t>8</w:t>
      </w:r>
      <w:r w:rsidRPr="00F13DA5">
        <w:rPr>
          <w:rFonts w:hint="cs"/>
          <w:rtl/>
        </w:rPr>
        <w:t xml:space="preserve">: </w:t>
      </w:r>
      <w:r w:rsidRPr="00867ECB">
        <w:rPr>
          <w:rFonts w:hint="cs"/>
          <w:b/>
          <w:bCs/>
          <w:rtl/>
        </w:rPr>
        <w:t>הפערים בתיעוד בנתוני המעצרים ובנתוני מאגרי דוחות המעצר,</w:t>
      </w:r>
      <w:r w:rsidR="00867ECB">
        <w:rPr>
          <w:b/>
          <w:bCs/>
          <w:rtl/>
        </w:rPr>
        <w:br/>
      </w:r>
      <w:r w:rsidRPr="00867ECB">
        <w:rPr>
          <w:rFonts w:hint="cs"/>
          <w:b/>
          <w:bCs/>
          <w:rtl/>
        </w:rPr>
        <w:t>2016 - 2018</w:t>
      </w:r>
    </w:p>
    <w:p w14:paraId="3197C1DF" w14:textId="77777777" w:rsidR="00BA23AE" w:rsidRDefault="00BA23AE" w:rsidP="00867ECB">
      <w:pPr>
        <w:pStyle w:val="a9"/>
        <w:rPr>
          <w:rtl/>
        </w:rPr>
      </w:pPr>
      <w:r>
        <w:rPr>
          <w:noProof/>
          <w:rtl/>
        </w:rPr>
        <w:drawing>
          <wp:inline distT="0" distB="0" distL="0" distR="0" wp14:anchorId="3C5899BB" wp14:editId="317F6E7E">
            <wp:extent cx="5399297" cy="3697609"/>
            <wp:effectExtent l="0" t="0" r="0" b="0"/>
            <wp:docPr id="1992297224" name="תמונה 199229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7224" name="הטיפול המערכתי במעצרים 110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8168" cy="3731077"/>
                    </a:xfrm>
                    <a:prstGeom prst="rect">
                      <a:avLst/>
                    </a:prstGeom>
                  </pic:spPr>
                </pic:pic>
              </a:graphicData>
            </a:graphic>
          </wp:inline>
        </w:drawing>
      </w:r>
    </w:p>
    <w:p w14:paraId="25F54AA0" w14:textId="77777777" w:rsidR="00BA23AE" w:rsidRPr="00F13DA5" w:rsidRDefault="00BA23AE" w:rsidP="00867ECB">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sidRPr="00F13DA5">
        <w:rPr>
          <w:rFonts w:hint="eastAsia"/>
          <w:rtl/>
        </w:rPr>
        <w:t>נתוני</w:t>
      </w:r>
      <w:r w:rsidRPr="00F13DA5">
        <w:rPr>
          <w:rtl/>
        </w:rPr>
        <w:t xml:space="preserve"> </w:t>
      </w:r>
      <w:r w:rsidRPr="00F13DA5">
        <w:rPr>
          <w:rFonts w:hint="eastAsia"/>
          <w:rtl/>
        </w:rPr>
        <w:t>משטרת</w:t>
      </w:r>
      <w:r w:rsidRPr="00F13DA5">
        <w:rPr>
          <w:rtl/>
        </w:rPr>
        <w:t xml:space="preserve"> </w:t>
      </w:r>
      <w:r w:rsidRPr="00F13DA5">
        <w:rPr>
          <w:rFonts w:hint="eastAsia"/>
          <w:rtl/>
        </w:rPr>
        <w:t>ישראל</w:t>
      </w:r>
      <w:r w:rsidRPr="00F13DA5">
        <w:rPr>
          <w:rtl/>
        </w:rPr>
        <w:t xml:space="preserve">, בעיבוד משרד מבקר המדינה. </w:t>
      </w:r>
    </w:p>
    <w:p w14:paraId="4E3CA1F5" w14:textId="0F0BF48E" w:rsidR="00BA23AE" w:rsidRDefault="00BA23AE" w:rsidP="00867ECB">
      <w:pPr>
        <w:pStyle w:val="100"/>
        <w:rPr>
          <w:rtl/>
        </w:rPr>
      </w:pPr>
    </w:p>
    <w:p w14:paraId="071E18F0" w14:textId="77777777" w:rsidR="00BA23AE" w:rsidRDefault="00BA23AE" w:rsidP="00867ECB">
      <w:pPr>
        <w:pStyle w:val="100"/>
      </w:pPr>
      <w:r>
        <w:rPr>
          <w:rFonts w:hint="cs"/>
          <w:rtl/>
        </w:rPr>
        <w:t xml:space="preserve">מן התרשים עולה, כי בכ-72,000 מקרים אותרו מעצרים בנתוני המעצרים ובשני מאגרי דוחות המעצרים. יתרת המעצרים, בכ-225,000 מקרים, אלו אותרו רק בחלק ממאגרי המידע. ההשלכות לכך יפורטו בתרשימים להלן: </w:t>
      </w:r>
    </w:p>
    <w:p w14:paraId="69831B49" w14:textId="77777777" w:rsidR="00BA23AE" w:rsidRDefault="00BA23AE" w:rsidP="00867ECB">
      <w:pPr>
        <w:pStyle w:val="a9"/>
        <w:rPr>
          <w:rtl/>
        </w:rPr>
      </w:pPr>
      <w:r w:rsidRPr="003C36A5">
        <w:rPr>
          <w:rFonts w:hint="eastAsia"/>
          <w:rtl/>
        </w:rPr>
        <w:lastRenderedPageBreak/>
        <w:t>תרשים</w:t>
      </w:r>
      <w:r w:rsidRPr="003C36A5">
        <w:rPr>
          <w:rtl/>
        </w:rPr>
        <w:t xml:space="preserve"> </w:t>
      </w:r>
      <w:r>
        <w:rPr>
          <w:rFonts w:hint="cs"/>
          <w:rtl/>
        </w:rPr>
        <w:t xml:space="preserve">9: </w:t>
      </w:r>
      <w:r w:rsidRPr="00867ECB">
        <w:rPr>
          <w:rFonts w:hint="cs"/>
          <w:b/>
          <w:bCs/>
          <w:rtl/>
        </w:rPr>
        <w:t>מעצרים שלא נמצא להם תיעוד במאגרי דוחות המעצר, 2016 - 2018</w:t>
      </w:r>
    </w:p>
    <w:p w14:paraId="65BA9ED4" w14:textId="77777777" w:rsidR="00BA23AE" w:rsidRPr="003C36A5" w:rsidRDefault="00BA23AE" w:rsidP="00867ECB">
      <w:pPr>
        <w:pStyle w:val="ab"/>
        <w:rPr>
          <w:rtl/>
        </w:rPr>
      </w:pPr>
      <w:r>
        <w:rPr>
          <w:noProof/>
          <w:rtl/>
        </w:rPr>
        <w:drawing>
          <wp:inline distT="0" distB="0" distL="0" distR="0" wp14:anchorId="785B475D" wp14:editId="2EAA85B7">
            <wp:extent cx="4771969" cy="3267995"/>
            <wp:effectExtent l="0" t="0" r="0" b="8890"/>
            <wp:docPr id="1992297226" name="תמונה 199229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7226" name="הטיפול המערכתי במעצרים 110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97373" cy="3285393"/>
                    </a:xfrm>
                    <a:prstGeom prst="rect">
                      <a:avLst/>
                    </a:prstGeom>
                  </pic:spPr>
                </pic:pic>
              </a:graphicData>
            </a:graphic>
          </wp:inline>
        </w:drawing>
      </w:r>
    </w:p>
    <w:p w14:paraId="436C06A7" w14:textId="77777777" w:rsidR="00BA23AE" w:rsidRPr="00F13DA5" w:rsidRDefault="00BA23AE" w:rsidP="00867ECB">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sidRPr="00F13DA5">
        <w:rPr>
          <w:rFonts w:hint="eastAsia"/>
          <w:rtl/>
        </w:rPr>
        <w:t>נתוני</w:t>
      </w:r>
      <w:r w:rsidRPr="00F13DA5">
        <w:rPr>
          <w:rtl/>
        </w:rPr>
        <w:t xml:space="preserve"> </w:t>
      </w:r>
      <w:r w:rsidRPr="00F13DA5">
        <w:rPr>
          <w:rFonts w:hint="eastAsia"/>
          <w:rtl/>
        </w:rPr>
        <w:t>משטרת</w:t>
      </w:r>
      <w:r w:rsidRPr="00F13DA5">
        <w:rPr>
          <w:rtl/>
        </w:rPr>
        <w:t xml:space="preserve"> </w:t>
      </w:r>
      <w:r w:rsidRPr="00F13DA5">
        <w:rPr>
          <w:rFonts w:hint="eastAsia"/>
          <w:rtl/>
        </w:rPr>
        <w:t>ישראל</w:t>
      </w:r>
      <w:r w:rsidRPr="00F13DA5">
        <w:rPr>
          <w:rtl/>
        </w:rPr>
        <w:t xml:space="preserve">, בעיבוד משרד מבקר המדינה. </w:t>
      </w:r>
    </w:p>
    <w:p w14:paraId="334C57D4" w14:textId="77777777" w:rsidR="007A3ACB" w:rsidRDefault="007A3ACB" w:rsidP="00CD02C6">
      <w:pPr>
        <w:pStyle w:val="100"/>
        <w:rPr>
          <w:rtl/>
        </w:rPr>
      </w:pPr>
    </w:p>
    <w:p w14:paraId="4238F933" w14:textId="5ED883FD" w:rsidR="00BA23AE" w:rsidRDefault="00BA23AE" w:rsidP="00CD02C6">
      <w:pPr>
        <w:pStyle w:val="100"/>
        <w:rPr>
          <w:rtl/>
        </w:rPr>
      </w:pPr>
      <w:r>
        <w:rPr>
          <w:rFonts w:hint="cs"/>
          <w:rtl/>
        </w:rPr>
        <w:t xml:space="preserve">מן התרשים עולה, כי </w:t>
      </w:r>
      <w:r w:rsidRPr="00F13DA5">
        <w:rPr>
          <w:rFonts w:hint="cs"/>
          <w:rtl/>
        </w:rPr>
        <w:t>ב</w:t>
      </w:r>
      <w:r w:rsidRPr="00F13DA5">
        <w:rPr>
          <w:rFonts w:hint="eastAsia"/>
          <w:rtl/>
        </w:rPr>
        <w:t>כ</w:t>
      </w:r>
      <w:r w:rsidRPr="00F13DA5">
        <w:rPr>
          <w:rtl/>
        </w:rPr>
        <w:t>-</w:t>
      </w:r>
      <w:r>
        <w:rPr>
          <w:rFonts w:hint="cs"/>
          <w:rtl/>
        </w:rPr>
        <w:t>89,000 מעצרים מנתוני המעצרים (51</w:t>
      </w:r>
      <w:r w:rsidRPr="00F13DA5">
        <w:rPr>
          <w:rtl/>
        </w:rPr>
        <w:t>%</w:t>
      </w:r>
      <w:r>
        <w:rPr>
          <w:rFonts w:hint="cs"/>
          <w:rtl/>
        </w:rPr>
        <w:t>)</w:t>
      </w:r>
      <w:r w:rsidRPr="00F13DA5">
        <w:rPr>
          <w:rtl/>
        </w:rPr>
        <w:t xml:space="preserve"> </w:t>
      </w:r>
      <w:r w:rsidRPr="00F13DA5">
        <w:rPr>
          <w:rFonts w:hint="cs"/>
          <w:rtl/>
        </w:rPr>
        <w:t>לא אותר דוח מעצר שוטר</w:t>
      </w:r>
      <w:r>
        <w:rPr>
          <w:rStyle w:val="FootnoteReference"/>
          <w:rtl/>
        </w:rPr>
        <w:footnoteReference w:id="18"/>
      </w:r>
      <w:r w:rsidRPr="00F13DA5">
        <w:rPr>
          <w:rFonts w:hint="cs"/>
          <w:rtl/>
        </w:rPr>
        <w:t>, ואילו בכ-</w:t>
      </w:r>
      <w:r>
        <w:rPr>
          <w:rFonts w:hint="cs"/>
          <w:rtl/>
        </w:rPr>
        <w:t>34,000 מעצרים (</w:t>
      </w:r>
      <w:r w:rsidRPr="00F13DA5">
        <w:rPr>
          <w:rtl/>
        </w:rPr>
        <w:t>20%</w:t>
      </w:r>
      <w:r>
        <w:rPr>
          <w:rFonts w:hint="cs"/>
          <w:rtl/>
        </w:rPr>
        <w:t>)</w:t>
      </w:r>
      <w:r w:rsidRPr="00F13DA5">
        <w:rPr>
          <w:rFonts w:hint="cs"/>
          <w:rtl/>
        </w:rPr>
        <w:t xml:space="preserve"> מהמעצרים הרלוונטיים</w:t>
      </w:r>
      <w:r>
        <w:rPr>
          <w:rFonts w:hint="cs"/>
          <w:rtl/>
        </w:rPr>
        <w:t xml:space="preserve"> </w:t>
      </w:r>
      <w:r w:rsidRPr="00F13DA5">
        <w:rPr>
          <w:rFonts w:hint="cs"/>
          <w:rtl/>
        </w:rPr>
        <w:t>לא אותר דוח קצין ממונה</w:t>
      </w:r>
      <w:r w:rsidRPr="00F13DA5">
        <w:rPr>
          <w:rStyle w:val="FootnoteReference"/>
          <w:rtl/>
        </w:rPr>
        <w:footnoteReference w:id="19"/>
      </w:r>
      <w:r w:rsidRPr="00F13DA5">
        <w:rPr>
          <w:rFonts w:hint="cs"/>
          <w:rtl/>
        </w:rPr>
        <w:t>. משכך</w:t>
      </w:r>
      <w:r>
        <w:rPr>
          <w:rFonts w:hint="cs"/>
          <w:rtl/>
        </w:rPr>
        <w:t>,</w:t>
      </w:r>
      <w:r w:rsidRPr="00F13DA5">
        <w:rPr>
          <w:rFonts w:hint="cs"/>
          <w:rtl/>
        </w:rPr>
        <w:t xml:space="preserve"> לא ניתן לאתר במערכות הממוחשבות את דוחות המעצר של המעצרים הללו ולנתחם. </w:t>
      </w:r>
      <w:r w:rsidRPr="00F13DA5">
        <w:rPr>
          <w:rtl/>
        </w:rPr>
        <w:t xml:space="preserve">ייתכן </w:t>
      </w:r>
      <w:r w:rsidRPr="00F13DA5">
        <w:rPr>
          <w:rFonts w:hint="cs"/>
          <w:rtl/>
        </w:rPr>
        <w:t>ש</w:t>
      </w:r>
      <w:r w:rsidRPr="00F13DA5">
        <w:rPr>
          <w:rtl/>
        </w:rPr>
        <w:t xml:space="preserve">דוחות </w:t>
      </w:r>
      <w:r w:rsidRPr="00F13DA5">
        <w:rPr>
          <w:rFonts w:hint="eastAsia"/>
          <w:rtl/>
        </w:rPr>
        <w:t>המעצר</w:t>
      </w:r>
      <w:r w:rsidRPr="00F13DA5">
        <w:rPr>
          <w:rtl/>
        </w:rPr>
        <w:t xml:space="preserve"> </w:t>
      </w:r>
      <w:r w:rsidRPr="00F13DA5">
        <w:rPr>
          <w:rFonts w:hint="eastAsia"/>
          <w:rtl/>
        </w:rPr>
        <w:t>נערכו</w:t>
      </w:r>
      <w:r w:rsidRPr="00F13DA5">
        <w:rPr>
          <w:rtl/>
        </w:rPr>
        <w:t xml:space="preserve"> בכתב יד </w:t>
      </w:r>
      <w:r w:rsidRPr="00F13DA5">
        <w:rPr>
          <w:rFonts w:hint="eastAsia"/>
          <w:rtl/>
        </w:rPr>
        <w:t>וקיימים</w:t>
      </w:r>
      <w:r w:rsidRPr="00F13DA5">
        <w:rPr>
          <w:rtl/>
        </w:rPr>
        <w:t xml:space="preserve"> </w:t>
      </w:r>
      <w:r w:rsidRPr="00F13DA5">
        <w:rPr>
          <w:rFonts w:hint="eastAsia"/>
          <w:rtl/>
        </w:rPr>
        <w:t>בתיקי</w:t>
      </w:r>
      <w:r w:rsidRPr="00F13DA5">
        <w:rPr>
          <w:rtl/>
        </w:rPr>
        <w:t xml:space="preserve"> </w:t>
      </w:r>
      <w:r w:rsidRPr="00F13DA5">
        <w:rPr>
          <w:rFonts w:hint="eastAsia"/>
          <w:rtl/>
        </w:rPr>
        <w:t>החקירה</w:t>
      </w:r>
      <w:r w:rsidRPr="00F13DA5">
        <w:rPr>
          <w:rtl/>
        </w:rPr>
        <w:t xml:space="preserve"> </w:t>
      </w:r>
      <w:r w:rsidRPr="00F13DA5">
        <w:rPr>
          <w:rFonts w:hint="eastAsia"/>
          <w:rtl/>
        </w:rPr>
        <w:t>הפיזיים</w:t>
      </w:r>
      <w:r w:rsidRPr="00F13DA5">
        <w:rPr>
          <w:rtl/>
        </w:rPr>
        <w:t xml:space="preserve">. </w:t>
      </w:r>
    </w:p>
    <w:p w14:paraId="516C9359" w14:textId="77777777" w:rsidR="00BA23AE" w:rsidRPr="003C36A5" w:rsidRDefault="00BA23AE" w:rsidP="00CD02C6">
      <w:pPr>
        <w:pStyle w:val="af4"/>
        <w:rPr>
          <w:rtl/>
        </w:rPr>
      </w:pPr>
      <w:r w:rsidRPr="003C36A5">
        <w:rPr>
          <w:rFonts w:hint="eastAsia"/>
          <w:rtl/>
        </w:rPr>
        <w:t>יוצא</w:t>
      </w:r>
      <w:r w:rsidRPr="003C36A5">
        <w:rPr>
          <w:rtl/>
        </w:rPr>
        <w:t xml:space="preserve"> אפוא, כי עבור כ-21,000 מעצרים (12%) שהופיעו בנתוני המעצרים בשנים 2016 - 2018, לא נמצא </w:t>
      </w:r>
      <w:r w:rsidRPr="003C36A5">
        <w:rPr>
          <w:rFonts w:hint="eastAsia"/>
          <w:rtl/>
        </w:rPr>
        <w:t>כל</w:t>
      </w:r>
      <w:r w:rsidRPr="003C36A5">
        <w:rPr>
          <w:rtl/>
        </w:rPr>
        <w:t xml:space="preserve"> </w:t>
      </w:r>
      <w:r w:rsidRPr="003C36A5">
        <w:rPr>
          <w:rFonts w:hint="eastAsia"/>
          <w:rtl/>
        </w:rPr>
        <w:t>תיעוד</w:t>
      </w:r>
      <w:r w:rsidRPr="003C36A5">
        <w:rPr>
          <w:rtl/>
        </w:rPr>
        <w:t xml:space="preserve"> במ</w:t>
      </w:r>
      <w:r w:rsidRPr="003C36A5">
        <w:rPr>
          <w:rFonts w:hint="eastAsia"/>
          <w:rtl/>
        </w:rPr>
        <w:t>אגרי</w:t>
      </w:r>
      <w:r w:rsidRPr="003C36A5">
        <w:rPr>
          <w:rtl/>
        </w:rPr>
        <w:t xml:space="preserve"> </w:t>
      </w:r>
      <w:r w:rsidRPr="003C36A5">
        <w:rPr>
          <w:rFonts w:hint="eastAsia"/>
          <w:rtl/>
        </w:rPr>
        <w:t>דוחות</w:t>
      </w:r>
      <w:r w:rsidRPr="003C36A5">
        <w:rPr>
          <w:rtl/>
        </w:rPr>
        <w:t xml:space="preserve"> </w:t>
      </w:r>
      <w:r w:rsidRPr="003C36A5">
        <w:rPr>
          <w:rFonts w:hint="eastAsia"/>
          <w:rtl/>
        </w:rPr>
        <w:t>המעצר</w:t>
      </w:r>
      <w:r w:rsidRPr="003C36A5">
        <w:rPr>
          <w:rtl/>
        </w:rPr>
        <w:t xml:space="preserve"> </w:t>
      </w:r>
      <w:r w:rsidRPr="003C36A5">
        <w:rPr>
          <w:rFonts w:hint="eastAsia"/>
          <w:rtl/>
        </w:rPr>
        <w:t>של</w:t>
      </w:r>
      <w:r w:rsidRPr="003C36A5">
        <w:rPr>
          <w:rtl/>
        </w:rPr>
        <w:t xml:space="preserve"> </w:t>
      </w:r>
      <w:r w:rsidRPr="003C36A5">
        <w:rPr>
          <w:rFonts w:hint="eastAsia"/>
          <w:rtl/>
        </w:rPr>
        <w:t>המשטרה</w:t>
      </w:r>
      <w:r w:rsidRPr="003C36A5">
        <w:rPr>
          <w:rtl/>
        </w:rPr>
        <w:t xml:space="preserve">. </w:t>
      </w:r>
    </w:p>
    <w:p w14:paraId="190A7558" w14:textId="77777777" w:rsidR="00BA23AE" w:rsidRPr="00F13DA5" w:rsidRDefault="00BA23AE" w:rsidP="00CD02C6">
      <w:pPr>
        <w:pStyle w:val="100"/>
        <w:rPr>
          <w:rtl/>
        </w:rPr>
      </w:pPr>
      <w:r w:rsidRPr="00F13DA5">
        <w:rPr>
          <w:rFonts w:hint="eastAsia"/>
          <w:rtl/>
        </w:rPr>
        <w:t>משטרת</w:t>
      </w:r>
      <w:r w:rsidRPr="00F13DA5">
        <w:rPr>
          <w:rtl/>
        </w:rPr>
        <w:t xml:space="preserve"> </w:t>
      </w:r>
      <w:r w:rsidRPr="00F13DA5">
        <w:rPr>
          <w:rFonts w:hint="eastAsia"/>
          <w:rtl/>
        </w:rPr>
        <w:t>ישראל</w:t>
      </w:r>
      <w:r w:rsidRPr="00F13DA5">
        <w:rPr>
          <w:rtl/>
        </w:rPr>
        <w:t xml:space="preserve"> </w:t>
      </w:r>
      <w:r w:rsidRPr="00F13DA5">
        <w:rPr>
          <w:rFonts w:hint="eastAsia"/>
          <w:rtl/>
        </w:rPr>
        <w:t>מסרה</w:t>
      </w:r>
      <w:r w:rsidRPr="00F13DA5">
        <w:rPr>
          <w:rtl/>
        </w:rPr>
        <w:t xml:space="preserve"> </w:t>
      </w:r>
      <w:r w:rsidRPr="00F13DA5">
        <w:rPr>
          <w:rFonts w:hint="eastAsia"/>
          <w:rtl/>
        </w:rPr>
        <w:t>בתגובתה</w:t>
      </w:r>
      <w:r w:rsidRPr="00F13DA5">
        <w:rPr>
          <w:rtl/>
        </w:rPr>
        <w:t xml:space="preserve"> </w:t>
      </w:r>
      <w:r w:rsidRPr="00F13DA5">
        <w:rPr>
          <w:rFonts w:hint="eastAsia"/>
          <w:rtl/>
        </w:rPr>
        <w:t>כי</w:t>
      </w:r>
      <w:r w:rsidRPr="00F13DA5">
        <w:rPr>
          <w:rFonts w:hint="cs"/>
          <w:rtl/>
        </w:rPr>
        <w:t xml:space="preserve"> </w:t>
      </w:r>
      <w:r>
        <w:rPr>
          <w:rFonts w:hint="cs"/>
          <w:rtl/>
        </w:rPr>
        <w:t>לנוכח</w:t>
      </w:r>
      <w:r w:rsidRPr="00F13DA5">
        <w:rPr>
          <w:rtl/>
        </w:rPr>
        <w:t xml:space="preserve"> </w:t>
      </w:r>
      <w:r w:rsidRPr="00F13DA5">
        <w:rPr>
          <w:rFonts w:hint="eastAsia"/>
          <w:rtl/>
        </w:rPr>
        <w:t>ממצאי</w:t>
      </w:r>
      <w:r w:rsidRPr="00F13DA5">
        <w:rPr>
          <w:rtl/>
        </w:rPr>
        <w:t xml:space="preserve"> </w:t>
      </w:r>
      <w:r w:rsidRPr="00F13DA5">
        <w:rPr>
          <w:rFonts w:hint="eastAsia"/>
          <w:rtl/>
        </w:rPr>
        <w:t>הביקורת</w:t>
      </w:r>
      <w:r w:rsidRPr="00F13DA5">
        <w:rPr>
          <w:rtl/>
        </w:rPr>
        <w:t xml:space="preserve"> </w:t>
      </w:r>
      <w:r w:rsidRPr="00F13DA5">
        <w:rPr>
          <w:rFonts w:hint="eastAsia"/>
          <w:rtl/>
        </w:rPr>
        <w:t>תופץ</w:t>
      </w:r>
      <w:r w:rsidRPr="00F13DA5">
        <w:rPr>
          <w:rtl/>
        </w:rPr>
        <w:t xml:space="preserve"> </w:t>
      </w:r>
      <w:r w:rsidRPr="00F13DA5">
        <w:rPr>
          <w:rFonts w:hint="eastAsia"/>
          <w:rtl/>
        </w:rPr>
        <w:t>הנחיה</w:t>
      </w:r>
      <w:r w:rsidRPr="00F13DA5">
        <w:rPr>
          <w:rtl/>
        </w:rPr>
        <w:t xml:space="preserve"> </w:t>
      </w:r>
      <w:r w:rsidRPr="00F13DA5">
        <w:rPr>
          <w:rFonts w:hint="eastAsia"/>
          <w:rtl/>
        </w:rPr>
        <w:t>להקפיד</w:t>
      </w:r>
      <w:r w:rsidRPr="00F13DA5">
        <w:rPr>
          <w:rtl/>
        </w:rPr>
        <w:t xml:space="preserve"> </w:t>
      </w:r>
      <w:r w:rsidRPr="00F13DA5">
        <w:rPr>
          <w:rFonts w:hint="eastAsia"/>
          <w:rtl/>
        </w:rPr>
        <w:t>ש</w:t>
      </w:r>
      <w:r w:rsidRPr="00F13DA5">
        <w:rPr>
          <w:rFonts w:hint="cs"/>
          <w:rtl/>
        </w:rPr>
        <w:t>כ</w:t>
      </w:r>
      <w:r w:rsidRPr="00F13DA5">
        <w:rPr>
          <w:rFonts w:hint="eastAsia"/>
          <w:rtl/>
        </w:rPr>
        <w:t>לל</w:t>
      </w:r>
      <w:r w:rsidRPr="00F13DA5">
        <w:rPr>
          <w:rtl/>
        </w:rPr>
        <w:t xml:space="preserve"> המסמכים הקיימים בתיק ייסרקו למערכות הממוחשבות. </w:t>
      </w:r>
    </w:p>
    <w:p w14:paraId="76EB254D" w14:textId="77777777" w:rsidR="00BA23AE" w:rsidRDefault="00BA23AE" w:rsidP="00CD02C6">
      <w:pPr>
        <w:pStyle w:val="af4"/>
        <w:rPr>
          <w:rtl/>
        </w:rPr>
      </w:pPr>
      <w:r>
        <w:rPr>
          <w:rFonts w:hint="cs"/>
          <w:rtl/>
        </w:rPr>
        <w:lastRenderedPageBreak/>
        <w:t xml:space="preserve">בשיעור משמעותי של מעצרים לא ניתן לבצע ניתוח מקיף ומעמיק של הליך קבלת החלטת המעצר על ידי השוטר והקצין הממונה. סריקת המסמכים מבלי להזין את המידע שבתוכם למערכת הממוחשבת היא פתרון חלקי בלבד, משום שזו לא מאפשרת למשטרה לנתח את המידע שמצוי בתוך הדוחות. </w:t>
      </w:r>
      <w:r w:rsidRPr="00F13DA5">
        <w:rPr>
          <w:rFonts w:hint="cs"/>
          <w:rtl/>
        </w:rPr>
        <w:t>ככלל, על השוטרים</w:t>
      </w:r>
      <w:r>
        <w:rPr>
          <w:rFonts w:hint="cs"/>
          <w:rtl/>
        </w:rPr>
        <w:t xml:space="preserve"> והחוקרים</w:t>
      </w:r>
      <w:r w:rsidRPr="00F13DA5">
        <w:rPr>
          <w:rFonts w:hint="cs"/>
          <w:rtl/>
        </w:rPr>
        <w:t xml:space="preserve"> להכין את </w:t>
      </w:r>
      <w:r>
        <w:rPr>
          <w:rFonts w:hint="cs"/>
          <w:rtl/>
        </w:rPr>
        <w:t>דוחותיהם</w:t>
      </w:r>
      <w:r w:rsidRPr="00F13DA5">
        <w:rPr>
          <w:rFonts w:hint="cs"/>
          <w:rtl/>
        </w:rPr>
        <w:t xml:space="preserve"> באופן מקוון באמצעות המערכות הממוחשבות.</w:t>
      </w:r>
      <w:r>
        <w:rPr>
          <w:rFonts w:hint="cs"/>
          <w:rtl/>
        </w:rPr>
        <w:t xml:space="preserve"> במקרים החריגים בהם נדרשת סריקת מסמכים, על </w:t>
      </w:r>
      <w:r w:rsidRPr="00F13DA5">
        <w:rPr>
          <w:rFonts w:hint="cs"/>
          <w:rtl/>
        </w:rPr>
        <w:t xml:space="preserve">המשטרה לוודא </w:t>
      </w:r>
      <w:r>
        <w:rPr>
          <w:rFonts w:hint="cs"/>
          <w:rtl/>
        </w:rPr>
        <w:t>שההליך מאפשר</w:t>
      </w:r>
      <w:r w:rsidRPr="00F13DA5">
        <w:rPr>
          <w:rFonts w:hint="cs"/>
          <w:rtl/>
        </w:rPr>
        <w:t xml:space="preserve"> גם אחזור של מהות המסמך וסיווגו</w:t>
      </w:r>
      <w:r>
        <w:rPr>
          <w:rFonts w:hint="cs"/>
          <w:rtl/>
        </w:rPr>
        <w:t xml:space="preserve"> כדוח רלוונטי למעצרים (דוח מעצר שוטר או דוח קצין ממונה)</w:t>
      </w:r>
      <w:r w:rsidRPr="00F13DA5">
        <w:rPr>
          <w:rFonts w:hint="cs"/>
          <w:rtl/>
        </w:rPr>
        <w:t xml:space="preserve">. </w:t>
      </w:r>
      <w:r>
        <w:rPr>
          <w:rFonts w:hint="cs"/>
          <w:rtl/>
        </w:rPr>
        <w:t xml:space="preserve">הסיווג יאפשר </w:t>
      </w:r>
      <w:r w:rsidRPr="00F13DA5">
        <w:rPr>
          <w:rFonts w:hint="cs"/>
          <w:rtl/>
        </w:rPr>
        <w:t xml:space="preserve">לאתר </w:t>
      </w:r>
      <w:r>
        <w:rPr>
          <w:rFonts w:hint="cs"/>
          <w:rtl/>
        </w:rPr>
        <w:t xml:space="preserve">באמצעות המערכת הממוחשבת </w:t>
      </w:r>
      <w:r w:rsidRPr="00F13DA5">
        <w:rPr>
          <w:rFonts w:hint="cs"/>
          <w:rtl/>
        </w:rPr>
        <w:t xml:space="preserve">מעצרים </w:t>
      </w:r>
      <w:r>
        <w:rPr>
          <w:rFonts w:hint="cs"/>
          <w:rtl/>
        </w:rPr>
        <w:t>ש</w:t>
      </w:r>
      <w:r w:rsidRPr="00F13DA5">
        <w:rPr>
          <w:rFonts w:hint="cs"/>
          <w:rtl/>
        </w:rPr>
        <w:t>בהם הוכן דוח באופן ידני</w:t>
      </w:r>
      <w:r>
        <w:rPr>
          <w:rFonts w:hint="cs"/>
          <w:rtl/>
        </w:rPr>
        <w:t xml:space="preserve"> ולפעול להזין את המידע שבתוך הדוח כדי שניתן יהיה לנתח אותו</w:t>
      </w:r>
      <w:r w:rsidRPr="00F13DA5">
        <w:rPr>
          <w:rFonts w:hint="cs"/>
          <w:rtl/>
        </w:rPr>
        <w:t>.</w:t>
      </w:r>
    </w:p>
    <w:p w14:paraId="286581F6" w14:textId="77777777" w:rsidR="00BA23AE" w:rsidRPr="00CD02C6" w:rsidRDefault="00BA23AE" w:rsidP="00CD02C6">
      <w:pPr>
        <w:pStyle w:val="a9"/>
        <w:rPr>
          <w:b/>
          <w:bCs/>
          <w:rtl/>
        </w:rPr>
      </w:pPr>
      <w:r>
        <w:rPr>
          <w:rFonts w:hint="cs"/>
          <w:rtl/>
        </w:rPr>
        <w:t xml:space="preserve">תרשים </w:t>
      </w:r>
      <w:r w:rsidRPr="00CD02C6">
        <w:rPr>
          <w:rFonts w:hint="cs"/>
          <w:rtl/>
        </w:rPr>
        <w:t>10:</w:t>
      </w:r>
      <w:r w:rsidRPr="00CD02C6">
        <w:rPr>
          <w:rFonts w:hint="cs"/>
          <w:b/>
          <w:bCs/>
          <w:rtl/>
        </w:rPr>
        <w:t xml:space="preserve"> מעצרים שלא תועדו בנתוני המעצרים, 2016 - 2018</w:t>
      </w:r>
    </w:p>
    <w:p w14:paraId="5937775C" w14:textId="77777777" w:rsidR="00BA23AE" w:rsidRDefault="00BA23AE" w:rsidP="00CD02C6">
      <w:pPr>
        <w:pStyle w:val="a9"/>
        <w:rPr>
          <w:rtl/>
        </w:rPr>
      </w:pPr>
      <w:r>
        <w:rPr>
          <w:noProof/>
          <w:rtl/>
        </w:rPr>
        <w:drawing>
          <wp:inline distT="0" distB="0" distL="0" distR="0" wp14:anchorId="4BD6B856" wp14:editId="37775CB9">
            <wp:extent cx="5251143" cy="3571875"/>
            <wp:effectExtent l="0" t="0" r="6985" b="0"/>
            <wp:docPr id="1992297227" name="תמונה 199229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7227" name="הטיפול המערכתי במעצרים 1102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91402" cy="3599259"/>
                    </a:xfrm>
                    <a:prstGeom prst="rect">
                      <a:avLst/>
                    </a:prstGeom>
                  </pic:spPr>
                </pic:pic>
              </a:graphicData>
            </a:graphic>
          </wp:inline>
        </w:drawing>
      </w:r>
    </w:p>
    <w:p w14:paraId="3FEAD8B7" w14:textId="77777777" w:rsidR="00BA23AE" w:rsidRPr="00F13DA5" w:rsidRDefault="00BA23AE" w:rsidP="00CD02C6">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sidRPr="00F13DA5">
        <w:rPr>
          <w:rFonts w:hint="eastAsia"/>
          <w:rtl/>
        </w:rPr>
        <w:t>נתוני</w:t>
      </w:r>
      <w:r w:rsidRPr="00F13DA5">
        <w:rPr>
          <w:rtl/>
        </w:rPr>
        <w:t xml:space="preserve"> </w:t>
      </w:r>
      <w:r w:rsidRPr="00F13DA5">
        <w:rPr>
          <w:rFonts w:hint="eastAsia"/>
          <w:rtl/>
        </w:rPr>
        <w:t>משטרת</w:t>
      </w:r>
      <w:r w:rsidRPr="00F13DA5">
        <w:rPr>
          <w:rtl/>
        </w:rPr>
        <w:t xml:space="preserve"> </w:t>
      </w:r>
      <w:r w:rsidRPr="00F13DA5">
        <w:rPr>
          <w:rFonts w:hint="eastAsia"/>
          <w:rtl/>
        </w:rPr>
        <w:t>ישראל</w:t>
      </w:r>
      <w:r w:rsidRPr="00F13DA5">
        <w:rPr>
          <w:rtl/>
        </w:rPr>
        <w:t xml:space="preserve">, בעיבוד משרד מבקר המדינה. </w:t>
      </w:r>
    </w:p>
    <w:p w14:paraId="42CD2BB2" w14:textId="77777777" w:rsidR="006E24C0" w:rsidRDefault="006E24C0" w:rsidP="00CD02C6">
      <w:pPr>
        <w:pStyle w:val="100"/>
        <w:rPr>
          <w:rtl/>
        </w:rPr>
      </w:pPr>
    </w:p>
    <w:p w14:paraId="2DF6EA92" w14:textId="54262BEE" w:rsidR="00BA23AE" w:rsidRDefault="00BA23AE" w:rsidP="00CD02C6">
      <w:pPr>
        <w:pStyle w:val="100"/>
        <w:rPr>
          <w:rtl/>
        </w:rPr>
      </w:pPr>
      <w:r>
        <w:rPr>
          <w:rFonts w:hint="cs"/>
          <w:rtl/>
        </w:rPr>
        <w:t>מן התרשים עולה, כי</w:t>
      </w:r>
      <w:r w:rsidRPr="00F13DA5">
        <w:rPr>
          <w:rFonts w:hint="cs"/>
          <w:rtl/>
        </w:rPr>
        <w:t xml:space="preserve"> </w:t>
      </w:r>
      <w:r w:rsidRPr="00F13DA5">
        <w:rPr>
          <w:rtl/>
        </w:rPr>
        <w:t>בשנים 2016 -</w:t>
      </w:r>
      <w:r w:rsidRPr="00F13DA5">
        <w:rPr>
          <w:rFonts w:hint="cs"/>
          <w:rtl/>
        </w:rPr>
        <w:t xml:space="preserve"> </w:t>
      </w:r>
      <w:r w:rsidRPr="00F13DA5">
        <w:rPr>
          <w:rtl/>
        </w:rPr>
        <w:t xml:space="preserve">2018 </w:t>
      </w:r>
      <w:r w:rsidRPr="00F13DA5">
        <w:rPr>
          <w:rFonts w:hint="eastAsia"/>
          <w:rtl/>
        </w:rPr>
        <w:t>מספר</w:t>
      </w:r>
      <w:r w:rsidRPr="00F13DA5">
        <w:rPr>
          <w:rtl/>
        </w:rPr>
        <w:t xml:space="preserve"> </w:t>
      </w:r>
      <w:r w:rsidRPr="00F13DA5">
        <w:rPr>
          <w:rFonts w:hint="eastAsia"/>
          <w:rtl/>
        </w:rPr>
        <w:t>רב</w:t>
      </w:r>
      <w:r w:rsidRPr="00F13DA5">
        <w:rPr>
          <w:rtl/>
        </w:rPr>
        <w:t xml:space="preserve"> של דוחות מעצר שהופקו </w:t>
      </w:r>
      <w:r w:rsidRPr="00F13DA5">
        <w:rPr>
          <w:rFonts w:hint="eastAsia"/>
          <w:rtl/>
        </w:rPr>
        <w:t>במשטרה</w:t>
      </w:r>
      <w:r w:rsidRPr="00F13DA5">
        <w:rPr>
          <w:rtl/>
        </w:rPr>
        <w:t xml:space="preserve"> </w:t>
      </w:r>
      <w:r w:rsidRPr="00F13DA5">
        <w:rPr>
          <w:rFonts w:hint="eastAsia"/>
          <w:rtl/>
        </w:rPr>
        <w:t>לא</w:t>
      </w:r>
      <w:r w:rsidRPr="00F13DA5">
        <w:rPr>
          <w:rtl/>
        </w:rPr>
        <w:t xml:space="preserve"> </w:t>
      </w:r>
      <w:r w:rsidRPr="00F13DA5">
        <w:rPr>
          <w:rFonts w:hint="eastAsia"/>
          <w:rtl/>
        </w:rPr>
        <w:t>נספרו</w:t>
      </w:r>
      <w:r w:rsidRPr="00F13DA5">
        <w:rPr>
          <w:rtl/>
        </w:rPr>
        <w:t xml:space="preserve"> בנתוני </w:t>
      </w:r>
      <w:r w:rsidRPr="00F13DA5">
        <w:rPr>
          <w:rFonts w:hint="eastAsia"/>
          <w:rtl/>
        </w:rPr>
        <w:t>ה</w:t>
      </w:r>
      <w:r w:rsidRPr="00F13DA5">
        <w:rPr>
          <w:rtl/>
        </w:rPr>
        <w:t xml:space="preserve">מעצרים </w:t>
      </w:r>
      <w:r w:rsidRPr="00F13DA5">
        <w:rPr>
          <w:rFonts w:hint="eastAsia"/>
          <w:rtl/>
        </w:rPr>
        <w:t>ש</w:t>
      </w:r>
      <w:r w:rsidRPr="00F13DA5">
        <w:rPr>
          <w:rtl/>
        </w:rPr>
        <w:t xml:space="preserve">נערכים על ידה: </w:t>
      </w:r>
      <w:r w:rsidRPr="00F13DA5">
        <w:rPr>
          <w:rFonts w:hint="eastAsia"/>
          <w:rtl/>
        </w:rPr>
        <w:t>כ</w:t>
      </w:r>
      <w:r w:rsidRPr="00F13DA5">
        <w:rPr>
          <w:rtl/>
        </w:rPr>
        <w:t>-</w:t>
      </w:r>
      <w:r>
        <w:rPr>
          <w:rFonts w:hint="cs"/>
          <w:rtl/>
        </w:rPr>
        <w:t xml:space="preserve">114,000 דוחות מעצר שוטר (56% מכלל דוחות אלו) </w:t>
      </w:r>
      <w:r w:rsidRPr="00F13DA5">
        <w:rPr>
          <w:rFonts w:hint="eastAsia"/>
          <w:rtl/>
        </w:rPr>
        <w:t>מדוחות</w:t>
      </w:r>
      <w:r w:rsidRPr="00F13DA5">
        <w:rPr>
          <w:rtl/>
        </w:rPr>
        <w:t xml:space="preserve"> מעצר השוטר</w:t>
      </w:r>
      <w:r w:rsidRPr="00F13DA5">
        <w:rPr>
          <w:rFonts w:hint="cs"/>
          <w:rtl/>
        </w:rPr>
        <w:t xml:space="preserve"> לא נספרו בנתוני המעצרים, </w:t>
      </w:r>
      <w:r w:rsidRPr="00F13DA5">
        <w:rPr>
          <w:rFonts w:hint="eastAsia"/>
          <w:rtl/>
        </w:rPr>
        <w:t>ופחות</w:t>
      </w:r>
      <w:r w:rsidRPr="00F13DA5">
        <w:rPr>
          <w:rtl/>
        </w:rPr>
        <w:t xml:space="preserve"> מ-1% </w:t>
      </w:r>
      <w:r w:rsidRPr="00F13DA5">
        <w:rPr>
          <w:rFonts w:hint="eastAsia"/>
          <w:rtl/>
        </w:rPr>
        <w:t>מדוחות</w:t>
      </w:r>
      <w:r w:rsidRPr="00F13DA5">
        <w:rPr>
          <w:rtl/>
        </w:rPr>
        <w:t xml:space="preserve"> </w:t>
      </w:r>
      <w:r w:rsidRPr="00F13DA5">
        <w:rPr>
          <w:rFonts w:hint="eastAsia"/>
          <w:rtl/>
        </w:rPr>
        <w:t>קצין</w:t>
      </w:r>
      <w:r w:rsidRPr="00F13DA5">
        <w:rPr>
          <w:rtl/>
        </w:rPr>
        <w:t xml:space="preserve"> </w:t>
      </w:r>
      <w:r w:rsidRPr="00F13DA5">
        <w:rPr>
          <w:rFonts w:hint="eastAsia"/>
          <w:rtl/>
        </w:rPr>
        <w:t>ממונה</w:t>
      </w:r>
      <w:r w:rsidRPr="00F13DA5">
        <w:rPr>
          <w:rFonts w:hint="cs"/>
          <w:rtl/>
        </w:rPr>
        <w:t xml:space="preserve"> לא נספרו בנתוני המעצרים (</w:t>
      </w:r>
      <w:r>
        <w:rPr>
          <w:rFonts w:hint="cs"/>
          <w:rtl/>
        </w:rPr>
        <w:t>כ-6,000</w:t>
      </w:r>
      <w:r w:rsidRPr="00F13DA5">
        <w:rPr>
          <w:rFonts w:hint="cs"/>
          <w:rtl/>
        </w:rPr>
        <w:t xml:space="preserve"> דוחות </w:t>
      </w:r>
      <w:r>
        <w:rPr>
          <w:rFonts w:hint="cs"/>
          <w:rtl/>
        </w:rPr>
        <w:t>מתוך כלל דוחות קצין ממונה</w:t>
      </w:r>
      <w:r w:rsidRPr="00F13DA5">
        <w:rPr>
          <w:rFonts w:hint="cs"/>
          <w:rtl/>
        </w:rPr>
        <w:t>)</w:t>
      </w:r>
      <w:r w:rsidRPr="00F13DA5">
        <w:rPr>
          <w:rtl/>
        </w:rPr>
        <w:t>.</w:t>
      </w:r>
      <w:r>
        <w:rPr>
          <w:rFonts w:hint="cs"/>
          <w:rtl/>
        </w:rPr>
        <w:t xml:space="preserve"> </w:t>
      </w:r>
    </w:p>
    <w:p w14:paraId="15E27718" w14:textId="77777777" w:rsidR="00BA23AE" w:rsidRPr="003C36A5" w:rsidRDefault="00BA23AE" w:rsidP="00CD02C6">
      <w:pPr>
        <w:pStyle w:val="af4"/>
        <w:rPr>
          <w:rtl/>
        </w:rPr>
      </w:pPr>
      <w:r w:rsidRPr="003C36A5">
        <w:rPr>
          <w:rFonts w:hint="eastAsia"/>
          <w:rtl/>
        </w:rPr>
        <w:lastRenderedPageBreak/>
        <w:t>מן</w:t>
      </w:r>
      <w:r>
        <w:rPr>
          <w:rFonts w:hint="cs"/>
          <w:rtl/>
        </w:rPr>
        <w:t xml:space="preserve"> </w:t>
      </w:r>
      <w:r w:rsidRPr="003C36A5">
        <w:rPr>
          <w:rFonts w:hint="eastAsia"/>
          <w:rtl/>
        </w:rPr>
        <w:t>האמור</w:t>
      </w:r>
      <w:r w:rsidRPr="003C36A5">
        <w:rPr>
          <w:rtl/>
        </w:rPr>
        <w:t xml:space="preserve"> עולה, כי </w:t>
      </w:r>
      <w:r w:rsidRPr="003C36A5">
        <w:rPr>
          <w:rFonts w:hint="eastAsia"/>
          <w:rtl/>
        </w:rPr>
        <w:t>סך</w:t>
      </w:r>
      <w:r w:rsidRPr="003C36A5">
        <w:rPr>
          <w:rtl/>
        </w:rPr>
        <w:t xml:space="preserve"> </w:t>
      </w:r>
      <w:r w:rsidRPr="003C36A5">
        <w:rPr>
          <w:rFonts w:hint="eastAsia"/>
          <w:rtl/>
        </w:rPr>
        <w:t>הכל</w:t>
      </w:r>
      <w:r>
        <w:rPr>
          <w:rtl/>
        </w:rPr>
        <w:t xml:space="preserve"> </w:t>
      </w:r>
      <w:r>
        <w:rPr>
          <w:rFonts w:hint="cs"/>
          <w:rtl/>
        </w:rPr>
        <w:t>123,549</w:t>
      </w:r>
      <w:r w:rsidRPr="003C36A5">
        <w:rPr>
          <w:rtl/>
        </w:rPr>
        <w:t xml:space="preserve"> דוחות מעצר הוצאו על ידי המשטרה ולא נספרו בנתוני המעצרים בשנים 2016 - 2018. </w:t>
      </w:r>
    </w:p>
    <w:p w14:paraId="072B813C" w14:textId="77777777" w:rsidR="00BA23AE" w:rsidRPr="00F13DA5" w:rsidRDefault="00BA23AE" w:rsidP="00CD02C6">
      <w:pPr>
        <w:pStyle w:val="af4"/>
        <w:rPr>
          <w:rtl/>
        </w:rPr>
      </w:pPr>
      <w:r w:rsidRPr="00F13DA5">
        <w:rPr>
          <w:rFonts w:hint="cs"/>
          <w:rtl/>
        </w:rPr>
        <w:t>יוצא אפוא כי נתוני משטרת ישראל על אודות היקף המעצרים הפליליים אינם</w:t>
      </w:r>
      <w:r>
        <w:rPr>
          <w:rFonts w:hint="cs"/>
          <w:rtl/>
        </w:rPr>
        <w:t xml:space="preserve"> מציגים אלפי מעצרים שבוצעו על ידי המשטרה בכל שנה. לפיכך,</w:t>
      </w:r>
      <w:r w:rsidRPr="00F13DA5">
        <w:rPr>
          <w:rFonts w:hint="cs"/>
          <w:rtl/>
        </w:rPr>
        <w:t xml:space="preserve"> </w:t>
      </w:r>
      <w:r>
        <w:rPr>
          <w:rFonts w:hint="cs"/>
          <w:rtl/>
        </w:rPr>
        <w:t xml:space="preserve">המשטרה לא </w:t>
      </w:r>
      <w:r w:rsidRPr="00F13DA5">
        <w:rPr>
          <w:rFonts w:hint="cs"/>
          <w:rtl/>
        </w:rPr>
        <w:t>מציג</w:t>
      </w:r>
      <w:r>
        <w:rPr>
          <w:rFonts w:hint="cs"/>
          <w:rtl/>
        </w:rPr>
        <w:t xml:space="preserve">ה לציבור </w:t>
      </w:r>
      <w:r w:rsidRPr="00F13DA5">
        <w:rPr>
          <w:rFonts w:hint="cs"/>
          <w:rtl/>
        </w:rPr>
        <w:t xml:space="preserve">את היקף השימוש </w:t>
      </w:r>
      <w:r>
        <w:rPr>
          <w:rFonts w:hint="cs"/>
          <w:rtl/>
        </w:rPr>
        <w:t>המלא שהיא עושה</w:t>
      </w:r>
      <w:r w:rsidRPr="00F13DA5">
        <w:rPr>
          <w:rFonts w:hint="cs"/>
          <w:rtl/>
        </w:rPr>
        <w:t xml:space="preserve"> בסמכות המעצר: מעצרים שבעקבותיהם לא נפתח תיק פלילי מסוג פ"א או ט"מ כנגד העצור; מעצרים ש</w:t>
      </w:r>
      <w:r>
        <w:rPr>
          <w:rFonts w:hint="cs"/>
          <w:rtl/>
        </w:rPr>
        <w:t xml:space="preserve">בהם שונה </w:t>
      </w:r>
      <w:r w:rsidRPr="00F13DA5">
        <w:rPr>
          <w:rFonts w:hint="cs"/>
          <w:rtl/>
        </w:rPr>
        <w:t xml:space="preserve">סיווג התיק לאחר פתיחתו או שהתיק נגנז; מעצרי שטח </w:t>
      </w:r>
      <w:r>
        <w:rPr>
          <w:rFonts w:hint="cs"/>
          <w:rtl/>
        </w:rPr>
        <w:t>ש</w:t>
      </w:r>
      <w:r w:rsidRPr="00F13DA5">
        <w:rPr>
          <w:rFonts w:hint="cs"/>
          <w:rtl/>
        </w:rPr>
        <w:t xml:space="preserve">בהם העצור נעצר על ידי שוטר למשך זמן קצר ושוחרר בשטח; מעצרים שבהם הובא </w:t>
      </w:r>
      <w:r>
        <w:rPr>
          <w:rFonts w:hint="cs"/>
          <w:rtl/>
        </w:rPr>
        <w:t>ה</w:t>
      </w:r>
      <w:r w:rsidRPr="00F13DA5">
        <w:rPr>
          <w:rFonts w:hint="cs"/>
          <w:rtl/>
        </w:rPr>
        <w:t xml:space="preserve">עצור לתחנת המשטרה וקצין ממונה החליט לשחררו; מעצרים בעקבות עבירות תנועה, או בגין אי תשלום חוב להוצאה לפועל וכדומה; מעצרים </w:t>
      </w:r>
      <w:r>
        <w:rPr>
          <w:rFonts w:hint="cs"/>
          <w:rtl/>
        </w:rPr>
        <w:t>ש</w:t>
      </w:r>
      <w:r w:rsidRPr="00F13DA5">
        <w:rPr>
          <w:rFonts w:hint="cs"/>
          <w:rtl/>
        </w:rPr>
        <w:t>בהם הופק דוח קצין ממונה ומסיבה שאינה ידועה נשמטו מנתוני המעצרים.</w:t>
      </w:r>
      <w:r>
        <w:rPr>
          <w:rFonts w:hint="cs"/>
          <w:rtl/>
        </w:rPr>
        <w:t xml:space="preserve"> </w:t>
      </w:r>
    </w:p>
    <w:p w14:paraId="2705F7BA" w14:textId="77777777" w:rsidR="00BA23AE" w:rsidRPr="00F13DA5" w:rsidRDefault="00BA23AE" w:rsidP="00CD02C6">
      <w:pPr>
        <w:pStyle w:val="100"/>
        <w:rPr>
          <w:rtl/>
        </w:rPr>
      </w:pPr>
      <w:r w:rsidRPr="00F13DA5">
        <w:rPr>
          <w:rFonts w:hint="cs"/>
          <w:rtl/>
        </w:rPr>
        <w:t>משטרת ישראל מסרה בתשובתה כי בשנתון הסטטיסטי לא ניתן להציג את כלל הנתונים המתייחסים לשימוש בסמכות המעצר, ומשכך, המשטרה החליטה להציג את עיקר</w:t>
      </w:r>
      <w:r>
        <w:rPr>
          <w:rFonts w:hint="cs"/>
          <w:rtl/>
        </w:rPr>
        <w:t>ם</w:t>
      </w:r>
      <w:r w:rsidRPr="00F13DA5">
        <w:rPr>
          <w:rFonts w:hint="cs"/>
          <w:rtl/>
        </w:rPr>
        <w:t xml:space="preserve">. עוד נמסר, כי במערכת התחקור הפלילית נספרים מעצרים רק לאחר מילוי דוח קצין ממונה המהווה אסמכתה לכליאה. לעמדתה, כלל לא בטוח שנדרש לכלול בנתונים הסטטיסטיים את מעצרי השטח. </w:t>
      </w:r>
      <w:r>
        <w:rPr>
          <w:rFonts w:hint="cs"/>
          <w:rtl/>
        </w:rPr>
        <w:t>מכל מקום</w:t>
      </w:r>
      <w:r w:rsidRPr="00F13DA5">
        <w:rPr>
          <w:rFonts w:hint="cs"/>
          <w:rtl/>
        </w:rPr>
        <w:t xml:space="preserve">, ניתן לקבל נתונים נוספים לפי דרישה בהתאם לחוק, למשל באמצעות בקשה מכוח חוק חופש </w:t>
      </w:r>
      <w:r>
        <w:rPr>
          <w:rFonts w:hint="cs"/>
          <w:rtl/>
        </w:rPr>
        <w:t>ה</w:t>
      </w:r>
      <w:r w:rsidRPr="00F13DA5">
        <w:rPr>
          <w:rFonts w:hint="cs"/>
          <w:rtl/>
        </w:rPr>
        <w:t xml:space="preserve">מידע, התשנ"ח-1998. </w:t>
      </w:r>
    </w:p>
    <w:p w14:paraId="554895C5" w14:textId="77777777" w:rsidR="00BA23AE" w:rsidRPr="00F13DA5" w:rsidRDefault="00BA23AE" w:rsidP="00CD02C6">
      <w:pPr>
        <w:pStyle w:val="af4"/>
        <w:rPr>
          <w:rtl/>
        </w:rPr>
      </w:pPr>
      <w:r w:rsidRPr="00F13DA5">
        <w:rPr>
          <w:rFonts w:hint="cs"/>
          <w:rtl/>
        </w:rPr>
        <w:t xml:space="preserve">מן הראוי שנתוני המעצרים יכללו את </w:t>
      </w:r>
      <w:r>
        <w:rPr>
          <w:rFonts w:hint="cs"/>
          <w:rtl/>
        </w:rPr>
        <w:t>אלו</w:t>
      </w:r>
      <w:r w:rsidRPr="00F13DA5">
        <w:rPr>
          <w:rFonts w:hint="cs"/>
          <w:rtl/>
        </w:rPr>
        <w:t xml:space="preserve"> </w:t>
      </w:r>
      <w:r>
        <w:rPr>
          <w:rFonts w:hint="cs"/>
          <w:rtl/>
        </w:rPr>
        <w:t>ש</w:t>
      </w:r>
      <w:r w:rsidRPr="00F13DA5">
        <w:rPr>
          <w:rFonts w:hint="cs"/>
          <w:rtl/>
        </w:rPr>
        <w:t>בהם נעשה שימוש בסמכות המעצר</w:t>
      </w:r>
      <w:r>
        <w:rPr>
          <w:rFonts w:hint="cs"/>
          <w:rtl/>
        </w:rPr>
        <w:t>,</w:t>
      </w:r>
      <w:r w:rsidRPr="00F13DA5">
        <w:rPr>
          <w:rFonts w:hint="cs"/>
          <w:rtl/>
        </w:rPr>
        <w:t xml:space="preserve"> ללא תלות בנסיבות המעצר או השחרור. היעדר מעקב אחר מעצרים שאינם מסווגים כתיק חקירה פלילי ואי-תיעודם מסיבות שונות אינם מאפשרים למשטרה ולמערכת אכיפת החוק כולה לבחון את המעצרים שבהם עולה החשש כי הפעלת הסמכות הייתה שלא לצורך. זאת ועוד</w:t>
      </w:r>
      <w:r>
        <w:rPr>
          <w:rFonts w:hint="cs"/>
          <w:rtl/>
        </w:rPr>
        <w:t>,</w:t>
      </w:r>
      <w:r w:rsidRPr="00F13DA5">
        <w:rPr>
          <w:rFonts w:hint="cs"/>
          <w:rtl/>
        </w:rPr>
        <w:t xml:space="preserve"> משהחליטה המשטרה להציג את נתוני המעצרים לציבור, מן הראוי </w:t>
      </w:r>
      <w:r>
        <w:rPr>
          <w:rFonts w:hint="cs"/>
          <w:rtl/>
        </w:rPr>
        <w:t>ש</w:t>
      </w:r>
      <w:r w:rsidRPr="00F13DA5">
        <w:rPr>
          <w:rFonts w:hint="cs"/>
          <w:rtl/>
        </w:rPr>
        <w:t>תציג את התמונה המלאה. כמו כן, על חטיבת החקירות לבחון מדוע מעצרים שבהם הופק דוח קצין ממונה לא נכללו בנתוני המעצרים.</w:t>
      </w:r>
    </w:p>
    <w:bookmarkEnd w:id="5"/>
    <w:bookmarkEnd w:id="6"/>
    <w:p w14:paraId="79BE7147" w14:textId="77777777" w:rsidR="00BA23AE" w:rsidRPr="00F13DA5" w:rsidRDefault="00BA23AE" w:rsidP="00CD02C6">
      <w:pPr>
        <w:pStyle w:val="414"/>
        <w:rPr>
          <w:rtl/>
        </w:rPr>
      </w:pPr>
      <w:r w:rsidRPr="00F13DA5">
        <w:rPr>
          <w:rFonts w:hint="cs"/>
          <w:rtl/>
        </w:rPr>
        <w:t>תיעוד שעת המעצר</w:t>
      </w:r>
    </w:p>
    <w:p w14:paraId="74CF2E4B" w14:textId="77777777" w:rsidR="00BA23AE" w:rsidRPr="00B85223" w:rsidRDefault="00BA23AE" w:rsidP="00CD02C6">
      <w:pPr>
        <w:pStyle w:val="100"/>
        <w:rPr>
          <w:rtl/>
        </w:rPr>
      </w:pPr>
      <w:r w:rsidRPr="00F13DA5">
        <w:rPr>
          <w:rFonts w:hint="cs"/>
          <w:rtl/>
        </w:rPr>
        <w:t xml:space="preserve">בשנים 2016 - 2018 נערכו 174,173 מעצרים, ב-746 מעצרים מתוכם זהות העצור, מספר תיק החקירה ותאריך המעצר היו זהים, ואולם המעצר שנערך נספר יותר מפעם אחת (להלן - מעצרים כפולים). </w:t>
      </w:r>
    </w:p>
    <w:p w14:paraId="0867C24A" w14:textId="77777777" w:rsidR="00BA23AE" w:rsidRPr="004C17DA" w:rsidRDefault="00BA23AE" w:rsidP="00CD02C6">
      <w:pPr>
        <w:pStyle w:val="af4"/>
        <w:rPr>
          <w:rtl/>
        </w:rPr>
      </w:pPr>
      <w:r w:rsidRPr="004C17DA">
        <w:rPr>
          <w:rFonts w:hint="cs"/>
          <w:rtl/>
        </w:rPr>
        <w:lastRenderedPageBreak/>
        <w:t xml:space="preserve">מתוך 746 </w:t>
      </w:r>
      <w:r>
        <w:rPr>
          <w:rFonts w:hint="cs"/>
          <w:rtl/>
        </w:rPr>
        <w:t>ה</w:t>
      </w:r>
      <w:r w:rsidRPr="004C17DA">
        <w:rPr>
          <w:rFonts w:hint="cs"/>
          <w:rtl/>
        </w:rPr>
        <w:t xml:space="preserve">מעצרים </w:t>
      </w:r>
      <w:r>
        <w:rPr>
          <w:rFonts w:hint="cs"/>
          <w:rtl/>
        </w:rPr>
        <w:t>ה</w:t>
      </w:r>
      <w:r w:rsidRPr="004C17DA">
        <w:rPr>
          <w:rFonts w:hint="cs"/>
          <w:rtl/>
        </w:rPr>
        <w:t xml:space="preserve">כפולים, ב-456 מעצרים שעת המעצר הייתה זהה. ככל הנראה כפילות זו נבעה מטעות. ב-290 מהמעצרים הנותרים שעת המעצר הייתה שונה. הפער בשעות המעצר בין שני המעצרים שנרשמו לאותו עצור הוא משמעותי, היות שצו המעצר הראשוני מוגבל ל-24 שעות בלבד. משכך, רישום כפול של אותו מעצר יוצר מרוץ זמנים מקביל הן לפי השעה המוקדמת והן לפי השעה המאוחרת. מצב דברים זה עלול לגרום להחזקתו בפועל של עצור לפי שעת המעצר המאוחרת, מעבר ל-24 השעות הקבועות בחוק. </w:t>
      </w:r>
    </w:p>
    <w:p w14:paraId="6F324F26" w14:textId="77777777" w:rsidR="00BA23AE" w:rsidRPr="00F13DA5" w:rsidRDefault="00BA23AE" w:rsidP="00CD02C6">
      <w:pPr>
        <w:pStyle w:val="100"/>
      </w:pPr>
      <w:r w:rsidRPr="00F13DA5">
        <w:rPr>
          <w:rFonts w:hint="eastAsia"/>
          <w:rtl/>
        </w:rPr>
        <w:t>משטרת</w:t>
      </w:r>
      <w:r w:rsidRPr="00F13DA5">
        <w:rPr>
          <w:rtl/>
        </w:rPr>
        <w:t xml:space="preserve"> ישראל מסרה כי </w:t>
      </w:r>
      <w:r w:rsidRPr="00F13DA5">
        <w:rPr>
          <w:rFonts w:hint="cs"/>
          <w:rtl/>
        </w:rPr>
        <w:t xml:space="preserve">שעת המעצר וחריגה מתקופת המעצר הקבועה בחוק נבדקת במסגרת הבקרות שנערכות מעת לעת לפי שעת המעצר או העיכוב, המוקדמת מביניהן. </w:t>
      </w:r>
      <w:r>
        <w:rPr>
          <w:rFonts w:hint="cs"/>
          <w:rtl/>
        </w:rPr>
        <w:t>כמו כן</w:t>
      </w:r>
      <w:r w:rsidRPr="00F13DA5">
        <w:rPr>
          <w:rFonts w:hint="cs"/>
          <w:rtl/>
        </w:rPr>
        <w:t xml:space="preserve">, </w:t>
      </w:r>
      <w:r w:rsidRPr="00F13DA5">
        <w:rPr>
          <w:rFonts w:hint="eastAsia"/>
          <w:rtl/>
        </w:rPr>
        <w:t>היא</w:t>
      </w:r>
      <w:r w:rsidRPr="00F13DA5">
        <w:rPr>
          <w:rtl/>
        </w:rPr>
        <w:t xml:space="preserve"> בדקה </w:t>
      </w:r>
      <w:r w:rsidRPr="00F13DA5">
        <w:rPr>
          <w:rFonts w:hint="cs"/>
          <w:rtl/>
        </w:rPr>
        <w:t>ומצאה כי</w:t>
      </w:r>
      <w:r>
        <w:rPr>
          <w:rFonts w:hint="cs"/>
          <w:rtl/>
        </w:rPr>
        <w:t xml:space="preserve"> במקרים שבהם</w:t>
      </w:r>
      <w:r w:rsidRPr="00F13DA5">
        <w:rPr>
          <w:rFonts w:hint="cs"/>
          <w:rtl/>
        </w:rPr>
        <w:t xml:space="preserve"> הוצאו מספר אסמכתאות לאותו עצור באותו תיק</w:t>
      </w:r>
      <w:r>
        <w:rPr>
          <w:rFonts w:hint="cs"/>
          <w:rtl/>
        </w:rPr>
        <w:t>, מדובר</w:t>
      </w:r>
      <w:r w:rsidRPr="00F13DA5">
        <w:rPr>
          <w:rFonts w:hint="cs"/>
          <w:rtl/>
        </w:rPr>
        <w:t xml:space="preserve"> </w:t>
      </w:r>
      <w:r>
        <w:rPr>
          <w:rFonts w:hint="cs"/>
          <w:rtl/>
        </w:rPr>
        <w:t>ב</w:t>
      </w:r>
      <w:r w:rsidRPr="00F13DA5">
        <w:rPr>
          <w:rtl/>
        </w:rPr>
        <w:t>טעויות טכניות שלא עלו לכדי מעצר לתקופה העולה על 24 שעות.</w:t>
      </w:r>
      <w:r>
        <w:rPr>
          <w:rtl/>
        </w:rPr>
        <w:t xml:space="preserve"> </w:t>
      </w:r>
    </w:p>
    <w:p w14:paraId="17F4D37C" w14:textId="77777777" w:rsidR="00BA23AE" w:rsidRPr="00F13DA5" w:rsidRDefault="00BA23AE" w:rsidP="00CD02C6">
      <w:pPr>
        <w:pStyle w:val="af4"/>
        <w:rPr>
          <w:rtl/>
        </w:rPr>
      </w:pPr>
      <w:r w:rsidRPr="003C36A5">
        <w:rPr>
          <w:rFonts w:hint="eastAsia"/>
          <w:rtl/>
        </w:rPr>
        <w:t>על</w:t>
      </w:r>
      <w:r w:rsidRPr="003C36A5">
        <w:rPr>
          <w:rtl/>
        </w:rPr>
        <w:t xml:space="preserve"> המשטרה לעשות ככל שביכולתה בכדי למנוע החזקת עצור </w:t>
      </w:r>
      <w:r>
        <w:rPr>
          <w:rFonts w:hint="cs"/>
          <w:rtl/>
        </w:rPr>
        <w:t xml:space="preserve">לתקופה העולה על </w:t>
      </w:r>
      <w:r w:rsidRPr="003C36A5">
        <w:rPr>
          <w:rtl/>
        </w:rPr>
        <w:t xml:space="preserve">24 שעות, ובכלל זה לערוך בקרת רוחב </w:t>
      </w:r>
      <w:r>
        <w:rPr>
          <w:rFonts w:hint="cs"/>
          <w:rtl/>
        </w:rPr>
        <w:t xml:space="preserve">באמצעות </w:t>
      </w:r>
      <w:r w:rsidRPr="003C36A5">
        <w:rPr>
          <w:rFonts w:hint="eastAsia"/>
          <w:rtl/>
        </w:rPr>
        <w:t>נתונים</w:t>
      </w:r>
      <w:r w:rsidRPr="003C36A5">
        <w:rPr>
          <w:rtl/>
        </w:rPr>
        <w:t xml:space="preserve"> </w:t>
      </w:r>
      <w:r w:rsidRPr="003C36A5">
        <w:rPr>
          <w:rFonts w:hint="eastAsia"/>
          <w:rtl/>
        </w:rPr>
        <w:t>מהמערכות</w:t>
      </w:r>
      <w:r w:rsidRPr="003C36A5">
        <w:rPr>
          <w:rtl/>
        </w:rPr>
        <w:t xml:space="preserve"> </w:t>
      </w:r>
      <w:r w:rsidRPr="003C36A5">
        <w:rPr>
          <w:rFonts w:hint="eastAsia"/>
          <w:rtl/>
        </w:rPr>
        <w:t>הממוחשבות</w:t>
      </w:r>
      <w:r>
        <w:rPr>
          <w:rFonts w:hint="cs"/>
          <w:rtl/>
        </w:rPr>
        <w:t xml:space="preserve"> ולאתר מקרים חריגים לבדיקה. </w:t>
      </w:r>
      <w:r w:rsidRPr="0092710C">
        <w:rPr>
          <w:rFonts w:hint="cs"/>
          <w:rtl/>
        </w:rPr>
        <w:t xml:space="preserve">הבקרה תמנע </w:t>
      </w:r>
      <w:r w:rsidRPr="0092710C">
        <w:rPr>
          <w:rtl/>
        </w:rPr>
        <w:t xml:space="preserve">מצבים </w:t>
      </w:r>
      <w:r w:rsidRPr="0092710C">
        <w:rPr>
          <w:rFonts w:hint="cs"/>
          <w:rtl/>
        </w:rPr>
        <w:t>ש</w:t>
      </w:r>
      <w:r w:rsidRPr="0092710C">
        <w:rPr>
          <w:rtl/>
        </w:rPr>
        <w:t xml:space="preserve">בהם ייתכן </w:t>
      </w:r>
      <w:r w:rsidRPr="0092710C">
        <w:rPr>
          <w:rFonts w:hint="cs"/>
          <w:rtl/>
        </w:rPr>
        <w:t xml:space="preserve">כי </w:t>
      </w:r>
      <w:r>
        <w:rPr>
          <w:rFonts w:hint="cs"/>
          <w:rtl/>
        </w:rPr>
        <w:t>העצור מוחזק במעצר מעבר</w:t>
      </w:r>
      <w:r w:rsidRPr="0092710C">
        <w:rPr>
          <w:rtl/>
        </w:rPr>
        <w:t xml:space="preserve"> </w:t>
      </w:r>
      <w:r>
        <w:rPr>
          <w:rFonts w:hint="cs"/>
          <w:rtl/>
        </w:rPr>
        <w:t>ל</w:t>
      </w:r>
      <w:r w:rsidRPr="0092710C">
        <w:rPr>
          <w:rFonts w:hint="eastAsia"/>
          <w:rtl/>
        </w:rPr>
        <w:t>מגבלת</w:t>
      </w:r>
      <w:r w:rsidRPr="0092710C">
        <w:rPr>
          <w:rtl/>
        </w:rPr>
        <w:t xml:space="preserve"> 24 </w:t>
      </w:r>
      <w:r w:rsidRPr="0092710C">
        <w:rPr>
          <w:rFonts w:hint="eastAsia"/>
          <w:rtl/>
        </w:rPr>
        <w:t>השעות</w:t>
      </w:r>
      <w:r w:rsidRPr="0092710C">
        <w:rPr>
          <w:rFonts w:hint="cs"/>
          <w:rtl/>
        </w:rPr>
        <w:t>, ותוודא שמתועדים הנימוקים וההצדקה להוצאת כמה צווי מעצר</w:t>
      </w:r>
      <w:r w:rsidRPr="0092710C">
        <w:rPr>
          <w:rtl/>
        </w:rPr>
        <w:t>.</w:t>
      </w:r>
      <w:r w:rsidRPr="00F13DA5">
        <w:rPr>
          <w:rFonts w:hint="cs"/>
          <w:rtl/>
        </w:rPr>
        <w:t xml:space="preserve"> </w:t>
      </w:r>
    </w:p>
    <w:p w14:paraId="15F53BF1" w14:textId="77777777" w:rsidR="00BA23AE" w:rsidRPr="00F13DA5" w:rsidRDefault="00BA23AE" w:rsidP="00CD02C6">
      <w:pPr>
        <w:pStyle w:val="100"/>
        <w:rPr>
          <w:rtl/>
        </w:rPr>
      </w:pPr>
      <w:r w:rsidRPr="00F13DA5">
        <w:rPr>
          <w:rFonts w:hint="cs"/>
          <w:rtl/>
        </w:rPr>
        <w:t xml:space="preserve">מניעת מצב בו ייתכן </w:t>
      </w:r>
      <w:r>
        <w:rPr>
          <w:rFonts w:hint="cs"/>
          <w:rtl/>
        </w:rPr>
        <w:t>ש</w:t>
      </w:r>
      <w:r w:rsidRPr="00F13DA5">
        <w:rPr>
          <w:rFonts w:hint="cs"/>
          <w:rtl/>
        </w:rPr>
        <w:t xml:space="preserve">עצור הוחזק במעצר אף על פי שעבר את מגבלת 24 השעות הקבועה בחוק רלוונטית גם לשאלה - ממתי מתחילה ספירת מניין שעות המעצר. </w:t>
      </w:r>
      <w:r>
        <w:rPr>
          <w:rFonts w:hint="cs"/>
          <w:rtl/>
        </w:rPr>
        <w:t xml:space="preserve">גם </w:t>
      </w:r>
      <w:r w:rsidRPr="00F13DA5">
        <w:rPr>
          <w:rFonts w:hint="cs"/>
          <w:rtl/>
        </w:rPr>
        <w:t xml:space="preserve">בסיכום ביקורת ארצית ממאי 2018, </w:t>
      </w:r>
      <w:r>
        <w:rPr>
          <w:rFonts w:hint="cs"/>
          <w:rtl/>
        </w:rPr>
        <w:t>שערך</w:t>
      </w:r>
      <w:r w:rsidRPr="00F13DA5">
        <w:rPr>
          <w:rFonts w:hint="cs"/>
          <w:rtl/>
        </w:rPr>
        <w:t xml:space="preserve"> אח"ם בנושא מעצרי ימים למשך 24 שעות (להלן - ביקורת מעצרים ארצית), הדגיש מדור חקירות בפני המחוזות את החשיבות שבהכללת שעות העיכוב במניין שעות המעצר. </w:t>
      </w:r>
    </w:p>
    <w:p w14:paraId="0AB3552A" w14:textId="77777777" w:rsidR="00BA23AE" w:rsidRPr="00F13DA5" w:rsidRDefault="00BA23AE" w:rsidP="00CD02C6">
      <w:pPr>
        <w:pStyle w:val="af4"/>
        <w:rPr>
          <w:rtl/>
        </w:rPr>
      </w:pPr>
      <w:r w:rsidRPr="00F13DA5">
        <w:rPr>
          <w:rFonts w:hint="cs"/>
          <w:rtl/>
        </w:rPr>
        <w:t xml:space="preserve">משכך, ישנה חשיבות לקיבוע שעת המעצר המוקדמת ביותר המתחילה את מניין 24 שעות המעצר עד להבאה בפני בית המשפט, בפרט אם נעשה שימוש בסמכות העיכוב. על חטיבת החקירות לבחון כיצד ניתן לקבע באופן מובנה ומסודר בתיק החקירה ובמערכות הממוחשבות את שעת המעצר המוקדמת ביותר בעניינו של עצור. זאת ככל שלא מתקיימת עילת מעצר חדשה בתיק לאחר שחרורו של העצור ממעצרו הקודם. </w:t>
      </w:r>
    </w:p>
    <w:p w14:paraId="7D03E1ED" w14:textId="77777777" w:rsidR="00BA23AE" w:rsidRPr="00F13DA5" w:rsidRDefault="00BA23AE" w:rsidP="00CD02C6">
      <w:pPr>
        <w:pStyle w:val="100"/>
        <w:rPr>
          <w:rtl/>
        </w:rPr>
      </w:pPr>
      <w:r w:rsidRPr="00F13DA5">
        <w:rPr>
          <w:rFonts w:hint="eastAsia"/>
          <w:rtl/>
        </w:rPr>
        <w:t>משטרת</w:t>
      </w:r>
      <w:r w:rsidRPr="00F13DA5">
        <w:rPr>
          <w:rtl/>
        </w:rPr>
        <w:t xml:space="preserve"> </w:t>
      </w:r>
      <w:r w:rsidRPr="00F13DA5">
        <w:rPr>
          <w:rFonts w:hint="eastAsia"/>
          <w:rtl/>
        </w:rPr>
        <w:t>ישראל</w:t>
      </w:r>
      <w:r w:rsidRPr="00F13DA5">
        <w:rPr>
          <w:rtl/>
        </w:rPr>
        <w:t xml:space="preserve"> </w:t>
      </w:r>
      <w:r w:rsidRPr="00F13DA5">
        <w:rPr>
          <w:rFonts w:hint="eastAsia"/>
          <w:rtl/>
        </w:rPr>
        <w:t>מסרה</w:t>
      </w:r>
      <w:r w:rsidRPr="00F13DA5">
        <w:rPr>
          <w:rtl/>
        </w:rPr>
        <w:t xml:space="preserve"> </w:t>
      </w:r>
      <w:r w:rsidRPr="00F13DA5">
        <w:rPr>
          <w:rFonts w:hint="eastAsia"/>
          <w:rtl/>
        </w:rPr>
        <w:t>כי</w:t>
      </w:r>
      <w:r w:rsidRPr="00F13DA5">
        <w:rPr>
          <w:rtl/>
        </w:rPr>
        <w:t xml:space="preserve"> </w:t>
      </w:r>
      <w:r w:rsidRPr="00F13DA5">
        <w:rPr>
          <w:rFonts w:hint="eastAsia"/>
          <w:rtl/>
        </w:rPr>
        <w:t>לעיתים</w:t>
      </w:r>
      <w:r w:rsidRPr="00F13DA5">
        <w:rPr>
          <w:rtl/>
        </w:rPr>
        <w:t xml:space="preserve"> </w:t>
      </w:r>
      <w:r w:rsidRPr="00F13DA5">
        <w:rPr>
          <w:rFonts w:hint="eastAsia"/>
          <w:rtl/>
        </w:rPr>
        <w:t>קיים</w:t>
      </w:r>
      <w:r w:rsidRPr="00F13DA5">
        <w:rPr>
          <w:rtl/>
        </w:rPr>
        <w:t xml:space="preserve"> </w:t>
      </w:r>
      <w:r w:rsidRPr="00F13DA5">
        <w:rPr>
          <w:rFonts w:hint="eastAsia"/>
          <w:rtl/>
        </w:rPr>
        <w:t>פער</w:t>
      </w:r>
      <w:r w:rsidRPr="00F13DA5">
        <w:rPr>
          <w:rtl/>
        </w:rPr>
        <w:t xml:space="preserve"> </w:t>
      </w:r>
      <w:r w:rsidRPr="00F13DA5">
        <w:rPr>
          <w:rFonts w:hint="eastAsia"/>
          <w:rtl/>
        </w:rPr>
        <w:t>בין</w:t>
      </w:r>
      <w:r w:rsidRPr="00F13DA5">
        <w:rPr>
          <w:rtl/>
        </w:rPr>
        <w:t xml:space="preserve"> </w:t>
      </w:r>
      <w:r w:rsidRPr="00F13DA5">
        <w:rPr>
          <w:rFonts w:hint="eastAsia"/>
          <w:rtl/>
        </w:rPr>
        <w:t>המערכות</w:t>
      </w:r>
      <w:r w:rsidRPr="00F13DA5">
        <w:rPr>
          <w:rtl/>
        </w:rPr>
        <w:t xml:space="preserve"> </w:t>
      </w:r>
      <w:r w:rsidRPr="00F13DA5">
        <w:rPr>
          <w:rFonts w:hint="eastAsia"/>
          <w:rtl/>
        </w:rPr>
        <w:t>הממוחשבות</w:t>
      </w:r>
      <w:r>
        <w:rPr>
          <w:rFonts w:hint="cs"/>
          <w:rtl/>
        </w:rPr>
        <w:t>,</w:t>
      </w:r>
      <w:r w:rsidRPr="00F13DA5">
        <w:rPr>
          <w:rtl/>
        </w:rPr>
        <w:t xml:space="preserve"> </w:t>
      </w:r>
      <w:r w:rsidRPr="00F13DA5">
        <w:rPr>
          <w:rFonts w:hint="eastAsia"/>
          <w:rtl/>
        </w:rPr>
        <w:t>המאפשר</w:t>
      </w:r>
      <w:r w:rsidRPr="00F13DA5">
        <w:rPr>
          <w:rtl/>
        </w:rPr>
        <w:t xml:space="preserve"> </w:t>
      </w:r>
      <w:r w:rsidRPr="00F13DA5">
        <w:rPr>
          <w:rFonts w:hint="eastAsia"/>
          <w:rtl/>
        </w:rPr>
        <w:t>רישום</w:t>
      </w:r>
      <w:r w:rsidRPr="00F13DA5">
        <w:rPr>
          <w:rtl/>
        </w:rPr>
        <w:t xml:space="preserve"> </w:t>
      </w:r>
      <w:r w:rsidRPr="00F13DA5">
        <w:rPr>
          <w:rFonts w:hint="eastAsia"/>
          <w:rtl/>
        </w:rPr>
        <w:t>שעות</w:t>
      </w:r>
      <w:r w:rsidRPr="00F13DA5">
        <w:rPr>
          <w:rtl/>
        </w:rPr>
        <w:t xml:space="preserve"> </w:t>
      </w:r>
      <w:r w:rsidRPr="00F13DA5">
        <w:rPr>
          <w:rFonts w:hint="eastAsia"/>
          <w:rtl/>
        </w:rPr>
        <w:t>שונות</w:t>
      </w:r>
      <w:r>
        <w:rPr>
          <w:rFonts w:hint="cs"/>
          <w:rtl/>
        </w:rPr>
        <w:t>,</w:t>
      </w:r>
      <w:r w:rsidRPr="00F13DA5">
        <w:rPr>
          <w:rtl/>
        </w:rPr>
        <w:t xml:space="preserve"> </w:t>
      </w:r>
      <w:r w:rsidRPr="00F13DA5">
        <w:rPr>
          <w:rFonts w:hint="eastAsia"/>
          <w:rtl/>
        </w:rPr>
        <w:t>וכי</w:t>
      </w:r>
      <w:r w:rsidRPr="00F13DA5">
        <w:rPr>
          <w:rtl/>
        </w:rPr>
        <w:t xml:space="preserve"> </w:t>
      </w:r>
      <w:r w:rsidRPr="00F13DA5">
        <w:rPr>
          <w:rFonts w:hint="eastAsia"/>
          <w:rtl/>
        </w:rPr>
        <w:t>היא</w:t>
      </w:r>
      <w:r w:rsidRPr="00F13DA5">
        <w:rPr>
          <w:rtl/>
        </w:rPr>
        <w:t xml:space="preserve"> </w:t>
      </w:r>
      <w:r w:rsidRPr="00F13DA5">
        <w:rPr>
          <w:rFonts w:hint="eastAsia"/>
          <w:rtl/>
        </w:rPr>
        <w:t>פועלת</w:t>
      </w:r>
      <w:r w:rsidRPr="00F13DA5">
        <w:rPr>
          <w:rtl/>
        </w:rPr>
        <w:t xml:space="preserve"> </w:t>
      </w:r>
      <w:r w:rsidRPr="00F13DA5">
        <w:rPr>
          <w:rFonts w:hint="eastAsia"/>
          <w:rtl/>
        </w:rPr>
        <w:t>לתיקונו</w:t>
      </w:r>
      <w:r w:rsidRPr="00F13DA5">
        <w:rPr>
          <w:rtl/>
        </w:rPr>
        <w:t>.</w:t>
      </w:r>
    </w:p>
    <w:p w14:paraId="14A9AB04" w14:textId="77777777" w:rsidR="00BA23AE" w:rsidRPr="00F13DA5" w:rsidRDefault="00BA23AE" w:rsidP="00CD02C6">
      <w:pPr>
        <w:pStyle w:val="414"/>
        <w:rPr>
          <w:rtl/>
        </w:rPr>
      </w:pPr>
      <w:r w:rsidRPr="00F13DA5">
        <w:rPr>
          <w:rFonts w:hint="cs"/>
          <w:rtl/>
        </w:rPr>
        <w:t>עילות מעצר</w:t>
      </w:r>
    </w:p>
    <w:p w14:paraId="7884497C" w14:textId="76BA87F7" w:rsidR="00CD02C6" w:rsidRDefault="00BA23AE" w:rsidP="00CD02C6">
      <w:pPr>
        <w:pStyle w:val="100"/>
        <w:rPr>
          <w:rtl/>
        </w:rPr>
      </w:pPr>
      <w:r w:rsidRPr="00F13DA5">
        <w:rPr>
          <w:rFonts w:hint="cs"/>
          <w:rtl/>
        </w:rPr>
        <w:t>יסודה של הפעלת סמכות המעצר היא בקיומה של עילת מעצר הקבועה בחוק המעצרים. פקודת המטה הארצי העיקרית בנושא המעצרים היא פקודה בנושא "</w:t>
      </w:r>
      <w:r w:rsidRPr="00F13DA5">
        <w:rPr>
          <w:rtl/>
        </w:rPr>
        <w:t>עיכוב, מעצר ושחרור</w:t>
      </w:r>
      <w:r w:rsidRPr="00F13DA5">
        <w:rPr>
          <w:rFonts w:hint="cs"/>
          <w:rtl/>
        </w:rPr>
        <w:t>" (להלן - פקודת מטא"ר או הפקודה). הפקודה קובעת כי שוטר שעצר אדם חייב לתעד את המעצר בטופס ייעודי, וזאת גם אם החליט לשחררו לאחר מכן. טופס זה דורש רישום של עילות המעצר המצדיקות את הפעלת הסמכות.</w:t>
      </w:r>
    </w:p>
    <w:p w14:paraId="65EE80E4" w14:textId="77777777" w:rsidR="00BA23AE" w:rsidRPr="00F13DA5" w:rsidRDefault="00BA23AE" w:rsidP="00CD02C6">
      <w:pPr>
        <w:pStyle w:val="af4"/>
      </w:pPr>
      <w:r w:rsidRPr="00F13DA5">
        <w:rPr>
          <w:rFonts w:hint="eastAsia"/>
          <w:rtl/>
        </w:rPr>
        <w:lastRenderedPageBreak/>
        <w:t>בשנים</w:t>
      </w:r>
      <w:r w:rsidRPr="00F13DA5">
        <w:rPr>
          <w:rtl/>
        </w:rPr>
        <w:t xml:space="preserve"> 2016 - 2018 הפיקה המשטרה </w:t>
      </w:r>
      <w:r w:rsidRPr="00F13DA5">
        <w:rPr>
          <w:rFonts w:hint="cs"/>
          <w:rtl/>
        </w:rPr>
        <w:t>כ-</w:t>
      </w:r>
      <w:r>
        <w:rPr>
          <w:rFonts w:hint="cs"/>
          <w:rtl/>
        </w:rPr>
        <w:t>202</w:t>
      </w:r>
      <w:r w:rsidRPr="00F13DA5">
        <w:rPr>
          <w:rFonts w:hint="cs"/>
          <w:rtl/>
        </w:rPr>
        <w:t xml:space="preserve">,000 </w:t>
      </w:r>
      <w:r w:rsidRPr="00F13DA5">
        <w:rPr>
          <w:rtl/>
        </w:rPr>
        <w:t>דוחות מעצר</w:t>
      </w:r>
      <w:r w:rsidRPr="00F13DA5">
        <w:rPr>
          <w:rFonts w:hint="cs"/>
          <w:rtl/>
        </w:rPr>
        <w:t xml:space="preserve"> שוטר</w:t>
      </w:r>
      <w:r w:rsidRPr="00F13DA5">
        <w:rPr>
          <w:rtl/>
        </w:rPr>
        <w:t xml:space="preserve">. </w:t>
      </w:r>
      <w:r w:rsidRPr="00F13DA5">
        <w:rPr>
          <w:rFonts w:hint="eastAsia"/>
          <w:rtl/>
        </w:rPr>
        <w:t>ב</w:t>
      </w:r>
      <w:r w:rsidRPr="00F13DA5">
        <w:rPr>
          <w:rFonts w:hint="cs"/>
          <w:rtl/>
        </w:rPr>
        <w:t>כ</w:t>
      </w:r>
      <w:r w:rsidRPr="00F13DA5">
        <w:rPr>
          <w:rtl/>
        </w:rPr>
        <w:t>-</w:t>
      </w:r>
      <w:r>
        <w:rPr>
          <w:rFonts w:hint="cs"/>
          <w:rtl/>
        </w:rPr>
        <w:t>48</w:t>
      </w:r>
      <w:r w:rsidRPr="00F13DA5">
        <w:rPr>
          <w:rFonts w:hint="cs"/>
          <w:rtl/>
        </w:rPr>
        <w:t xml:space="preserve">,000 </w:t>
      </w:r>
      <w:r w:rsidRPr="00F13DA5">
        <w:rPr>
          <w:rFonts w:hint="eastAsia"/>
          <w:rtl/>
        </w:rPr>
        <w:t>מתוכם</w:t>
      </w:r>
      <w:r w:rsidRPr="00F13DA5">
        <w:rPr>
          <w:rtl/>
        </w:rPr>
        <w:t xml:space="preserve"> (24%) לא פירט השוטר בדוח המעצר עילה כלשהי המצדיקה את המעצר</w:t>
      </w:r>
      <w:r>
        <w:rPr>
          <w:rFonts w:hint="cs"/>
          <w:rtl/>
        </w:rPr>
        <w:t>.</w:t>
      </w:r>
      <w:r w:rsidRPr="00F13DA5">
        <w:rPr>
          <w:rtl/>
        </w:rPr>
        <w:t xml:space="preserve"> </w:t>
      </w:r>
      <w:r w:rsidRPr="00F13DA5">
        <w:rPr>
          <w:rFonts w:hint="cs"/>
          <w:rtl/>
        </w:rPr>
        <w:t>בשנים 2016 - 2018 הפיקה המשטרה כ-149,000 דוחות קצין ממונה, וב-2,449 מתוכם (</w:t>
      </w:r>
      <w:r>
        <w:rPr>
          <w:rFonts w:hint="cs"/>
          <w:rtl/>
        </w:rPr>
        <w:t>כ</w:t>
      </w:r>
      <w:r w:rsidRPr="00F13DA5">
        <w:rPr>
          <w:rFonts w:hint="cs"/>
          <w:rtl/>
        </w:rPr>
        <w:t xml:space="preserve">-1%) לא פירט הקצין מהי עילת המעצר. </w:t>
      </w:r>
      <w:r w:rsidRPr="00F13DA5">
        <w:rPr>
          <w:rtl/>
        </w:rPr>
        <w:t xml:space="preserve">בהיעדר פירוט של עילת המעצר, לא ניתן לדעת מה היו השיקולים של השוטר </w:t>
      </w:r>
      <w:r w:rsidRPr="00F13DA5">
        <w:rPr>
          <w:rFonts w:hint="cs"/>
          <w:rtl/>
        </w:rPr>
        <w:t xml:space="preserve">או הקצין </w:t>
      </w:r>
      <w:r w:rsidRPr="00F13DA5">
        <w:rPr>
          <w:rFonts w:hint="eastAsia"/>
          <w:rtl/>
        </w:rPr>
        <w:t>בעת</w:t>
      </w:r>
      <w:r w:rsidRPr="00F13DA5">
        <w:rPr>
          <w:rtl/>
        </w:rPr>
        <w:t xml:space="preserve"> </w:t>
      </w:r>
      <w:r w:rsidRPr="00F13DA5">
        <w:rPr>
          <w:rFonts w:hint="eastAsia"/>
          <w:rtl/>
        </w:rPr>
        <w:t>קבלת</w:t>
      </w:r>
      <w:r w:rsidRPr="00F13DA5">
        <w:rPr>
          <w:rtl/>
        </w:rPr>
        <w:t xml:space="preserve"> </w:t>
      </w:r>
      <w:r w:rsidRPr="00F13DA5">
        <w:rPr>
          <w:rFonts w:hint="eastAsia"/>
          <w:rtl/>
        </w:rPr>
        <w:t>ההחלטה</w:t>
      </w:r>
      <w:r w:rsidRPr="00F13DA5">
        <w:rPr>
          <w:rtl/>
        </w:rPr>
        <w:t xml:space="preserve"> על </w:t>
      </w:r>
      <w:r w:rsidRPr="00F13DA5">
        <w:rPr>
          <w:rFonts w:hint="cs"/>
          <w:rtl/>
        </w:rPr>
        <w:t>ה</w:t>
      </w:r>
      <w:r w:rsidRPr="00F13DA5">
        <w:rPr>
          <w:rtl/>
        </w:rPr>
        <w:t xml:space="preserve">מעצר. </w:t>
      </w:r>
      <w:r w:rsidRPr="00F13DA5">
        <w:rPr>
          <w:rtl/>
        </w:rPr>
        <w:tab/>
      </w:r>
    </w:p>
    <w:p w14:paraId="13A67983" w14:textId="77777777" w:rsidR="00BA23AE" w:rsidRPr="00F13DA5" w:rsidRDefault="00BA23AE" w:rsidP="00CD02C6">
      <w:pPr>
        <w:pStyle w:val="af4"/>
        <w:rPr>
          <w:rtl/>
        </w:rPr>
      </w:pPr>
      <w:r w:rsidRPr="00F13DA5">
        <w:rPr>
          <w:rFonts w:hint="cs"/>
          <w:rtl/>
        </w:rPr>
        <w:t xml:space="preserve">על חטיבת החקירות לוודא כי השוטרים והקצינים מקפידים לסמן את עילת המעצר. מן הראוי כי כשנעשה שימוש במערכת הממוחשבת לצורך מילוי טפסים, מילויָם ייעשה במלואו ועל פי הנהלים והדין. </w:t>
      </w:r>
    </w:p>
    <w:p w14:paraId="5D372E34" w14:textId="77777777" w:rsidR="00BA23AE" w:rsidRPr="00F13DA5" w:rsidRDefault="00BA23AE" w:rsidP="00CD02C6">
      <w:pPr>
        <w:pStyle w:val="100"/>
        <w:rPr>
          <w:rtl/>
        </w:rPr>
      </w:pPr>
      <w:r w:rsidRPr="00F13DA5">
        <w:rPr>
          <w:rFonts w:hint="eastAsia"/>
          <w:rtl/>
        </w:rPr>
        <w:t>חטיבת</w:t>
      </w:r>
      <w:r w:rsidRPr="00F13DA5">
        <w:rPr>
          <w:rtl/>
        </w:rPr>
        <w:t xml:space="preserve"> </w:t>
      </w:r>
      <w:r w:rsidRPr="00F13DA5">
        <w:rPr>
          <w:rFonts w:hint="eastAsia"/>
          <w:rtl/>
        </w:rPr>
        <w:t>החקירות</w:t>
      </w:r>
      <w:r w:rsidRPr="00F13DA5">
        <w:rPr>
          <w:rtl/>
        </w:rPr>
        <w:t xml:space="preserve"> </w:t>
      </w:r>
      <w:r w:rsidRPr="00F13DA5">
        <w:rPr>
          <w:rFonts w:hint="cs"/>
          <w:rtl/>
        </w:rPr>
        <w:t xml:space="preserve">מסרה כי תופץ הנחיה בדבר הקפדה על סריקת כלל המסמכים לתיק והקפדה על פירוט עילות המעצר בהם. </w:t>
      </w:r>
      <w:r>
        <w:rPr>
          <w:rFonts w:hint="cs"/>
          <w:rtl/>
        </w:rPr>
        <w:t>כמו כן,</w:t>
      </w:r>
      <w:r w:rsidRPr="00F13DA5">
        <w:rPr>
          <w:rFonts w:hint="cs"/>
          <w:rtl/>
        </w:rPr>
        <w:t xml:space="preserve"> היא תבחן כיצד ניתן ליישם</w:t>
      </w:r>
      <w:r w:rsidRPr="00F13DA5">
        <w:rPr>
          <w:rtl/>
        </w:rPr>
        <w:t xml:space="preserve"> </w:t>
      </w:r>
      <w:r w:rsidRPr="00F13DA5">
        <w:rPr>
          <w:rFonts w:hint="eastAsia"/>
          <w:rtl/>
        </w:rPr>
        <w:t>עדכון</w:t>
      </w:r>
      <w:r w:rsidRPr="00F13DA5">
        <w:rPr>
          <w:rtl/>
        </w:rPr>
        <w:t xml:space="preserve"> </w:t>
      </w:r>
      <w:r w:rsidRPr="00F13DA5">
        <w:rPr>
          <w:rFonts w:hint="cs"/>
          <w:rtl/>
        </w:rPr>
        <w:t>של</w:t>
      </w:r>
      <w:r w:rsidRPr="00F13DA5">
        <w:rPr>
          <w:rtl/>
        </w:rPr>
        <w:t xml:space="preserve"> </w:t>
      </w:r>
      <w:r w:rsidRPr="00F13DA5">
        <w:rPr>
          <w:rFonts w:hint="eastAsia"/>
          <w:rtl/>
        </w:rPr>
        <w:t>טופס</w:t>
      </w:r>
      <w:r w:rsidRPr="00F13DA5">
        <w:rPr>
          <w:rtl/>
        </w:rPr>
        <w:t xml:space="preserve"> </w:t>
      </w:r>
      <w:r w:rsidRPr="00F13DA5">
        <w:rPr>
          <w:rFonts w:hint="eastAsia"/>
          <w:rtl/>
        </w:rPr>
        <w:t>הדוח</w:t>
      </w:r>
      <w:r w:rsidRPr="00F13DA5">
        <w:rPr>
          <w:rtl/>
        </w:rPr>
        <w:t xml:space="preserve"> </w:t>
      </w:r>
      <w:r w:rsidRPr="00F13DA5">
        <w:rPr>
          <w:rFonts w:hint="eastAsia"/>
          <w:rtl/>
        </w:rPr>
        <w:t>המקוון</w:t>
      </w:r>
      <w:r w:rsidRPr="00F13DA5">
        <w:rPr>
          <w:rtl/>
        </w:rPr>
        <w:t xml:space="preserve">, </w:t>
      </w:r>
      <w:r w:rsidRPr="00F13DA5">
        <w:rPr>
          <w:rFonts w:hint="cs"/>
          <w:rtl/>
        </w:rPr>
        <w:t>באופן</w:t>
      </w:r>
      <w:r w:rsidRPr="00F13DA5">
        <w:rPr>
          <w:rtl/>
        </w:rPr>
        <w:t xml:space="preserve"> </w:t>
      </w:r>
      <w:r w:rsidRPr="00F13DA5">
        <w:rPr>
          <w:rFonts w:hint="eastAsia"/>
          <w:rtl/>
        </w:rPr>
        <w:t>שסימון</w:t>
      </w:r>
      <w:r w:rsidRPr="00F13DA5">
        <w:rPr>
          <w:rtl/>
        </w:rPr>
        <w:t xml:space="preserve"> </w:t>
      </w:r>
      <w:r w:rsidRPr="00F13DA5">
        <w:rPr>
          <w:rFonts w:hint="eastAsia"/>
          <w:rtl/>
        </w:rPr>
        <w:t>עילת</w:t>
      </w:r>
      <w:r w:rsidRPr="00F13DA5">
        <w:rPr>
          <w:rtl/>
        </w:rPr>
        <w:t xml:space="preserve"> </w:t>
      </w:r>
      <w:r w:rsidRPr="00F13DA5">
        <w:rPr>
          <w:rFonts w:hint="eastAsia"/>
          <w:rtl/>
        </w:rPr>
        <w:t>מעצר</w:t>
      </w:r>
      <w:r w:rsidRPr="00F13DA5">
        <w:rPr>
          <w:rtl/>
        </w:rPr>
        <w:t xml:space="preserve"> אחת לפחות </w:t>
      </w:r>
      <w:r w:rsidRPr="00F13DA5">
        <w:rPr>
          <w:rFonts w:hint="cs"/>
          <w:rtl/>
        </w:rPr>
        <w:t>י</w:t>
      </w:r>
      <w:r w:rsidRPr="00F13DA5">
        <w:rPr>
          <w:rFonts w:hint="eastAsia"/>
          <w:rtl/>
        </w:rPr>
        <w:t>הי</w:t>
      </w:r>
      <w:r w:rsidRPr="00F13DA5">
        <w:rPr>
          <w:rFonts w:hint="cs"/>
          <w:rtl/>
        </w:rPr>
        <w:t>ה</w:t>
      </w:r>
      <w:r w:rsidRPr="00F13DA5">
        <w:rPr>
          <w:rtl/>
        </w:rPr>
        <w:t xml:space="preserve"> תנאי חובה להשלמ</w:t>
      </w:r>
      <w:r w:rsidRPr="00F13DA5">
        <w:rPr>
          <w:rFonts w:hint="eastAsia"/>
          <w:rtl/>
        </w:rPr>
        <w:t>ת</w:t>
      </w:r>
      <w:r w:rsidRPr="00F13DA5">
        <w:rPr>
          <w:rtl/>
        </w:rPr>
        <w:t xml:space="preserve"> דוח המעצר, </w:t>
      </w:r>
      <w:r w:rsidRPr="00F13DA5">
        <w:rPr>
          <w:rFonts w:hint="eastAsia"/>
          <w:rtl/>
        </w:rPr>
        <w:t>שמירתו</w:t>
      </w:r>
      <w:r w:rsidRPr="00F13DA5">
        <w:rPr>
          <w:rtl/>
        </w:rPr>
        <w:t xml:space="preserve"> </w:t>
      </w:r>
      <w:r w:rsidRPr="00F13DA5">
        <w:rPr>
          <w:rFonts w:hint="eastAsia"/>
          <w:rtl/>
        </w:rPr>
        <w:t>והדפסתו</w:t>
      </w:r>
      <w:r w:rsidRPr="00F13DA5">
        <w:rPr>
          <w:rtl/>
        </w:rPr>
        <w:t>.</w:t>
      </w:r>
    </w:p>
    <w:p w14:paraId="40CB0F4C" w14:textId="727F1282" w:rsidR="00BA23AE" w:rsidRPr="00F13DA5" w:rsidRDefault="00BA23AE" w:rsidP="00CD02C6">
      <w:pPr>
        <w:pStyle w:val="100"/>
        <w:rPr>
          <w:rtl/>
        </w:rPr>
      </w:pPr>
      <w:r w:rsidRPr="00F13DA5">
        <w:rPr>
          <w:rFonts w:hint="cs"/>
          <w:rtl/>
        </w:rPr>
        <w:t xml:space="preserve">במאי 2018 הציג ראש חטיבת החקירות (להלן - רח"ט חקירות) </w:t>
      </w:r>
      <w:r>
        <w:rPr>
          <w:rFonts w:hint="cs"/>
          <w:rtl/>
        </w:rPr>
        <w:t xml:space="preserve">בפורום קציני אח"ם מחוזיים </w:t>
      </w:r>
      <w:r w:rsidRPr="00F13DA5">
        <w:rPr>
          <w:rFonts w:hint="cs"/>
          <w:rtl/>
        </w:rPr>
        <w:t>את התופעה שהחלטת מעצר למשך 24 שעות מתקבלת בשל לחץ פיקודי, ומבלי שמתקיימת עילת מעצר על פי חוק. על כן</w:t>
      </w:r>
      <w:r w:rsidR="002E2361">
        <w:rPr>
          <w:rFonts w:hint="cs"/>
          <w:rtl/>
        </w:rPr>
        <w:t>,</w:t>
      </w:r>
      <w:r w:rsidRPr="00F13DA5">
        <w:rPr>
          <w:rFonts w:hint="cs"/>
          <w:rtl/>
        </w:rPr>
        <w:t xml:space="preserve"> הוא הנחה שיתקיימו בקרות בנושא. </w:t>
      </w:r>
    </w:p>
    <w:p w14:paraId="04D85056" w14:textId="77777777" w:rsidR="00BA23AE" w:rsidRPr="00F13DA5" w:rsidRDefault="00BA23AE" w:rsidP="00CD02C6">
      <w:pPr>
        <w:pStyle w:val="100"/>
        <w:rPr>
          <w:b/>
          <w:bCs/>
          <w:rtl/>
        </w:rPr>
      </w:pPr>
      <w:r w:rsidRPr="00F13DA5">
        <w:rPr>
          <w:rFonts w:hint="cs"/>
          <w:rtl/>
        </w:rPr>
        <w:t>באוקטובר 2018 ערך המפכ"ל דיון בנושא מעצרי ימים.</w:t>
      </w:r>
      <w:r w:rsidRPr="00F13DA5">
        <w:rPr>
          <w:rFonts w:hint="cs"/>
          <w:b/>
          <w:bCs/>
          <w:rtl/>
        </w:rPr>
        <w:t xml:space="preserve"> </w:t>
      </w:r>
      <w:r w:rsidRPr="00F13DA5">
        <w:rPr>
          <w:rFonts w:hint="cs"/>
          <w:rtl/>
        </w:rPr>
        <w:t>בדיון הוצגו ממצאי ביקורת המעצרים הארצית, ולפיהם כ-17% מהמעצרים נמצאו לא-מוצדקים. אחת הסיבות שנמנו לכך היא</w:t>
      </w:r>
      <w:r w:rsidRPr="00F13DA5">
        <w:rPr>
          <w:rFonts w:hint="cs"/>
          <w:b/>
          <w:bCs/>
          <w:rtl/>
        </w:rPr>
        <w:t xml:space="preserve"> </w:t>
      </w:r>
      <w:r w:rsidRPr="00F13DA5">
        <w:rPr>
          <w:rFonts w:hint="cs"/>
          <w:rtl/>
        </w:rPr>
        <w:t>מדיניות של הפיקוד המקומי</w:t>
      </w:r>
      <w:r>
        <w:rPr>
          <w:rFonts w:hint="cs"/>
          <w:rtl/>
        </w:rPr>
        <w:t xml:space="preserve"> -</w:t>
      </w:r>
      <w:r w:rsidRPr="00F13DA5">
        <w:rPr>
          <w:rFonts w:hint="cs"/>
          <w:rtl/>
        </w:rPr>
        <w:t xml:space="preserve"> </w:t>
      </w:r>
      <w:r>
        <w:rPr>
          <w:rFonts w:hint="cs"/>
          <w:rtl/>
        </w:rPr>
        <w:t xml:space="preserve">מפקדי התחנות והמחוזות - </w:t>
      </w:r>
      <w:r w:rsidRPr="00F13DA5">
        <w:rPr>
          <w:rFonts w:hint="cs"/>
          <w:rtl/>
        </w:rPr>
        <w:t>שאינה תואמת את החוק וההנחיות.</w:t>
      </w:r>
      <w:r w:rsidRPr="00F13DA5">
        <w:rPr>
          <w:rFonts w:hint="cs"/>
          <w:b/>
          <w:bCs/>
          <w:rtl/>
        </w:rPr>
        <w:t xml:space="preserve"> </w:t>
      </w:r>
    </w:p>
    <w:p w14:paraId="6EBBC83D" w14:textId="77777777" w:rsidR="00BA23AE" w:rsidRPr="00F13DA5" w:rsidRDefault="00BA23AE" w:rsidP="00CD02C6">
      <w:pPr>
        <w:pStyle w:val="100"/>
        <w:rPr>
          <w:rtl/>
        </w:rPr>
      </w:pPr>
      <w:r w:rsidRPr="00F13DA5">
        <w:rPr>
          <w:rFonts w:hint="cs"/>
          <w:rtl/>
        </w:rPr>
        <w:t xml:space="preserve">בבקרות נוספות שערך מדור חקירות באח"ם בשנת 2019 עלה כי לעיתים קיימת התנגשות בין מדיניות פיקוד מקומי מחמירה לבין תכלית חוק המעצרים והעילות המפורטות בו. </w:t>
      </w:r>
      <w:r w:rsidRPr="00F13DA5">
        <w:rPr>
          <w:rFonts w:hint="eastAsia"/>
          <w:rtl/>
        </w:rPr>
        <w:t>אף</w:t>
      </w:r>
      <w:r w:rsidRPr="00F13DA5">
        <w:rPr>
          <w:rtl/>
        </w:rPr>
        <w:t xml:space="preserve"> </w:t>
      </w:r>
      <w:r w:rsidRPr="00F13DA5">
        <w:rPr>
          <w:rFonts w:hint="eastAsia"/>
          <w:rtl/>
        </w:rPr>
        <w:t>היה</w:t>
      </w:r>
      <w:r w:rsidRPr="00F13DA5">
        <w:rPr>
          <w:rtl/>
        </w:rPr>
        <w:t xml:space="preserve"> </w:t>
      </w:r>
      <w:r w:rsidRPr="00F13DA5">
        <w:rPr>
          <w:rFonts w:hint="eastAsia"/>
          <w:rtl/>
        </w:rPr>
        <w:t>מעצר</w:t>
      </w:r>
      <w:r>
        <w:rPr>
          <w:rFonts w:hint="cs"/>
          <w:rtl/>
        </w:rPr>
        <w:t xml:space="preserve"> אחד</w:t>
      </w:r>
      <w:r w:rsidRPr="00F13DA5">
        <w:rPr>
          <w:rtl/>
        </w:rPr>
        <w:t xml:space="preserve"> </w:t>
      </w:r>
      <w:r w:rsidRPr="00F13DA5">
        <w:rPr>
          <w:rFonts w:hint="eastAsia"/>
          <w:rtl/>
        </w:rPr>
        <w:t>שנעשה</w:t>
      </w:r>
      <w:r w:rsidRPr="00F13DA5">
        <w:rPr>
          <w:rtl/>
        </w:rPr>
        <w:t xml:space="preserve"> </w:t>
      </w:r>
      <w:r w:rsidRPr="00F13DA5">
        <w:rPr>
          <w:rFonts w:hint="eastAsia"/>
          <w:rtl/>
        </w:rPr>
        <w:t>לצורכי</w:t>
      </w:r>
      <w:r w:rsidRPr="00F13DA5">
        <w:rPr>
          <w:rtl/>
        </w:rPr>
        <w:t xml:space="preserve"> </w:t>
      </w:r>
      <w:r w:rsidRPr="00F13DA5">
        <w:rPr>
          <w:rFonts w:hint="eastAsia"/>
          <w:rtl/>
        </w:rPr>
        <w:t>הרתעה</w:t>
      </w:r>
      <w:r w:rsidRPr="00F13DA5">
        <w:rPr>
          <w:rtl/>
        </w:rPr>
        <w:t xml:space="preserve">, </w:t>
      </w:r>
      <w:r w:rsidRPr="00F13DA5">
        <w:rPr>
          <w:rFonts w:hint="eastAsia"/>
          <w:rtl/>
        </w:rPr>
        <w:t>מתוך</w:t>
      </w:r>
      <w:r w:rsidRPr="00F13DA5">
        <w:rPr>
          <w:rtl/>
        </w:rPr>
        <w:t xml:space="preserve"> </w:t>
      </w:r>
      <w:r w:rsidRPr="00F13DA5">
        <w:rPr>
          <w:rFonts w:hint="eastAsia"/>
          <w:rtl/>
        </w:rPr>
        <w:t>הנחה</w:t>
      </w:r>
      <w:r w:rsidRPr="00F13DA5">
        <w:rPr>
          <w:rtl/>
        </w:rPr>
        <w:t xml:space="preserve"> </w:t>
      </w:r>
      <w:r w:rsidRPr="00F13DA5">
        <w:rPr>
          <w:rFonts w:hint="cs"/>
          <w:rtl/>
        </w:rPr>
        <w:t xml:space="preserve">של הפיקוד המקומי </w:t>
      </w:r>
      <w:r w:rsidRPr="00F13DA5">
        <w:rPr>
          <w:rFonts w:hint="eastAsia"/>
          <w:rtl/>
        </w:rPr>
        <w:t>שהעצורים</w:t>
      </w:r>
      <w:r w:rsidRPr="00F13DA5">
        <w:rPr>
          <w:rtl/>
        </w:rPr>
        <w:t xml:space="preserve"> </w:t>
      </w:r>
      <w:r w:rsidRPr="00F13DA5">
        <w:rPr>
          <w:rFonts w:hint="eastAsia"/>
          <w:rtl/>
        </w:rPr>
        <w:t>ישוחררו</w:t>
      </w:r>
      <w:r w:rsidRPr="00F13DA5">
        <w:rPr>
          <w:rtl/>
        </w:rPr>
        <w:t xml:space="preserve"> </w:t>
      </w:r>
      <w:r w:rsidRPr="00F13DA5">
        <w:rPr>
          <w:rFonts w:hint="eastAsia"/>
          <w:rtl/>
        </w:rPr>
        <w:t>על</w:t>
      </w:r>
      <w:r w:rsidRPr="00F13DA5">
        <w:rPr>
          <w:rtl/>
        </w:rPr>
        <w:t xml:space="preserve"> </w:t>
      </w:r>
      <w:r w:rsidRPr="00F13DA5">
        <w:rPr>
          <w:rFonts w:hint="eastAsia"/>
          <w:rtl/>
        </w:rPr>
        <w:t>ידי</w:t>
      </w:r>
      <w:r w:rsidRPr="00F13DA5">
        <w:rPr>
          <w:rtl/>
        </w:rPr>
        <w:t xml:space="preserve"> </w:t>
      </w:r>
      <w:r w:rsidRPr="00F13DA5">
        <w:rPr>
          <w:rFonts w:hint="eastAsia"/>
          <w:rtl/>
        </w:rPr>
        <w:t>בית</w:t>
      </w:r>
      <w:r w:rsidRPr="00F13DA5">
        <w:rPr>
          <w:rtl/>
        </w:rPr>
        <w:t xml:space="preserve"> </w:t>
      </w:r>
      <w:r w:rsidRPr="00F13DA5">
        <w:rPr>
          <w:rFonts w:hint="eastAsia"/>
          <w:rtl/>
        </w:rPr>
        <w:t>המשפט</w:t>
      </w:r>
      <w:r w:rsidRPr="00F13DA5">
        <w:rPr>
          <w:rtl/>
        </w:rPr>
        <w:t>.</w:t>
      </w:r>
      <w:r w:rsidRPr="00F13DA5">
        <w:rPr>
          <w:rFonts w:hint="cs"/>
          <w:rtl/>
        </w:rPr>
        <w:t xml:space="preserve"> </w:t>
      </w:r>
    </w:p>
    <w:p w14:paraId="07CF5AF3" w14:textId="77777777" w:rsidR="00BA23AE" w:rsidRDefault="00BA23AE" w:rsidP="00CD02C6">
      <w:pPr>
        <w:pStyle w:val="af4"/>
        <w:rPr>
          <w:rtl/>
        </w:rPr>
      </w:pPr>
      <w:bookmarkStart w:id="7" w:name="_Toc6326450"/>
      <w:r w:rsidRPr="00F13DA5">
        <w:rPr>
          <w:rFonts w:hint="cs"/>
          <w:rtl/>
        </w:rPr>
        <w:t>תיעוד לא</w:t>
      </w:r>
      <w:r>
        <w:rPr>
          <w:rFonts w:hint="cs"/>
          <w:rtl/>
        </w:rPr>
        <w:t xml:space="preserve"> </w:t>
      </w:r>
      <w:r w:rsidRPr="00F13DA5">
        <w:rPr>
          <w:rFonts w:hint="cs"/>
          <w:rtl/>
        </w:rPr>
        <w:t>מסודר וחלקי של פרטי המעצר במערכות הממוחשבות מונע מ</w:t>
      </w:r>
      <w:r>
        <w:rPr>
          <w:rFonts w:hint="cs"/>
          <w:rtl/>
        </w:rPr>
        <w:t xml:space="preserve">המשטרה </w:t>
      </w:r>
      <w:r w:rsidRPr="00F13DA5">
        <w:rPr>
          <w:rFonts w:hint="cs"/>
          <w:rtl/>
        </w:rPr>
        <w:t>לערוך בחינה כוללת</w:t>
      </w:r>
      <w:r>
        <w:rPr>
          <w:rFonts w:hint="cs"/>
          <w:rtl/>
        </w:rPr>
        <w:t>,</w:t>
      </w:r>
      <w:r w:rsidRPr="00F13DA5">
        <w:rPr>
          <w:rFonts w:hint="cs"/>
          <w:rtl/>
        </w:rPr>
        <w:t xml:space="preserve"> </w:t>
      </w:r>
      <w:r>
        <w:rPr>
          <w:rFonts w:hint="cs"/>
          <w:rtl/>
        </w:rPr>
        <w:t>מהירה ופשוטה</w:t>
      </w:r>
      <w:r w:rsidRPr="00F13DA5">
        <w:rPr>
          <w:rFonts w:hint="cs"/>
          <w:rtl/>
        </w:rPr>
        <w:t xml:space="preserve"> של השימוש בסמכות המעצר.</w:t>
      </w:r>
      <w:r>
        <w:rPr>
          <w:rFonts w:hint="cs"/>
          <w:rtl/>
        </w:rPr>
        <w:t xml:space="preserve"> בדיקה באמצעות המערכות הממוחשבות מטבעה הינה מקיפה ורחבה יותר מהליכי הבקרה המחייבים בחינה פרטנית של תיקים.</w:t>
      </w:r>
      <w:r w:rsidRPr="00F13DA5">
        <w:rPr>
          <w:rFonts w:hint="cs"/>
          <w:rtl/>
        </w:rPr>
        <w:t xml:space="preserve"> כמו כן, </w:t>
      </w:r>
      <w:r>
        <w:rPr>
          <w:rFonts w:hint="cs"/>
          <w:rtl/>
        </w:rPr>
        <w:t xml:space="preserve">במצב זה </w:t>
      </w:r>
      <w:r w:rsidRPr="00F13DA5">
        <w:rPr>
          <w:rFonts w:hint="cs"/>
          <w:rtl/>
        </w:rPr>
        <w:t>המשטרה אינה יכולה לבחון אם יש פערים בין המחוזות השונים בראייה כלל-ארצית.</w:t>
      </w:r>
    </w:p>
    <w:p w14:paraId="7ABEB534" w14:textId="77777777" w:rsidR="00BA23AE" w:rsidRPr="00F13DA5" w:rsidRDefault="00BA23AE" w:rsidP="00CD02C6">
      <w:pPr>
        <w:pStyle w:val="af4"/>
      </w:pPr>
      <w:r w:rsidRPr="00F13DA5">
        <w:rPr>
          <w:rFonts w:hint="cs"/>
          <w:rtl/>
        </w:rPr>
        <w:t>להלן, מספר דוגמאות לבדיקות שלא ניתן לבצע במלואן באמצעות המערכות הממוחשבות</w:t>
      </w:r>
      <w:r>
        <w:rPr>
          <w:rFonts w:hint="cs"/>
          <w:rtl/>
        </w:rPr>
        <w:t xml:space="preserve"> נוכח אי הקפדה על התיעוד</w:t>
      </w:r>
      <w:r w:rsidRPr="00F13DA5">
        <w:rPr>
          <w:rFonts w:hint="cs"/>
          <w:rtl/>
        </w:rPr>
        <w:t>: משך זמן הטיפול בעצור ממועד המעצר, דרך הבאת העצור לתחנה, ועד לקבלת החלטה על ידי קצין ממונה; השוואת עילות המעצר והעבירות שקבע השוטר בעניינו של עצור לעומת אלו שקבע הקצין הממונה (ראו להלן) ; בחינת אופן הפעלת שיקול הדעת של גורמים אלו</w:t>
      </w:r>
      <w:r>
        <w:rPr>
          <w:rFonts w:hint="cs"/>
          <w:rtl/>
        </w:rPr>
        <w:t>.</w:t>
      </w:r>
    </w:p>
    <w:p w14:paraId="3CFDD366" w14:textId="77777777" w:rsidR="00BA23AE" w:rsidRPr="00F13DA5" w:rsidRDefault="00BA23AE" w:rsidP="00CD02C6">
      <w:pPr>
        <w:pStyle w:val="100"/>
        <w:rPr>
          <w:rtl/>
        </w:rPr>
      </w:pPr>
      <w:r w:rsidRPr="00F13DA5">
        <w:rPr>
          <w:rFonts w:hint="cs"/>
          <w:rtl/>
        </w:rPr>
        <w:t xml:space="preserve">משטרת ישראל מסרה בתגובתה, כי התפקיד המרכזי של החוקר הוא לחקור. תיעוד הוא חלק בלתי נפרד מעבודת החוקר ולעיתים הוא חובה מכוח חוק. חרף האמור, המשטרה אינה נדרשת </w:t>
      </w:r>
      <w:r w:rsidRPr="00F13DA5">
        <w:rPr>
          <w:rFonts w:hint="cs"/>
          <w:rtl/>
        </w:rPr>
        <w:lastRenderedPageBreak/>
        <w:t xml:space="preserve">לתעד כל פעולה במערכות הממוחשבות שלה לצורך ניתוח נתונים סטטיסטי ואף אין לה מערכת הבוחנת את זמני הטיפול בעצור, אלא הנתונים נרשמים </w:t>
      </w:r>
      <w:r>
        <w:rPr>
          <w:rFonts w:hint="cs"/>
          <w:rtl/>
        </w:rPr>
        <w:t xml:space="preserve">בדוח המעצר </w:t>
      </w:r>
      <w:r w:rsidRPr="00F13DA5">
        <w:rPr>
          <w:rFonts w:hint="cs"/>
          <w:rtl/>
        </w:rPr>
        <w:t xml:space="preserve">לגבי כל עצור בנפרד. המשטרה מעלה טפסים למערכות הממוחשבות </w:t>
      </w:r>
      <w:r>
        <w:rPr>
          <w:rFonts w:hint="cs"/>
          <w:rtl/>
        </w:rPr>
        <w:t>בהדרגה</w:t>
      </w:r>
      <w:r w:rsidRPr="00F13DA5">
        <w:rPr>
          <w:rFonts w:hint="cs"/>
          <w:rtl/>
        </w:rPr>
        <w:t xml:space="preserve">, </w:t>
      </w:r>
      <w:r>
        <w:rPr>
          <w:rFonts w:hint="cs"/>
          <w:rtl/>
        </w:rPr>
        <w:t>באופן</w:t>
      </w:r>
      <w:r w:rsidRPr="00F13DA5">
        <w:rPr>
          <w:rFonts w:hint="cs"/>
          <w:rtl/>
        </w:rPr>
        <w:t xml:space="preserve"> שניתן יהיה לעקוב אחר ביצוע פעולות ומועד ביצוען</w:t>
      </w:r>
      <w:r>
        <w:rPr>
          <w:rFonts w:hint="cs"/>
          <w:rtl/>
        </w:rPr>
        <w:t>,</w:t>
      </w:r>
      <w:r w:rsidRPr="00F13DA5">
        <w:rPr>
          <w:rFonts w:hint="cs"/>
          <w:rtl/>
        </w:rPr>
        <w:t xml:space="preserve"> </w:t>
      </w:r>
      <w:r>
        <w:rPr>
          <w:rFonts w:hint="cs"/>
          <w:rtl/>
        </w:rPr>
        <w:t>ו</w:t>
      </w:r>
      <w:r w:rsidRPr="00F13DA5">
        <w:rPr>
          <w:rFonts w:hint="cs"/>
          <w:rtl/>
        </w:rPr>
        <w:t xml:space="preserve">העלאת הטפסים תלויה בפיתוח ובהקצאת תקציבים. עוד הודגש כי כל עוד </w:t>
      </w:r>
      <w:r>
        <w:rPr>
          <w:rFonts w:hint="cs"/>
          <w:rtl/>
        </w:rPr>
        <w:t xml:space="preserve">לא יירשם </w:t>
      </w:r>
      <w:r w:rsidRPr="00F13DA5">
        <w:rPr>
          <w:rFonts w:hint="cs"/>
          <w:rtl/>
        </w:rPr>
        <w:t xml:space="preserve">מועד ביצוע הפעולות באופן ממוחשב ואוטומטי, אזי יהיו פערי זמן בין הביצוע לתיעוד. </w:t>
      </w:r>
    </w:p>
    <w:p w14:paraId="5603D925" w14:textId="77777777" w:rsidR="00BA23AE" w:rsidRDefault="00BA23AE" w:rsidP="00CD02C6">
      <w:pPr>
        <w:pStyle w:val="af4"/>
        <w:rPr>
          <w:rtl/>
        </w:rPr>
      </w:pPr>
      <w:r w:rsidRPr="00F13DA5">
        <w:rPr>
          <w:rFonts w:hint="eastAsia"/>
          <w:rtl/>
        </w:rPr>
        <w:t>משרד</w:t>
      </w:r>
      <w:r w:rsidRPr="00F13DA5">
        <w:rPr>
          <w:rtl/>
        </w:rPr>
        <w:t xml:space="preserve"> מבקר המדינה </w:t>
      </w:r>
      <w:r w:rsidRPr="00F13DA5">
        <w:rPr>
          <w:rFonts w:hint="eastAsia"/>
          <w:rtl/>
        </w:rPr>
        <w:t>רואה</w:t>
      </w:r>
      <w:r w:rsidRPr="00F13DA5">
        <w:rPr>
          <w:rtl/>
        </w:rPr>
        <w:t xml:space="preserve"> בחיוב את </w:t>
      </w:r>
      <w:r w:rsidRPr="00F13DA5">
        <w:rPr>
          <w:rFonts w:hint="eastAsia"/>
          <w:rtl/>
        </w:rPr>
        <w:t>מחויבות</w:t>
      </w:r>
      <w:r w:rsidRPr="00F13DA5">
        <w:rPr>
          <w:rtl/>
        </w:rPr>
        <w:t xml:space="preserve"> המשטרה לשדרוג הטפסים הקיימים במערכות הממוחשבות של</w:t>
      </w:r>
      <w:r w:rsidRPr="00F13DA5">
        <w:rPr>
          <w:rFonts w:hint="eastAsia"/>
          <w:rtl/>
        </w:rPr>
        <w:t>ה</w:t>
      </w:r>
      <w:r w:rsidRPr="00F13DA5">
        <w:rPr>
          <w:rtl/>
        </w:rPr>
        <w:t>.</w:t>
      </w:r>
      <w:r w:rsidRPr="00F13DA5">
        <w:rPr>
          <w:rFonts w:hint="cs"/>
          <w:rtl/>
        </w:rPr>
        <w:t xml:space="preserve"> </w:t>
      </w:r>
      <w:r w:rsidRPr="00F13DA5">
        <w:rPr>
          <w:rFonts w:hint="eastAsia"/>
          <w:rtl/>
        </w:rPr>
        <w:t>על</w:t>
      </w:r>
      <w:r w:rsidRPr="00F13DA5">
        <w:rPr>
          <w:rtl/>
        </w:rPr>
        <w:t xml:space="preserve"> </w:t>
      </w:r>
      <w:r w:rsidRPr="00F13DA5">
        <w:rPr>
          <w:rFonts w:hint="eastAsia"/>
          <w:rtl/>
        </w:rPr>
        <w:t>המשטרה</w:t>
      </w:r>
      <w:r w:rsidRPr="00F13DA5">
        <w:rPr>
          <w:rtl/>
        </w:rPr>
        <w:t xml:space="preserve"> </w:t>
      </w:r>
      <w:r w:rsidRPr="00F13DA5">
        <w:rPr>
          <w:rFonts w:hint="eastAsia"/>
          <w:rtl/>
        </w:rPr>
        <w:t>לתעדף</w:t>
      </w:r>
      <w:r w:rsidRPr="00F13DA5">
        <w:rPr>
          <w:rtl/>
        </w:rPr>
        <w:t xml:space="preserve"> </w:t>
      </w:r>
      <w:r w:rsidRPr="00F13DA5">
        <w:rPr>
          <w:rFonts w:hint="eastAsia"/>
          <w:rtl/>
        </w:rPr>
        <w:t>את</w:t>
      </w:r>
      <w:r w:rsidRPr="00F13DA5">
        <w:rPr>
          <w:rtl/>
        </w:rPr>
        <w:t xml:space="preserve"> </w:t>
      </w:r>
      <w:r w:rsidRPr="00F13DA5">
        <w:rPr>
          <w:rFonts w:hint="eastAsia"/>
          <w:rtl/>
        </w:rPr>
        <w:t>שדרוג</w:t>
      </w:r>
      <w:r w:rsidRPr="00F13DA5">
        <w:rPr>
          <w:rtl/>
        </w:rPr>
        <w:t xml:space="preserve"> </w:t>
      </w:r>
      <w:r w:rsidRPr="00F13DA5">
        <w:rPr>
          <w:rFonts w:hint="eastAsia"/>
          <w:rtl/>
        </w:rPr>
        <w:t>הטפסים</w:t>
      </w:r>
      <w:r w:rsidRPr="00F13DA5">
        <w:rPr>
          <w:rtl/>
        </w:rPr>
        <w:t xml:space="preserve"> בהתאם </w:t>
      </w:r>
      <w:r w:rsidRPr="00F13DA5">
        <w:rPr>
          <w:rFonts w:hint="cs"/>
          <w:rtl/>
        </w:rPr>
        <w:t>ל</w:t>
      </w:r>
      <w:r w:rsidRPr="00F13DA5">
        <w:rPr>
          <w:rtl/>
        </w:rPr>
        <w:t xml:space="preserve">חומרת הפערים העולים </w:t>
      </w:r>
      <w:r w:rsidRPr="00F13DA5">
        <w:rPr>
          <w:rFonts w:hint="eastAsia"/>
          <w:rtl/>
        </w:rPr>
        <w:t>בממצאי</w:t>
      </w:r>
      <w:r w:rsidRPr="00F13DA5">
        <w:rPr>
          <w:rtl/>
        </w:rPr>
        <w:t xml:space="preserve"> </w:t>
      </w:r>
      <w:r w:rsidRPr="00F13DA5">
        <w:rPr>
          <w:rFonts w:hint="eastAsia"/>
          <w:rtl/>
        </w:rPr>
        <w:t>הבקרה</w:t>
      </w:r>
      <w:r w:rsidRPr="00F13DA5">
        <w:rPr>
          <w:rtl/>
        </w:rPr>
        <w:t xml:space="preserve"> </w:t>
      </w:r>
      <w:r w:rsidRPr="00F13DA5">
        <w:rPr>
          <w:rFonts w:hint="eastAsia"/>
          <w:rtl/>
        </w:rPr>
        <w:t>והביקורת</w:t>
      </w:r>
      <w:r w:rsidRPr="00F13DA5">
        <w:rPr>
          <w:rtl/>
        </w:rPr>
        <w:t xml:space="preserve"> בתחום המעצרים</w:t>
      </w:r>
      <w:r w:rsidRPr="00F13DA5">
        <w:rPr>
          <w:rFonts w:hint="cs"/>
          <w:rtl/>
        </w:rPr>
        <w:t xml:space="preserve"> והפערים שבמאגרי המידע</w:t>
      </w:r>
      <w:r w:rsidRPr="00F13DA5">
        <w:rPr>
          <w:rtl/>
        </w:rPr>
        <w:t xml:space="preserve">. </w:t>
      </w:r>
      <w:r w:rsidRPr="00F13DA5">
        <w:rPr>
          <w:rFonts w:hint="eastAsia"/>
          <w:rtl/>
        </w:rPr>
        <w:t>בבואה</w:t>
      </w:r>
      <w:r w:rsidRPr="00F13DA5">
        <w:rPr>
          <w:rtl/>
        </w:rPr>
        <w:t xml:space="preserve"> לשדרג את הטפסים </w:t>
      </w:r>
      <w:r w:rsidRPr="00F13DA5">
        <w:rPr>
          <w:rFonts w:hint="eastAsia"/>
          <w:rtl/>
        </w:rPr>
        <w:t>על</w:t>
      </w:r>
      <w:r w:rsidRPr="00F13DA5">
        <w:rPr>
          <w:rtl/>
        </w:rPr>
        <w:t xml:space="preserve"> המשטרה לבחון כיצד תוכל להקל על עבודת </w:t>
      </w:r>
      <w:r w:rsidRPr="00F13DA5">
        <w:rPr>
          <w:rFonts w:hint="cs"/>
          <w:rtl/>
        </w:rPr>
        <w:t>החוקרים והשוטרים</w:t>
      </w:r>
      <w:r w:rsidRPr="00F13DA5">
        <w:rPr>
          <w:rtl/>
        </w:rPr>
        <w:t xml:space="preserve"> מחד </w:t>
      </w:r>
      <w:r w:rsidRPr="00F13DA5">
        <w:rPr>
          <w:rFonts w:hint="eastAsia"/>
          <w:rtl/>
        </w:rPr>
        <w:t>ולהטמיע</w:t>
      </w:r>
      <w:r w:rsidRPr="00F13DA5">
        <w:rPr>
          <w:rtl/>
        </w:rPr>
        <w:t xml:space="preserve"> </w:t>
      </w:r>
      <w:r w:rsidRPr="00F13DA5">
        <w:rPr>
          <w:rFonts w:hint="eastAsia"/>
          <w:rtl/>
        </w:rPr>
        <w:t>את</w:t>
      </w:r>
      <w:r w:rsidRPr="00F13DA5">
        <w:rPr>
          <w:rtl/>
        </w:rPr>
        <w:t xml:space="preserve"> חשיבות מילוי הטפסים </w:t>
      </w:r>
      <w:r w:rsidRPr="00F13DA5">
        <w:rPr>
          <w:rFonts w:hint="eastAsia"/>
          <w:rtl/>
        </w:rPr>
        <w:t>במלואם</w:t>
      </w:r>
      <w:r w:rsidRPr="00F13DA5">
        <w:rPr>
          <w:rtl/>
        </w:rPr>
        <w:t xml:space="preserve"> </w:t>
      </w:r>
      <w:r w:rsidRPr="00F13DA5">
        <w:rPr>
          <w:rFonts w:hint="eastAsia"/>
          <w:rtl/>
        </w:rPr>
        <w:t>מאידך</w:t>
      </w:r>
      <w:r w:rsidRPr="00F13DA5">
        <w:rPr>
          <w:rtl/>
        </w:rPr>
        <w:t xml:space="preserve">. </w:t>
      </w:r>
    </w:p>
    <w:p w14:paraId="768B04F5" w14:textId="77777777" w:rsidR="00BA23AE" w:rsidRPr="00F13DA5" w:rsidRDefault="00BA23AE" w:rsidP="00CD02C6">
      <w:pPr>
        <w:pStyle w:val="af4"/>
        <w:rPr>
          <w:rtl/>
        </w:rPr>
      </w:pPr>
      <w:r>
        <w:rPr>
          <w:rFonts w:hint="cs"/>
          <w:rtl/>
        </w:rPr>
        <w:t>יחד עם זאת, תיעוד הוא תנאי בסיסי לבחינת עמידת המשטרה בחובותיה בדין, ובייחוד כאשר הפעלת הסמכות גוררת עימה פגיעה בזכות לחירות ולכבוד. כמו כן</w:t>
      </w:r>
      <w:r w:rsidRPr="00F13DA5">
        <w:rPr>
          <w:rFonts w:hint="cs"/>
          <w:rtl/>
        </w:rPr>
        <w:t xml:space="preserve">, ניתוח נתונים ממאגרי המידע שבמערכות הממוחשבות יכול להביא לשיפור עבודת המשטרה. על כן, היא נדרשת למצוא את האיזון בין חובותיה </w:t>
      </w:r>
      <w:r>
        <w:rPr>
          <w:rFonts w:hint="cs"/>
          <w:rtl/>
        </w:rPr>
        <w:t xml:space="preserve">השונות </w:t>
      </w:r>
      <w:r w:rsidRPr="00F13DA5">
        <w:rPr>
          <w:rFonts w:hint="cs"/>
          <w:rtl/>
        </w:rPr>
        <w:t>- קיום חקירה יעילה וחתירה לחקר האמת, עמידתה על קיום זכויות העצור ותיעוד פעולותיה כנדרש בדין.</w:t>
      </w:r>
      <w:r>
        <w:rPr>
          <w:rFonts w:hint="cs"/>
          <w:rtl/>
        </w:rPr>
        <w:t xml:space="preserve"> </w:t>
      </w:r>
    </w:p>
    <w:p w14:paraId="0EAD5EE6" w14:textId="77777777" w:rsidR="00BA23AE" w:rsidRPr="00F13DA5" w:rsidRDefault="00BA23AE" w:rsidP="00CD02C6">
      <w:pPr>
        <w:pStyle w:val="316"/>
        <w:rPr>
          <w:rtl/>
        </w:rPr>
      </w:pPr>
      <w:r w:rsidRPr="00F13DA5">
        <w:rPr>
          <w:rFonts w:hint="cs"/>
          <w:rtl/>
        </w:rPr>
        <w:t>החלטת קצין ממונה על מעצרו של אדם</w:t>
      </w:r>
    </w:p>
    <w:p w14:paraId="2C1E67BC" w14:textId="77777777" w:rsidR="00BA23AE" w:rsidRPr="00F13DA5" w:rsidRDefault="00BA23AE" w:rsidP="00CD02C6">
      <w:pPr>
        <w:pStyle w:val="414"/>
        <w:rPr>
          <w:rtl/>
        </w:rPr>
      </w:pPr>
      <w:r w:rsidRPr="00F13DA5">
        <w:rPr>
          <w:rFonts w:hint="cs"/>
          <w:rtl/>
        </w:rPr>
        <w:t xml:space="preserve">דחיית הבאת עצור </w:t>
      </w:r>
      <w:r>
        <w:rPr>
          <w:rFonts w:hint="cs"/>
          <w:rtl/>
        </w:rPr>
        <w:t>ל</w:t>
      </w:r>
      <w:r w:rsidRPr="00F13DA5">
        <w:rPr>
          <w:rFonts w:hint="cs"/>
          <w:rtl/>
        </w:rPr>
        <w:t>פני קצין ממונה</w:t>
      </w:r>
      <w:bookmarkEnd w:id="7"/>
    </w:p>
    <w:p w14:paraId="7DC46906" w14:textId="77777777" w:rsidR="00BA23AE" w:rsidRPr="00F13DA5" w:rsidRDefault="00BA23AE" w:rsidP="00CD02C6">
      <w:pPr>
        <w:pStyle w:val="100"/>
        <w:rPr>
          <w:rtl/>
        </w:rPr>
      </w:pPr>
      <w:r w:rsidRPr="00F13DA5">
        <w:rPr>
          <w:rFonts w:hint="cs"/>
          <w:rtl/>
        </w:rPr>
        <w:t xml:space="preserve">לפי חוק המעצרים, שוטר שעצר אדם ללא צו מעצר חייב להביאו, ללא דיחוי, לתחנת המשטרה ולהעבירו לרשות הקצין הממונה. הקצין הממונה נדרש להחליט על מעצרו או </w:t>
      </w:r>
      <w:r>
        <w:rPr>
          <w:rFonts w:hint="cs"/>
          <w:rtl/>
        </w:rPr>
        <w:t xml:space="preserve">על </w:t>
      </w:r>
      <w:r w:rsidRPr="00F13DA5">
        <w:rPr>
          <w:rFonts w:hint="cs"/>
          <w:rtl/>
        </w:rPr>
        <w:t xml:space="preserve">שחרורו של העצור. בשלב זה על הקצין לקבוע אם מתקיימת אחת מעילות המעצר הקבועות בחוק. לפי </w:t>
      </w:r>
      <w:r>
        <w:rPr>
          <w:rFonts w:hint="cs"/>
          <w:rtl/>
        </w:rPr>
        <w:t>פקודת מטא"ר</w:t>
      </w:r>
      <w:r w:rsidRPr="00F13DA5">
        <w:rPr>
          <w:rFonts w:hint="cs"/>
          <w:rtl/>
        </w:rPr>
        <w:t xml:space="preserve">, ניתן לעכב את הבאתו של העצור </w:t>
      </w:r>
      <w:r>
        <w:rPr>
          <w:rFonts w:hint="cs"/>
          <w:rtl/>
        </w:rPr>
        <w:t>ל</w:t>
      </w:r>
      <w:r w:rsidRPr="00F13DA5">
        <w:rPr>
          <w:rFonts w:hint="cs"/>
          <w:rtl/>
        </w:rPr>
        <w:t>פני קצין ממונה עד שלוש שעות ממועד הבאתו לתחנה לצורך ביצוע פעולות חקירה שיבססו את החלטת הקצין הממונה</w:t>
      </w:r>
      <w:r>
        <w:rPr>
          <w:rFonts w:hint="cs"/>
          <w:rtl/>
        </w:rPr>
        <w:t>,</w:t>
      </w:r>
      <w:r w:rsidRPr="00F13DA5">
        <w:rPr>
          <w:rFonts w:hint="cs"/>
          <w:rtl/>
        </w:rPr>
        <w:t xml:space="preserve"> אם התבצעו מעצרים מרובי משתתפים או כשהקצין הממונה </w:t>
      </w:r>
      <w:r>
        <w:rPr>
          <w:rFonts w:hint="cs"/>
          <w:rtl/>
        </w:rPr>
        <w:t>אינו</w:t>
      </w:r>
      <w:r w:rsidRPr="00F13DA5">
        <w:rPr>
          <w:rFonts w:hint="cs"/>
          <w:rtl/>
        </w:rPr>
        <w:t xml:space="preserve"> נמצא בתחנה. הלכה למעשה, מטרת הפעולות היא בירור ראשוני של האירוע.</w:t>
      </w:r>
    </w:p>
    <w:p w14:paraId="150D971D" w14:textId="77777777" w:rsidR="00BA23AE" w:rsidRPr="00F13DA5" w:rsidRDefault="00BA23AE" w:rsidP="008A0C03">
      <w:pPr>
        <w:pStyle w:val="a1"/>
        <w:numPr>
          <w:ilvl w:val="0"/>
          <w:numId w:val="17"/>
        </w:numPr>
        <w:rPr>
          <w:rtl/>
        </w:rPr>
      </w:pPr>
      <w:r w:rsidRPr="00F13DA5">
        <w:rPr>
          <w:rFonts w:hint="cs"/>
          <w:rtl/>
        </w:rPr>
        <w:t>מועד הבאתו של עצור לתחנת המשטרה מפורט בדוח מעצר שוטר, ואילו מועד הבאתו של עצור בפני קצין ממונה מפורט בדוח קצין ממונה. מתוך 174,173 מעצרים שנערכו בשנים 2016 -</w:t>
      </w:r>
      <w:r>
        <w:rPr>
          <w:rFonts w:hint="cs"/>
          <w:rtl/>
        </w:rPr>
        <w:t xml:space="preserve"> </w:t>
      </w:r>
      <w:r w:rsidRPr="00F13DA5">
        <w:rPr>
          <w:rFonts w:hint="cs"/>
          <w:rtl/>
        </w:rPr>
        <w:t>2018 בחן משרד מבקר המדינה כ-</w:t>
      </w:r>
      <w:r>
        <w:rPr>
          <w:rFonts w:hint="cs"/>
          <w:rtl/>
        </w:rPr>
        <w:t>84,000</w:t>
      </w:r>
      <w:r w:rsidRPr="00F13DA5">
        <w:rPr>
          <w:rFonts w:hint="cs"/>
          <w:rtl/>
        </w:rPr>
        <w:t xml:space="preserve"> מעצרים שבהם אותר דוח מעצר שוטר. </w:t>
      </w:r>
    </w:p>
    <w:p w14:paraId="31A02A97" w14:textId="77777777" w:rsidR="00BA23AE" w:rsidRPr="00F13DA5" w:rsidRDefault="00BA23AE" w:rsidP="00CD02C6">
      <w:pPr>
        <w:pStyle w:val="ad"/>
        <w:rPr>
          <w:rtl/>
        </w:rPr>
      </w:pPr>
      <w:r w:rsidRPr="00F13DA5">
        <w:rPr>
          <w:rFonts w:hint="eastAsia"/>
          <w:rtl/>
        </w:rPr>
        <w:t>מתוך</w:t>
      </w:r>
      <w:r w:rsidRPr="00F13DA5">
        <w:rPr>
          <w:rtl/>
        </w:rPr>
        <w:t xml:space="preserve"> </w:t>
      </w:r>
      <w:r w:rsidRPr="00F13DA5">
        <w:rPr>
          <w:rFonts w:hint="cs"/>
          <w:rtl/>
        </w:rPr>
        <w:t>כ-</w:t>
      </w:r>
      <w:r>
        <w:rPr>
          <w:rFonts w:hint="cs"/>
          <w:rtl/>
        </w:rPr>
        <w:t>84</w:t>
      </w:r>
      <w:r w:rsidRPr="00F13DA5">
        <w:rPr>
          <w:rFonts w:hint="cs"/>
          <w:rtl/>
        </w:rPr>
        <w:t>,000 ה</w:t>
      </w:r>
      <w:r w:rsidRPr="00F13DA5">
        <w:rPr>
          <w:rtl/>
        </w:rPr>
        <w:t xml:space="preserve">מעצרים </w:t>
      </w:r>
      <w:r w:rsidRPr="00F13DA5">
        <w:rPr>
          <w:rFonts w:hint="cs"/>
          <w:rtl/>
        </w:rPr>
        <w:t>שנבדקו</w:t>
      </w:r>
      <w:r w:rsidRPr="00F13DA5">
        <w:rPr>
          <w:rtl/>
        </w:rPr>
        <w:t>,</w:t>
      </w:r>
      <w:r>
        <w:rPr>
          <w:rFonts w:hint="cs"/>
          <w:rtl/>
        </w:rPr>
        <w:t xml:space="preserve"> רק</w:t>
      </w:r>
      <w:r w:rsidRPr="00F13DA5">
        <w:rPr>
          <w:rtl/>
        </w:rPr>
        <w:t xml:space="preserve"> ב</w:t>
      </w:r>
      <w:r w:rsidRPr="00F13DA5">
        <w:rPr>
          <w:rFonts w:hint="cs"/>
          <w:rtl/>
        </w:rPr>
        <w:t>כ-</w:t>
      </w:r>
      <w:r>
        <w:rPr>
          <w:rFonts w:hint="cs"/>
          <w:rtl/>
        </w:rPr>
        <w:t>48</w:t>
      </w:r>
      <w:r w:rsidRPr="00F13DA5">
        <w:rPr>
          <w:rFonts w:hint="cs"/>
          <w:rtl/>
        </w:rPr>
        <w:t xml:space="preserve">,000 </w:t>
      </w:r>
      <w:r w:rsidRPr="00F13DA5">
        <w:rPr>
          <w:rtl/>
        </w:rPr>
        <w:t xml:space="preserve">דוחות (57%) </w:t>
      </w:r>
      <w:r w:rsidRPr="00F13DA5">
        <w:rPr>
          <w:rFonts w:hint="eastAsia"/>
          <w:rtl/>
        </w:rPr>
        <w:t>פורט</w:t>
      </w:r>
      <w:r w:rsidRPr="00F13DA5">
        <w:rPr>
          <w:rtl/>
        </w:rPr>
        <w:t xml:space="preserve"> מועד הבאת העצור לתחנת המשטרה. אי</w:t>
      </w:r>
      <w:r w:rsidRPr="00F13DA5">
        <w:rPr>
          <w:rFonts w:hint="cs"/>
          <w:rtl/>
        </w:rPr>
        <w:t>-</w:t>
      </w:r>
      <w:r w:rsidRPr="00F13DA5">
        <w:rPr>
          <w:rtl/>
        </w:rPr>
        <w:t xml:space="preserve">הקפדה על מילוי מועד הבאת העצור לתחנה בדוח מעצר שוטר מונע מהמשטרה לבחון אם החוקרים והשוטרים עומדים בפקודותיה. </w:t>
      </w:r>
    </w:p>
    <w:p w14:paraId="45239EC5" w14:textId="77777777" w:rsidR="00BA23AE" w:rsidRPr="00F13DA5" w:rsidRDefault="00BA23AE" w:rsidP="00CD02C6">
      <w:pPr>
        <w:pStyle w:val="af3"/>
        <w:rPr>
          <w:rtl/>
        </w:rPr>
      </w:pPr>
      <w:r w:rsidRPr="00F13DA5">
        <w:rPr>
          <w:rFonts w:hint="cs"/>
          <w:rtl/>
        </w:rPr>
        <w:lastRenderedPageBreak/>
        <w:t xml:space="preserve">המשטרה מסרה בתשובתה כי </w:t>
      </w:r>
      <w:r w:rsidRPr="00F13DA5">
        <w:rPr>
          <w:rFonts w:hint="eastAsia"/>
          <w:rtl/>
        </w:rPr>
        <w:t>חטיבת</w:t>
      </w:r>
      <w:r w:rsidRPr="00F13DA5">
        <w:rPr>
          <w:rtl/>
        </w:rPr>
        <w:t xml:space="preserve"> החקירות תפעל לעדכון טופס הדוח המקוון, </w:t>
      </w:r>
      <w:r w:rsidRPr="00F13DA5">
        <w:rPr>
          <w:rFonts w:hint="cs"/>
          <w:rtl/>
        </w:rPr>
        <w:t>באופן</w:t>
      </w:r>
      <w:r w:rsidRPr="00F13DA5">
        <w:rPr>
          <w:rtl/>
        </w:rPr>
        <w:t xml:space="preserve"> </w:t>
      </w:r>
      <w:r w:rsidRPr="00F13DA5">
        <w:rPr>
          <w:rFonts w:hint="eastAsia"/>
          <w:rtl/>
        </w:rPr>
        <w:t>שמילוי</w:t>
      </w:r>
      <w:r w:rsidRPr="00F13DA5">
        <w:rPr>
          <w:rtl/>
        </w:rPr>
        <w:t xml:space="preserve"> </w:t>
      </w:r>
      <w:r w:rsidRPr="00F13DA5">
        <w:rPr>
          <w:rFonts w:hint="eastAsia"/>
          <w:rtl/>
        </w:rPr>
        <w:t>מועד</w:t>
      </w:r>
      <w:r w:rsidRPr="00F13DA5">
        <w:rPr>
          <w:rtl/>
        </w:rPr>
        <w:t xml:space="preserve"> </w:t>
      </w:r>
      <w:r w:rsidRPr="00F13DA5">
        <w:rPr>
          <w:rFonts w:hint="eastAsia"/>
          <w:rtl/>
        </w:rPr>
        <w:t>הבאת</w:t>
      </w:r>
      <w:r w:rsidRPr="00F13DA5">
        <w:rPr>
          <w:rtl/>
        </w:rPr>
        <w:t xml:space="preserve"> </w:t>
      </w:r>
      <w:r w:rsidRPr="00F13DA5">
        <w:rPr>
          <w:rFonts w:hint="eastAsia"/>
          <w:rtl/>
        </w:rPr>
        <w:t>העצור</w:t>
      </w:r>
      <w:r w:rsidRPr="00F13DA5">
        <w:rPr>
          <w:rtl/>
        </w:rPr>
        <w:t xml:space="preserve"> </w:t>
      </w:r>
      <w:r w:rsidRPr="00F13DA5">
        <w:rPr>
          <w:rFonts w:hint="eastAsia"/>
          <w:rtl/>
        </w:rPr>
        <w:t>לתחנה</w:t>
      </w:r>
      <w:r w:rsidRPr="00F13DA5">
        <w:rPr>
          <w:rtl/>
        </w:rPr>
        <w:t xml:space="preserve"> </w:t>
      </w:r>
      <w:r w:rsidRPr="00F13DA5">
        <w:rPr>
          <w:rFonts w:hint="eastAsia"/>
          <w:rtl/>
        </w:rPr>
        <w:t>יהיה</w:t>
      </w:r>
      <w:r w:rsidRPr="00F13DA5">
        <w:rPr>
          <w:rtl/>
        </w:rPr>
        <w:t xml:space="preserve"> תנאי חובה להשלמת דוח המעצר, </w:t>
      </w:r>
      <w:r w:rsidRPr="00F13DA5">
        <w:rPr>
          <w:rFonts w:hint="cs"/>
          <w:rtl/>
        </w:rPr>
        <w:t>ל</w:t>
      </w:r>
      <w:r w:rsidRPr="00F13DA5">
        <w:rPr>
          <w:rtl/>
        </w:rPr>
        <w:t>שמירתו ו</w:t>
      </w:r>
      <w:r w:rsidRPr="00F13DA5">
        <w:rPr>
          <w:rFonts w:hint="cs"/>
          <w:rtl/>
        </w:rPr>
        <w:t>ל</w:t>
      </w:r>
      <w:r w:rsidRPr="00F13DA5">
        <w:rPr>
          <w:rtl/>
        </w:rPr>
        <w:t>הדפסתו.</w:t>
      </w:r>
      <w:r w:rsidRPr="00F13DA5">
        <w:rPr>
          <w:rFonts w:hint="cs"/>
          <w:rtl/>
        </w:rPr>
        <w:t xml:space="preserve"> כמו כן, תופץ הנחיה משותפת של אגף חקירות ואגף שיטור בנושא מילוי נתון זה. </w:t>
      </w:r>
    </w:p>
    <w:p w14:paraId="39FE7B0A" w14:textId="77777777" w:rsidR="00BA23AE" w:rsidRPr="00F13DA5" w:rsidRDefault="00BA23AE" w:rsidP="00CD02C6">
      <w:pPr>
        <w:pStyle w:val="a1"/>
      </w:pPr>
      <w:r w:rsidRPr="00F13DA5">
        <w:rPr>
          <w:rFonts w:hint="cs"/>
          <w:rtl/>
        </w:rPr>
        <w:t xml:space="preserve">במערכות הממוחשבות של המשטרה לא נשמר הנתון על אודות מועד הבאתו של העצור לפני קצין ממונה חרף רישומו בדוח הקצין הממונה, אבל נשמרת שעת יצירת המסמך - המועד המוקדם ביותר </w:t>
      </w:r>
      <w:r>
        <w:rPr>
          <w:rFonts w:hint="cs"/>
          <w:rtl/>
        </w:rPr>
        <w:t>ש</w:t>
      </w:r>
      <w:r w:rsidRPr="00F13DA5">
        <w:rPr>
          <w:rFonts w:hint="cs"/>
          <w:rtl/>
        </w:rPr>
        <w:t xml:space="preserve">בו הובא העצור </w:t>
      </w:r>
      <w:r>
        <w:rPr>
          <w:rFonts w:hint="cs"/>
          <w:rtl/>
        </w:rPr>
        <w:t>ל</w:t>
      </w:r>
      <w:r w:rsidRPr="00F13DA5">
        <w:rPr>
          <w:rFonts w:hint="cs"/>
          <w:rtl/>
        </w:rPr>
        <w:t xml:space="preserve">פניו. משרד מבקר המדינה ערך </w:t>
      </w:r>
      <w:r>
        <w:rPr>
          <w:rFonts w:hint="cs"/>
          <w:rtl/>
        </w:rPr>
        <w:t>בדיקה</w:t>
      </w:r>
      <w:r w:rsidRPr="00F13DA5">
        <w:rPr>
          <w:rFonts w:hint="cs"/>
          <w:rtl/>
        </w:rPr>
        <w:t xml:space="preserve"> של מועד הבאת העצור לפני הקצין הממונה לפי המועד שבו נוצר דוח הקצין הממונה. על כן נבחנו כ-30,000 מעצרים שבהם נרשם נתון זה על מנת לבחון את הפרש </w:t>
      </w:r>
      <w:r>
        <w:rPr>
          <w:rFonts w:hint="cs"/>
          <w:rtl/>
        </w:rPr>
        <w:t xml:space="preserve">הזמנים </w:t>
      </w:r>
      <w:r w:rsidRPr="00F13DA5">
        <w:rPr>
          <w:rFonts w:hint="cs"/>
          <w:rtl/>
        </w:rPr>
        <w:t xml:space="preserve">בין מועד הבאתו של העצור לתחנה למועד הבאתו לפני קצין ממונה. </w:t>
      </w:r>
    </w:p>
    <w:p w14:paraId="3FF22994" w14:textId="77777777" w:rsidR="00BA23AE" w:rsidRPr="00F13DA5" w:rsidRDefault="00BA23AE" w:rsidP="00D33197">
      <w:pPr>
        <w:pStyle w:val="ad"/>
        <w:rPr>
          <w:rtl/>
        </w:rPr>
      </w:pPr>
      <w:r>
        <w:rPr>
          <w:rFonts w:hint="cs"/>
          <w:rtl/>
        </w:rPr>
        <w:t xml:space="preserve">משרד מבקר המדינה מעיר למשטרה, כי </w:t>
      </w:r>
      <w:r w:rsidRPr="00F13DA5">
        <w:rPr>
          <w:rFonts w:hint="cs"/>
          <w:rtl/>
        </w:rPr>
        <w:t>במחצית מ</w:t>
      </w:r>
      <w:r w:rsidRPr="00F13DA5">
        <w:rPr>
          <w:rtl/>
        </w:rPr>
        <w:t xml:space="preserve">המעצרים שנבדקו הובא </w:t>
      </w:r>
      <w:r w:rsidRPr="00F13DA5">
        <w:rPr>
          <w:rFonts w:hint="eastAsia"/>
          <w:rtl/>
        </w:rPr>
        <w:t>העצור</w:t>
      </w:r>
      <w:r w:rsidRPr="00F13DA5">
        <w:rPr>
          <w:rtl/>
        </w:rPr>
        <w:t xml:space="preserve"> </w:t>
      </w:r>
      <w:r w:rsidRPr="00F13DA5">
        <w:rPr>
          <w:rFonts w:hint="cs"/>
          <w:rtl/>
        </w:rPr>
        <w:t>ל</w:t>
      </w:r>
      <w:r w:rsidRPr="00F13DA5">
        <w:rPr>
          <w:rtl/>
        </w:rPr>
        <w:t xml:space="preserve">פני הקצין הממונה לאחר שחלפו שלוש שעות </w:t>
      </w:r>
      <w:r w:rsidRPr="00F13DA5">
        <w:rPr>
          <w:rFonts w:hint="eastAsia"/>
          <w:rtl/>
        </w:rPr>
        <w:t>ממועד</w:t>
      </w:r>
      <w:r w:rsidRPr="00F13DA5">
        <w:rPr>
          <w:rtl/>
        </w:rPr>
        <w:t xml:space="preserve"> הבאתו לתחנת המשטרה</w:t>
      </w:r>
      <w:r w:rsidRPr="00F13DA5">
        <w:rPr>
          <w:rFonts w:hint="cs"/>
          <w:rtl/>
        </w:rPr>
        <w:t xml:space="preserve"> ובניגוד לפקודה</w:t>
      </w:r>
      <w:r w:rsidRPr="00F13DA5">
        <w:rPr>
          <w:rtl/>
        </w:rPr>
        <w:t xml:space="preserve">. שיעור </w:t>
      </w:r>
      <w:r w:rsidRPr="00F13DA5">
        <w:rPr>
          <w:rFonts w:hint="cs"/>
          <w:rtl/>
        </w:rPr>
        <w:t>זה</w:t>
      </w:r>
      <w:r w:rsidRPr="00F13DA5">
        <w:rPr>
          <w:rtl/>
        </w:rPr>
        <w:t xml:space="preserve"> מעלה את </w:t>
      </w:r>
      <w:r w:rsidRPr="00F13DA5">
        <w:rPr>
          <w:rFonts w:hint="eastAsia"/>
          <w:rtl/>
        </w:rPr>
        <w:t>החשש</w:t>
      </w:r>
      <w:r w:rsidRPr="00F13DA5">
        <w:rPr>
          <w:rtl/>
        </w:rPr>
        <w:t xml:space="preserve"> </w:t>
      </w:r>
      <w:r w:rsidRPr="00F13DA5">
        <w:rPr>
          <w:rFonts w:hint="cs"/>
          <w:rtl/>
        </w:rPr>
        <w:t>ש</w:t>
      </w:r>
      <w:r w:rsidRPr="00F13DA5">
        <w:rPr>
          <w:rtl/>
        </w:rPr>
        <w:t xml:space="preserve">חלק מפעולות החקירה </w:t>
      </w:r>
      <w:r w:rsidRPr="00F13DA5">
        <w:rPr>
          <w:rFonts w:hint="eastAsia"/>
          <w:rtl/>
        </w:rPr>
        <w:t>שנעשו</w:t>
      </w:r>
      <w:r w:rsidRPr="00F13DA5">
        <w:rPr>
          <w:rtl/>
        </w:rPr>
        <w:t xml:space="preserve"> עד להבאת העצור </w:t>
      </w:r>
      <w:r w:rsidRPr="00F13DA5">
        <w:rPr>
          <w:rFonts w:hint="cs"/>
          <w:rtl/>
        </w:rPr>
        <w:t>ל</w:t>
      </w:r>
      <w:r w:rsidRPr="00F13DA5">
        <w:rPr>
          <w:rtl/>
        </w:rPr>
        <w:t xml:space="preserve">פני הקצין הממונה </w:t>
      </w:r>
      <w:r w:rsidRPr="00F13DA5">
        <w:rPr>
          <w:rFonts w:hint="cs"/>
          <w:rtl/>
        </w:rPr>
        <w:t>אינן</w:t>
      </w:r>
      <w:r w:rsidRPr="00F13DA5">
        <w:rPr>
          <w:rtl/>
        </w:rPr>
        <w:t xml:space="preserve"> נדרשות לצורך קבלת ההחלטה או אינן מצדיקות את דחיית ההבאה לפי הפקודה</w:t>
      </w:r>
      <w:r w:rsidRPr="00F13DA5">
        <w:rPr>
          <w:rFonts w:hint="cs"/>
          <w:rtl/>
        </w:rPr>
        <w:t>, ולחלופין כי זמינות הקצין הממונה לא הייתה מספקת</w:t>
      </w:r>
      <w:r w:rsidRPr="00F13DA5">
        <w:rPr>
          <w:rtl/>
        </w:rPr>
        <w:t xml:space="preserve">. </w:t>
      </w:r>
    </w:p>
    <w:p w14:paraId="3FA7B876" w14:textId="77777777" w:rsidR="00BA23AE" w:rsidRPr="00F13DA5" w:rsidRDefault="00BA23AE" w:rsidP="00D33197">
      <w:pPr>
        <w:pStyle w:val="ad"/>
        <w:rPr>
          <w:rtl/>
        </w:rPr>
      </w:pPr>
      <w:r>
        <w:rPr>
          <w:rFonts w:hint="cs"/>
          <w:rtl/>
        </w:rPr>
        <w:t xml:space="preserve">על המשטרה להקפיד </w:t>
      </w:r>
      <w:r w:rsidRPr="00F13DA5">
        <w:rPr>
          <w:rFonts w:hint="cs"/>
          <w:rtl/>
        </w:rPr>
        <w:t xml:space="preserve">כי שוטרים וחוקרים </w:t>
      </w:r>
      <w:r>
        <w:rPr>
          <w:rFonts w:hint="cs"/>
          <w:rtl/>
        </w:rPr>
        <w:t>מביאים עצורים בפני קצין ממונה תוך שלוש שעות ממועד הבאתם לתחנה,</w:t>
      </w:r>
      <w:r w:rsidRPr="00BD1982">
        <w:rPr>
          <w:rFonts w:hint="cs"/>
          <w:rtl/>
        </w:rPr>
        <w:t xml:space="preserve"> </w:t>
      </w:r>
      <w:r w:rsidRPr="00F13DA5">
        <w:rPr>
          <w:rFonts w:hint="cs"/>
          <w:rtl/>
        </w:rPr>
        <w:t>בכפוף לחריגים</w:t>
      </w:r>
      <w:r>
        <w:rPr>
          <w:rFonts w:hint="cs"/>
          <w:rtl/>
        </w:rPr>
        <w:t xml:space="preserve">. </w:t>
      </w:r>
      <w:r w:rsidRPr="00F13DA5">
        <w:rPr>
          <w:rFonts w:hint="cs"/>
          <w:rtl/>
        </w:rPr>
        <w:t xml:space="preserve">על חטיבת החקירות </w:t>
      </w:r>
      <w:r>
        <w:rPr>
          <w:rFonts w:hint="cs"/>
          <w:rtl/>
        </w:rPr>
        <w:t>לפקח על כך ברמה הארצית והשוטפת ו</w:t>
      </w:r>
      <w:r w:rsidRPr="00F13DA5">
        <w:rPr>
          <w:rFonts w:hint="cs"/>
          <w:rtl/>
        </w:rPr>
        <w:t xml:space="preserve">לוודא שמועד הבאת העצור לפני קצין ממונה, כפי שנרשם על ידו בטופס, יישמר במערכות הממוחשבות של המשטרה. </w:t>
      </w:r>
    </w:p>
    <w:p w14:paraId="13868AF6" w14:textId="77777777" w:rsidR="00BA23AE" w:rsidRPr="00F13DA5" w:rsidRDefault="00BA23AE" w:rsidP="00D33197">
      <w:pPr>
        <w:pStyle w:val="414"/>
        <w:rPr>
          <w:rtl/>
        </w:rPr>
      </w:pPr>
      <w:bookmarkStart w:id="8" w:name="_Toc6326449"/>
      <w:r w:rsidRPr="00F13DA5">
        <w:rPr>
          <w:rFonts w:hint="cs"/>
          <w:rtl/>
        </w:rPr>
        <w:t>קבלת החלטה על ידי קצין תורן</w:t>
      </w:r>
      <w:bookmarkEnd w:id="8"/>
    </w:p>
    <w:p w14:paraId="799F3145" w14:textId="77777777" w:rsidR="00BA23AE" w:rsidRPr="00F13DA5" w:rsidRDefault="00BA23AE" w:rsidP="00D33197">
      <w:pPr>
        <w:pStyle w:val="100"/>
        <w:rPr>
          <w:rtl/>
        </w:rPr>
      </w:pPr>
      <w:r w:rsidRPr="00F13DA5">
        <w:rPr>
          <w:rFonts w:hint="cs"/>
          <w:rtl/>
        </w:rPr>
        <w:t xml:space="preserve">חוק המעצרים ופקודת מטא"ר קובעים מדרג קדימות לקבלת החלטה על ידי קצין ממונה לפי תפקידו, כמפורט להלן: קצין מתחום החקירות; בהיעדרו - מפקד תחנת המשטרה; ובהיעדרם - קצין משטרה שאחראי על התחנה באותה העת, קרי, קצין תורן. מדרג העדיפות בקבלת החלטת המעצר תואם את מדרג ההיכרות המקצועי עם תחום המעצרים. </w:t>
      </w:r>
    </w:p>
    <w:p w14:paraId="7DE579F7" w14:textId="77777777" w:rsidR="00BA23AE" w:rsidRPr="00F13DA5" w:rsidRDefault="00BA23AE" w:rsidP="00D33197">
      <w:pPr>
        <w:pStyle w:val="100"/>
        <w:rPr>
          <w:rtl/>
        </w:rPr>
      </w:pPr>
      <w:r w:rsidRPr="00F13DA5">
        <w:rPr>
          <w:rFonts w:hint="cs"/>
          <w:rtl/>
        </w:rPr>
        <w:t xml:space="preserve">מבדיקת משרד מבקר המדינה עולה כי יותר ממחצית מהחלטות המעצר </w:t>
      </w:r>
      <w:r>
        <w:rPr>
          <w:rFonts w:hint="cs"/>
          <w:rtl/>
        </w:rPr>
        <w:t>ה</w:t>
      </w:r>
      <w:r w:rsidRPr="00F13DA5">
        <w:rPr>
          <w:rFonts w:hint="cs"/>
          <w:rtl/>
        </w:rPr>
        <w:t xml:space="preserve">תקבלו על ידי קצין החקירות (כ-56%). יתר החלטות המעצר </w:t>
      </w:r>
      <w:r>
        <w:rPr>
          <w:rFonts w:hint="cs"/>
          <w:rtl/>
        </w:rPr>
        <w:t>ה</w:t>
      </w:r>
      <w:r w:rsidRPr="00F13DA5">
        <w:rPr>
          <w:rFonts w:hint="cs"/>
          <w:rtl/>
        </w:rPr>
        <w:t>תקבל</w:t>
      </w:r>
      <w:r>
        <w:rPr>
          <w:rFonts w:hint="cs"/>
          <w:rtl/>
        </w:rPr>
        <w:t>ו</w:t>
      </w:r>
      <w:r w:rsidRPr="00F13DA5">
        <w:rPr>
          <w:rFonts w:hint="cs"/>
          <w:rtl/>
        </w:rPr>
        <w:t xml:space="preserve"> על ידי קצין תורן (כ-44%), מפקד התחנה (כ-1%), ומיעוטן על ידי גורם לא-ידוע (פחות מעשירית האחוז). עוד עולה כי שיעור הגשת הבקשות למעצר עד תום ההליכים </w:t>
      </w:r>
      <w:r>
        <w:rPr>
          <w:rFonts w:hint="cs"/>
          <w:rtl/>
        </w:rPr>
        <w:t xml:space="preserve">היה </w:t>
      </w:r>
      <w:r w:rsidRPr="00F13DA5">
        <w:rPr>
          <w:rFonts w:hint="cs"/>
          <w:rtl/>
        </w:rPr>
        <w:t>גבוה יותר כשהמעצר אושר על ידי קצין חקירות (36%) לעומת קצין תורן (28%).</w:t>
      </w:r>
    </w:p>
    <w:p w14:paraId="7235073E" w14:textId="77777777" w:rsidR="00BA23AE" w:rsidRPr="00F13DA5" w:rsidRDefault="00BA23AE" w:rsidP="00D33197">
      <w:pPr>
        <w:pStyle w:val="100"/>
        <w:rPr>
          <w:rtl/>
        </w:rPr>
      </w:pPr>
      <w:r w:rsidRPr="00F13DA5">
        <w:rPr>
          <w:rFonts w:hint="cs"/>
          <w:rtl/>
        </w:rPr>
        <w:t>בחודש מרץ 2018 העביר ראש אח"ם דגשים בתחום המעצרים לכלל יחידות המשטרה. ראש אח"ם שב וחזר על מדרג הקדימות לקבלת החלטה, וקבע שבהיעדר קצין החקירות בתחנה, ההחלטה על ידי קצין תורן תתקבל לאחר היוועצות עמו. זאת ללא תלות במהות ההחלטה (שחרור או מעצר).</w:t>
      </w:r>
      <w:r>
        <w:rPr>
          <w:rFonts w:hint="cs"/>
          <w:rtl/>
        </w:rPr>
        <w:t xml:space="preserve"> </w:t>
      </w:r>
    </w:p>
    <w:p w14:paraId="4A4D864A" w14:textId="77777777" w:rsidR="00BA23AE" w:rsidRPr="00F13DA5" w:rsidRDefault="00BA23AE" w:rsidP="00D33197">
      <w:pPr>
        <w:pStyle w:val="100"/>
      </w:pPr>
      <w:r w:rsidRPr="00F13DA5">
        <w:rPr>
          <w:rFonts w:hint="cs"/>
          <w:rtl/>
        </w:rPr>
        <w:lastRenderedPageBreak/>
        <w:t xml:space="preserve">בדיון שערך המפכ"ל באוקטובר 2018 עלה כי אחת הסיבות למעצרים בלתי-מוצדקים היא שהקצין התורן קיבל את החלטת המעצר בלא להתייעץ עם קצין החקירות קודם לכן, בניגוד להנחיות חטיבת החקירות. </w:t>
      </w:r>
    </w:p>
    <w:p w14:paraId="0B3608AE" w14:textId="7F376EC5" w:rsidR="00D33197" w:rsidRDefault="00BA23AE" w:rsidP="00D33197">
      <w:pPr>
        <w:pStyle w:val="100"/>
        <w:rPr>
          <w:rtl/>
        </w:rPr>
      </w:pPr>
      <w:r w:rsidRPr="00F13DA5">
        <w:rPr>
          <w:rFonts w:hint="cs"/>
          <w:rtl/>
        </w:rPr>
        <w:t>יצוין כי גם בבקרות שערך מדור חקירות באח"ם בשנת 2019 עלה, כי לעיתים קצין תורן שאינו ממגזר החקירות מקבל החלטת מעצר שאינה על דעתו של קצין החקירות של התחנה.</w:t>
      </w:r>
    </w:p>
    <w:p w14:paraId="618B37E7" w14:textId="77777777" w:rsidR="00BA23AE" w:rsidRPr="00F13DA5" w:rsidRDefault="00BA23AE" w:rsidP="00D33197">
      <w:pPr>
        <w:pStyle w:val="af4"/>
        <w:rPr>
          <w:rtl/>
        </w:rPr>
      </w:pPr>
      <w:r w:rsidRPr="00F13DA5">
        <w:rPr>
          <w:rFonts w:hint="cs"/>
          <w:rtl/>
        </w:rPr>
        <w:t xml:space="preserve">לא נמצא </w:t>
      </w:r>
      <w:r>
        <w:rPr>
          <w:rFonts w:hint="cs"/>
          <w:rtl/>
        </w:rPr>
        <w:t>תיעוד לכך ש</w:t>
      </w:r>
      <w:r w:rsidRPr="00F13DA5">
        <w:rPr>
          <w:rFonts w:hint="cs"/>
          <w:rtl/>
        </w:rPr>
        <w:t xml:space="preserve">המשטרה קיבלה החלטות או נקטה פעולות בעקבות הדיון אצל המפכ"ל על מנת להבטיח שהחלטות קצין תורן יתקבלו לאחר היוועצות עם קצין החקירות. מוצע </w:t>
      </w:r>
      <w:r>
        <w:rPr>
          <w:rFonts w:hint="cs"/>
          <w:rtl/>
        </w:rPr>
        <w:t xml:space="preserve">כי אח"ם יאכוף את </w:t>
      </w:r>
      <w:r w:rsidRPr="00F13DA5">
        <w:rPr>
          <w:rFonts w:hint="cs"/>
          <w:rtl/>
        </w:rPr>
        <w:t xml:space="preserve">ההנחיה </w:t>
      </w:r>
      <w:r>
        <w:rPr>
          <w:rFonts w:hint="cs"/>
          <w:rtl/>
        </w:rPr>
        <w:t>ש</w:t>
      </w:r>
      <w:r w:rsidRPr="00F13DA5">
        <w:rPr>
          <w:rFonts w:hint="cs"/>
          <w:rtl/>
        </w:rPr>
        <w:t>קצין תורן ייוועץ בקצין החקירות</w:t>
      </w:r>
      <w:r>
        <w:rPr>
          <w:rFonts w:hint="cs"/>
          <w:rtl/>
        </w:rPr>
        <w:t xml:space="preserve"> </w:t>
      </w:r>
      <w:r w:rsidRPr="00F13DA5">
        <w:rPr>
          <w:rFonts w:hint="cs"/>
          <w:rtl/>
        </w:rPr>
        <w:t>בעזרת תיעוד ההיוועצות בתיק החקירה ובמערכות הממוחשבות</w:t>
      </w:r>
      <w:r>
        <w:rPr>
          <w:rFonts w:hint="cs"/>
          <w:rtl/>
        </w:rPr>
        <w:t>.</w:t>
      </w:r>
      <w:r w:rsidRPr="00F13DA5">
        <w:rPr>
          <w:rFonts w:hint="cs"/>
          <w:rtl/>
        </w:rPr>
        <w:t xml:space="preserve"> למשל,</w:t>
      </w:r>
      <w:r>
        <w:rPr>
          <w:rFonts w:hint="cs"/>
          <w:rtl/>
        </w:rPr>
        <w:t xml:space="preserve"> באמצעות</w:t>
      </w:r>
      <w:r w:rsidRPr="00F13DA5">
        <w:rPr>
          <w:rFonts w:hint="cs"/>
          <w:rtl/>
        </w:rPr>
        <w:t xml:space="preserve"> הוספת שדה לתיעוד ההיוועצות עם קצין החקירות בדוח הקצין הממונה.</w:t>
      </w:r>
    </w:p>
    <w:p w14:paraId="70FDAB7D" w14:textId="77777777" w:rsidR="00BA23AE" w:rsidRPr="00F13DA5" w:rsidRDefault="00BA23AE" w:rsidP="00D33197">
      <w:pPr>
        <w:pStyle w:val="100"/>
        <w:rPr>
          <w:rtl/>
        </w:rPr>
      </w:pPr>
      <w:r w:rsidRPr="00F13DA5">
        <w:rPr>
          <w:rFonts w:hint="cs"/>
          <w:rtl/>
        </w:rPr>
        <w:t>המשטרה מסרה בתגובתה כי ההנחיה אודות חובת הקצין התורן להיוועץ עם קצין החקירות היא הנחיה פנימית</w:t>
      </w:r>
      <w:r>
        <w:rPr>
          <w:rFonts w:hint="cs"/>
          <w:rtl/>
        </w:rPr>
        <w:t>,</w:t>
      </w:r>
      <w:r w:rsidRPr="00F13DA5">
        <w:rPr>
          <w:rFonts w:hint="cs"/>
          <w:rtl/>
        </w:rPr>
        <w:t xml:space="preserve"> </w:t>
      </w:r>
      <w:r>
        <w:rPr>
          <w:rFonts w:hint="cs"/>
          <w:rtl/>
        </w:rPr>
        <w:t>ו</w:t>
      </w:r>
      <w:r w:rsidRPr="00F13DA5">
        <w:rPr>
          <w:rFonts w:hint="cs"/>
          <w:rtl/>
        </w:rPr>
        <w:t xml:space="preserve">תיעוד ביצועה יטיל נטל נוסף שאינו הכרחי. </w:t>
      </w:r>
    </w:p>
    <w:p w14:paraId="3A3CFFCE" w14:textId="77777777" w:rsidR="00BA23AE" w:rsidRPr="00D33197" w:rsidRDefault="00BA23AE" w:rsidP="00D33197">
      <w:pPr>
        <w:pStyle w:val="af4"/>
        <w:rPr>
          <w:rtl/>
        </w:rPr>
      </w:pPr>
      <w:r w:rsidRPr="00D33197">
        <w:rPr>
          <w:rFonts w:hint="cs"/>
          <w:rtl/>
        </w:rPr>
        <w:t xml:space="preserve">בבקרות שערכה המשטרה עלה כי </w:t>
      </w:r>
      <w:r w:rsidRPr="00D33197">
        <w:rPr>
          <w:rFonts w:hint="eastAsia"/>
          <w:rtl/>
        </w:rPr>
        <w:t>אי</w:t>
      </w:r>
      <w:r w:rsidRPr="00D33197">
        <w:rPr>
          <w:rFonts w:hint="cs"/>
          <w:rtl/>
        </w:rPr>
        <w:t>-</w:t>
      </w:r>
      <w:r w:rsidRPr="00D33197">
        <w:rPr>
          <w:rFonts w:hint="eastAsia"/>
          <w:rtl/>
        </w:rPr>
        <w:t>קיום</w:t>
      </w:r>
      <w:r w:rsidRPr="00D33197">
        <w:rPr>
          <w:rtl/>
        </w:rPr>
        <w:t xml:space="preserve"> </w:t>
      </w:r>
      <w:r w:rsidRPr="00D33197">
        <w:rPr>
          <w:rFonts w:hint="eastAsia"/>
          <w:rtl/>
        </w:rPr>
        <w:t>חובת</w:t>
      </w:r>
      <w:r w:rsidRPr="00D33197">
        <w:rPr>
          <w:rtl/>
        </w:rPr>
        <w:t xml:space="preserve"> </w:t>
      </w:r>
      <w:r w:rsidRPr="00D33197">
        <w:rPr>
          <w:rFonts w:hint="eastAsia"/>
          <w:rtl/>
        </w:rPr>
        <w:t>ההיוועצות</w:t>
      </w:r>
      <w:r w:rsidRPr="00D33197">
        <w:rPr>
          <w:rtl/>
        </w:rPr>
        <w:t xml:space="preserve"> </w:t>
      </w:r>
      <w:r w:rsidRPr="00D33197">
        <w:rPr>
          <w:rFonts w:hint="cs"/>
          <w:rtl/>
        </w:rPr>
        <w:t>בקצין חקירות הוא אחד ה</w:t>
      </w:r>
      <w:r w:rsidRPr="00D33197">
        <w:rPr>
          <w:rFonts w:hint="eastAsia"/>
          <w:rtl/>
        </w:rPr>
        <w:t>גור</w:t>
      </w:r>
      <w:r w:rsidRPr="00D33197">
        <w:rPr>
          <w:rFonts w:hint="cs"/>
          <w:rtl/>
        </w:rPr>
        <w:t>מי</w:t>
      </w:r>
      <w:r w:rsidRPr="00D33197">
        <w:rPr>
          <w:rFonts w:hint="eastAsia"/>
          <w:rtl/>
        </w:rPr>
        <w:t>ם</w:t>
      </w:r>
      <w:r w:rsidRPr="00D33197">
        <w:rPr>
          <w:rtl/>
        </w:rPr>
        <w:t xml:space="preserve"> </w:t>
      </w:r>
      <w:r w:rsidRPr="00D33197">
        <w:rPr>
          <w:rFonts w:hint="eastAsia"/>
          <w:rtl/>
        </w:rPr>
        <w:t>למעצרים</w:t>
      </w:r>
      <w:r w:rsidRPr="00D33197">
        <w:rPr>
          <w:rtl/>
        </w:rPr>
        <w:t xml:space="preserve"> </w:t>
      </w:r>
      <w:r w:rsidRPr="00D33197">
        <w:rPr>
          <w:rFonts w:hint="eastAsia"/>
          <w:rtl/>
        </w:rPr>
        <w:t>בלתי</w:t>
      </w:r>
      <w:r w:rsidRPr="00D33197">
        <w:rPr>
          <w:rtl/>
        </w:rPr>
        <w:t xml:space="preserve"> </w:t>
      </w:r>
      <w:r w:rsidRPr="00D33197">
        <w:rPr>
          <w:rFonts w:hint="cs"/>
          <w:rtl/>
        </w:rPr>
        <w:t xml:space="preserve">מוצדקים. מוצע </w:t>
      </w:r>
      <w:r w:rsidRPr="00D33197">
        <w:rPr>
          <w:rFonts w:hint="eastAsia"/>
          <w:rtl/>
        </w:rPr>
        <w:t>לחטיבת</w:t>
      </w:r>
      <w:r w:rsidRPr="00D33197">
        <w:rPr>
          <w:rtl/>
        </w:rPr>
        <w:t xml:space="preserve"> </w:t>
      </w:r>
      <w:r w:rsidRPr="00D33197">
        <w:rPr>
          <w:rFonts w:hint="eastAsia"/>
          <w:rtl/>
        </w:rPr>
        <w:t>החקירו</w:t>
      </w:r>
      <w:r w:rsidRPr="00D33197">
        <w:rPr>
          <w:rFonts w:hint="cs"/>
          <w:rtl/>
        </w:rPr>
        <w:t>ת לבחון כיצד לאכוף את ההנח</w:t>
      </w:r>
      <w:r w:rsidRPr="00D33197">
        <w:rPr>
          <w:rFonts w:hint="eastAsia"/>
          <w:rtl/>
        </w:rPr>
        <w:t>יה</w:t>
      </w:r>
      <w:r w:rsidRPr="00D33197">
        <w:rPr>
          <w:rtl/>
        </w:rPr>
        <w:t xml:space="preserve">. </w:t>
      </w:r>
    </w:p>
    <w:p w14:paraId="07F756CB" w14:textId="77777777" w:rsidR="00BA23AE" w:rsidRPr="00F13DA5" w:rsidRDefault="00BA23AE" w:rsidP="00D33197">
      <w:pPr>
        <w:pStyle w:val="316"/>
        <w:rPr>
          <w:rtl/>
        </w:rPr>
      </w:pPr>
      <w:bookmarkStart w:id="9" w:name="_Toc6326494"/>
      <w:r w:rsidRPr="00F13DA5">
        <w:rPr>
          <w:rFonts w:hint="cs"/>
          <w:rtl/>
        </w:rPr>
        <w:t>ניצול זמן המעצר לביצוע פעולות חקירה</w:t>
      </w:r>
    </w:p>
    <w:p w14:paraId="64B134E5" w14:textId="77777777" w:rsidR="00BA23AE" w:rsidRPr="00F13DA5" w:rsidRDefault="00BA23AE" w:rsidP="00D33197">
      <w:pPr>
        <w:pStyle w:val="100"/>
        <w:rPr>
          <w:rtl/>
        </w:rPr>
      </w:pPr>
      <w:r w:rsidRPr="00F13DA5">
        <w:rPr>
          <w:rFonts w:hint="cs"/>
          <w:rtl/>
        </w:rPr>
        <w:t>לאחר ביצוע מעצרו של אדם נדרשות יחידות החקירה לבצע פעולות חקירה לבירור העובדות ולאיסוף ראיות בקשר לחשד לביצוע עבירה פלילית. במקום בו אינה קיימת עוד הצדקה עניינית להחזיק עצור במעצר</w:t>
      </w:r>
      <w:r>
        <w:rPr>
          <w:rFonts w:hint="cs"/>
          <w:rtl/>
        </w:rPr>
        <w:t>,</w:t>
      </w:r>
      <w:r w:rsidRPr="00F13DA5">
        <w:rPr>
          <w:rFonts w:hint="cs"/>
          <w:rtl/>
        </w:rPr>
        <w:t xml:space="preserve"> או שניתן להשיג את תכלית המעצר בתנאי שחרור מתאימים, על הקצין הממונה לשחרר את העצור. </w:t>
      </w:r>
    </w:p>
    <w:p w14:paraId="2F25FD62" w14:textId="77777777" w:rsidR="00BA23AE" w:rsidRPr="00F13DA5" w:rsidRDefault="00BA23AE" w:rsidP="00D33197">
      <w:pPr>
        <w:pStyle w:val="100"/>
        <w:rPr>
          <w:rtl/>
        </w:rPr>
      </w:pPr>
      <w:r w:rsidRPr="00F13DA5">
        <w:rPr>
          <w:rFonts w:hint="cs"/>
          <w:rtl/>
        </w:rPr>
        <w:t xml:space="preserve">בביקורת המעצרים הארצית </w:t>
      </w:r>
      <w:r>
        <w:rPr>
          <w:rFonts w:hint="cs"/>
          <w:rtl/>
        </w:rPr>
        <w:t xml:space="preserve">של אח"ם </w:t>
      </w:r>
      <w:r w:rsidRPr="00F13DA5">
        <w:rPr>
          <w:rFonts w:hint="cs"/>
          <w:rtl/>
        </w:rPr>
        <w:t xml:space="preserve">נבדקו 159 תיקים מתחנות במחוזות ברחבי הארץ בנוגע למעצרים שנערכו בשנת 2017. ממצאי הביקורת העלו כי </w:t>
      </w:r>
      <w:r>
        <w:rPr>
          <w:rFonts w:hint="cs"/>
          <w:rtl/>
        </w:rPr>
        <w:t xml:space="preserve">ישנם </w:t>
      </w:r>
      <w:r w:rsidRPr="00F13DA5">
        <w:rPr>
          <w:rFonts w:hint="cs"/>
          <w:rtl/>
        </w:rPr>
        <w:t xml:space="preserve">תיקים </w:t>
      </w:r>
      <w:r>
        <w:rPr>
          <w:rFonts w:hint="cs"/>
          <w:rtl/>
        </w:rPr>
        <w:t xml:space="preserve">בהם </w:t>
      </w:r>
      <w:r w:rsidRPr="00F13DA5">
        <w:rPr>
          <w:rFonts w:hint="cs"/>
          <w:rtl/>
        </w:rPr>
        <w:t>לא נמצאה עדות לקיומן של פעולות חקירה בזמן המעצר של העצור מלבד חקירתו פעם אחת בזמן המעצר, או שלא בוצעו פעולות כלשהן כלל. משכך, ב-17% מהתיקים שנבדקו לא הייתה הצדקה לביצוע המעצר. ממצאים דומים עלו בביקורות חודשיות נוספות במהלך 2018</w:t>
      </w:r>
      <w:r w:rsidRPr="00F13DA5">
        <w:rPr>
          <w:rFonts w:ascii="David" w:hAnsi="David" w:hint="cs"/>
          <w:rtl/>
        </w:rPr>
        <w:t>.</w:t>
      </w:r>
    </w:p>
    <w:p w14:paraId="5C0BC200" w14:textId="77777777" w:rsidR="00BA23AE" w:rsidRPr="00F13DA5" w:rsidRDefault="00BA23AE" w:rsidP="00D33197">
      <w:pPr>
        <w:pStyle w:val="100"/>
        <w:rPr>
          <w:rtl/>
        </w:rPr>
      </w:pPr>
      <w:r w:rsidRPr="00F13DA5">
        <w:rPr>
          <w:rFonts w:hint="cs"/>
          <w:rtl/>
        </w:rPr>
        <w:t>נוסף על כך, בתי המשפט ביקרו לא אחת את המשטרה על הגשת בקשות להארכת מעצר מבלי שהושלמו פעולות החקירה הנדרשות בפרק הזמן שבו העצור מצוי במעצר, או שלא נוצל כראוי הזמן שהוקצה לה לצורך ביצוע פעולות החקירה. לעיתים קבעו בתי המשפט כי יש לתרגם החזקה בלתי מוצדקת של עצור לשחרור בתנאים מקילים או אף לשחרור ללא תנאי.</w:t>
      </w:r>
    </w:p>
    <w:p w14:paraId="0A605B50" w14:textId="77777777" w:rsidR="00BA23AE" w:rsidRPr="00F13DA5" w:rsidRDefault="00BA23AE" w:rsidP="00D33197">
      <w:pPr>
        <w:pStyle w:val="100"/>
        <w:rPr>
          <w:rtl/>
        </w:rPr>
      </w:pPr>
      <w:r w:rsidRPr="00F13DA5">
        <w:rPr>
          <w:rFonts w:hint="cs"/>
          <w:rtl/>
        </w:rPr>
        <w:lastRenderedPageBreak/>
        <w:t xml:space="preserve">גם נציב תלונות הציבור על מייצגי המדינה בערכאות התייחס בהחלטותיו לפער </w:t>
      </w:r>
      <w:r>
        <w:rPr>
          <w:rFonts w:hint="cs"/>
          <w:rtl/>
        </w:rPr>
        <w:t>ש</w:t>
      </w:r>
      <w:r w:rsidRPr="00F13DA5">
        <w:rPr>
          <w:rFonts w:hint="cs"/>
          <w:rtl/>
        </w:rPr>
        <w:t>בין הצהרות המשטרה, לפיהן יש הכרח להאריך את מעצרו של עצור על מנת לבצע פעולות חקירה, לבין מה שמתרחש בפועל</w:t>
      </w:r>
      <w:r w:rsidRPr="00F13DA5">
        <w:rPr>
          <w:vertAlign w:val="superscript"/>
          <w:rtl/>
        </w:rPr>
        <w:footnoteReference w:id="20"/>
      </w:r>
      <w:r w:rsidRPr="00F13DA5">
        <w:rPr>
          <w:rFonts w:hint="cs"/>
          <w:rtl/>
        </w:rPr>
        <w:t xml:space="preserve">. </w:t>
      </w:r>
    </w:p>
    <w:p w14:paraId="317DE97B" w14:textId="77777777" w:rsidR="00BA23AE" w:rsidRPr="00F13DA5" w:rsidRDefault="00BA23AE" w:rsidP="00D33197">
      <w:pPr>
        <w:pStyle w:val="af4"/>
        <w:rPr>
          <w:rtl/>
        </w:rPr>
      </w:pPr>
      <w:r w:rsidRPr="00F13DA5">
        <w:rPr>
          <w:rFonts w:hint="cs"/>
          <w:rtl/>
        </w:rPr>
        <w:t xml:space="preserve">הנחיות אח"ם לעניין ניצול זמן המעצר לביצוע פעולות חקירה הן מפורטות וברורות. ואולם, מכל האמור לעיל נראה כי נושא זה עדיין מחייב פעולות הטמעה נוכח העובדה שהוא שב ועולה בביקורות של המשטרה ובפסיקות בתי המשפט. אין ספק שנושא זה משליך באופן ברור על זכויות עצורים ועל משאביהם של כלל הגורמים. </w:t>
      </w:r>
    </w:p>
    <w:p w14:paraId="3F0F81E2" w14:textId="4F3CA27E" w:rsidR="00BA23AE" w:rsidRPr="00D33197" w:rsidRDefault="00BA23AE" w:rsidP="00D33197">
      <w:pPr>
        <w:pStyle w:val="100"/>
        <w:rPr>
          <w:rtl/>
        </w:rPr>
      </w:pPr>
      <w:r w:rsidRPr="00D33197">
        <w:rPr>
          <w:rFonts w:hint="cs"/>
          <w:rtl/>
        </w:rPr>
        <w:t>המשטרה מסרה בתגובתה כי נוכח חשיבות הנושא פועלת חטיבת החקירות כל העת לטיוב תהליכי העבודה ולניצול מיטבי של זמן המעצר - בפתרונות מחשוביים, בהדרכות ובביצוע בקרות. עם זאת, לא תמיד ניתן לבצע פעולות חקירה בשעות הלילה, משום שפעולות אלו מצריכות לרוב פניות לגורמי חוץ, שברוב המקרים אינם זמינים בשעות הלילה, כגון זימון עדים, תיעוד ממצלמות אבטחה של עסקים, פניות לקבל מידע ממשרדים ועוד.</w:t>
      </w:r>
    </w:p>
    <w:p w14:paraId="1CD6E915" w14:textId="77777777" w:rsidR="00BA23AE" w:rsidRPr="00F13DA5" w:rsidRDefault="00BA23AE" w:rsidP="00D33197">
      <w:pPr>
        <w:pStyle w:val="af4"/>
        <w:rPr>
          <w:rtl/>
        </w:rPr>
      </w:pPr>
      <w:r w:rsidRPr="00F13DA5">
        <w:rPr>
          <w:rFonts w:hint="cs"/>
          <w:rtl/>
        </w:rPr>
        <w:t>על המשטרה לפעול למיפוי החסמים בדבר אי-ניצול זמן המעצר לביצוע פעולות חקירה, ולבחון אם קיימים פתרונות פרטניים שיכולים לסייע לשיפור ולהטמעה יסודיים של הנושא.</w:t>
      </w:r>
    </w:p>
    <w:p w14:paraId="709C7A09" w14:textId="77777777" w:rsidR="00BA23AE" w:rsidRPr="00F13DA5" w:rsidRDefault="00BA23AE" w:rsidP="003B1F61">
      <w:pPr>
        <w:pStyle w:val="100"/>
        <w:rPr>
          <w:rtl/>
        </w:rPr>
      </w:pPr>
      <w:r w:rsidRPr="003B1F61">
        <w:rPr>
          <w:rStyle w:val="Heading5Char"/>
          <w:color w:val="387026"/>
          <w:spacing w:val="0"/>
          <w:rtl/>
        </w:rPr>
        <w:t>מיפוי חסמים - התייעצות עם יחידות התביעה</w:t>
      </w:r>
      <w:r w:rsidRPr="003B1F61">
        <w:rPr>
          <w:rFonts w:hint="cs"/>
          <w:color w:val="387026"/>
          <w:rtl/>
        </w:rPr>
        <w:t>:</w:t>
      </w:r>
      <w:r w:rsidRPr="003B1F61">
        <w:rPr>
          <w:color w:val="387026"/>
          <w:rtl/>
        </w:rPr>
        <w:t xml:space="preserve"> </w:t>
      </w:r>
      <w:r w:rsidRPr="00F13DA5">
        <w:rPr>
          <w:rFonts w:hint="cs"/>
          <w:rtl/>
        </w:rPr>
        <w:t xml:space="preserve">על פי הנחיית חטיבת החקירות, על היחידות החוקרות להחליט אם ישנה הצדקה לביצוע פעולות חקירה כאשר החשוד שוהה במעצר לאחר התייעצות עם גורם נוסף - יחידת התביעה המשטרתית או הפרקליטות, לפי העניין. </w:t>
      </w:r>
    </w:p>
    <w:p w14:paraId="085388E1" w14:textId="77777777" w:rsidR="00BA23AE" w:rsidRPr="00F13DA5" w:rsidRDefault="00BA23AE" w:rsidP="003B1F61">
      <w:pPr>
        <w:pStyle w:val="100"/>
        <w:rPr>
          <w:rtl/>
        </w:rPr>
      </w:pPr>
      <w:r w:rsidRPr="00F13DA5">
        <w:rPr>
          <w:rFonts w:hint="cs"/>
          <w:rtl/>
        </w:rPr>
        <w:t>בביקורות המעצרים הארצית שנערכו בשנים 2018 - 2019 עלה לא אחת קושי הנו</w:t>
      </w:r>
      <w:r>
        <w:rPr>
          <w:rFonts w:hint="cs"/>
          <w:rtl/>
        </w:rPr>
        <w:t>ב</w:t>
      </w:r>
      <w:r w:rsidRPr="00F13DA5">
        <w:rPr>
          <w:rFonts w:hint="cs"/>
          <w:rtl/>
        </w:rPr>
        <w:t xml:space="preserve">ע </w:t>
      </w:r>
      <w:r>
        <w:rPr>
          <w:rFonts w:hint="cs"/>
          <w:rtl/>
        </w:rPr>
        <w:t>מ</w:t>
      </w:r>
      <w:r w:rsidRPr="00F13DA5">
        <w:rPr>
          <w:rFonts w:hint="cs"/>
          <w:rtl/>
        </w:rPr>
        <w:t xml:space="preserve">התייעצות גורמי החקירה עם יחידות התביעה בעניין המשך החזקתו של עצור במעצר. קושי זה הביא להחזקה מיותרת של העצור. גם בסיכום שהוצג בפני מ"מ מפכ"ל המשטרה </w:t>
      </w:r>
      <w:r>
        <w:rPr>
          <w:rFonts w:hint="cs"/>
          <w:rtl/>
        </w:rPr>
        <w:t xml:space="preserve">באוקטובר 2018 </w:t>
      </w:r>
      <w:r w:rsidRPr="00F13DA5">
        <w:rPr>
          <w:rFonts w:hint="cs"/>
          <w:rtl/>
        </w:rPr>
        <w:t xml:space="preserve">הוצג טעם זה כגורם למעצרים לאחר תום החקירה. כך למשל, בביקורות נמצאו אירועים חוזרים של השארת עצור במעצר למשך הלילה רק לצורך התייעצות עם התובע בשעות הבוקר, גם אם ניתן היה לעורכה בשעות הערב, ובאחד </w:t>
      </w:r>
      <w:r>
        <w:rPr>
          <w:rFonts w:hint="cs"/>
          <w:rtl/>
        </w:rPr>
        <w:t>מאירועים אלה</w:t>
      </w:r>
      <w:r w:rsidRPr="00F13DA5">
        <w:rPr>
          <w:rFonts w:hint="cs"/>
          <w:rtl/>
        </w:rPr>
        <w:t xml:space="preserve"> גם בשעות הצ</w:t>
      </w:r>
      <w:r>
        <w:rPr>
          <w:rFonts w:hint="cs"/>
          <w:rtl/>
        </w:rPr>
        <w:t>ו</w:t>
      </w:r>
      <w:r w:rsidRPr="00F13DA5">
        <w:rPr>
          <w:rFonts w:hint="cs"/>
          <w:rtl/>
        </w:rPr>
        <w:t xml:space="preserve">הריים לא התאפשר להיוועץ. מכל מקום, לא הוסדר מנגנון להתייעצות בין יחידת החקירה ליחידת התביעה בשעות הערב. </w:t>
      </w:r>
    </w:p>
    <w:p w14:paraId="05FC4449" w14:textId="77777777" w:rsidR="00BA23AE" w:rsidRPr="00F13DA5" w:rsidRDefault="00BA23AE" w:rsidP="00651FD1">
      <w:pPr>
        <w:pStyle w:val="af4"/>
        <w:rPr>
          <w:rtl/>
        </w:rPr>
      </w:pPr>
      <w:r w:rsidRPr="00F13DA5">
        <w:rPr>
          <w:rFonts w:hint="cs"/>
          <w:rtl/>
        </w:rPr>
        <w:t xml:space="preserve">המתנה להתייעצות עם גורמי התביעה, שמובילה להארכת מעצרו של אדם ללא צורך, עומדת בניגוד לחוק המעצרים. על המשטרה וגורמי התביעה להסדיר מנגנון </w:t>
      </w:r>
      <w:r>
        <w:rPr>
          <w:rFonts w:hint="cs"/>
          <w:rtl/>
        </w:rPr>
        <w:t>הקובע כללים ותנאים בדבר אפשרויות ה</w:t>
      </w:r>
      <w:r w:rsidRPr="00F13DA5">
        <w:rPr>
          <w:rFonts w:hint="cs"/>
          <w:rtl/>
        </w:rPr>
        <w:t xml:space="preserve">התייעצות לצורך קבלת ההחלטה על המשך ההחזקה במעצר, על מנת שהחזקתו של עצור לא תתארך ללא הצדקה. </w:t>
      </w:r>
    </w:p>
    <w:p w14:paraId="244EABA5" w14:textId="77777777" w:rsidR="00BA23AE" w:rsidRPr="00F13DA5" w:rsidRDefault="00BA23AE" w:rsidP="00651FD1">
      <w:pPr>
        <w:pStyle w:val="100"/>
        <w:rPr>
          <w:rtl/>
        </w:rPr>
      </w:pPr>
      <w:r w:rsidRPr="00F13DA5">
        <w:rPr>
          <w:rFonts w:hint="cs"/>
          <w:rtl/>
        </w:rPr>
        <w:t xml:space="preserve">המשטרה מסרה בתשובתה כי בשלב החקירה שיקול הדעת בדבר מעצר או שחרור של חשוד מסור לקצין הממונה בתחנה. כאשר נדרשת התייעצות עם יחידות התביעה המשטרתית ישנם </w:t>
      </w:r>
      <w:r w:rsidRPr="00F13DA5">
        <w:rPr>
          <w:rFonts w:hint="cs"/>
          <w:rtl/>
        </w:rPr>
        <w:lastRenderedPageBreak/>
        <w:t xml:space="preserve">כוננים הזמינים ליתן מענה </w:t>
      </w:r>
      <w:r>
        <w:rPr>
          <w:rFonts w:hint="cs"/>
          <w:rtl/>
        </w:rPr>
        <w:t xml:space="preserve">בכל יום </w:t>
      </w:r>
      <w:r w:rsidRPr="00F13DA5">
        <w:rPr>
          <w:rFonts w:hint="cs"/>
          <w:rtl/>
        </w:rPr>
        <w:t>בשעות אחר הצ</w:t>
      </w:r>
      <w:r>
        <w:rPr>
          <w:rFonts w:hint="cs"/>
          <w:rtl/>
        </w:rPr>
        <w:t>ו</w:t>
      </w:r>
      <w:r w:rsidRPr="00F13DA5">
        <w:rPr>
          <w:rFonts w:hint="cs"/>
          <w:rtl/>
        </w:rPr>
        <w:t>הריים, בשעות הערב ואף בסופי שבוע ו</w:t>
      </w:r>
      <w:r>
        <w:rPr>
          <w:rFonts w:hint="cs"/>
          <w:rtl/>
        </w:rPr>
        <w:t>ב</w:t>
      </w:r>
      <w:r w:rsidRPr="00F13DA5">
        <w:rPr>
          <w:rFonts w:hint="cs"/>
          <w:rtl/>
        </w:rPr>
        <w:t>חגים - בשעות המוגדרות מראש.</w:t>
      </w:r>
      <w:r>
        <w:rPr>
          <w:rFonts w:hint="cs"/>
          <w:rtl/>
        </w:rPr>
        <w:t xml:space="preserve"> </w:t>
      </w:r>
      <w:r>
        <w:rPr>
          <w:rFonts w:ascii="David" w:hAnsi="David" w:hint="cs"/>
          <w:rtl/>
        </w:rPr>
        <w:t xml:space="preserve">בעקבות הדיון בפני מ"מ מפכ"ל חודד כי על ראש </w:t>
      </w:r>
      <w:r w:rsidRPr="00882A3D">
        <w:rPr>
          <w:rFonts w:ascii="David" w:hAnsi="David" w:hint="cs"/>
          <w:rtl/>
        </w:rPr>
        <w:t xml:space="preserve">שלוחת מעצרים או סגנו </w:t>
      </w:r>
      <w:r>
        <w:rPr>
          <w:rFonts w:ascii="David" w:hAnsi="David" w:hint="cs"/>
          <w:rtl/>
        </w:rPr>
        <w:t xml:space="preserve">להיות </w:t>
      </w:r>
      <w:r w:rsidRPr="00882A3D">
        <w:rPr>
          <w:rFonts w:ascii="David" w:hAnsi="David" w:hint="cs"/>
          <w:rtl/>
        </w:rPr>
        <w:t>זמינים עד שעות הערב המאוחרות להיוועצויות טלפוניות בנוגע לתיקי מעצר המצויים בחקירה.</w:t>
      </w:r>
      <w:r w:rsidRPr="00F13DA5">
        <w:rPr>
          <w:rFonts w:hint="cs"/>
          <w:rtl/>
        </w:rPr>
        <w:t xml:space="preserve"> יחד עם זאת, במקרים עם מורכבות ראייתית, כשפעולות החקירה הסתיימו בשעות הערב ולא ניתן היה לקבל החלטה בשאלת אפשרות השחרור בדרך בלתי אמצעית, העניין יובא להחלטת התביעה בבוקר היום שלמחרת.</w:t>
      </w:r>
      <w:r w:rsidRPr="00F13DA5">
        <w:rPr>
          <w:rtl/>
        </w:rPr>
        <w:t xml:space="preserve"> </w:t>
      </w:r>
    </w:p>
    <w:p w14:paraId="32CC80B0" w14:textId="77777777" w:rsidR="00BA23AE" w:rsidRPr="00F13DA5" w:rsidRDefault="00BA23AE" w:rsidP="00651FD1">
      <w:pPr>
        <w:pStyle w:val="316"/>
        <w:rPr>
          <w:rtl/>
        </w:rPr>
      </w:pPr>
      <w:r w:rsidRPr="00F13DA5">
        <w:rPr>
          <w:rFonts w:hint="cs"/>
          <w:rtl/>
        </w:rPr>
        <w:t>שחרור עצורים לפני הבאה לדיון בפני שופט</w:t>
      </w:r>
    </w:p>
    <w:p w14:paraId="26FF63D4" w14:textId="77777777" w:rsidR="00BA23AE" w:rsidRPr="00F13DA5" w:rsidRDefault="00BA23AE" w:rsidP="00651FD1">
      <w:pPr>
        <w:pStyle w:val="100"/>
        <w:rPr>
          <w:rtl/>
        </w:rPr>
      </w:pPr>
      <w:r w:rsidRPr="00F13DA5">
        <w:rPr>
          <w:rFonts w:hint="cs"/>
          <w:rtl/>
        </w:rPr>
        <w:t xml:space="preserve">הגשת בקשה להארכת מעצר בבית המשפט אמורה להיעשות רק אם נמצא על פי שיקול הדעת המקצועי של גורמי החקירה כי יש הצדקה מכוח החוק להמשך מעצרו של אדם. לפיכך, החלטות של המשטרה לשחרר עצור שעות ספורות לפני דיון בבית המשפט בבקשה להארכת מעצרו צריכות להיות חריגות ונדירות. </w:t>
      </w:r>
    </w:p>
    <w:p w14:paraId="21840375" w14:textId="77777777" w:rsidR="00BA23AE" w:rsidRPr="00F13DA5" w:rsidRDefault="00BA23AE" w:rsidP="00651FD1">
      <w:pPr>
        <w:pStyle w:val="100"/>
        <w:rPr>
          <w:rtl/>
        </w:rPr>
      </w:pPr>
      <w:r w:rsidRPr="00F13DA5">
        <w:rPr>
          <w:rFonts w:hint="cs"/>
          <w:rtl/>
        </w:rPr>
        <w:t xml:space="preserve">סוגיה זו עלתה בדיון </w:t>
      </w:r>
      <w:r w:rsidRPr="00F13DA5">
        <w:rPr>
          <w:rtl/>
        </w:rPr>
        <w:t>ב</w:t>
      </w:r>
      <w:r w:rsidRPr="00F13DA5">
        <w:rPr>
          <w:rFonts w:hint="cs"/>
          <w:rtl/>
        </w:rPr>
        <w:t xml:space="preserve">ין </w:t>
      </w:r>
      <w:r w:rsidRPr="00F13DA5">
        <w:rPr>
          <w:rtl/>
        </w:rPr>
        <w:t>נציגי המשטרה, הנהלת בתי המשפט</w:t>
      </w:r>
      <w:r w:rsidRPr="00F13DA5">
        <w:rPr>
          <w:rFonts w:hint="cs"/>
          <w:rtl/>
        </w:rPr>
        <w:t>,</w:t>
      </w:r>
      <w:r w:rsidRPr="00F13DA5">
        <w:rPr>
          <w:rtl/>
        </w:rPr>
        <w:t xml:space="preserve"> שב"ס </w:t>
      </w:r>
      <w:r w:rsidRPr="00F13DA5">
        <w:rPr>
          <w:rFonts w:hint="cs"/>
          <w:rtl/>
        </w:rPr>
        <w:t>ו</w:t>
      </w:r>
      <w:r w:rsidRPr="00F13DA5">
        <w:rPr>
          <w:rtl/>
        </w:rPr>
        <w:t>המשרד לבט"פ</w:t>
      </w:r>
      <w:r w:rsidRPr="00F13DA5">
        <w:rPr>
          <w:rFonts w:hint="cs"/>
          <w:rtl/>
        </w:rPr>
        <w:t xml:space="preserve"> כבר ב-2015, ולטענת שב"ס </w:t>
      </w:r>
      <w:r>
        <w:rPr>
          <w:rFonts w:hint="cs"/>
          <w:rtl/>
        </w:rPr>
        <w:t xml:space="preserve">באותו הדיון </w:t>
      </w:r>
      <w:r w:rsidRPr="00F13DA5">
        <w:rPr>
          <w:rFonts w:hint="cs"/>
          <w:rtl/>
        </w:rPr>
        <w:t>מדובר בכ-4,000 עצורים בשנה. בסיכום הדיון התבקש שב"ס להעביר למשטרה את הנתונים האמורים. יצוין כי על פי האומדן, הסע</w:t>
      </w:r>
      <w:r>
        <w:rPr>
          <w:rFonts w:hint="cs"/>
          <w:rtl/>
        </w:rPr>
        <w:t>תם</w:t>
      </w:r>
      <w:r w:rsidRPr="00F13DA5">
        <w:rPr>
          <w:rFonts w:hint="cs"/>
          <w:rtl/>
        </w:rPr>
        <w:t xml:space="preserve"> של כ-4,000 עצורים לבתי המשפט מוערכת בכ-2.6 מיליון ש"ח. </w:t>
      </w:r>
    </w:p>
    <w:p w14:paraId="2D73CFB5" w14:textId="77777777" w:rsidR="00BA23AE" w:rsidRPr="00F13DA5" w:rsidRDefault="00BA23AE" w:rsidP="00651FD1">
      <w:pPr>
        <w:pStyle w:val="100"/>
        <w:rPr>
          <w:rtl/>
        </w:rPr>
      </w:pPr>
      <w:r w:rsidRPr="00F13DA5">
        <w:rPr>
          <w:rFonts w:hint="cs"/>
          <w:rtl/>
        </w:rPr>
        <w:t>הנושא שב וחזר בדיונים שהתקיימו בין המשטרה ובין שב"ס</w:t>
      </w:r>
      <w:r>
        <w:rPr>
          <w:rFonts w:hint="cs"/>
          <w:rtl/>
        </w:rPr>
        <w:t xml:space="preserve"> ובמסגרתם עלה גם הצורך בקבלת נתונים מדויקים כדי לקבוע תוכנית פעולה</w:t>
      </w:r>
      <w:r w:rsidRPr="00F13DA5">
        <w:rPr>
          <w:rFonts w:hint="cs"/>
          <w:rtl/>
        </w:rPr>
        <w:t>. במסמך של מחלקת האסיר בשב"ס מחודש מאי 2018 צוין בזבוז המשאבים שבהבאת עצורים לבתי המשפט כאשר לפני הבאת העצור לדיון ניתנה הנחיה לשחררו. בלוח הבא מפורטים נתוני שב"ס בדבר שחרור עצורים בהוראת קצין ממונה לפני הדיון בעניינם:</w:t>
      </w:r>
    </w:p>
    <w:p w14:paraId="0506FB6F" w14:textId="64F0A7EA" w:rsidR="00BA23AE" w:rsidRPr="00651FD1" w:rsidRDefault="00BA23AE" w:rsidP="00651FD1">
      <w:pPr>
        <w:pStyle w:val="a9"/>
        <w:rPr>
          <w:b/>
          <w:bCs/>
          <w:rtl/>
        </w:rPr>
      </w:pPr>
      <w:r w:rsidRPr="00F13DA5">
        <w:rPr>
          <w:rFonts w:hint="cs"/>
          <w:rtl/>
        </w:rPr>
        <w:t xml:space="preserve">לוח </w:t>
      </w:r>
      <w:r>
        <w:rPr>
          <w:rFonts w:hint="cs"/>
          <w:rtl/>
        </w:rPr>
        <w:t>7</w:t>
      </w:r>
      <w:r w:rsidRPr="00F13DA5">
        <w:rPr>
          <w:rFonts w:hint="cs"/>
          <w:rtl/>
        </w:rPr>
        <w:t xml:space="preserve">: </w:t>
      </w:r>
      <w:r w:rsidRPr="00651FD1">
        <w:rPr>
          <w:rFonts w:hint="cs"/>
          <w:b/>
          <w:bCs/>
          <w:rtl/>
        </w:rPr>
        <w:t>נתונים על שחרור עצורים בהוראת קצין ממונה, 2016 - 2017 (חציון א')</w:t>
      </w:r>
    </w:p>
    <w:tbl>
      <w:tblPr>
        <w:tblStyle w:val="TableGrid"/>
        <w:bidiVisual/>
        <w:tblW w:w="0" w:type="auto"/>
        <w:tblLook w:val="04A0" w:firstRow="1" w:lastRow="0" w:firstColumn="1" w:lastColumn="0" w:noHBand="0" w:noVBand="1"/>
      </w:tblPr>
      <w:tblGrid>
        <w:gridCol w:w="1977"/>
        <w:gridCol w:w="2976"/>
        <w:gridCol w:w="3257"/>
      </w:tblGrid>
      <w:tr w:rsidR="00BA23AE" w:rsidRPr="008641A1" w14:paraId="6674BB58" w14:textId="77777777" w:rsidTr="00651FD1">
        <w:tc>
          <w:tcPr>
            <w:tcW w:w="1978" w:type="dxa"/>
            <w:shd w:val="clear" w:color="auto" w:fill="C6D9F1"/>
            <w:vAlign w:val="bottom"/>
            <w:hideMark/>
          </w:tcPr>
          <w:p w14:paraId="77E884CC" w14:textId="77777777" w:rsidR="00BA23AE" w:rsidRPr="00651FD1" w:rsidRDefault="00BA23AE" w:rsidP="00651FD1">
            <w:pPr>
              <w:pStyle w:val="af0"/>
              <w:rPr>
                <w:rtl/>
              </w:rPr>
            </w:pPr>
            <w:r w:rsidRPr="00651FD1">
              <w:rPr>
                <w:rFonts w:hint="cs"/>
                <w:rtl/>
              </w:rPr>
              <w:t>שנה</w:t>
            </w:r>
          </w:p>
        </w:tc>
        <w:tc>
          <w:tcPr>
            <w:tcW w:w="2976" w:type="dxa"/>
            <w:shd w:val="clear" w:color="auto" w:fill="C6D9F1"/>
            <w:vAlign w:val="bottom"/>
            <w:hideMark/>
          </w:tcPr>
          <w:p w14:paraId="2E3B7E25" w14:textId="77777777" w:rsidR="00BA23AE" w:rsidRPr="00651FD1" w:rsidRDefault="00BA23AE" w:rsidP="00651FD1">
            <w:pPr>
              <w:pStyle w:val="af0"/>
              <w:rPr>
                <w:rtl/>
              </w:rPr>
            </w:pPr>
            <w:r w:rsidRPr="00651FD1">
              <w:rPr>
                <w:rFonts w:hint="cs"/>
                <w:rtl/>
              </w:rPr>
              <w:t>מספר העצורים ששוחררו על בסיס אסמכתה משטרתית</w:t>
            </w:r>
          </w:p>
        </w:tc>
        <w:tc>
          <w:tcPr>
            <w:tcW w:w="3257" w:type="dxa"/>
            <w:shd w:val="clear" w:color="auto" w:fill="C6D9F1"/>
            <w:vAlign w:val="bottom"/>
            <w:hideMark/>
          </w:tcPr>
          <w:p w14:paraId="3B632AFB" w14:textId="77777777" w:rsidR="00BA23AE" w:rsidRPr="00651FD1" w:rsidRDefault="00BA23AE" w:rsidP="00651FD1">
            <w:pPr>
              <w:pStyle w:val="af0"/>
              <w:rPr>
                <w:rtl/>
              </w:rPr>
            </w:pPr>
            <w:r w:rsidRPr="00651FD1">
              <w:rPr>
                <w:rFonts w:hint="cs"/>
                <w:rtl/>
              </w:rPr>
              <w:t>מספר העצורים מתוכם ששוחררו בהיותם בבתי המשפט</w:t>
            </w:r>
          </w:p>
        </w:tc>
      </w:tr>
      <w:tr w:rsidR="00BA23AE" w:rsidRPr="008641A1" w14:paraId="3D4ADB1C" w14:textId="77777777" w:rsidTr="00465562">
        <w:tc>
          <w:tcPr>
            <w:tcW w:w="1978" w:type="dxa"/>
            <w:shd w:val="clear" w:color="auto" w:fill="auto"/>
            <w:vAlign w:val="bottom"/>
            <w:hideMark/>
          </w:tcPr>
          <w:p w14:paraId="274408D8" w14:textId="77777777" w:rsidR="00BA23AE" w:rsidRPr="008641A1" w:rsidRDefault="00BA23AE" w:rsidP="00651FD1">
            <w:pPr>
              <w:pStyle w:val="R"/>
              <w:rPr>
                <w:rtl/>
              </w:rPr>
            </w:pPr>
            <w:r w:rsidRPr="008641A1">
              <w:rPr>
                <w:rFonts w:hint="cs"/>
                <w:rtl/>
              </w:rPr>
              <w:t>2016</w:t>
            </w:r>
          </w:p>
        </w:tc>
        <w:tc>
          <w:tcPr>
            <w:tcW w:w="2976" w:type="dxa"/>
            <w:shd w:val="clear" w:color="auto" w:fill="auto"/>
            <w:vAlign w:val="bottom"/>
            <w:hideMark/>
          </w:tcPr>
          <w:p w14:paraId="78141331" w14:textId="77777777" w:rsidR="00BA23AE" w:rsidRPr="008641A1" w:rsidRDefault="00BA23AE" w:rsidP="00651FD1">
            <w:pPr>
              <w:pStyle w:val="R"/>
              <w:rPr>
                <w:rtl/>
              </w:rPr>
            </w:pPr>
            <w:r w:rsidRPr="008641A1">
              <w:rPr>
                <w:rFonts w:hint="cs"/>
                <w:rtl/>
              </w:rPr>
              <w:t>8,563</w:t>
            </w:r>
          </w:p>
        </w:tc>
        <w:tc>
          <w:tcPr>
            <w:tcW w:w="3257" w:type="dxa"/>
            <w:shd w:val="clear" w:color="auto" w:fill="auto"/>
            <w:vAlign w:val="bottom"/>
            <w:hideMark/>
          </w:tcPr>
          <w:p w14:paraId="35313F01" w14:textId="77777777" w:rsidR="00BA23AE" w:rsidRPr="008641A1" w:rsidRDefault="00BA23AE" w:rsidP="00651FD1">
            <w:pPr>
              <w:pStyle w:val="R"/>
              <w:rPr>
                <w:rtl/>
              </w:rPr>
            </w:pPr>
            <w:r w:rsidRPr="008641A1">
              <w:rPr>
                <w:rFonts w:hint="cs"/>
                <w:rtl/>
              </w:rPr>
              <w:t>4,268 (49.8%)</w:t>
            </w:r>
          </w:p>
        </w:tc>
      </w:tr>
      <w:tr w:rsidR="00BA23AE" w:rsidRPr="008641A1" w14:paraId="6089BC2B" w14:textId="77777777" w:rsidTr="00465562">
        <w:tc>
          <w:tcPr>
            <w:tcW w:w="1978" w:type="dxa"/>
            <w:shd w:val="clear" w:color="auto" w:fill="auto"/>
            <w:vAlign w:val="bottom"/>
            <w:hideMark/>
          </w:tcPr>
          <w:p w14:paraId="7BC4A187" w14:textId="77777777" w:rsidR="00BA23AE" w:rsidRPr="008641A1" w:rsidRDefault="00BA23AE" w:rsidP="00651FD1">
            <w:pPr>
              <w:pStyle w:val="R"/>
              <w:rPr>
                <w:rtl/>
              </w:rPr>
            </w:pPr>
            <w:r w:rsidRPr="008641A1">
              <w:rPr>
                <w:rFonts w:hint="cs"/>
                <w:rtl/>
              </w:rPr>
              <w:t>חציון א' 2017</w:t>
            </w:r>
          </w:p>
        </w:tc>
        <w:tc>
          <w:tcPr>
            <w:tcW w:w="2976" w:type="dxa"/>
            <w:shd w:val="clear" w:color="auto" w:fill="auto"/>
            <w:vAlign w:val="bottom"/>
            <w:hideMark/>
          </w:tcPr>
          <w:p w14:paraId="4175A883" w14:textId="77777777" w:rsidR="00BA23AE" w:rsidRPr="008641A1" w:rsidRDefault="00BA23AE" w:rsidP="00651FD1">
            <w:pPr>
              <w:pStyle w:val="R"/>
              <w:rPr>
                <w:rtl/>
              </w:rPr>
            </w:pPr>
            <w:r w:rsidRPr="008641A1">
              <w:rPr>
                <w:rFonts w:hint="cs"/>
                <w:rtl/>
              </w:rPr>
              <w:t>4,111</w:t>
            </w:r>
          </w:p>
        </w:tc>
        <w:tc>
          <w:tcPr>
            <w:tcW w:w="3257" w:type="dxa"/>
            <w:shd w:val="clear" w:color="auto" w:fill="auto"/>
            <w:vAlign w:val="bottom"/>
            <w:hideMark/>
          </w:tcPr>
          <w:p w14:paraId="59CE75CA" w14:textId="77777777" w:rsidR="00BA23AE" w:rsidRPr="008641A1" w:rsidRDefault="00BA23AE" w:rsidP="00651FD1">
            <w:pPr>
              <w:pStyle w:val="R"/>
              <w:rPr>
                <w:rtl/>
              </w:rPr>
            </w:pPr>
            <w:r w:rsidRPr="008641A1">
              <w:rPr>
                <w:rFonts w:hint="cs"/>
                <w:rtl/>
              </w:rPr>
              <w:t xml:space="preserve">1,800 (44%) </w:t>
            </w:r>
          </w:p>
        </w:tc>
      </w:tr>
    </w:tbl>
    <w:p w14:paraId="1F04AC25" w14:textId="38A80E0A" w:rsidR="009F394C" w:rsidRDefault="00BA23AE" w:rsidP="00651FD1">
      <w:pPr>
        <w:pStyle w:val="ab"/>
        <w:rPr>
          <w:rtl/>
        </w:rPr>
      </w:pPr>
      <w:r w:rsidRPr="00F13DA5">
        <w:rPr>
          <w:rFonts w:hint="cs"/>
          <w:rtl/>
        </w:rPr>
        <w:t>על פי</w:t>
      </w:r>
      <w:r w:rsidRPr="00F13DA5">
        <w:rPr>
          <w:rtl/>
        </w:rPr>
        <w:t xml:space="preserve"> </w:t>
      </w:r>
      <w:r w:rsidRPr="00F13DA5">
        <w:rPr>
          <w:rFonts w:hint="eastAsia"/>
          <w:rtl/>
        </w:rPr>
        <w:t>נתוני</w:t>
      </w:r>
      <w:r w:rsidRPr="00F13DA5">
        <w:rPr>
          <w:rtl/>
        </w:rPr>
        <w:t xml:space="preserve"> </w:t>
      </w:r>
      <w:r w:rsidRPr="00F13DA5">
        <w:rPr>
          <w:rFonts w:hint="eastAsia"/>
          <w:rtl/>
        </w:rPr>
        <w:t>שב</w:t>
      </w:r>
      <w:r w:rsidRPr="00F13DA5">
        <w:rPr>
          <w:rtl/>
        </w:rPr>
        <w:t>"ס</w:t>
      </w:r>
      <w:r w:rsidRPr="00F13DA5">
        <w:rPr>
          <w:rFonts w:hint="cs"/>
          <w:rtl/>
        </w:rPr>
        <w:t>,</w:t>
      </w:r>
      <w:r w:rsidRPr="00F13DA5">
        <w:rPr>
          <w:rtl/>
        </w:rPr>
        <w:t xml:space="preserve"> </w:t>
      </w:r>
      <w:r w:rsidRPr="00F13DA5">
        <w:rPr>
          <w:rFonts w:hint="cs"/>
          <w:rtl/>
        </w:rPr>
        <w:t>בעיבוד משרד מבקר המדינה</w:t>
      </w:r>
      <w:r w:rsidRPr="00F13DA5">
        <w:rPr>
          <w:rtl/>
        </w:rPr>
        <w:t>.</w:t>
      </w:r>
    </w:p>
    <w:p w14:paraId="47EC5ECB" w14:textId="77777777" w:rsidR="00333BC5" w:rsidRDefault="00333BC5" w:rsidP="00333BC5">
      <w:pPr>
        <w:pStyle w:val="100"/>
        <w:rPr>
          <w:rtl/>
        </w:rPr>
      </w:pPr>
    </w:p>
    <w:p w14:paraId="4735C058" w14:textId="03ED769F" w:rsidR="00BA23AE" w:rsidRPr="00F13DA5" w:rsidRDefault="00BA23AE" w:rsidP="00651FD1">
      <w:pPr>
        <w:pStyle w:val="af4"/>
        <w:rPr>
          <w:rtl/>
        </w:rPr>
      </w:pPr>
      <w:r w:rsidRPr="00F13DA5">
        <w:rPr>
          <w:rFonts w:hint="cs"/>
          <w:rtl/>
        </w:rPr>
        <w:lastRenderedPageBreak/>
        <w:t xml:space="preserve">נמצא כי מאז 2015 הועלה הצורך באיסוף נתונים בקשר לתופעת שחרור עצורים בהוראת קצין ממונה כששהו בין כותלי בית המשפט ולפני שהובאו לדיון. בהיעדר תמונה מעודכנת על היקף התופעה, ואם אכן כ-40% מהעצורים משוחררים בתוך 24 שעות, מדובר בפגיעה משמעותית ולא מוצדקת לכאורה בחירותם של חשודים. יתר על כן, תופעה זו מביאה לעלויות מיותרות, להכבדה משמעותית על שב"ס, הנאלץ לקלוט עצורים ולהסיעם לבתי המשפט, ולצפיפות ולעומס שלא לצורך במתקני שב"ס ובבתי המשפט. </w:t>
      </w:r>
    </w:p>
    <w:p w14:paraId="2B2CA1E1" w14:textId="77777777" w:rsidR="00BA23AE" w:rsidRPr="00F13DA5" w:rsidRDefault="00BA23AE" w:rsidP="00651FD1">
      <w:pPr>
        <w:pStyle w:val="100"/>
        <w:rPr>
          <w:rtl/>
        </w:rPr>
      </w:pPr>
      <w:r w:rsidRPr="00F13DA5">
        <w:rPr>
          <w:rFonts w:hint="cs"/>
          <w:rtl/>
        </w:rPr>
        <w:t>המשטרה ציינה בתשובתה כי מאחר ששעות הסעת העצורים לבתי המשפט מוגבלות לסבבים המקובלים, שלרוב מתחילים עוד לפני בחינת התיק בשעות הבוקר המוקדמות על ידי קצין חקירות או תובע, לע</w:t>
      </w:r>
      <w:r>
        <w:rPr>
          <w:rFonts w:hint="cs"/>
          <w:rtl/>
        </w:rPr>
        <w:t>י</w:t>
      </w:r>
      <w:r w:rsidRPr="00F13DA5">
        <w:rPr>
          <w:rFonts w:hint="cs"/>
          <w:rtl/>
        </w:rPr>
        <w:t>תים קורה שעצורים מסוימים ישוחררו בטרם הובאו לדיון. יכולות להיות סיבות אחרות לשחרור עצור בבית המשפט, למשל הסכמתו לשחרור בתנאים שקודם לכן לא הסכים עליהם. עוד הסבירה</w:t>
      </w:r>
      <w:r>
        <w:rPr>
          <w:rFonts w:hint="cs"/>
          <w:rtl/>
        </w:rPr>
        <w:t xml:space="preserve"> המשטרה</w:t>
      </w:r>
      <w:r w:rsidRPr="00F13DA5">
        <w:rPr>
          <w:rFonts w:hint="cs"/>
          <w:rtl/>
        </w:rPr>
        <w:t xml:space="preserve"> כי החקירה היא הליך דינמי</w:t>
      </w:r>
      <w:r>
        <w:rPr>
          <w:rFonts w:hint="cs"/>
          <w:rtl/>
        </w:rPr>
        <w:t>,</w:t>
      </w:r>
      <w:r w:rsidRPr="00F13DA5">
        <w:rPr>
          <w:rFonts w:hint="cs"/>
          <w:rtl/>
        </w:rPr>
        <w:t xml:space="preserve"> ו</w:t>
      </w:r>
      <w:r>
        <w:rPr>
          <w:rFonts w:hint="cs"/>
          <w:rtl/>
        </w:rPr>
        <w:t>י</w:t>
      </w:r>
      <w:r w:rsidRPr="00F13DA5">
        <w:rPr>
          <w:rFonts w:hint="cs"/>
          <w:rtl/>
        </w:rPr>
        <w:t xml:space="preserve">יתכן שבעקבות התפתחות בחקירה התאפשר שחרורו של עצור ולכן לא הובא לפני שופט. דברים אלו מעידים דווקא על גמישות ופעולה נכונה של המשטרה, הבוחנת את נחיצות המעצר. </w:t>
      </w:r>
    </w:p>
    <w:p w14:paraId="5905BD45" w14:textId="77777777" w:rsidR="00BA23AE" w:rsidRPr="00F13DA5" w:rsidRDefault="00BA23AE" w:rsidP="00651FD1">
      <w:pPr>
        <w:pStyle w:val="af4"/>
        <w:rPr>
          <w:rtl/>
        </w:rPr>
      </w:pPr>
      <w:r w:rsidRPr="00F13DA5">
        <w:rPr>
          <w:rtl/>
        </w:rPr>
        <w:t xml:space="preserve">רק לאחר איסוף נתונים וקבלת תמונה מעודכנת </w:t>
      </w:r>
      <w:r w:rsidRPr="00F13DA5">
        <w:rPr>
          <w:rFonts w:hint="cs"/>
          <w:rtl/>
        </w:rPr>
        <w:t>ע</w:t>
      </w:r>
      <w:r w:rsidRPr="00F13DA5">
        <w:rPr>
          <w:rtl/>
        </w:rPr>
        <w:t xml:space="preserve">ל היקף תופעת השחרור של עצורים בתוך 24 שעות תוכל המשטרה </w:t>
      </w:r>
      <w:r>
        <w:rPr>
          <w:rFonts w:hint="cs"/>
          <w:rtl/>
        </w:rPr>
        <w:t>לבסס</w:t>
      </w:r>
      <w:r w:rsidRPr="00F13DA5">
        <w:rPr>
          <w:rtl/>
        </w:rPr>
        <w:t xml:space="preserve"> את עמדתה</w:t>
      </w:r>
      <w:r>
        <w:rPr>
          <w:rFonts w:hint="cs"/>
          <w:rtl/>
        </w:rPr>
        <w:t>, להתייחס לטענות המועלות כנגדה</w:t>
      </w:r>
      <w:r w:rsidRPr="00F13DA5">
        <w:rPr>
          <w:rtl/>
        </w:rPr>
        <w:t xml:space="preserve"> ולתכנן את פעולותיה בהתאם</w:t>
      </w:r>
      <w:r>
        <w:rPr>
          <w:rFonts w:hint="cs"/>
          <w:rtl/>
        </w:rPr>
        <w:t xml:space="preserve"> כדי שמספר המקרים של שחרור לפני הבאה לדיון יצומצם</w:t>
      </w:r>
      <w:r w:rsidRPr="00F13DA5">
        <w:rPr>
          <w:rtl/>
        </w:rPr>
        <w:t xml:space="preserve">. </w:t>
      </w:r>
    </w:p>
    <w:p w14:paraId="0933A60B" w14:textId="77777777" w:rsidR="00BA23AE" w:rsidRPr="00F13DA5" w:rsidRDefault="00BA23AE" w:rsidP="00651FD1">
      <w:pPr>
        <w:pStyle w:val="af4"/>
        <w:rPr>
          <w:rtl/>
        </w:rPr>
      </w:pPr>
      <w:r w:rsidRPr="00F13DA5">
        <w:rPr>
          <w:rFonts w:hint="cs"/>
          <w:rtl/>
        </w:rPr>
        <w:t>זאת ועוד,</w:t>
      </w:r>
      <w:r>
        <w:rPr>
          <w:rFonts w:hint="cs"/>
          <w:rtl/>
        </w:rPr>
        <w:t xml:space="preserve"> לדעת משרד מבקר המדינה</w:t>
      </w:r>
      <w:r w:rsidRPr="00F13DA5">
        <w:rPr>
          <w:rFonts w:hint="cs"/>
          <w:rtl/>
        </w:rPr>
        <w:t xml:space="preserve"> ממשק ממוחשב בין המערכות בשב"ס ובין המערכות במשטרה, שעל ידו יועבר מידע עדכני בזמן אמת, יוכל לאפשר העברת מידע מיידית על ההחלטה לשחרר עצור. באורח זה תימנע הסעה ללא צורך והחזקה מיותרת שלו בבית המשפט, וייחסכו עלויות של שני הגופים. על שב"ס והמשטרה לשקול יצירת ממשק ממוחשב כאמור.</w:t>
      </w:r>
    </w:p>
    <w:p w14:paraId="451CA4D6" w14:textId="77777777" w:rsidR="00BA23AE" w:rsidRPr="00F13DA5" w:rsidRDefault="00BA23AE" w:rsidP="00651FD1">
      <w:pPr>
        <w:pStyle w:val="316"/>
        <w:rPr>
          <w:rtl/>
        </w:rPr>
      </w:pPr>
      <w:r w:rsidRPr="00F13DA5">
        <w:rPr>
          <w:rFonts w:hint="cs"/>
          <w:rtl/>
        </w:rPr>
        <w:t>הדוח הסודי</w:t>
      </w:r>
      <w:bookmarkEnd w:id="9"/>
    </w:p>
    <w:p w14:paraId="6ABBFF3A" w14:textId="0E05A6F7" w:rsidR="00BA23AE" w:rsidRPr="00F13DA5" w:rsidRDefault="00BA23AE" w:rsidP="00651FD1">
      <w:pPr>
        <w:pStyle w:val="100"/>
        <w:rPr>
          <w:rtl/>
        </w:rPr>
      </w:pPr>
      <w:r w:rsidRPr="00F13DA5">
        <w:rPr>
          <w:rFonts w:hint="cs"/>
          <w:rtl/>
        </w:rPr>
        <w:t>לפי חוק המעצרים, לבקשת מעצר יצורף חומר חסוי (להלן - דוח סודי) לעיון בית המשפט בלבד, לרבות החומר החסוי שהוגש בדיוני המעצר הקודמים. ככלל, הדוח הסודי נדרש להכיל שלושה פרטי מידע עיקריים - פעולות חקירה שכבר בוצעו, פעולות חקירה המתוכננות להתבצע ועילות מעצר קיימות.</w:t>
      </w:r>
    </w:p>
    <w:p w14:paraId="04565085" w14:textId="77777777" w:rsidR="00BA23AE" w:rsidRPr="00F13DA5" w:rsidRDefault="00BA23AE" w:rsidP="00651FD1">
      <w:pPr>
        <w:pStyle w:val="100"/>
        <w:rPr>
          <w:rtl/>
        </w:rPr>
      </w:pPr>
      <w:r w:rsidRPr="00F13DA5">
        <w:rPr>
          <w:rFonts w:hint="cs"/>
          <w:rtl/>
        </w:rPr>
        <w:t>לדוח הסודי יש תפקיד מרכזי בשלבים המוקדמים של ההליך הפלילי: מדובר במסמך העיקרי שמבסס את עילת המעצר לצורכי חקירה, והוא נתון לבחינה משפטית של בית המשפט בדיוני המעצר וכן לבחינה נוספת של התביעה בסיווגו כחומר חקירה</w:t>
      </w:r>
      <w:r w:rsidRPr="00F13DA5">
        <w:rPr>
          <w:vertAlign w:val="superscript"/>
          <w:rtl/>
        </w:rPr>
        <w:footnoteReference w:id="21"/>
      </w:r>
      <w:r w:rsidRPr="00F13DA5">
        <w:rPr>
          <w:rFonts w:hint="cs"/>
          <w:rtl/>
        </w:rPr>
        <w:t xml:space="preserve">. בהירות הטיעונים המועלים בו, </w:t>
      </w:r>
      <w:r w:rsidRPr="00F13DA5">
        <w:rPr>
          <w:rFonts w:hint="cs"/>
          <w:rtl/>
        </w:rPr>
        <w:lastRenderedPageBreak/>
        <w:t xml:space="preserve">טיב הפעולות המפורטות, מועד תכנונן ומועד ביצוען נתונים למעקב תדיר על ידי הגורמים המעורבים בהליך המעצר. </w:t>
      </w:r>
    </w:p>
    <w:p w14:paraId="1DD4D506" w14:textId="77777777" w:rsidR="00BA23AE" w:rsidRPr="00F13DA5" w:rsidRDefault="00BA23AE" w:rsidP="008A0C03">
      <w:pPr>
        <w:pStyle w:val="a1"/>
        <w:numPr>
          <w:ilvl w:val="0"/>
          <w:numId w:val="18"/>
        </w:numPr>
        <w:rPr>
          <w:rtl/>
        </w:rPr>
      </w:pPr>
      <w:r w:rsidRPr="00F13DA5">
        <w:rPr>
          <w:rFonts w:hint="cs"/>
          <w:rtl/>
        </w:rPr>
        <w:t xml:space="preserve">כבר בבקרות שערכו במשך השנים 2017 - 2019 </w:t>
      </w:r>
      <w:r>
        <w:rPr>
          <w:rFonts w:hint="cs"/>
          <w:rtl/>
        </w:rPr>
        <w:t>ה</w:t>
      </w:r>
      <w:r w:rsidRPr="00F13DA5">
        <w:rPr>
          <w:rFonts w:hint="cs"/>
          <w:rtl/>
        </w:rPr>
        <w:t>מחוזות ו</w:t>
      </w:r>
      <w:r>
        <w:rPr>
          <w:rFonts w:hint="cs"/>
          <w:rtl/>
        </w:rPr>
        <w:t>ה</w:t>
      </w:r>
      <w:r w:rsidRPr="00F13DA5">
        <w:rPr>
          <w:rFonts w:hint="cs"/>
          <w:rtl/>
        </w:rPr>
        <w:t xml:space="preserve">מרחבים עלה כי ישנן תקלות חוזרות ונשנות במילוי הדוחות הסודיים במשטרה. חלקן נובעות מאי מילוי טפסים בהתאם לפורמט שהיה קיים באותו מרחב או מחוז, וחלקן נובעות מפערים מקצועיים במילוי סעיפי הטופס (ראו הסעיף הבא). גם בבקרה ארצית בנושא </w:t>
      </w:r>
      <w:r>
        <w:rPr>
          <w:rFonts w:hint="cs"/>
          <w:rtl/>
        </w:rPr>
        <w:t>ה</w:t>
      </w:r>
      <w:r w:rsidRPr="00F13DA5">
        <w:rPr>
          <w:rFonts w:hint="cs"/>
          <w:rtl/>
        </w:rPr>
        <w:t xml:space="preserve">דוחות </w:t>
      </w:r>
      <w:r>
        <w:rPr>
          <w:rFonts w:hint="cs"/>
          <w:rtl/>
        </w:rPr>
        <w:t>ה</w:t>
      </w:r>
      <w:r w:rsidRPr="00F13DA5">
        <w:rPr>
          <w:rFonts w:hint="cs"/>
          <w:rtl/>
        </w:rPr>
        <w:t>סודיים</w:t>
      </w:r>
      <w:r>
        <w:rPr>
          <w:rFonts w:hint="cs"/>
          <w:rtl/>
        </w:rPr>
        <w:t xml:space="preserve"> משנת 2018</w:t>
      </w:r>
      <w:r w:rsidRPr="00F13DA5">
        <w:rPr>
          <w:rFonts w:hint="cs"/>
          <w:rtl/>
        </w:rPr>
        <w:t xml:space="preserve"> עלה כי איכות הדוחות במחוזות אינה אחידה. </w:t>
      </w:r>
    </w:p>
    <w:p w14:paraId="70BD9BEF" w14:textId="77777777" w:rsidR="00BA23AE" w:rsidRPr="00F13DA5" w:rsidRDefault="00BA23AE" w:rsidP="00527B92">
      <w:pPr>
        <w:pStyle w:val="ad"/>
        <w:rPr>
          <w:rtl/>
        </w:rPr>
      </w:pPr>
      <w:r w:rsidRPr="00F13DA5">
        <w:rPr>
          <w:rFonts w:hint="eastAsia"/>
          <w:rtl/>
        </w:rPr>
        <w:t>במהלך</w:t>
      </w:r>
      <w:r w:rsidRPr="00F13DA5">
        <w:rPr>
          <w:rtl/>
        </w:rPr>
        <w:t xml:space="preserve"> </w:t>
      </w:r>
      <w:r w:rsidRPr="00F13DA5">
        <w:rPr>
          <w:rFonts w:hint="eastAsia"/>
          <w:rtl/>
        </w:rPr>
        <w:t>הביקורת</w:t>
      </w:r>
      <w:r w:rsidRPr="00F13DA5">
        <w:rPr>
          <w:rFonts w:hint="cs"/>
          <w:rtl/>
        </w:rPr>
        <w:t xml:space="preserve">, </w:t>
      </w:r>
      <w:r w:rsidRPr="00F13DA5">
        <w:rPr>
          <w:rFonts w:hint="eastAsia"/>
          <w:rtl/>
        </w:rPr>
        <w:t>בחודש</w:t>
      </w:r>
      <w:r w:rsidRPr="00F13DA5">
        <w:rPr>
          <w:rtl/>
        </w:rPr>
        <w:t xml:space="preserve"> </w:t>
      </w:r>
      <w:r w:rsidRPr="00F13DA5">
        <w:rPr>
          <w:rFonts w:hint="eastAsia"/>
          <w:rtl/>
        </w:rPr>
        <w:t>יוני</w:t>
      </w:r>
      <w:r w:rsidRPr="00F13DA5">
        <w:rPr>
          <w:rtl/>
        </w:rPr>
        <w:t xml:space="preserve"> 2019,</w:t>
      </w:r>
      <w:r w:rsidRPr="00F13DA5">
        <w:rPr>
          <w:rFonts w:hint="cs"/>
          <w:rtl/>
        </w:rPr>
        <w:t xml:space="preserve"> </w:t>
      </w:r>
      <w:r>
        <w:rPr>
          <w:rFonts w:hint="cs"/>
          <w:rtl/>
        </w:rPr>
        <w:t>העביר אח"ם</w:t>
      </w:r>
      <w:r w:rsidRPr="00F13DA5">
        <w:rPr>
          <w:rFonts w:hint="cs"/>
          <w:rtl/>
        </w:rPr>
        <w:t xml:space="preserve"> לידי המחוזות טופס אחיד. הטופס הופץ לשימוש ארצי, אך עדיין לא הוזן למערכת הממוחשבת של המשטרה. </w:t>
      </w:r>
      <w:r w:rsidRPr="00F13DA5">
        <w:rPr>
          <w:rFonts w:hint="eastAsia"/>
          <w:rtl/>
        </w:rPr>
        <w:t>ברי</w:t>
      </w:r>
      <w:r w:rsidRPr="00F13DA5">
        <w:rPr>
          <w:rtl/>
        </w:rPr>
        <w:t xml:space="preserve"> </w:t>
      </w:r>
      <w:r w:rsidRPr="00F13DA5">
        <w:rPr>
          <w:rFonts w:hint="eastAsia"/>
          <w:rtl/>
        </w:rPr>
        <w:t>כי</w:t>
      </w:r>
      <w:r w:rsidRPr="00F13DA5">
        <w:rPr>
          <w:rtl/>
        </w:rPr>
        <w:t xml:space="preserve"> </w:t>
      </w:r>
      <w:r w:rsidRPr="00F13DA5">
        <w:rPr>
          <w:rFonts w:hint="eastAsia"/>
          <w:rtl/>
        </w:rPr>
        <w:t>הזנתו</w:t>
      </w:r>
      <w:r w:rsidRPr="00F13DA5">
        <w:rPr>
          <w:rtl/>
        </w:rPr>
        <w:t xml:space="preserve"> </w:t>
      </w:r>
      <w:r w:rsidRPr="00F13DA5">
        <w:rPr>
          <w:rFonts w:hint="eastAsia"/>
          <w:rtl/>
        </w:rPr>
        <w:t>תקל</w:t>
      </w:r>
      <w:r w:rsidRPr="00F13DA5">
        <w:rPr>
          <w:rtl/>
        </w:rPr>
        <w:t xml:space="preserve"> </w:t>
      </w:r>
      <w:r w:rsidRPr="00F13DA5">
        <w:rPr>
          <w:rFonts w:hint="eastAsia"/>
          <w:rtl/>
        </w:rPr>
        <w:t>על</w:t>
      </w:r>
      <w:r w:rsidRPr="00F13DA5">
        <w:rPr>
          <w:rtl/>
        </w:rPr>
        <w:t xml:space="preserve"> </w:t>
      </w:r>
      <w:r w:rsidRPr="00F13DA5">
        <w:rPr>
          <w:rFonts w:hint="eastAsia"/>
          <w:rtl/>
        </w:rPr>
        <w:t>השימוש</w:t>
      </w:r>
      <w:r w:rsidRPr="00F13DA5">
        <w:rPr>
          <w:rtl/>
        </w:rPr>
        <w:t xml:space="preserve"> </w:t>
      </w:r>
      <w:r w:rsidRPr="00F13DA5">
        <w:rPr>
          <w:rFonts w:hint="eastAsia"/>
          <w:rtl/>
        </w:rPr>
        <w:t>בו</w:t>
      </w:r>
      <w:r w:rsidRPr="00F13DA5">
        <w:rPr>
          <w:rtl/>
        </w:rPr>
        <w:t xml:space="preserve"> </w:t>
      </w:r>
      <w:r w:rsidRPr="00F13DA5">
        <w:rPr>
          <w:rFonts w:hint="eastAsia"/>
          <w:rtl/>
        </w:rPr>
        <w:t>ותסייע</w:t>
      </w:r>
      <w:r w:rsidRPr="00F13DA5">
        <w:rPr>
          <w:rtl/>
        </w:rPr>
        <w:t xml:space="preserve"> </w:t>
      </w:r>
      <w:r>
        <w:rPr>
          <w:rFonts w:hint="cs"/>
          <w:rtl/>
        </w:rPr>
        <w:t>לפקח</w:t>
      </w:r>
      <w:r w:rsidRPr="00F13DA5">
        <w:rPr>
          <w:rtl/>
        </w:rPr>
        <w:t xml:space="preserve"> </w:t>
      </w:r>
      <w:r w:rsidRPr="00F13DA5">
        <w:rPr>
          <w:rFonts w:hint="eastAsia"/>
          <w:rtl/>
        </w:rPr>
        <w:t>על</w:t>
      </w:r>
      <w:r w:rsidRPr="00F13DA5">
        <w:rPr>
          <w:rtl/>
        </w:rPr>
        <w:t xml:space="preserve"> </w:t>
      </w:r>
      <w:r w:rsidRPr="00F13DA5">
        <w:rPr>
          <w:rFonts w:hint="eastAsia"/>
          <w:rtl/>
        </w:rPr>
        <w:t>טיב</w:t>
      </w:r>
      <w:r w:rsidRPr="00F13DA5">
        <w:rPr>
          <w:rtl/>
        </w:rPr>
        <w:t xml:space="preserve"> </w:t>
      </w:r>
      <w:r w:rsidRPr="00F13DA5">
        <w:rPr>
          <w:rFonts w:hint="eastAsia"/>
          <w:rtl/>
        </w:rPr>
        <w:t>השימוש</w:t>
      </w:r>
      <w:r w:rsidRPr="00F13DA5">
        <w:rPr>
          <w:rtl/>
        </w:rPr>
        <w:t xml:space="preserve"> </w:t>
      </w:r>
      <w:r w:rsidRPr="00F13DA5">
        <w:rPr>
          <w:rFonts w:hint="eastAsia"/>
          <w:rtl/>
        </w:rPr>
        <w:t>בו</w:t>
      </w:r>
      <w:r w:rsidRPr="00F13DA5">
        <w:rPr>
          <w:rtl/>
        </w:rPr>
        <w:t>.</w:t>
      </w:r>
    </w:p>
    <w:p w14:paraId="610933AF" w14:textId="77777777" w:rsidR="00BA23AE" w:rsidRPr="00F13DA5" w:rsidRDefault="00BA23AE" w:rsidP="00527B92">
      <w:pPr>
        <w:pStyle w:val="af3"/>
        <w:rPr>
          <w:rtl/>
        </w:rPr>
      </w:pPr>
      <w:r w:rsidRPr="00F13DA5">
        <w:rPr>
          <w:rFonts w:hint="eastAsia"/>
          <w:rtl/>
        </w:rPr>
        <w:t>המשטרה</w:t>
      </w:r>
      <w:r w:rsidRPr="00F13DA5">
        <w:rPr>
          <w:rtl/>
        </w:rPr>
        <w:t xml:space="preserve"> </w:t>
      </w:r>
      <w:r w:rsidRPr="00F13DA5">
        <w:rPr>
          <w:rFonts w:hint="eastAsia"/>
          <w:rtl/>
        </w:rPr>
        <w:t>מסרה</w:t>
      </w:r>
      <w:r w:rsidRPr="00F13DA5">
        <w:rPr>
          <w:rtl/>
        </w:rPr>
        <w:t xml:space="preserve"> כי </w:t>
      </w:r>
      <w:r w:rsidRPr="00F13DA5">
        <w:rPr>
          <w:rFonts w:hint="eastAsia"/>
          <w:rtl/>
        </w:rPr>
        <w:t>ה</w:t>
      </w:r>
      <w:r w:rsidRPr="00F13DA5">
        <w:rPr>
          <w:rFonts w:hint="cs"/>
          <w:rtl/>
        </w:rPr>
        <w:t>טופס נמצא בתהליך פיתוח ו</w:t>
      </w:r>
      <w:r w:rsidRPr="00F13DA5">
        <w:rPr>
          <w:rFonts w:hint="eastAsia"/>
          <w:rtl/>
        </w:rPr>
        <w:t>יוטמע</w:t>
      </w:r>
      <w:r w:rsidRPr="00F13DA5">
        <w:rPr>
          <w:rtl/>
        </w:rPr>
        <w:t xml:space="preserve"> במערכות הממוחשבות בסוף החציון הראשון של שנת 2020. </w:t>
      </w:r>
    </w:p>
    <w:p w14:paraId="4F146E41" w14:textId="77777777" w:rsidR="00BA23AE" w:rsidRPr="00F13DA5" w:rsidRDefault="00BA23AE" w:rsidP="00527B92">
      <w:pPr>
        <w:pStyle w:val="a1"/>
        <w:rPr>
          <w:rtl/>
        </w:rPr>
      </w:pPr>
      <w:r w:rsidRPr="00F13DA5">
        <w:rPr>
          <w:rFonts w:hint="cs"/>
          <w:rtl/>
        </w:rPr>
        <w:t>בקרה ארצית בנושא הדוחות הסודיים ובדיקת מבקר המדינה העלו פערים מקצועיים במילוי הדוחות: ריבוי פעולות חקירה וחזרה עליהן; פירוט חלקי של שלבי התקדמות החקירה; אי-הבאת מלוא המידע הדרוש לקבלת החלטה מובנית וברורה; לא נדרש לציין את מועד קבלת ההחלטה לביצוע פעולת חקירה ומועד ביצועה בפועל. באותה העת רק בחלק מהמחוזות נמצאו אסמכתאות להנחיות מקצועיות מחוזיות למילוי הדוח הסודי ו</w:t>
      </w:r>
      <w:r>
        <w:rPr>
          <w:rFonts w:hint="cs"/>
          <w:rtl/>
        </w:rPr>
        <w:t>ל</w:t>
      </w:r>
      <w:r w:rsidRPr="00F13DA5">
        <w:rPr>
          <w:rFonts w:hint="cs"/>
          <w:rtl/>
        </w:rPr>
        <w:t xml:space="preserve">שימוש בו בבית המשפט. על כן, </w:t>
      </w:r>
      <w:r w:rsidRPr="00F13DA5">
        <w:rPr>
          <w:rFonts w:hint="eastAsia"/>
          <w:rtl/>
        </w:rPr>
        <w:t>סיכום</w:t>
      </w:r>
      <w:r w:rsidRPr="00F13DA5">
        <w:rPr>
          <w:rtl/>
        </w:rPr>
        <w:t xml:space="preserve"> הבקרה </w:t>
      </w:r>
      <w:r w:rsidRPr="00F13DA5">
        <w:rPr>
          <w:rFonts w:hint="cs"/>
          <w:rtl/>
        </w:rPr>
        <w:t>כלל</w:t>
      </w:r>
      <w:r w:rsidRPr="00F13DA5">
        <w:rPr>
          <w:rtl/>
        </w:rPr>
        <w:t xml:space="preserve"> דגשים מקצועיים</w:t>
      </w:r>
      <w:r w:rsidRPr="00F13DA5">
        <w:rPr>
          <w:rFonts w:hint="cs"/>
          <w:rtl/>
        </w:rPr>
        <w:t xml:space="preserve"> מאח"ם </w:t>
      </w:r>
      <w:r w:rsidRPr="00F13DA5">
        <w:rPr>
          <w:rtl/>
        </w:rPr>
        <w:t xml:space="preserve">למילוי </w:t>
      </w:r>
      <w:r w:rsidRPr="00F13DA5">
        <w:rPr>
          <w:rFonts w:hint="cs"/>
          <w:rtl/>
        </w:rPr>
        <w:t>ה</w:t>
      </w:r>
      <w:r w:rsidRPr="00F13DA5">
        <w:rPr>
          <w:rFonts w:hint="eastAsia"/>
          <w:rtl/>
        </w:rPr>
        <w:t>דוח</w:t>
      </w:r>
      <w:r w:rsidRPr="00F13DA5">
        <w:rPr>
          <w:rFonts w:hint="cs"/>
          <w:rtl/>
        </w:rPr>
        <w:t xml:space="preserve"> הסודי,</w:t>
      </w:r>
      <w:r w:rsidRPr="00F13DA5">
        <w:rPr>
          <w:rtl/>
        </w:rPr>
        <w:t xml:space="preserve"> </w:t>
      </w:r>
      <w:r w:rsidRPr="00F13DA5">
        <w:rPr>
          <w:rFonts w:hint="cs"/>
          <w:rtl/>
        </w:rPr>
        <w:t xml:space="preserve">ובעקבות זאת </w:t>
      </w:r>
      <w:r w:rsidRPr="00F13DA5">
        <w:rPr>
          <w:rFonts w:hint="eastAsia"/>
          <w:rtl/>
        </w:rPr>
        <w:t>הנחה</w:t>
      </w:r>
      <w:r w:rsidRPr="00F13DA5">
        <w:rPr>
          <w:rtl/>
        </w:rPr>
        <w:t xml:space="preserve"> רח"ט </w:t>
      </w:r>
      <w:r w:rsidRPr="00F13DA5">
        <w:rPr>
          <w:rFonts w:hint="eastAsia"/>
          <w:rtl/>
        </w:rPr>
        <w:t>חקירות</w:t>
      </w:r>
      <w:r w:rsidRPr="00F13DA5">
        <w:rPr>
          <w:rtl/>
        </w:rPr>
        <w:t xml:space="preserve"> </w:t>
      </w:r>
      <w:r w:rsidRPr="00F13DA5">
        <w:rPr>
          <w:rFonts w:hint="cs"/>
          <w:rtl/>
        </w:rPr>
        <w:t>את</w:t>
      </w:r>
      <w:r w:rsidRPr="00F13DA5">
        <w:rPr>
          <w:rtl/>
        </w:rPr>
        <w:t xml:space="preserve"> </w:t>
      </w:r>
      <w:r w:rsidRPr="00F13DA5">
        <w:rPr>
          <w:rFonts w:hint="eastAsia"/>
          <w:rtl/>
        </w:rPr>
        <w:t>המחוז</w:t>
      </w:r>
      <w:r w:rsidRPr="00F13DA5">
        <w:rPr>
          <w:rFonts w:hint="cs"/>
          <w:rtl/>
        </w:rPr>
        <w:t>ות</w:t>
      </w:r>
      <w:r w:rsidRPr="00F13DA5">
        <w:rPr>
          <w:rtl/>
        </w:rPr>
        <w:t xml:space="preserve"> </w:t>
      </w:r>
      <w:r w:rsidRPr="00F13DA5">
        <w:rPr>
          <w:rFonts w:hint="eastAsia"/>
          <w:rtl/>
        </w:rPr>
        <w:t>להעביר</w:t>
      </w:r>
      <w:r w:rsidRPr="00F13DA5">
        <w:rPr>
          <w:rtl/>
        </w:rPr>
        <w:t xml:space="preserve"> </w:t>
      </w:r>
      <w:r w:rsidRPr="00F13DA5">
        <w:rPr>
          <w:rFonts w:hint="eastAsia"/>
          <w:rtl/>
        </w:rPr>
        <w:t>דגשים</w:t>
      </w:r>
      <w:r w:rsidRPr="00F13DA5">
        <w:rPr>
          <w:rtl/>
        </w:rPr>
        <w:t xml:space="preserve"> </w:t>
      </w:r>
      <w:r w:rsidRPr="00F13DA5">
        <w:rPr>
          <w:rFonts w:hint="eastAsia"/>
          <w:rtl/>
        </w:rPr>
        <w:t>מקצועיים</w:t>
      </w:r>
      <w:r w:rsidRPr="00F13DA5">
        <w:rPr>
          <w:rtl/>
        </w:rPr>
        <w:t xml:space="preserve"> </w:t>
      </w:r>
      <w:r w:rsidRPr="00F13DA5">
        <w:rPr>
          <w:rFonts w:hint="eastAsia"/>
          <w:rtl/>
        </w:rPr>
        <w:t>ברמת</w:t>
      </w:r>
      <w:r w:rsidRPr="00F13DA5">
        <w:rPr>
          <w:rtl/>
        </w:rPr>
        <w:t xml:space="preserve"> </w:t>
      </w:r>
      <w:r w:rsidRPr="00F13DA5">
        <w:rPr>
          <w:rFonts w:hint="eastAsia"/>
          <w:rtl/>
        </w:rPr>
        <w:t>התחנה</w:t>
      </w:r>
      <w:r w:rsidRPr="00F13DA5">
        <w:rPr>
          <w:rtl/>
        </w:rPr>
        <w:t>.</w:t>
      </w:r>
    </w:p>
    <w:p w14:paraId="0BA70530" w14:textId="77777777" w:rsidR="00BA23AE" w:rsidRPr="00F13DA5" w:rsidRDefault="00BA23AE" w:rsidP="00527B92">
      <w:pPr>
        <w:pStyle w:val="ad"/>
        <w:rPr>
          <w:rtl/>
        </w:rPr>
      </w:pPr>
      <w:r w:rsidRPr="00F13DA5">
        <w:rPr>
          <w:rFonts w:hint="cs"/>
          <w:rtl/>
        </w:rPr>
        <w:t xml:space="preserve">היעדר טופס אחיד ומקיף מקשה על בית המשפט לעקוב אחר התפתחויות בחקירה, קצב התקדמותה ומילוי הנחיותיו בהחלטות שיפוטיות קודמות הנוגעות לקידומה. חרף חשיבות נושא זה והפערים שנמצאו מאז שנת 2017, </w:t>
      </w:r>
      <w:r w:rsidRPr="00F13DA5">
        <w:rPr>
          <w:rFonts w:hint="eastAsia"/>
          <w:rtl/>
        </w:rPr>
        <w:t>רק</w:t>
      </w:r>
      <w:r w:rsidRPr="00F13DA5">
        <w:rPr>
          <w:rtl/>
        </w:rPr>
        <w:t xml:space="preserve"> בחודש יוני 2019 </w:t>
      </w:r>
      <w:r w:rsidRPr="00F13DA5">
        <w:rPr>
          <w:rFonts w:hint="eastAsia"/>
          <w:rtl/>
        </w:rPr>
        <w:t>העביר</w:t>
      </w:r>
      <w:r w:rsidRPr="00F13DA5">
        <w:rPr>
          <w:rtl/>
        </w:rPr>
        <w:t xml:space="preserve"> </w:t>
      </w:r>
      <w:r w:rsidRPr="00F13DA5">
        <w:rPr>
          <w:rFonts w:hint="cs"/>
          <w:rtl/>
        </w:rPr>
        <w:t>ראש מדור חקירות ב</w:t>
      </w:r>
      <w:r w:rsidRPr="00F13DA5">
        <w:rPr>
          <w:rtl/>
        </w:rPr>
        <w:t xml:space="preserve">אח"ם הנחיות </w:t>
      </w:r>
      <w:r w:rsidRPr="00F13DA5">
        <w:rPr>
          <w:rFonts w:hint="eastAsia"/>
          <w:rtl/>
        </w:rPr>
        <w:t>מקצועיות</w:t>
      </w:r>
      <w:r w:rsidRPr="00F13DA5">
        <w:rPr>
          <w:rtl/>
        </w:rPr>
        <w:t xml:space="preserve"> </w:t>
      </w:r>
      <w:r w:rsidRPr="00F13DA5">
        <w:rPr>
          <w:rFonts w:hint="cs"/>
          <w:rtl/>
        </w:rPr>
        <w:t xml:space="preserve">לכתיבת הדוח הסודי. </w:t>
      </w:r>
    </w:p>
    <w:p w14:paraId="13131AD5" w14:textId="77777777" w:rsidR="00BA23AE" w:rsidRPr="00F13DA5" w:rsidRDefault="00BA23AE" w:rsidP="0097253D">
      <w:pPr>
        <w:pStyle w:val="316"/>
        <w:rPr>
          <w:rtl/>
        </w:rPr>
      </w:pPr>
      <w:bookmarkStart w:id="10" w:name="_Toc23159660"/>
      <w:bookmarkStart w:id="11" w:name="_Toc23160158"/>
      <w:bookmarkStart w:id="12" w:name="_Toc24624823"/>
      <w:r w:rsidRPr="00F13DA5">
        <w:rPr>
          <w:rFonts w:hint="cs"/>
          <w:rtl/>
        </w:rPr>
        <w:t xml:space="preserve">הלנת עצורים בתחנות משטרה </w:t>
      </w:r>
    </w:p>
    <w:p w14:paraId="154784E1" w14:textId="77777777" w:rsidR="00BA23AE" w:rsidRPr="00F13DA5" w:rsidRDefault="00BA23AE" w:rsidP="0097253D">
      <w:pPr>
        <w:pStyle w:val="100"/>
        <w:rPr>
          <w:rtl/>
        </w:rPr>
      </w:pPr>
      <w:r w:rsidRPr="009F77E6">
        <w:rPr>
          <w:rFonts w:hint="cs"/>
          <w:rtl/>
        </w:rPr>
        <w:t>למשטרת ישראל 60 תחנות</w:t>
      </w:r>
      <w:r w:rsidRPr="009F77E6">
        <w:rPr>
          <w:rStyle w:val="FootnoteReference"/>
          <w:rtl/>
        </w:rPr>
        <w:footnoteReference w:id="22"/>
      </w:r>
      <w:r w:rsidRPr="009F77E6">
        <w:rPr>
          <w:rFonts w:hint="cs"/>
          <w:rtl/>
        </w:rPr>
        <w:t xml:space="preserve"> ברחבי הארץ </w:t>
      </w:r>
      <w:r w:rsidRPr="000E05A9">
        <w:rPr>
          <w:rFonts w:hint="eastAsia"/>
          <w:rtl/>
        </w:rPr>
        <w:t>ש</w:t>
      </w:r>
      <w:r w:rsidRPr="009F77E6">
        <w:rPr>
          <w:rFonts w:hint="cs"/>
          <w:rtl/>
        </w:rPr>
        <w:t>בהן 154 תאי מעצר. תא מעצר</w:t>
      </w:r>
      <w:r w:rsidRPr="00F13DA5">
        <w:rPr>
          <w:rFonts w:hint="cs"/>
          <w:rtl/>
        </w:rPr>
        <w:t xml:space="preserve"> מוגדר כתא הנמצא ב"מקום מעצר", שהוא מקום המיועד להחזקת עצורים ונמצא במחוז, במרחב, בתחנה או בנקודת משטרה והשר לביטחון פנים (להלן - השר לבט"פ) הכריז עליו כמקום מעצר</w:t>
      </w:r>
      <w:r w:rsidRPr="00F13DA5">
        <w:rPr>
          <w:rStyle w:val="FootnoteReference"/>
          <w:rtl/>
        </w:rPr>
        <w:footnoteReference w:id="23"/>
      </w:r>
      <w:r w:rsidRPr="00F13DA5">
        <w:rPr>
          <w:rFonts w:hint="cs"/>
          <w:rtl/>
        </w:rPr>
        <w:t xml:space="preserve">. יצוין כי חל איסור על הלנת עצורים בתחנות משטרה. </w:t>
      </w:r>
      <w:r>
        <w:rPr>
          <w:rFonts w:hint="cs"/>
          <w:rtl/>
        </w:rPr>
        <w:t xml:space="preserve">הלנה בתחנה אמורה להתבצע רק </w:t>
      </w:r>
      <w:r w:rsidRPr="00F13DA5">
        <w:rPr>
          <w:rFonts w:hint="cs"/>
          <w:rtl/>
        </w:rPr>
        <w:t>במקרים חריגים</w:t>
      </w:r>
      <w:r>
        <w:rPr>
          <w:rFonts w:hint="cs"/>
          <w:rtl/>
        </w:rPr>
        <w:t>, וזאת</w:t>
      </w:r>
      <w:r w:rsidRPr="00F13DA5">
        <w:rPr>
          <w:rFonts w:hint="cs"/>
          <w:rtl/>
        </w:rPr>
        <w:t xml:space="preserve"> בתא מעצר מוכרז</w:t>
      </w:r>
      <w:r>
        <w:rPr>
          <w:rFonts w:hint="cs"/>
          <w:rtl/>
        </w:rPr>
        <w:t>,</w:t>
      </w:r>
      <w:r w:rsidRPr="00F13DA5">
        <w:rPr>
          <w:rFonts w:hint="cs"/>
          <w:rtl/>
        </w:rPr>
        <w:t xml:space="preserve"> לצ</w:t>
      </w:r>
      <w:r>
        <w:rPr>
          <w:rFonts w:hint="cs"/>
          <w:rtl/>
        </w:rPr>
        <w:t>ו</w:t>
      </w:r>
      <w:r w:rsidRPr="00F13DA5">
        <w:rPr>
          <w:rFonts w:hint="cs"/>
          <w:rtl/>
        </w:rPr>
        <w:t xml:space="preserve">רכי חקירה בלבד תבוצע ובאישור מפקד </w:t>
      </w:r>
      <w:r>
        <w:rPr>
          <w:rFonts w:hint="cs"/>
          <w:rtl/>
        </w:rPr>
        <w:t>ה</w:t>
      </w:r>
      <w:r w:rsidRPr="00F13DA5">
        <w:rPr>
          <w:rFonts w:hint="cs"/>
          <w:rtl/>
        </w:rPr>
        <w:t xml:space="preserve">תחנה. </w:t>
      </w:r>
    </w:p>
    <w:p w14:paraId="5CCD6E62" w14:textId="77777777" w:rsidR="00BA23AE" w:rsidRPr="00F13DA5" w:rsidRDefault="00BA23AE" w:rsidP="0097253D">
      <w:pPr>
        <w:pStyle w:val="100"/>
        <w:rPr>
          <w:rtl/>
        </w:rPr>
      </w:pPr>
      <w:r w:rsidRPr="00F13DA5">
        <w:rPr>
          <w:rFonts w:hint="cs"/>
          <w:rtl/>
        </w:rPr>
        <w:lastRenderedPageBreak/>
        <w:t>מבקר המדינה העיר בשנת 2015</w:t>
      </w:r>
      <w:r w:rsidRPr="00F13DA5">
        <w:rPr>
          <w:vertAlign w:val="superscript"/>
          <w:rtl/>
        </w:rPr>
        <w:footnoteReference w:id="24"/>
      </w:r>
      <w:r w:rsidRPr="00F13DA5">
        <w:rPr>
          <w:rFonts w:hint="cs"/>
          <w:rtl/>
        </w:rPr>
        <w:t xml:space="preserve"> כי המשטרה המשיכה להלין במתקניה כ-23,000 עצורים בשנה, אף שהיה עליה להעביר את העיסוק בכך לשב"ס. בתשובתו אז כתב שב"ס כי העברה מלאה ומוחלטת של הטיפול בעצורים, שתפטור את המשטרה לחלוטין מליווי ומהלנה של עצורים, אינה אפשרית ואינה סבירה. </w:t>
      </w:r>
    </w:p>
    <w:p w14:paraId="2685463D" w14:textId="77777777" w:rsidR="00BA23AE" w:rsidRPr="00F13DA5" w:rsidRDefault="00BA23AE" w:rsidP="0097253D">
      <w:pPr>
        <w:pStyle w:val="100"/>
        <w:rPr>
          <w:rtl/>
        </w:rPr>
      </w:pPr>
      <w:r w:rsidRPr="00F13DA5">
        <w:rPr>
          <w:rFonts w:hint="cs"/>
          <w:rtl/>
        </w:rPr>
        <w:t>מנתונים שהועברו לביקורת עולה כי בשנת 2017 הולנו בתחנות המשטרה ברחבי הארץ 3,694 עצורים</w:t>
      </w:r>
      <w:r>
        <w:rPr>
          <w:rFonts w:hint="cs"/>
          <w:rtl/>
        </w:rPr>
        <w:t>, ו</w:t>
      </w:r>
      <w:r w:rsidRPr="00F13DA5">
        <w:rPr>
          <w:rFonts w:hint="cs"/>
          <w:rtl/>
        </w:rPr>
        <w:t xml:space="preserve">מתוכם הלינה המשטרה 245 עצורים בתאים שאינם מיועדים להלנה. </w:t>
      </w:r>
    </w:p>
    <w:p w14:paraId="46F2A115" w14:textId="77777777" w:rsidR="00BA23AE" w:rsidRPr="00F13DA5" w:rsidRDefault="00BA23AE" w:rsidP="0097253D">
      <w:pPr>
        <w:pStyle w:val="100"/>
        <w:rPr>
          <w:noProof/>
          <w:rtl/>
        </w:rPr>
      </w:pPr>
      <w:r w:rsidRPr="00F13DA5">
        <w:rPr>
          <w:rFonts w:hint="cs"/>
          <w:rtl/>
        </w:rPr>
        <w:t>על פי תצפיות שערך צוות הביקורת, תאים שאינם מיועדים להלנה מכילים רק ספסל מתכת או בטון ברוחב המיועד לישיבה, וללא תנאים נוספים המאפשרים לינה. להלן תמונות של תא כאמור בתחנת משטרה:</w:t>
      </w:r>
    </w:p>
    <w:p w14:paraId="452B6D7F" w14:textId="77777777" w:rsidR="00BA23AE" w:rsidRPr="00F13DA5" w:rsidRDefault="00BA23AE" w:rsidP="00465562">
      <w:pPr>
        <w:pStyle w:val="a9"/>
        <w:rPr>
          <w:noProof/>
          <w:rtl/>
        </w:rPr>
      </w:pPr>
      <w:r w:rsidRPr="00F13DA5">
        <w:rPr>
          <w:rFonts w:hint="cs"/>
          <w:noProof/>
          <w:rtl/>
        </w:rPr>
        <w:t xml:space="preserve">תמונות 1, 2: </w:t>
      </w:r>
      <w:r w:rsidRPr="00465562">
        <w:rPr>
          <w:rFonts w:hint="cs"/>
          <w:b/>
          <w:bCs/>
          <w:noProof/>
          <w:rtl/>
        </w:rPr>
        <w:t>תא בתחנת משטרה שאינו מיועד להלנה</w:t>
      </w:r>
    </w:p>
    <w:p w14:paraId="2E148325" w14:textId="77777777" w:rsidR="00BA23AE" w:rsidRPr="00F13DA5" w:rsidRDefault="00BA23AE" w:rsidP="00BA23AE">
      <w:pPr>
        <w:spacing w:line="269" w:lineRule="auto"/>
        <w:jc w:val="center"/>
        <w:rPr>
          <w:b/>
          <w:bCs/>
          <w:noProof/>
          <w:rtl/>
        </w:rPr>
      </w:pPr>
      <w:r>
        <w:rPr>
          <w:b/>
          <w:bCs/>
          <w:noProof/>
          <w:rtl/>
        </w:rPr>
        <w:drawing>
          <wp:inline distT="0" distB="0" distL="0" distR="0" wp14:anchorId="1CB59186" wp14:editId="7C9C72AE">
            <wp:extent cx="3959352" cy="3474720"/>
            <wp:effectExtent l="0" t="0" r="3175" b="0"/>
            <wp:docPr id="1992297228" name="תמונה 199229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7228" name="PIC_1-2 - new.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59352" cy="3474720"/>
                    </a:xfrm>
                    <a:prstGeom prst="rect">
                      <a:avLst/>
                    </a:prstGeom>
                  </pic:spPr>
                </pic:pic>
              </a:graphicData>
            </a:graphic>
          </wp:inline>
        </w:drawing>
      </w:r>
    </w:p>
    <w:p w14:paraId="3346F7AB" w14:textId="18551420" w:rsidR="009F394C" w:rsidRDefault="00BA23AE" w:rsidP="00516FB8">
      <w:pPr>
        <w:pStyle w:val="ab"/>
        <w:rPr>
          <w:rtl/>
        </w:rPr>
      </w:pPr>
      <w:r w:rsidRPr="00BB2605">
        <w:rPr>
          <w:rFonts w:hint="eastAsia"/>
          <w:rtl/>
        </w:rPr>
        <w:t>המקור</w:t>
      </w:r>
      <w:r w:rsidRPr="00BB2605">
        <w:rPr>
          <w:rtl/>
        </w:rPr>
        <w:t>: צילום בתחנת משטרה</w:t>
      </w:r>
      <w:r>
        <w:rPr>
          <w:rFonts w:hint="cs"/>
          <w:rtl/>
        </w:rPr>
        <w:t xml:space="preserve"> באדיבות משטרת ישראל</w:t>
      </w:r>
      <w:r w:rsidRPr="00BB2605">
        <w:rPr>
          <w:rtl/>
        </w:rPr>
        <w:t xml:space="preserve">. </w:t>
      </w:r>
    </w:p>
    <w:p w14:paraId="5C2A9651" w14:textId="77777777" w:rsidR="00C976AC" w:rsidRDefault="00C976AC" w:rsidP="00C976AC">
      <w:pPr>
        <w:pStyle w:val="100"/>
        <w:rPr>
          <w:rtl/>
        </w:rPr>
      </w:pPr>
    </w:p>
    <w:p w14:paraId="38331896" w14:textId="512038A9" w:rsidR="00BA23AE" w:rsidRPr="00F13DA5" w:rsidRDefault="00BA23AE" w:rsidP="00931E55">
      <w:pPr>
        <w:pStyle w:val="af4"/>
        <w:rPr>
          <w:rtl/>
        </w:rPr>
      </w:pPr>
      <w:r w:rsidRPr="00F13DA5">
        <w:rPr>
          <w:rFonts w:hint="cs"/>
          <w:rtl/>
        </w:rPr>
        <w:t xml:space="preserve">משרד מבקר המדינה מציין לחיוב את הירידה במספר העצורים שהולנו בתחנות המשטרה. </w:t>
      </w:r>
      <w:r>
        <w:rPr>
          <w:rFonts w:hint="cs"/>
          <w:rtl/>
        </w:rPr>
        <w:t xml:space="preserve">יחד </w:t>
      </w:r>
      <w:r w:rsidRPr="00F13DA5">
        <w:rPr>
          <w:rFonts w:hint="cs"/>
          <w:rtl/>
        </w:rPr>
        <w:t xml:space="preserve">עם זאת, הלנת עצורים בתאים שאינם תאי מעצר </w:t>
      </w:r>
      <w:r>
        <w:rPr>
          <w:rFonts w:hint="cs"/>
          <w:rtl/>
        </w:rPr>
        <w:t>ו</w:t>
      </w:r>
      <w:r w:rsidRPr="00F13DA5">
        <w:rPr>
          <w:rFonts w:hint="cs"/>
          <w:rtl/>
        </w:rPr>
        <w:t xml:space="preserve">אינם מיועדים להלנה </w:t>
      </w:r>
      <w:r>
        <w:rPr>
          <w:rFonts w:hint="cs"/>
          <w:rtl/>
        </w:rPr>
        <w:t>משום ש</w:t>
      </w:r>
      <w:r w:rsidRPr="00F13DA5">
        <w:rPr>
          <w:rFonts w:hint="cs"/>
          <w:rtl/>
        </w:rPr>
        <w:t>אין בהם תנאים סבירים נעש</w:t>
      </w:r>
      <w:r>
        <w:rPr>
          <w:rFonts w:hint="cs"/>
          <w:rtl/>
        </w:rPr>
        <w:t>תה</w:t>
      </w:r>
      <w:r w:rsidRPr="00F13DA5">
        <w:rPr>
          <w:rFonts w:hint="cs"/>
          <w:rtl/>
        </w:rPr>
        <w:t xml:space="preserve"> בניגוד לחוק ולתקנות. על המשטרה להקפיד על הלנת עצורים בתאי מעצר המיועדים להלנה רק כשאין מנוס במקרים המתאימים ובהתאם לחוק. </w:t>
      </w:r>
    </w:p>
    <w:p w14:paraId="7417E340" w14:textId="77777777" w:rsidR="00BA23AE" w:rsidRPr="00F13DA5" w:rsidRDefault="00BA23AE" w:rsidP="00BB7A4D">
      <w:pPr>
        <w:pStyle w:val="100"/>
        <w:rPr>
          <w:rtl/>
        </w:rPr>
      </w:pPr>
      <w:r w:rsidRPr="00F13DA5">
        <w:rPr>
          <w:rFonts w:hint="cs"/>
          <w:rtl/>
        </w:rPr>
        <w:lastRenderedPageBreak/>
        <w:t xml:space="preserve">המשטרה מסרה בתשובתה כי </w:t>
      </w:r>
      <w:r>
        <w:rPr>
          <w:rFonts w:hint="cs"/>
          <w:rtl/>
        </w:rPr>
        <w:t>הלנת עצורים בתאי מעצר מתבצעת רק במקרים חריגים. לנוכח</w:t>
      </w:r>
      <w:r w:rsidRPr="00F13DA5">
        <w:rPr>
          <w:rFonts w:hint="cs"/>
          <w:rtl/>
        </w:rPr>
        <w:t xml:space="preserve"> הפקות לקחים מתקלות ואירועים קודמים</w:t>
      </w:r>
      <w:r>
        <w:rPr>
          <w:rFonts w:hint="cs"/>
          <w:rtl/>
        </w:rPr>
        <w:t>, אף</w:t>
      </w:r>
      <w:r w:rsidRPr="00F13DA5">
        <w:rPr>
          <w:rFonts w:hint="cs"/>
          <w:rtl/>
        </w:rPr>
        <w:t xml:space="preserve"> מתבצעות בקרות בנושא הלנת עצורים בתחנות.</w:t>
      </w:r>
    </w:p>
    <w:p w14:paraId="703E0AAE" w14:textId="528AB55C" w:rsidR="00BA23AE" w:rsidRPr="00F13DA5" w:rsidRDefault="00BA23AE" w:rsidP="009F394C">
      <w:pPr>
        <w:pStyle w:val="218"/>
        <w:tabs>
          <w:tab w:val="left" w:pos="7395"/>
        </w:tabs>
        <w:rPr>
          <w:rtl/>
        </w:rPr>
      </w:pPr>
      <w:r w:rsidRPr="00F13DA5">
        <w:rPr>
          <w:rFonts w:hint="cs"/>
          <w:rtl/>
        </w:rPr>
        <w:t>זכות ההיוועצות עם עורך דין לפני חקירה</w:t>
      </w:r>
      <w:bookmarkEnd w:id="10"/>
      <w:bookmarkEnd w:id="11"/>
      <w:bookmarkEnd w:id="12"/>
    </w:p>
    <w:p w14:paraId="2683B480" w14:textId="77777777" w:rsidR="00BA23AE" w:rsidRPr="00F13DA5" w:rsidRDefault="00BA23AE" w:rsidP="00EE11C7">
      <w:pPr>
        <w:pStyle w:val="100"/>
        <w:rPr>
          <w:rtl/>
        </w:rPr>
      </w:pPr>
      <w:r w:rsidRPr="00F13DA5">
        <w:rPr>
          <w:rFonts w:hint="cs"/>
          <w:rtl/>
        </w:rPr>
        <w:t xml:space="preserve">שוטר שעצר אדם ללא צו מעצר חייב להביאו, ללא דיחוי, לתחנת המשטרה ולהעבירו לרשות הקצין הממונה, </w:t>
      </w:r>
      <w:r>
        <w:rPr>
          <w:rFonts w:hint="cs"/>
          <w:rtl/>
        </w:rPr>
        <w:t>כדי שי</w:t>
      </w:r>
      <w:r w:rsidRPr="00F13DA5">
        <w:rPr>
          <w:rFonts w:hint="cs"/>
          <w:rtl/>
        </w:rPr>
        <w:t xml:space="preserve">חליט על מעצרו או שחרורו. בטרם קבלת ההחלטה עליו לשמוע את העצור. לפי חוק המעצרים, אם החליט על מעצרו, על הקצין הממונה ליידע את העצור על זכויותיו, ובפרט הזכות להיוועץ עם עורך דין לפני החקירה. </w:t>
      </w:r>
    </w:p>
    <w:p w14:paraId="77DAE995" w14:textId="77777777" w:rsidR="00BA23AE" w:rsidRPr="00F13DA5" w:rsidRDefault="00BA23AE" w:rsidP="00EE11C7">
      <w:pPr>
        <w:pStyle w:val="100"/>
        <w:rPr>
          <w:rtl/>
        </w:rPr>
      </w:pPr>
      <w:r w:rsidRPr="00F13DA5">
        <w:rPr>
          <w:rFonts w:hint="cs"/>
          <w:rtl/>
        </w:rPr>
        <w:t>זכות ההיוועצות היא זכות ה</w:t>
      </w:r>
      <w:r w:rsidRPr="00F13DA5">
        <w:rPr>
          <w:rtl/>
        </w:rPr>
        <w:t xml:space="preserve">מסייעת </w:t>
      </w:r>
      <w:r w:rsidRPr="00F13DA5">
        <w:rPr>
          <w:rFonts w:hint="cs"/>
          <w:rtl/>
        </w:rPr>
        <w:t>לשמור</w:t>
      </w:r>
      <w:r w:rsidRPr="00F13DA5">
        <w:rPr>
          <w:rtl/>
        </w:rPr>
        <w:t xml:space="preserve"> על זכויותיהם של נחקרים, להבט</w:t>
      </w:r>
      <w:r w:rsidRPr="00F13DA5">
        <w:rPr>
          <w:rFonts w:hint="cs"/>
          <w:rtl/>
        </w:rPr>
        <w:t>י</w:t>
      </w:r>
      <w:r w:rsidRPr="00F13DA5">
        <w:rPr>
          <w:rtl/>
        </w:rPr>
        <w:t xml:space="preserve">ח </w:t>
      </w:r>
      <w:r w:rsidRPr="00F13DA5">
        <w:rPr>
          <w:rFonts w:hint="cs"/>
          <w:rtl/>
        </w:rPr>
        <w:t xml:space="preserve">את </w:t>
      </w:r>
      <w:r w:rsidRPr="00F13DA5">
        <w:rPr>
          <w:rtl/>
        </w:rPr>
        <w:t xml:space="preserve">הגינותם של הליכי החקירה </w:t>
      </w:r>
      <w:r w:rsidRPr="00F13DA5">
        <w:rPr>
          <w:rFonts w:hint="cs"/>
          <w:rtl/>
        </w:rPr>
        <w:t>ולמנוע</w:t>
      </w:r>
      <w:r w:rsidRPr="00F13DA5">
        <w:rPr>
          <w:rtl/>
        </w:rPr>
        <w:t xml:space="preserve"> ניצול לרעה של פערי הכוחות המוב</w:t>
      </w:r>
      <w:r w:rsidRPr="00F13DA5">
        <w:rPr>
          <w:rFonts w:hint="cs"/>
          <w:rtl/>
        </w:rPr>
        <w:t>ְ</w:t>
      </w:r>
      <w:r w:rsidRPr="00F13DA5">
        <w:rPr>
          <w:rtl/>
        </w:rPr>
        <w:t xml:space="preserve">נים בין העצור </w:t>
      </w:r>
      <w:r w:rsidRPr="00F13DA5">
        <w:rPr>
          <w:rFonts w:hint="cs"/>
          <w:rtl/>
        </w:rPr>
        <w:t xml:space="preserve">לחוקר. זכות זאת מוקנית לעצור והוא רשאי לממשה או לוותר על מימושה. </w:t>
      </w:r>
      <w:r>
        <w:rPr>
          <w:rFonts w:hint="cs"/>
          <w:rtl/>
        </w:rPr>
        <w:t xml:space="preserve">על מנת שעצור יחליט </w:t>
      </w:r>
      <w:r w:rsidRPr="00F13DA5">
        <w:rPr>
          <w:rFonts w:hint="cs"/>
          <w:rtl/>
        </w:rPr>
        <w:t xml:space="preserve">אם לממש את זכותו, עליו </w:t>
      </w:r>
      <w:r>
        <w:rPr>
          <w:rFonts w:hint="cs"/>
          <w:rtl/>
        </w:rPr>
        <w:t>להיות מודע ל</w:t>
      </w:r>
      <w:r w:rsidRPr="00F13DA5">
        <w:rPr>
          <w:rFonts w:hint="cs"/>
          <w:rtl/>
        </w:rPr>
        <w:t xml:space="preserve">קיומה. זאת בייחוד במצב שבו הוא טרוד בעצם היותו עצור, ועלול שלא לדעת כיצד עליו לנהוג ומה עליו לעשות. </w:t>
      </w:r>
    </w:p>
    <w:p w14:paraId="4402726C" w14:textId="77777777" w:rsidR="00BA23AE" w:rsidRPr="00F13DA5" w:rsidRDefault="00BA23AE" w:rsidP="00EE11C7">
      <w:pPr>
        <w:pStyle w:val="100"/>
        <w:rPr>
          <w:rtl/>
        </w:rPr>
      </w:pPr>
      <w:r w:rsidRPr="00F13DA5">
        <w:rPr>
          <w:rFonts w:hint="cs"/>
          <w:rtl/>
        </w:rPr>
        <w:t xml:space="preserve">חוק המעצרים ופקודת מטא"ר קבעו מהם השלבים המקדימים הנדרשים למימוש זכות ההיוועצות </w:t>
      </w:r>
      <w:r>
        <w:rPr>
          <w:rFonts w:hint="cs"/>
          <w:rtl/>
        </w:rPr>
        <w:t xml:space="preserve">של עצורים עם </w:t>
      </w:r>
      <w:r w:rsidRPr="00F13DA5">
        <w:rPr>
          <w:rFonts w:hint="cs"/>
          <w:rtl/>
        </w:rPr>
        <w:t>עורך דין. לא אחת נקבע בהחלטות בתי המשפט כי יש לראות במימוש השלבים המקדימים חלק בלתי נפרד מחובת היידוע על זכות ההיוועצות, ובפרט יש להקפיד לכרוך את ההודעה על זכות ההיוועצות עם ההודעה על האפשרות למנות</w:t>
      </w:r>
      <w:r>
        <w:rPr>
          <w:rFonts w:hint="cs"/>
          <w:rtl/>
        </w:rPr>
        <w:t xml:space="preserve"> לו</w:t>
      </w:r>
      <w:r w:rsidRPr="00F13DA5">
        <w:rPr>
          <w:rFonts w:hint="cs"/>
          <w:rtl/>
        </w:rPr>
        <w:t xml:space="preserve"> סנגור ציבורי. כל זאת מפי קצין משטרה. </w:t>
      </w:r>
    </w:p>
    <w:p w14:paraId="07FE7AF2" w14:textId="77777777" w:rsidR="00BA23AE" w:rsidRPr="00F13DA5" w:rsidRDefault="00BA23AE" w:rsidP="00EE11C7">
      <w:pPr>
        <w:pStyle w:val="100"/>
        <w:rPr>
          <w:rtl/>
        </w:rPr>
      </w:pPr>
      <w:r w:rsidRPr="00F13DA5">
        <w:rPr>
          <w:rFonts w:hint="cs"/>
          <w:rtl/>
        </w:rPr>
        <w:t xml:space="preserve">השלבים המקדימים ליישום זכות ההיוועצות הם סדרת צעדים אופרטיביים שקצין משטרה ממונה נדרש לבצע כדי להבטיח שמימש את חובתו להודיע לעצור על זכותו זו, לוודא שהעצור הבין אותה ולמנוע היווצרותם של חסמים מפני מימוש הזכות. </w:t>
      </w:r>
    </w:p>
    <w:p w14:paraId="6E862674" w14:textId="77777777" w:rsidR="00BA23AE" w:rsidRPr="00F13DA5" w:rsidRDefault="00BA23AE" w:rsidP="00EE11C7">
      <w:pPr>
        <w:pStyle w:val="100"/>
        <w:rPr>
          <w:rtl/>
        </w:rPr>
      </w:pPr>
      <w:r w:rsidRPr="00F13DA5">
        <w:rPr>
          <w:rFonts w:hint="cs"/>
          <w:rtl/>
        </w:rPr>
        <w:t>לאור חשיבות השלבים המקדימים ליישום זכות ההיוועצות, על המשטרה לתעד את ביצועם. תיעוד שלבים אלה עשוי לשמש את המשטרה, התביעה, הסנגוריה ובית המשפט על מנת לבחון אם נשמרו זכויותיו של העצור וכדי לתת מענה לטענות הנוגעות למניעת מימוש זכות ההיוועצות. בחינה זו עשויה להיות בעלת משקל בשאלת המשך החזקתו של העצור במעצר</w:t>
      </w:r>
      <w:r>
        <w:rPr>
          <w:rFonts w:hint="cs"/>
          <w:rtl/>
        </w:rPr>
        <w:t>,</w:t>
      </w:r>
      <w:r w:rsidRPr="00F13DA5">
        <w:rPr>
          <w:rFonts w:hint="cs"/>
          <w:rtl/>
        </w:rPr>
        <w:t xml:space="preserve"> כמו גם בשאלות הנוגעות למשקלן של ראיות בהליך העיקרי.</w:t>
      </w:r>
      <w:r>
        <w:rPr>
          <w:rFonts w:hint="cs"/>
          <w:rtl/>
        </w:rPr>
        <w:t xml:space="preserve"> </w:t>
      </w:r>
    </w:p>
    <w:p w14:paraId="20962E60" w14:textId="77777777" w:rsidR="00BA23AE" w:rsidRPr="00F13DA5" w:rsidRDefault="00BA23AE" w:rsidP="00EE11C7">
      <w:pPr>
        <w:pStyle w:val="100"/>
        <w:rPr>
          <w:rtl/>
        </w:rPr>
      </w:pPr>
      <w:r w:rsidRPr="00F13DA5">
        <w:rPr>
          <w:rFonts w:hint="cs"/>
          <w:rtl/>
        </w:rPr>
        <w:t>פגיעה בזכות ההיוועצות עלולה להביא לפסילת אִמרה שנגבתה מחשוד או להפחתה במשקלה, לפגיעה בלגיטימיות של מעצרו ולשחרורו ממעצר. רק לאחרונה קבע בית המשפט העליון כי הפרה חמורה של זכות ההיוועצות עשויה להוביל לפסילת הודיית חשוד</w:t>
      </w:r>
      <w:r>
        <w:rPr>
          <w:rFonts w:hint="cs"/>
          <w:rtl/>
        </w:rPr>
        <w:t>,</w:t>
      </w:r>
      <w:r w:rsidRPr="00F13DA5">
        <w:rPr>
          <w:rFonts w:hint="cs"/>
          <w:rtl/>
        </w:rPr>
        <w:t xml:space="preserve"> וזאת מכוח דוקטרינת הפסילה הפסיקתית ומטעמי הגנה מן הצדק</w:t>
      </w:r>
      <w:r w:rsidRPr="00F13DA5">
        <w:rPr>
          <w:rStyle w:val="FootnoteReference"/>
          <w:rtl/>
        </w:rPr>
        <w:footnoteReference w:id="25"/>
      </w:r>
      <w:r w:rsidRPr="00F13DA5">
        <w:rPr>
          <w:rFonts w:hint="cs"/>
          <w:rtl/>
        </w:rPr>
        <w:t xml:space="preserve">. בנסיבות מסוימות הפגיעה בזכות ההיוועצות עשויה להביא לזיכוי נאשם או לביטול האישום נגדו. עוד יצוין כי אם קיים ספק שמא ויתר העצור </w:t>
      </w:r>
      <w:r w:rsidRPr="00F13DA5">
        <w:rPr>
          <w:rFonts w:hint="cs"/>
          <w:rtl/>
        </w:rPr>
        <w:lastRenderedPageBreak/>
        <w:t xml:space="preserve">על זכותו להיוועצות, הספק יפעל לטובתו. זאת משום שמחובתה של המשטרה לערוך תרשומות מדויקות ומפורטות ככל האפשר בנוגע לפעולות החקירה. </w:t>
      </w:r>
    </w:p>
    <w:p w14:paraId="419C844A" w14:textId="77777777" w:rsidR="00BA23AE" w:rsidRPr="00F13DA5" w:rsidRDefault="00BA23AE" w:rsidP="00EE11C7">
      <w:pPr>
        <w:pStyle w:val="100"/>
        <w:rPr>
          <w:rtl/>
        </w:rPr>
      </w:pPr>
      <w:r w:rsidRPr="00F13DA5">
        <w:rPr>
          <w:rFonts w:hint="cs"/>
          <w:rtl/>
        </w:rPr>
        <w:t>ניתן לזהות שלושה נדבכים במימוש זכות ההיוועצות. בחינת הנדבכים לשלביהם השונים מלמדת על חשיבות מימוש</w:t>
      </w:r>
      <w:r>
        <w:rPr>
          <w:rFonts w:hint="cs"/>
          <w:rtl/>
        </w:rPr>
        <w:t>ו</w:t>
      </w:r>
      <w:r w:rsidRPr="00F13DA5">
        <w:rPr>
          <w:rFonts w:hint="cs"/>
          <w:rtl/>
        </w:rPr>
        <w:t xml:space="preserve"> של כל נדבך בנפרד וכן על התלות של כל שלב בשלב הקודם. מימוש מצרף השלבים מגדיל באורח ניכר את הסיכוי כי העצור יקבל החלטה מושכלת על קבלת ייצוג משפטי</w:t>
      </w:r>
      <w:r>
        <w:rPr>
          <w:rFonts w:hint="cs"/>
          <w:rtl/>
        </w:rPr>
        <w:t>,</w:t>
      </w:r>
      <w:r w:rsidRPr="00F13DA5">
        <w:rPr>
          <w:rFonts w:hint="cs"/>
          <w:rtl/>
        </w:rPr>
        <w:t xml:space="preserve"> ומפחית את הסיכוי שהזכות לא תמומש חרף בקשת העצור. להלן תרשים המפרט את שלושת הנדבכים והשלבים המרכיבים אותם.</w:t>
      </w:r>
    </w:p>
    <w:p w14:paraId="0D7942E4" w14:textId="2DC9FB33" w:rsidR="00BA23AE" w:rsidRPr="00F13DA5" w:rsidRDefault="003A0BD4" w:rsidP="003A0BD4">
      <w:pPr>
        <w:pStyle w:val="a9"/>
        <w:spacing w:after="120"/>
        <w:rPr>
          <w:rtl/>
        </w:rPr>
      </w:pPr>
      <w:r w:rsidRPr="00EE11C7">
        <w:rPr>
          <w:noProof/>
          <w:rtl/>
        </w:rPr>
        <w:drawing>
          <wp:anchor distT="0" distB="0" distL="114300" distR="114300" simplePos="0" relativeHeight="251692032" behindDoc="0" locked="0" layoutInCell="1" allowOverlap="1" wp14:anchorId="18E87579" wp14:editId="0323030C">
            <wp:simplePos x="0" y="0"/>
            <wp:positionH relativeFrom="column">
              <wp:posOffset>-432435</wp:posOffset>
            </wp:positionH>
            <wp:positionV relativeFrom="paragraph">
              <wp:posOffset>241300</wp:posOffset>
            </wp:positionV>
            <wp:extent cx="5944870" cy="3171825"/>
            <wp:effectExtent l="0" t="0" r="0" b="9525"/>
            <wp:wrapSquare wrapText="bothSides"/>
            <wp:docPr id="1992297229" name="תמונה 199229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7229" name="הטיפול המערכתי במעצרים 1102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4870" cy="3171825"/>
                    </a:xfrm>
                    <a:prstGeom prst="rect">
                      <a:avLst/>
                    </a:prstGeom>
                  </pic:spPr>
                </pic:pic>
              </a:graphicData>
            </a:graphic>
          </wp:anchor>
        </w:drawing>
      </w:r>
      <w:r w:rsidR="00BA23AE" w:rsidRPr="00F13DA5">
        <w:rPr>
          <w:rFonts w:hint="cs"/>
          <w:rtl/>
        </w:rPr>
        <w:t xml:space="preserve">תרשים </w:t>
      </w:r>
      <w:r w:rsidR="00BA23AE">
        <w:rPr>
          <w:rFonts w:hint="cs"/>
          <w:rtl/>
        </w:rPr>
        <w:t>11</w:t>
      </w:r>
      <w:r w:rsidR="00BA23AE" w:rsidRPr="00F13DA5">
        <w:rPr>
          <w:rFonts w:hint="cs"/>
          <w:rtl/>
        </w:rPr>
        <w:t xml:space="preserve">: </w:t>
      </w:r>
      <w:r w:rsidR="00BA23AE" w:rsidRPr="00EE11C7">
        <w:rPr>
          <w:rFonts w:hint="cs"/>
          <w:b/>
          <w:bCs/>
          <w:rtl/>
        </w:rPr>
        <w:t>הנדבכים העיקריים למימוש זכות ההיוועצות והשלבים המרכיבים אותם</w:t>
      </w:r>
    </w:p>
    <w:p w14:paraId="49D684ED" w14:textId="71389C9A" w:rsidR="00BA23AE" w:rsidRDefault="00BA23AE" w:rsidP="003A0BD4">
      <w:pPr>
        <w:pStyle w:val="ab"/>
        <w:spacing w:after="240"/>
        <w:rPr>
          <w:rtl/>
        </w:rPr>
      </w:pPr>
      <w:r w:rsidRPr="00EE11C7">
        <w:rPr>
          <w:rFonts w:hint="eastAsia"/>
          <w:rtl/>
        </w:rPr>
        <w:t>על</w:t>
      </w:r>
      <w:r w:rsidRPr="00EE11C7">
        <w:rPr>
          <w:rtl/>
        </w:rPr>
        <w:t xml:space="preserve"> פי </w:t>
      </w:r>
      <w:r w:rsidRPr="00EE11C7">
        <w:rPr>
          <w:rFonts w:hint="eastAsia"/>
          <w:rtl/>
        </w:rPr>
        <w:t>חוק</w:t>
      </w:r>
      <w:r w:rsidRPr="00EE11C7">
        <w:rPr>
          <w:rtl/>
        </w:rPr>
        <w:t xml:space="preserve"> המעצרים ופקודת </w:t>
      </w:r>
      <w:r w:rsidRPr="00EE11C7">
        <w:rPr>
          <w:rFonts w:hint="eastAsia"/>
          <w:rtl/>
        </w:rPr>
        <w:t>מטא</w:t>
      </w:r>
      <w:r w:rsidRPr="00EE11C7">
        <w:rPr>
          <w:rtl/>
        </w:rPr>
        <w:t xml:space="preserve">"ר, </w:t>
      </w:r>
      <w:r w:rsidRPr="00EE11C7">
        <w:rPr>
          <w:rFonts w:hint="eastAsia"/>
          <w:rtl/>
        </w:rPr>
        <w:t>בעיבוד</w:t>
      </w:r>
      <w:r w:rsidRPr="00EE11C7">
        <w:rPr>
          <w:rtl/>
        </w:rPr>
        <w:t xml:space="preserve"> </w:t>
      </w:r>
      <w:r w:rsidRPr="00EE11C7">
        <w:rPr>
          <w:rFonts w:hint="eastAsia"/>
          <w:rtl/>
        </w:rPr>
        <w:t>משרד</w:t>
      </w:r>
      <w:r w:rsidRPr="00EE11C7">
        <w:rPr>
          <w:rtl/>
        </w:rPr>
        <w:t xml:space="preserve"> </w:t>
      </w:r>
      <w:r w:rsidRPr="00EE11C7">
        <w:rPr>
          <w:rFonts w:hint="eastAsia"/>
          <w:rtl/>
        </w:rPr>
        <w:t>מבקר</w:t>
      </w:r>
      <w:r w:rsidRPr="00EE11C7">
        <w:rPr>
          <w:rtl/>
        </w:rPr>
        <w:t xml:space="preserve"> </w:t>
      </w:r>
      <w:r w:rsidRPr="00EE11C7">
        <w:rPr>
          <w:rFonts w:hint="eastAsia"/>
          <w:rtl/>
        </w:rPr>
        <w:t>המדינה</w:t>
      </w:r>
      <w:r w:rsidRPr="00EE11C7">
        <w:rPr>
          <w:rtl/>
        </w:rPr>
        <w:t>.</w:t>
      </w:r>
    </w:p>
    <w:p w14:paraId="45B6644C" w14:textId="77777777" w:rsidR="00BA23AE" w:rsidRPr="003A0BD4" w:rsidRDefault="00BA23AE" w:rsidP="003A0BD4">
      <w:pPr>
        <w:pStyle w:val="a1"/>
        <w:numPr>
          <w:ilvl w:val="0"/>
          <w:numId w:val="19"/>
        </w:numPr>
        <w:spacing w:after="0" w:line="240" w:lineRule="exact"/>
        <w:rPr>
          <w:sz w:val="16"/>
          <w:szCs w:val="16"/>
          <w:rtl/>
        </w:rPr>
      </w:pPr>
      <w:r w:rsidRPr="003A0BD4">
        <w:rPr>
          <w:rFonts w:hint="eastAsia"/>
          <w:sz w:val="16"/>
          <w:szCs w:val="16"/>
          <w:rtl/>
        </w:rPr>
        <w:t>קצין</w:t>
      </w:r>
      <w:r w:rsidRPr="003A0BD4">
        <w:rPr>
          <w:sz w:val="16"/>
          <w:szCs w:val="16"/>
          <w:rtl/>
        </w:rPr>
        <w:t xml:space="preserve"> </w:t>
      </w:r>
      <w:r w:rsidRPr="003A0BD4">
        <w:rPr>
          <w:rFonts w:hint="eastAsia"/>
          <w:sz w:val="16"/>
          <w:szCs w:val="16"/>
          <w:rtl/>
        </w:rPr>
        <w:t>ממונה</w:t>
      </w:r>
      <w:r w:rsidRPr="003A0BD4">
        <w:rPr>
          <w:sz w:val="16"/>
          <w:szCs w:val="16"/>
          <w:rtl/>
        </w:rPr>
        <w:t xml:space="preserve"> </w:t>
      </w:r>
      <w:r w:rsidRPr="003A0BD4">
        <w:rPr>
          <w:rFonts w:hint="eastAsia"/>
          <w:sz w:val="16"/>
          <w:szCs w:val="16"/>
          <w:rtl/>
        </w:rPr>
        <w:t>חייב</w:t>
      </w:r>
      <w:r w:rsidRPr="003A0BD4">
        <w:rPr>
          <w:sz w:val="16"/>
          <w:szCs w:val="16"/>
          <w:rtl/>
        </w:rPr>
        <w:t xml:space="preserve"> </w:t>
      </w:r>
      <w:r w:rsidRPr="003A0BD4">
        <w:rPr>
          <w:rFonts w:hint="eastAsia"/>
          <w:sz w:val="16"/>
          <w:szCs w:val="16"/>
          <w:rtl/>
        </w:rPr>
        <w:t>להסביר</w:t>
      </w:r>
      <w:r w:rsidRPr="003A0BD4">
        <w:rPr>
          <w:sz w:val="16"/>
          <w:szCs w:val="16"/>
          <w:rtl/>
        </w:rPr>
        <w:t xml:space="preserve"> </w:t>
      </w:r>
      <w:r w:rsidRPr="003A0BD4">
        <w:rPr>
          <w:rFonts w:hint="eastAsia"/>
          <w:sz w:val="16"/>
          <w:szCs w:val="16"/>
          <w:rtl/>
        </w:rPr>
        <w:t>לעצור</w:t>
      </w:r>
      <w:r w:rsidRPr="003A0BD4">
        <w:rPr>
          <w:sz w:val="16"/>
          <w:szCs w:val="16"/>
          <w:rtl/>
        </w:rPr>
        <w:t xml:space="preserve"> </w:t>
      </w:r>
      <w:r w:rsidRPr="003A0BD4">
        <w:rPr>
          <w:rFonts w:hint="eastAsia"/>
          <w:sz w:val="16"/>
          <w:szCs w:val="16"/>
          <w:rtl/>
        </w:rPr>
        <w:t>בלשון</w:t>
      </w:r>
      <w:r w:rsidRPr="003A0BD4">
        <w:rPr>
          <w:sz w:val="16"/>
          <w:szCs w:val="16"/>
          <w:rtl/>
        </w:rPr>
        <w:t xml:space="preserve"> </w:t>
      </w:r>
      <w:r w:rsidRPr="003A0BD4">
        <w:rPr>
          <w:rFonts w:hint="eastAsia"/>
          <w:sz w:val="16"/>
          <w:szCs w:val="16"/>
          <w:rtl/>
        </w:rPr>
        <w:t>המובנת</w:t>
      </w:r>
      <w:r w:rsidRPr="003A0BD4">
        <w:rPr>
          <w:sz w:val="16"/>
          <w:szCs w:val="16"/>
          <w:rtl/>
        </w:rPr>
        <w:t xml:space="preserve"> </w:t>
      </w:r>
      <w:r w:rsidRPr="003A0BD4">
        <w:rPr>
          <w:rFonts w:hint="eastAsia"/>
          <w:sz w:val="16"/>
          <w:szCs w:val="16"/>
          <w:rtl/>
        </w:rPr>
        <w:t>לו</w:t>
      </w:r>
      <w:r w:rsidRPr="003A0BD4">
        <w:rPr>
          <w:sz w:val="16"/>
          <w:szCs w:val="16"/>
          <w:rtl/>
        </w:rPr>
        <w:t xml:space="preserve"> </w:t>
      </w:r>
      <w:r w:rsidRPr="003A0BD4">
        <w:rPr>
          <w:rFonts w:hint="eastAsia"/>
          <w:sz w:val="16"/>
          <w:szCs w:val="16"/>
          <w:rtl/>
        </w:rPr>
        <w:t>כי</w:t>
      </w:r>
      <w:r w:rsidRPr="003A0BD4">
        <w:rPr>
          <w:sz w:val="16"/>
          <w:szCs w:val="16"/>
          <w:rtl/>
        </w:rPr>
        <w:t xml:space="preserve"> </w:t>
      </w:r>
      <w:r w:rsidRPr="003A0BD4">
        <w:rPr>
          <w:rFonts w:hint="eastAsia"/>
          <w:sz w:val="16"/>
          <w:szCs w:val="16"/>
          <w:rtl/>
        </w:rPr>
        <w:t>החליט</w:t>
      </w:r>
      <w:r w:rsidRPr="003A0BD4">
        <w:rPr>
          <w:sz w:val="16"/>
          <w:szCs w:val="16"/>
          <w:rtl/>
        </w:rPr>
        <w:t xml:space="preserve"> </w:t>
      </w:r>
      <w:r w:rsidRPr="003A0BD4">
        <w:rPr>
          <w:rFonts w:hint="eastAsia"/>
          <w:sz w:val="16"/>
          <w:szCs w:val="16"/>
          <w:rtl/>
        </w:rPr>
        <w:t>לעוצרו</w:t>
      </w:r>
      <w:r w:rsidRPr="003A0BD4">
        <w:rPr>
          <w:sz w:val="16"/>
          <w:szCs w:val="16"/>
          <w:rtl/>
        </w:rPr>
        <w:t xml:space="preserve"> </w:t>
      </w:r>
      <w:r w:rsidRPr="003A0BD4">
        <w:rPr>
          <w:rFonts w:hint="eastAsia"/>
          <w:sz w:val="16"/>
          <w:szCs w:val="16"/>
          <w:rtl/>
        </w:rPr>
        <w:t>ומהי</w:t>
      </w:r>
      <w:r w:rsidRPr="003A0BD4">
        <w:rPr>
          <w:sz w:val="16"/>
          <w:szCs w:val="16"/>
          <w:rtl/>
        </w:rPr>
        <w:t xml:space="preserve"> </w:t>
      </w:r>
      <w:r w:rsidRPr="003A0BD4">
        <w:rPr>
          <w:rFonts w:hint="eastAsia"/>
          <w:sz w:val="16"/>
          <w:szCs w:val="16"/>
          <w:rtl/>
        </w:rPr>
        <w:t>סיבת</w:t>
      </w:r>
      <w:r w:rsidRPr="003A0BD4">
        <w:rPr>
          <w:sz w:val="16"/>
          <w:szCs w:val="16"/>
          <w:rtl/>
        </w:rPr>
        <w:t xml:space="preserve"> </w:t>
      </w:r>
      <w:r w:rsidRPr="003A0BD4">
        <w:rPr>
          <w:rFonts w:hint="eastAsia"/>
          <w:sz w:val="16"/>
          <w:szCs w:val="16"/>
          <w:rtl/>
        </w:rPr>
        <w:t>מעצרו</w:t>
      </w:r>
      <w:r w:rsidRPr="003A0BD4">
        <w:rPr>
          <w:sz w:val="16"/>
          <w:szCs w:val="16"/>
          <w:rtl/>
        </w:rPr>
        <w:t>.</w:t>
      </w:r>
    </w:p>
    <w:p w14:paraId="013283D1" w14:textId="77777777" w:rsidR="00BA23AE" w:rsidRPr="003A0BD4" w:rsidRDefault="00BA23AE" w:rsidP="003A0BD4">
      <w:pPr>
        <w:pStyle w:val="a1"/>
        <w:numPr>
          <w:ilvl w:val="0"/>
          <w:numId w:val="19"/>
        </w:numPr>
        <w:spacing w:after="0" w:line="240" w:lineRule="exact"/>
        <w:rPr>
          <w:sz w:val="16"/>
          <w:szCs w:val="16"/>
          <w:rtl/>
        </w:rPr>
      </w:pPr>
      <w:r w:rsidRPr="003A0BD4">
        <w:rPr>
          <w:rFonts w:hint="eastAsia"/>
          <w:sz w:val="16"/>
          <w:szCs w:val="16"/>
          <w:rtl/>
        </w:rPr>
        <w:t>קצין</w:t>
      </w:r>
      <w:r w:rsidRPr="003A0BD4">
        <w:rPr>
          <w:sz w:val="16"/>
          <w:szCs w:val="16"/>
          <w:rtl/>
        </w:rPr>
        <w:t xml:space="preserve"> </w:t>
      </w:r>
      <w:r w:rsidRPr="003A0BD4">
        <w:rPr>
          <w:rFonts w:hint="eastAsia"/>
          <w:sz w:val="16"/>
          <w:szCs w:val="16"/>
          <w:rtl/>
        </w:rPr>
        <w:t>ממונה</w:t>
      </w:r>
      <w:r w:rsidRPr="003A0BD4">
        <w:rPr>
          <w:sz w:val="16"/>
          <w:szCs w:val="16"/>
          <w:rtl/>
        </w:rPr>
        <w:t xml:space="preserve"> </w:t>
      </w:r>
      <w:r w:rsidRPr="003A0BD4">
        <w:rPr>
          <w:rFonts w:hint="eastAsia"/>
          <w:sz w:val="16"/>
          <w:szCs w:val="16"/>
          <w:rtl/>
        </w:rPr>
        <w:t>חייב</w:t>
      </w:r>
      <w:r w:rsidRPr="003A0BD4">
        <w:rPr>
          <w:sz w:val="16"/>
          <w:szCs w:val="16"/>
          <w:rtl/>
        </w:rPr>
        <w:t xml:space="preserve"> </w:t>
      </w:r>
      <w:r w:rsidRPr="003A0BD4">
        <w:rPr>
          <w:rFonts w:hint="eastAsia"/>
          <w:sz w:val="16"/>
          <w:szCs w:val="16"/>
          <w:rtl/>
        </w:rPr>
        <w:t>להסביר</w:t>
      </w:r>
      <w:r w:rsidRPr="003A0BD4">
        <w:rPr>
          <w:sz w:val="16"/>
          <w:szCs w:val="16"/>
          <w:rtl/>
        </w:rPr>
        <w:t xml:space="preserve"> </w:t>
      </w:r>
      <w:r w:rsidRPr="003A0BD4">
        <w:rPr>
          <w:rFonts w:hint="eastAsia"/>
          <w:sz w:val="16"/>
          <w:szCs w:val="16"/>
          <w:rtl/>
        </w:rPr>
        <w:t>לעצור</w:t>
      </w:r>
      <w:r w:rsidRPr="003A0BD4">
        <w:rPr>
          <w:sz w:val="16"/>
          <w:szCs w:val="16"/>
          <w:rtl/>
        </w:rPr>
        <w:t xml:space="preserve"> </w:t>
      </w:r>
      <w:r w:rsidRPr="003A0BD4">
        <w:rPr>
          <w:rFonts w:hint="eastAsia"/>
          <w:sz w:val="16"/>
          <w:szCs w:val="16"/>
          <w:rtl/>
        </w:rPr>
        <w:t>את</w:t>
      </w:r>
      <w:r w:rsidRPr="003A0BD4">
        <w:rPr>
          <w:sz w:val="16"/>
          <w:szCs w:val="16"/>
          <w:rtl/>
        </w:rPr>
        <w:t xml:space="preserve"> </w:t>
      </w:r>
      <w:r w:rsidRPr="003A0BD4">
        <w:rPr>
          <w:rFonts w:hint="eastAsia"/>
          <w:sz w:val="16"/>
          <w:szCs w:val="16"/>
          <w:rtl/>
        </w:rPr>
        <w:t>זכותו</w:t>
      </w:r>
      <w:r w:rsidRPr="003A0BD4">
        <w:rPr>
          <w:sz w:val="16"/>
          <w:szCs w:val="16"/>
          <w:rtl/>
        </w:rPr>
        <w:t xml:space="preserve"> </w:t>
      </w:r>
      <w:r w:rsidRPr="003A0BD4">
        <w:rPr>
          <w:rFonts w:hint="eastAsia"/>
          <w:sz w:val="16"/>
          <w:szCs w:val="16"/>
          <w:rtl/>
        </w:rPr>
        <w:t>שתימסר</w:t>
      </w:r>
      <w:r w:rsidRPr="003A0BD4">
        <w:rPr>
          <w:sz w:val="16"/>
          <w:szCs w:val="16"/>
          <w:rtl/>
        </w:rPr>
        <w:t xml:space="preserve"> </w:t>
      </w:r>
      <w:r w:rsidRPr="003A0BD4">
        <w:rPr>
          <w:rFonts w:hint="eastAsia"/>
          <w:sz w:val="16"/>
          <w:szCs w:val="16"/>
          <w:rtl/>
        </w:rPr>
        <w:t>הודעה</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מעצרו</w:t>
      </w:r>
      <w:r w:rsidRPr="003A0BD4">
        <w:rPr>
          <w:sz w:val="16"/>
          <w:szCs w:val="16"/>
          <w:rtl/>
        </w:rPr>
        <w:t xml:space="preserve"> </w:t>
      </w:r>
      <w:r w:rsidRPr="003A0BD4">
        <w:rPr>
          <w:rFonts w:hint="eastAsia"/>
          <w:sz w:val="16"/>
          <w:szCs w:val="16"/>
          <w:rtl/>
        </w:rPr>
        <w:t>לאדם</w:t>
      </w:r>
      <w:r w:rsidRPr="003A0BD4">
        <w:rPr>
          <w:sz w:val="16"/>
          <w:szCs w:val="16"/>
          <w:rtl/>
        </w:rPr>
        <w:t xml:space="preserve"> </w:t>
      </w:r>
      <w:r w:rsidRPr="003A0BD4">
        <w:rPr>
          <w:rFonts w:hint="eastAsia"/>
          <w:sz w:val="16"/>
          <w:szCs w:val="16"/>
          <w:rtl/>
        </w:rPr>
        <w:t>קרוב</w:t>
      </w:r>
      <w:r w:rsidRPr="003A0BD4">
        <w:rPr>
          <w:sz w:val="16"/>
          <w:szCs w:val="16"/>
          <w:rtl/>
        </w:rPr>
        <w:t xml:space="preserve"> </w:t>
      </w:r>
      <w:r w:rsidRPr="003A0BD4">
        <w:rPr>
          <w:rFonts w:hint="eastAsia"/>
          <w:sz w:val="16"/>
          <w:szCs w:val="16"/>
          <w:rtl/>
        </w:rPr>
        <w:t>ולעורך</w:t>
      </w:r>
      <w:r w:rsidRPr="003A0BD4">
        <w:rPr>
          <w:sz w:val="16"/>
          <w:szCs w:val="16"/>
          <w:rtl/>
        </w:rPr>
        <w:t xml:space="preserve"> </w:t>
      </w:r>
      <w:r w:rsidRPr="003A0BD4">
        <w:rPr>
          <w:rFonts w:hint="eastAsia"/>
          <w:sz w:val="16"/>
          <w:szCs w:val="16"/>
          <w:rtl/>
        </w:rPr>
        <w:t>דין</w:t>
      </w:r>
      <w:r w:rsidRPr="003A0BD4">
        <w:rPr>
          <w:sz w:val="16"/>
          <w:szCs w:val="16"/>
          <w:rtl/>
        </w:rPr>
        <w:t xml:space="preserve"> (פרטי </w:t>
      </w:r>
      <w:r w:rsidRPr="003A0BD4">
        <w:rPr>
          <w:rFonts w:hint="eastAsia"/>
          <w:sz w:val="16"/>
          <w:szCs w:val="16"/>
          <w:rtl/>
        </w:rPr>
        <w:t>או</w:t>
      </w:r>
      <w:r w:rsidRPr="003A0BD4">
        <w:rPr>
          <w:sz w:val="16"/>
          <w:szCs w:val="16"/>
          <w:rtl/>
        </w:rPr>
        <w:t xml:space="preserve"> </w:t>
      </w:r>
      <w:r w:rsidRPr="003A0BD4">
        <w:rPr>
          <w:rFonts w:hint="eastAsia"/>
          <w:sz w:val="16"/>
          <w:szCs w:val="16"/>
          <w:rtl/>
        </w:rPr>
        <w:t>מהסנגוריה</w:t>
      </w:r>
      <w:r w:rsidRPr="003A0BD4">
        <w:rPr>
          <w:sz w:val="16"/>
          <w:szCs w:val="16"/>
          <w:rtl/>
        </w:rPr>
        <w:t xml:space="preserve"> </w:t>
      </w:r>
      <w:r w:rsidRPr="003A0BD4">
        <w:rPr>
          <w:rFonts w:hint="eastAsia"/>
          <w:sz w:val="16"/>
          <w:szCs w:val="16"/>
          <w:rtl/>
        </w:rPr>
        <w:t>הציבורית</w:t>
      </w:r>
      <w:r w:rsidRPr="003A0BD4">
        <w:rPr>
          <w:sz w:val="16"/>
          <w:szCs w:val="16"/>
          <w:rtl/>
        </w:rPr>
        <w:t xml:space="preserve">). </w:t>
      </w:r>
      <w:r w:rsidRPr="003A0BD4">
        <w:rPr>
          <w:rFonts w:hint="eastAsia"/>
          <w:sz w:val="16"/>
          <w:szCs w:val="16"/>
          <w:rtl/>
        </w:rPr>
        <w:t>העצור</w:t>
      </w:r>
      <w:r w:rsidRPr="003A0BD4">
        <w:rPr>
          <w:sz w:val="16"/>
          <w:szCs w:val="16"/>
          <w:rtl/>
        </w:rPr>
        <w:t xml:space="preserve"> </w:t>
      </w:r>
      <w:r w:rsidRPr="003A0BD4">
        <w:rPr>
          <w:rFonts w:hint="eastAsia"/>
          <w:sz w:val="16"/>
          <w:szCs w:val="16"/>
          <w:rtl/>
        </w:rPr>
        <w:t>יכול</w:t>
      </w:r>
      <w:r w:rsidRPr="003A0BD4">
        <w:rPr>
          <w:sz w:val="16"/>
          <w:szCs w:val="16"/>
          <w:rtl/>
        </w:rPr>
        <w:t xml:space="preserve"> </w:t>
      </w:r>
      <w:r w:rsidRPr="003A0BD4">
        <w:rPr>
          <w:rFonts w:hint="eastAsia"/>
          <w:sz w:val="16"/>
          <w:szCs w:val="16"/>
          <w:rtl/>
        </w:rPr>
        <w:t>לוותר</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זכות</w:t>
      </w:r>
      <w:r w:rsidRPr="003A0BD4">
        <w:rPr>
          <w:sz w:val="16"/>
          <w:szCs w:val="16"/>
          <w:rtl/>
        </w:rPr>
        <w:t xml:space="preserve"> </w:t>
      </w:r>
      <w:r w:rsidRPr="003A0BD4">
        <w:rPr>
          <w:rFonts w:hint="eastAsia"/>
          <w:sz w:val="16"/>
          <w:szCs w:val="16"/>
          <w:rtl/>
        </w:rPr>
        <w:t>זו</w:t>
      </w:r>
      <w:r w:rsidRPr="003A0BD4">
        <w:rPr>
          <w:sz w:val="16"/>
          <w:szCs w:val="16"/>
          <w:rtl/>
        </w:rPr>
        <w:t xml:space="preserve">. </w:t>
      </w:r>
      <w:r w:rsidRPr="003A0BD4">
        <w:rPr>
          <w:rFonts w:hint="eastAsia"/>
          <w:sz w:val="16"/>
          <w:szCs w:val="16"/>
          <w:rtl/>
        </w:rPr>
        <w:t>ההודעה</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המעצר</w:t>
      </w:r>
      <w:r w:rsidRPr="003A0BD4">
        <w:rPr>
          <w:sz w:val="16"/>
          <w:szCs w:val="16"/>
          <w:rtl/>
        </w:rPr>
        <w:t xml:space="preserve"> </w:t>
      </w:r>
      <w:r w:rsidRPr="003A0BD4">
        <w:rPr>
          <w:rFonts w:hint="eastAsia"/>
          <w:sz w:val="16"/>
          <w:szCs w:val="16"/>
          <w:rtl/>
        </w:rPr>
        <w:t>תימסר</w:t>
      </w:r>
      <w:r w:rsidRPr="003A0BD4">
        <w:rPr>
          <w:sz w:val="16"/>
          <w:szCs w:val="16"/>
          <w:rtl/>
        </w:rPr>
        <w:t xml:space="preserve"> </w:t>
      </w:r>
      <w:r w:rsidRPr="003A0BD4">
        <w:rPr>
          <w:rFonts w:hint="eastAsia"/>
          <w:sz w:val="16"/>
          <w:szCs w:val="16"/>
          <w:rtl/>
        </w:rPr>
        <w:t>ללא</w:t>
      </w:r>
      <w:r w:rsidRPr="003A0BD4">
        <w:rPr>
          <w:sz w:val="16"/>
          <w:szCs w:val="16"/>
          <w:rtl/>
        </w:rPr>
        <w:t xml:space="preserve"> </w:t>
      </w:r>
      <w:r w:rsidRPr="003A0BD4">
        <w:rPr>
          <w:rFonts w:hint="eastAsia"/>
          <w:sz w:val="16"/>
          <w:szCs w:val="16"/>
          <w:rtl/>
        </w:rPr>
        <w:t>דיחוי</w:t>
      </w:r>
      <w:r w:rsidRPr="003A0BD4">
        <w:rPr>
          <w:sz w:val="16"/>
          <w:szCs w:val="16"/>
          <w:rtl/>
        </w:rPr>
        <w:t xml:space="preserve"> </w:t>
      </w:r>
      <w:r w:rsidRPr="003A0BD4">
        <w:rPr>
          <w:rFonts w:hint="eastAsia"/>
          <w:sz w:val="16"/>
          <w:szCs w:val="16"/>
          <w:rtl/>
        </w:rPr>
        <w:t>ומסירת</w:t>
      </w:r>
      <w:r w:rsidRPr="003A0BD4">
        <w:rPr>
          <w:sz w:val="16"/>
          <w:szCs w:val="16"/>
          <w:rtl/>
        </w:rPr>
        <w:t xml:space="preserve"> </w:t>
      </w:r>
      <w:r w:rsidRPr="003A0BD4">
        <w:rPr>
          <w:rFonts w:hint="eastAsia"/>
          <w:sz w:val="16"/>
          <w:szCs w:val="16"/>
          <w:rtl/>
        </w:rPr>
        <w:t>ההודעות</w:t>
      </w:r>
      <w:r w:rsidRPr="003A0BD4">
        <w:rPr>
          <w:sz w:val="16"/>
          <w:szCs w:val="16"/>
          <w:rtl/>
        </w:rPr>
        <w:t xml:space="preserve"> </w:t>
      </w:r>
      <w:r w:rsidRPr="003A0BD4">
        <w:rPr>
          <w:rFonts w:hint="eastAsia"/>
          <w:sz w:val="16"/>
          <w:szCs w:val="16"/>
          <w:rtl/>
        </w:rPr>
        <w:t>תתועד</w:t>
      </w:r>
      <w:r w:rsidRPr="003A0BD4">
        <w:rPr>
          <w:sz w:val="16"/>
          <w:szCs w:val="16"/>
          <w:rtl/>
        </w:rPr>
        <w:t xml:space="preserve"> </w:t>
      </w:r>
      <w:r w:rsidRPr="003A0BD4">
        <w:rPr>
          <w:rFonts w:hint="eastAsia"/>
          <w:sz w:val="16"/>
          <w:szCs w:val="16"/>
          <w:rtl/>
        </w:rPr>
        <w:t>בכתב</w:t>
      </w:r>
      <w:r w:rsidRPr="003A0BD4">
        <w:rPr>
          <w:sz w:val="16"/>
          <w:szCs w:val="16"/>
          <w:rtl/>
        </w:rPr>
        <w:t xml:space="preserve">. </w:t>
      </w:r>
      <w:r w:rsidRPr="003A0BD4">
        <w:rPr>
          <w:rFonts w:hint="eastAsia"/>
          <w:sz w:val="16"/>
          <w:szCs w:val="16"/>
          <w:rtl/>
        </w:rPr>
        <w:t>הקצין</w:t>
      </w:r>
      <w:r w:rsidRPr="003A0BD4">
        <w:rPr>
          <w:sz w:val="16"/>
          <w:szCs w:val="16"/>
          <w:rtl/>
        </w:rPr>
        <w:t xml:space="preserve"> </w:t>
      </w:r>
      <w:r w:rsidRPr="003A0BD4">
        <w:rPr>
          <w:rFonts w:hint="eastAsia"/>
          <w:sz w:val="16"/>
          <w:szCs w:val="16"/>
          <w:rtl/>
        </w:rPr>
        <w:t>הממונה</w:t>
      </w:r>
      <w:r w:rsidRPr="003A0BD4">
        <w:rPr>
          <w:sz w:val="16"/>
          <w:szCs w:val="16"/>
          <w:rtl/>
        </w:rPr>
        <w:t xml:space="preserve"> </w:t>
      </w:r>
      <w:r w:rsidRPr="003A0BD4">
        <w:rPr>
          <w:rFonts w:hint="eastAsia"/>
          <w:sz w:val="16"/>
          <w:szCs w:val="16"/>
          <w:rtl/>
        </w:rPr>
        <w:t>יוודא</w:t>
      </w:r>
      <w:r w:rsidRPr="003A0BD4">
        <w:rPr>
          <w:sz w:val="16"/>
          <w:szCs w:val="16"/>
          <w:rtl/>
        </w:rPr>
        <w:t xml:space="preserve"> </w:t>
      </w:r>
      <w:r w:rsidRPr="003A0BD4">
        <w:rPr>
          <w:rFonts w:hint="cs"/>
          <w:sz w:val="16"/>
          <w:szCs w:val="16"/>
          <w:rtl/>
        </w:rPr>
        <w:t>שה</w:t>
      </w:r>
      <w:r w:rsidRPr="003A0BD4">
        <w:rPr>
          <w:rFonts w:hint="eastAsia"/>
          <w:sz w:val="16"/>
          <w:szCs w:val="16"/>
          <w:rtl/>
        </w:rPr>
        <w:t>הודעות</w:t>
      </w:r>
      <w:r w:rsidRPr="003A0BD4">
        <w:rPr>
          <w:sz w:val="16"/>
          <w:szCs w:val="16"/>
          <w:rtl/>
        </w:rPr>
        <w:t xml:space="preserve"> </w:t>
      </w:r>
      <w:r w:rsidRPr="003A0BD4">
        <w:rPr>
          <w:rFonts w:hint="eastAsia"/>
          <w:sz w:val="16"/>
          <w:szCs w:val="16"/>
          <w:rtl/>
        </w:rPr>
        <w:t>אכן</w:t>
      </w:r>
      <w:r w:rsidRPr="003A0BD4">
        <w:rPr>
          <w:sz w:val="16"/>
          <w:szCs w:val="16"/>
          <w:rtl/>
        </w:rPr>
        <w:t xml:space="preserve"> </w:t>
      </w:r>
      <w:r w:rsidRPr="003A0BD4">
        <w:rPr>
          <w:rFonts w:hint="eastAsia"/>
          <w:sz w:val="16"/>
          <w:szCs w:val="16"/>
          <w:rtl/>
        </w:rPr>
        <w:t>נמסרו</w:t>
      </w:r>
      <w:r w:rsidRPr="003A0BD4">
        <w:rPr>
          <w:sz w:val="16"/>
          <w:szCs w:val="16"/>
          <w:rtl/>
        </w:rPr>
        <w:t>.</w:t>
      </w:r>
    </w:p>
    <w:p w14:paraId="09F791FD" w14:textId="77777777" w:rsidR="00BA23AE" w:rsidRPr="003A0BD4" w:rsidRDefault="00BA23AE" w:rsidP="003A0BD4">
      <w:pPr>
        <w:pStyle w:val="a1"/>
        <w:numPr>
          <w:ilvl w:val="0"/>
          <w:numId w:val="19"/>
        </w:numPr>
        <w:spacing w:after="0" w:line="240" w:lineRule="exact"/>
        <w:rPr>
          <w:sz w:val="16"/>
          <w:szCs w:val="16"/>
          <w:rtl/>
        </w:rPr>
      </w:pPr>
      <w:r w:rsidRPr="003A0BD4">
        <w:rPr>
          <w:rFonts w:hint="eastAsia"/>
          <w:sz w:val="16"/>
          <w:szCs w:val="16"/>
          <w:rtl/>
        </w:rPr>
        <w:t>קצין</w:t>
      </w:r>
      <w:r w:rsidRPr="003A0BD4">
        <w:rPr>
          <w:sz w:val="16"/>
          <w:szCs w:val="16"/>
          <w:rtl/>
        </w:rPr>
        <w:t xml:space="preserve"> </w:t>
      </w:r>
      <w:r w:rsidRPr="003A0BD4">
        <w:rPr>
          <w:rFonts w:hint="eastAsia"/>
          <w:sz w:val="16"/>
          <w:szCs w:val="16"/>
          <w:rtl/>
        </w:rPr>
        <w:t>ממונה</w:t>
      </w:r>
      <w:r w:rsidRPr="003A0BD4">
        <w:rPr>
          <w:sz w:val="16"/>
          <w:szCs w:val="16"/>
          <w:rtl/>
        </w:rPr>
        <w:t xml:space="preserve"> </w:t>
      </w:r>
      <w:r w:rsidRPr="003A0BD4">
        <w:rPr>
          <w:rFonts w:hint="eastAsia"/>
          <w:sz w:val="16"/>
          <w:szCs w:val="16"/>
          <w:rtl/>
        </w:rPr>
        <w:t>חייב</w:t>
      </w:r>
      <w:r w:rsidRPr="003A0BD4">
        <w:rPr>
          <w:sz w:val="16"/>
          <w:szCs w:val="16"/>
          <w:rtl/>
        </w:rPr>
        <w:t xml:space="preserve"> </w:t>
      </w:r>
      <w:r w:rsidRPr="003A0BD4">
        <w:rPr>
          <w:rFonts w:hint="eastAsia"/>
          <w:sz w:val="16"/>
          <w:szCs w:val="16"/>
          <w:rtl/>
        </w:rPr>
        <w:t>להסביר</w:t>
      </w:r>
      <w:r w:rsidRPr="003A0BD4">
        <w:rPr>
          <w:sz w:val="16"/>
          <w:szCs w:val="16"/>
          <w:rtl/>
        </w:rPr>
        <w:t xml:space="preserve"> </w:t>
      </w:r>
      <w:r w:rsidRPr="003A0BD4">
        <w:rPr>
          <w:rFonts w:hint="eastAsia"/>
          <w:sz w:val="16"/>
          <w:szCs w:val="16"/>
          <w:rtl/>
        </w:rPr>
        <w:t>לעצור</w:t>
      </w:r>
      <w:r w:rsidRPr="003A0BD4">
        <w:rPr>
          <w:sz w:val="16"/>
          <w:szCs w:val="16"/>
          <w:rtl/>
        </w:rPr>
        <w:t xml:space="preserve"> </w:t>
      </w:r>
      <w:r w:rsidRPr="003A0BD4">
        <w:rPr>
          <w:rFonts w:hint="eastAsia"/>
          <w:sz w:val="16"/>
          <w:szCs w:val="16"/>
          <w:rtl/>
        </w:rPr>
        <w:t>את</w:t>
      </w:r>
      <w:r w:rsidRPr="003A0BD4">
        <w:rPr>
          <w:sz w:val="16"/>
          <w:szCs w:val="16"/>
          <w:rtl/>
        </w:rPr>
        <w:t xml:space="preserve"> </w:t>
      </w:r>
      <w:r w:rsidRPr="003A0BD4">
        <w:rPr>
          <w:rFonts w:hint="eastAsia"/>
          <w:sz w:val="16"/>
          <w:szCs w:val="16"/>
          <w:rtl/>
        </w:rPr>
        <w:t>זכותו</w:t>
      </w:r>
      <w:r w:rsidRPr="003A0BD4">
        <w:rPr>
          <w:sz w:val="16"/>
          <w:szCs w:val="16"/>
          <w:rtl/>
        </w:rPr>
        <w:t xml:space="preserve"> </w:t>
      </w:r>
      <w:r w:rsidRPr="003A0BD4">
        <w:rPr>
          <w:rFonts w:hint="eastAsia"/>
          <w:sz w:val="16"/>
          <w:szCs w:val="16"/>
          <w:rtl/>
        </w:rPr>
        <w:t>להיות</w:t>
      </w:r>
      <w:r w:rsidRPr="003A0BD4">
        <w:rPr>
          <w:sz w:val="16"/>
          <w:szCs w:val="16"/>
          <w:rtl/>
        </w:rPr>
        <w:t xml:space="preserve"> </w:t>
      </w:r>
      <w:r w:rsidRPr="003A0BD4">
        <w:rPr>
          <w:rFonts w:hint="eastAsia"/>
          <w:sz w:val="16"/>
          <w:szCs w:val="16"/>
          <w:rtl/>
        </w:rPr>
        <w:t>מיוצג</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ידי</w:t>
      </w:r>
      <w:r w:rsidRPr="003A0BD4">
        <w:rPr>
          <w:sz w:val="16"/>
          <w:szCs w:val="16"/>
          <w:rtl/>
        </w:rPr>
        <w:t xml:space="preserve"> </w:t>
      </w:r>
      <w:r w:rsidRPr="003A0BD4">
        <w:rPr>
          <w:rFonts w:hint="eastAsia"/>
          <w:sz w:val="16"/>
          <w:szCs w:val="16"/>
          <w:rtl/>
        </w:rPr>
        <w:t>עורך</w:t>
      </w:r>
      <w:r w:rsidRPr="003A0BD4">
        <w:rPr>
          <w:sz w:val="16"/>
          <w:szCs w:val="16"/>
          <w:rtl/>
        </w:rPr>
        <w:t xml:space="preserve"> </w:t>
      </w:r>
      <w:r w:rsidRPr="003A0BD4">
        <w:rPr>
          <w:rFonts w:hint="eastAsia"/>
          <w:sz w:val="16"/>
          <w:szCs w:val="16"/>
          <w:rtl/>
        </w:rPr>
        <w:t>דין</w:t>
      </w:r>
      <w:r w:rsidRPr="003A0BD4">
        <w:rPr>
          <w:sz w:val="16"/>
          <w:szCs w:val="16"/>
          <w:rtl/>
        </w:rPr>
        <w:t xml:space="preserve"> </w:t>
      </w:r>
      <w:r w:rsidRPr="003A0BD4">
        <w:rPr>
          <w:rFonts w:hint="eastAsia"/>
          <w:sz w:val="16"/>
          <w:szCs w:val="16"/>
          <w:rtl/>
        </w:rPr>
        <w:t>פרטי</w:t>
      </w:r>
      <w:r w:rsidRPr="003A0BD4">
        <w:rPr>
          <w:sz w:val="16"/>
          <w:szCs w:val="16"/>
          <w:rtl/>
        </w:rPr>
        <w:t xml:space="preserve">. </w:t>
      </w:r>
      <w:r w:rsidRPr="003A0BD4">
        <w:rPr>
          <w:rFonts w:hint="eastAsia"/>
          <w:sz w:val="16"/>
          <w:szCs w:val="16"/>
          <w:rtl/>
        </w:rPr>
        <w:t>לשם</w:t>
      </w:r>
      <w:r w:rsidRPr="003A0BD4">
        <w:rPr>
          <w:sz w:val="16"/>
          <w:szCs w:val="16"/>
          <w:rtl/>
        </w:rPr>
        <w:t xml:space="preserve"> </w:t>
      </w:r>
      <w:r w:rsidRPr="003A0BD4">
        <w:rPr>
          <w:rFonts w:hint="eastAsia"/>
          <w:sz w:val="16"/>
          <w:szCs w:val="16"/>
          <w:rtl/>
        </w:rPr>
        <w:t>כך</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הקצין</w:t>
      </w:r>
      <w:r w:rsidRPr="003A0BD4">
        <w:rPr>
          <w:sz w:val="16"/>
          <w:szCs w:val="16"/>
          <w:rtl/>
        </w:rPr>
        <w:t xml:space="preserve"> </w:t>
      </w:r>
      <w:r w:rsidRPr="003A0BD4">
        <w:rPr>
          <w:rFonts w:hint="eastAsia"/>
          <w:sz w:val="16"/>
          <w:szCs w:val="16"/>
          <w:rtl/>
        </w:rPr>
        <w:t>למסור</w:t>
      </w:r>
      <w:r w:rsidRPr="003A0BD4">
        <w:rPr>
          <w:sz w:val="16"/>
          <w:szCs w:val="16"/>
          <w:rtl/>
        </w:rPr>
        <w:t xml:space="preserve"> </w:t>
      </w:r>
      <w:r w:rsidRPr="003A0BD4">
        <w:rPr>
          <w:rFonts w:hint="eastAsia"/>
          <w:sz w:val="16"/>
          <w:szCs w:val="16"/>
          <w:rtl/>
        </w:rPr>
        <w:t>לידיו</w:t>
      </w:r>
      <w:r w:rsidRPr="003A0BD4">
        <w:rPr>
          <w:sz w:val="16"/>
          <w:szCs w:val="16"/>
          <w:rtl/>
        </w:rPr>
        <w:t xml:space="preserve"> </w:t>
      </w:r>
      <w:r w:rsidRPr="003A0BD4">
        <w:rPr>
          <w:rFonts w:hint="eastAsia"/>
          <w:sz w:val="16"/>
          <w:szCs w:val="16"/>
          <w:rtl/>
        </w:rPr>
        <w:t>רשימת</w:t>
      </w:r>
      <w:r w:rsidRPr="003A0BD4">
        <w:rPr>
          <w:sz w:val="16"/>
          <w:szCs w:val="16"/>
          <w:rtl/>
        </w:rPr>
        <w:t xml:space="preserve"> </w:t>
      </w:r>
      <w:r w:rsidRPr="003A0BD4">
        <w:rPr>
          <w:rFonts w:hint="eastAsia"/>
          <w:sz w:val="16"/>
          <w:szCs w:val="16"/>
          <w:rtl/>
        </w:rPr>
        <w:t>סנגורים</w:t>
      </w:r>
      <w:r w:rsidRPr="003A0BD4">
        <w:rPr>
          <w:sz w:val="16"/>
          <w:szCs w:val="16"/>
          <w:rtl/>
        </w:rPr>
        <w:t xml:space="preserve"> </w:t>
      </w:r>
      <w:r w:rsidRPr="003A0BD4">
        <w:rPr>
          <w:rFonts w:hint="eastAsia"/>
          <w:sz w:val="16"/>
          <w:szCs w:val="16"/>
          <w:rtl/>
        </w:rPr>
        <w:t>שנערכה</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ידי</w:t>
      </w:r>
      <w:r w:rsidRPr="003A0BD4">
        <w:rPr>
          <w:sz w:val="16"/>
          <w:szCs w:val="16"/>
          <w:rtl/>
        </w:rPr>
        <w:t xml:space="preserve"> </w:t>
      </w:r>
      <w:r w:rsidRPr="003A0BD4">
        <w:rPr>
          <w:rFonts w:hint="eastAsia"/>
          <w:sz w:val="16"/>
          <w:szCs w:val="16"/>
          <w:rtl/>
        </w:rPr>
        <w:t>לשכת</w:t>
      </w:r>
      <w:r w:rsidRPr="003A0BD4">
        <w:rPr>
          <w:sz w:val="16"/>
          <w:szCs w:val="16"/>
          <w:rtl/>
        </w:rPr>
        <w:t xml:space="preserve"> </w:t>
      </w:r>
      <w:r w:rsidRPr="003A0BD4">
        <w:rPr>
          <w:rFonts w:hint="eastAsia"/>
          <w:sz w:val="16"/>
          <w:szCs w:val="16"/>
          <w:rtl/>
        </w:rPr>
        <w:t>עורכי</w:t>
      </w:r>
      <w:r w:rsidRPr="003A0BD4">
        <w:rPr>
          <w:sz w:val="16"/>
          <w:szCs w:val="16"/>
          <w:rtl/>
        </w:rPr>
        <w:t xml:space="preserve"> </w:t>
      </w:r>
      <w:r w:rsidRPr="003A0BD4">
        <w:rPr>
          <w:rFonts w:hint="eastAsia"/>
          <w:sz w:val="16"/>
          <w:szCs w:val="16"/>
          <w:rtl/>
        </w:rPr>
        <w:t>הדין</w:t>
      </w:r>
      <w:r w:rsidRPr="003A0BD4">
        <w:rPr>
          <w:sz w:val="16"/>
          <w:szCs w:val="16"/>
          <w:rtl/>
        </w:rPr>
        <w:t>.</w:t>
      </w:r>
    </w:p>
    <w:p w14:paraId="79A85F10" w14:textId="77777777" w:rsidR="00BA23AE" w:rsidRPr="003A0BD4" w:rsidRDefault="00BA23AE" w:rsidP="003A0BD4">
      <w:pPr>
        <w:pStyle w:val="a1"/>
        <w:numPr>
          <w:ilvl w:val="0"/>
          <w:numId w:val="19"/>
        </w:numPr>
        <w:spacing w:after="0" w:line="240" w:lineRule="exact"/>
        <w:rPr>
          <w:sz w:val="16"/>
          <w:szCs w:val="16"/>
          <w:rtl/>
        </w:rPr>
      </w:pPr>
      <w:r w:rsidRPr="003A0BD4">
        <w:rPr>
          <w:rFonts w:hint="eastAsia"/>
          <w:sz w:val="16"/>
          <w:szCs w:val="16"/>
          <w:rtl/>
        </w:rPr>
        <w:t>קצין</w:t>
      </w:r>
      <w:r w:rsidRPr="003A0BD4">
        <w:rPr>
          <w:sz w:val="16"/>
          <w:szCs w:val="16"/>
          <w:rtl/>
        </w:rPr>
        <w:t xml:space="preserve"> </w:t>
      </w:r>
      <w:r w:rsidRPr="003A0BD4">
        <w:rPr>
          <w:rFonts w:hint="eastAsia"/>
          <w:sz w:val="16"/>
          <w:szCs w:val="16"/>
          <w:rtl/>
        </w:rPr>
        <w:t>ממונה</w:t>
      </w:r>
      <w:r w:rsidRPr="003A0BD4">
        <w:rPr>
          <w:sz w:val="16"/>
          <w:szCs w:val="16"/>
          <w:rtl/>
        </w:rPr>
        <w:t xml:space="preserve"> </w:t>
      </w:r>
      <w:r w:rsidRPr="003A0BD4">
        <w:rPr>
          <w:rFonts w:hint="eastAsia"/>
          <w:sz w:val="16"/>
          <w:szCs w:val="16"/>
          <w:rtl/>
        </w:rPr>
        <w:t>חייב</w:t>
      </w:r>
      <w:r w:rsidRPr="003A0BD4">
        <w:rPr>
          <w:sz w:val="16"/>
          <w:szCs w:val="16"/>
          <w:rtl/>
        </w:rPr>
        <w:t xml:space="preserve"> </w:t>
      </w:r>
      <w:r w:rsidRPr="003A0BD4">
        <w:rPr>
          <w:rFonts w:hint="eastAsia"/>
          <w:sz w:val="16"/>
          <w:szCs w:val="16"/>
          <w:rtl/>
        </w:rPr>
        <w:t>להסביר</w:t>
      </w:r>
      <w:r w:rsidRPr="003A0BD4">
        <w:rPr>
          <w:sz w:val="16"/>
          <w:szCs w:val="16"/>
          <w:rtl/>
        </w:rPr>
        <w:t xml:space="preserve"> </w:t>
      </w:r>
      <w:r w:rsidRPr="003A0BD4">
        <w:rPr>
          <w:rFonts w:hint="eastAsia"/>
          <w:sz w:val="16"/>
          <w:szCs w:val="16"/>
          <w:rtl/>
        </w:rPr>
        <w:t>לעצור</w:t>
      </w:r>
      <w:r w:rsidRPr="003A0BD4">
        <w:rPr>
          <w:sz w:val="16"/>
          <w:szCs w:val="16"/>
          <w:rtl/>
        </w:rPr>
        <w:t xml:space="preserve"> </w:t>
      </w:r>
      <w:r w:rsidRPr="003A0BD4">
        <w:rPr>
          <w:rFonts w:hint="eastAsia"/>
          <w:sz w:val="16"/>
          <w:szCs w:val="16"/>
          <w:rtl/>
        </w:rPr>
        <w:t>את</w:t>
      </w:r>
      <w:r w:rsidRPr="003A0BD4">
        <w:rPr>
          <w:sz w:val="16"/>
          <w:szCs w:val="16"/>
          <w:rtl/>
        </w:rPr>
        <w:t xml:space="preserve"> </w:t>
      </w:r>
      <w:r w:rsidRPr="003A0BD4">
        <w:rPr>
          <w:rFonts w:hint="eastAsia"/>
          <w:sz w:val="16"/>
          <w:szCs w:val="16"/>
          <w:rtl/>
        </w:rPr>
        <w:t>זכותו</w:t>
      </w:r>
      <w:r w:rsidRPr="003A0BD4">
        <w:rPr>
          <w:sz w:val="16"/>
          <w:szCs w:val="16"/>
          <w:rtl/>
        </w:rPr>
        <w:t xml:space="preserve"> </w:t>
      </w:r>
      <w:r w:rsidRPr="003A0BD4">
        <w:rPr>
          <w:rFonts w:hint="eastAsia"/>
          <w:sz w:val="16"/>
          <w:szCs w:val="16"/>
          <w:rtl/>
        </w:rPr>
        <w:t>להיות</w:t>
      </w:r>
      <w:r w:rsidRPr="003A0BD4">
        <w:rPr>
          <w:sz w:val="16"/>
          <w:szCs w:val="16"/>
          <w:rtl/>
        </w:rPr>
        <w:t xml:space="preserve"> </w:t>
      </w:r>
      <w:r w:rsidRPr="003A0BD4">
        <w:rPr>
          <w:rFonts w:hint="eastAsia"/>
          <w:sz w:val="16"/>
          <w:szCs w:val="16"/>
          <w:rtl/>
        </w:rPr>
        <w:t>מיוצג</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ידי</w:t>
      </w:r>
      <w:r w:rsidRPr="003A0BD4">
        <w:rPr>
          <w:sz w:val="16"/>
          <w:szCs w:val="16"/>
          <w:rtl/>
        </w:rPr>
        <w:t xml:space="preserve"> </w:t>
      </w:r>
      <w:r w:rsidRPr="003A0BD4">
        <w:rPr>
          <w:rFonts w:hint="eastAsia"/>
          <w:sz w:val="16"/>
          <w:szCs w:val="16"/>
          <w:rtl/>
        </w:rPr>
        <w:t>עורך</w:t>
      </w:r>
      <w:r w:rsidRPr="003A0BD4">
        <w:rPr>
          <w:sz w:val="16"/>
          <w:szCs w:val="16"/>
          <w:rtl/>
        </w:rPr>
        <w:t xml:space="preserve"> </w:t>
      </w:r>
      <w:r w:rsidRPr="003A0BD4">
        <w:rPr>
          <w:rFonts w:hint="eastAsia"/>
          <w:sz w:val="16"/>
          <w:szCs w:val="16"/>
          <w:rtl/>
        </w:rPr>
        <w:t>דין</w:t>
      </w:r>
      <w:r w:rsidRPr="003A0BD4">
        <w:rPr>
          <w:sz w:val="16"/>
          <w:szCs w:val="16"/>
          <w:rtl/>
        </w:rPr>
        <w:t xml:space="preserve"> </w:t>
      </w:r>
      <w:r w:rsidRPr="003A0BD4">
        <w:rPr>
          <w:rFonts w:hint="eastAsia"/>
          <w:sz w:val="16"/>
          <w:szCs w:val="16"/>
          <w:rtl/>
        </w:rPr>
        <w:t>מטעם</w:t>
      </w:r>
      <w:r w:rsidRPr="003A0BD4">
        <w:rPr>
          <w:sz w:val="16"/>
          <w:szCs w:val="16"/>
          <w:rtl/>
        </w:rPr>
        <w:t xml:space="preserve"> </w:t>
      </w:r>
      <w:r w:rsidRPr="003A0BD4">
        <w:rPr>
          <w:rFonts w:hint="eastAsia"/>
          <w:sz w:val="16"/>
          <w:szCs w:val="16"/>
          <w:rtl/>
        </w:rPr>
        <w:t>הסנגוריה</w:t>
      </w:r>
      <w:r w:rsidRPr="003A0BD4">
        <w:rPr>
          <w:sz w:val="16"/>
          <w:szCs w:val="16"/>
          <w:rtl/>
        </w:rPr>
        <w:t xml:space="preserve"> </w:t>
      </w:r>
      <w:r w:rsidRPr="003A0BD4">
        <w:rPr>
          <w:rFonts w:hint="eastAsia"/>
          <w:sz w:val="16"/>
          <w:szCs w:val="16"/>
          <w:rtl/>
        </w:rPr>
        <w:t>הציבורית</w:t>
      </w:r>
      <w:r w:rsidRPr="003A0BD4">
        <w:rPr>
          <w:sz w:val="16"/>
          <w:szCs w:val="16"/>
          <w:rtl/>
        </w:rPr>
        <w:t xml:space="preserve">. </w:t>
      </w:r>
      <w:r w:rsidRPr="003A0BD4">
        <w:rPr>
          <w:rFonts w:hint="eastAsia"/>
          <w:sz w:val="16"/>
          <w:szCs w:val="16"/>
          <w:rtl/>
        </w:rPr>
        <w:t>לשם</w:t>
      </w:r>
      <w:r w:rsidRPr="003A0BD4">
        <w:rPr>
          <w:sz w:val="16"/>
          <w:szCs w:val="16"/>
          <w:rtl/>
        </w:rPr>
        <w:t xml:space="preserve"> </w:t>
      </w:r>
      <w:r w:rsidRPr="003A0BD4">
        <w:rPr>
          <w:rFonts w:hint="eastAsia"/>
          <w:sz w:val="16"/>
          <w:szCs w:val="16"/>
          <w:rtl/>
        </w:rPr>
        <w:t>כך</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הקצין</w:t>
      </w:r>
      <w:r w:rsidRPr="003A0BD4">
        <w:rPr>
          <w:sz w:val="16"/>
          <w:szCs w:val="16"/>
          <w:rtl/>
        </w:rPr>
        <w:t xml:space="preserve"> </w:t>
      </w:r>
      <w:r w:rsidRPr="003A0BD4">
        <w:rPr>
          <w:rFonts w:hint="eastAsia"/>
          <w:sz w:val="16"/>
          <w:szCs w:val="16"/>
          <w:rtl/>
        </w:rPr>
        <w:t>להציג</w:t>
      </w:r>
      <w:r w:rsidRPr="003A0BD4">
        <w:rPr>
          <w:sz w:val="16"/>
          <w:szCs w:val="16"/>
          <w:rtl/>
        </w:rPr>
        <w:t xml:space="preserve"> </w:t>
      </w:r>
      <w:r w:rsidRPr="003A0BD4">
        <w:rPr>
          <w:rFonts w:hint="eastAsia"/>
          <w:sz w:val="16"/>
          <w:szCs w:val="16"/>
          <w:rtl/>
        </w:rPr>
        <w:t>בפני</w:t>
      </w:r>
      <w:r w:rsidRPr="003A0BD4">
        <w:rPr>
          <w:sz w:val="16"/>
          <w:szCs w:val="16"/>
          <w:rtl/>
        </w:rPr>
        <w:t xml:space="preserve"> </w:t>
      </w:r>
      <w:r w:rsidRPr="003A0BD4">
        <w:rPr>
          <w:rFonts w:hint="eastAsia"/>
          <w:sz w:val="16"/>
          <w:szCs w:val="16"/>
          <w:rtl/>
        </w:rPr>
        <w:t>העצור</w:t>
      </w:r>
      <w:r w:rsidRPr="003A0BD4">
        <w:rPr>
          <w:sz w:val="16"/>
          <w:szCs w:val="16"/>
          <w:rtl/>
        </w:rPr>
        <w:t xml:space="preserve"> </w:t>
      </w:r>
      <w:r w:rsidRPr="003A0BD4">
        <w:rPr>
          <w:rFonts w:hint="eastAsia"/>
          <w:sz w:val="16"/>
          <w:szCs w:val="16"/>
          <w:rtl/>
        </w:rPr>
        <w:t>דף</w:t>
      </w:r>
      <w:r w:rsidRPr="003A0BD4">
        <w:rPr>
          <w:sz w:val="16"/>
          <w:szCs w:val="16"/>
          <w:rtl/>
        </w:rPr>
        <w:t xml:space="preserve"> </w:t>
      </w:r>
      <w:r w:rsidRPr="003A0BD4">
        <w:rPr>
          <w:rFonts w:hint="eastAsia"/>
          <w:sz w:val="16"/>
          <w:szCs w:val="16"/>
          <w:rtl/>
        </w:rPr>
        <w:t>הסבר</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מינוי</w:t>
      </w:r>
      <w:r w:rsidRPr="003A0BD4">
        <w:rPr>
          <w:sz w:val="16"/>
          <w:szCs w:val="16"/>
          <w:rtl/>
        </w:rPr>
        <w:t xml:space="preserve"> </w:t>
      </w:r>
      <w:r w:rsidRPr="003A0BD4">
        <w:rPr>
          <w:rFonts w:hint="eastAsia"/>
          <w:sz w:val="16"/>
          <w:szCs w:val="16"/>
          <w:rtl/>
        </w:rPr>
        <w:t>עורך</w:t>
      </w:r>
      <w:r w:rsidRPr="003A0BD4">
        <w:rPr>
          <w:sz w:val="16"/>
          <w:szCs w:val="16"/>
          <w:rtl/>
        </w:rPr>
        <w:t xml:space="preserve"> </w:t>
      </w:r>
      <w:r w:rsidRPr="003A0BD4">
        <w:rPr>
          <w:rFonts w:hint="eastAsia"/>
          <w:sz w:val="16"/>
          <w:szCs w:val="16"/>
          <w:rtl/>
        </w:rPr>
        <w:t>דין</w:t>
      </w:r>
      <w:r w:rsidRPr="003A0BD4">
        <w:rPr>
          <w:sz w:val="16"/>
          <w:szCs w:val="16"/>
          <w:rtl/>
        </w:rPr>
        <w:t xml:space="preserve"> </w:t>
      </w:r>
      <w:r w:rsidRPr="003A0BD4">
        <w:rPr>
          <w:rFonts w:hint="eastAsia"/>
          <w:sz w:val="16"/>
          <w:szCs w:val="16"/>
          <w:rtl/>
        </w:rPr>
        <w:t>מטעם</w:t>
      </w:r>
      <w:r w:rsidRPr="003A0BD4">
        <w:rPr>
          <w:sz w:val="16"/>
          <w:szCs w:val="16"/>
          <w:rtl/>
        </w:rPr>
        <w:t xml:space="preserve"> </w:t>
      </w:r>
      <w:r w:rsidRPr="003A0BD4">
        <w:rPr>
          <w:rFonts w:hint="eastAsia"/>
          <w:sz w:val="16"/>
          <w:szCs w:val="16"/>
          <w:rtl/>
        </w:rPr>
        <w:t>הסנגוריה</w:t>
      </w:r>
      <w:r w:rsidRPr="003A0BD4">
        <w:rPr>
          <w:sz w:val="16"/>
          <w:szCs w:val="16"/>
          <w:rtl/>
        </w:rPr>
        <w:t xml:space="preserve"> </w:t>
      </w:r>
      <w:r w:rsidRPr="003A0BD4">
        <w:rPr>
          <w:rFonts w:hint="eastAsia"/>
          <w:sz w:val="16"/>
          <w:szCs w:val="16"/>
          <w:rtl/>
        </w:rPr>
        <w:t>הציבורית</w:t>
      </w:r>
      <w:r w:rsidRPr="003A0BD4">
        <w:rPr>
          <w:sz w:val="16"/>
          <w:szCs w:val="16"/>
          <w:rtl/>
        </w:rPr>
        <w:t>.</w:t>
      </w:r>
    </w:p>
    <w:p w14:paraId="4B53F172" w14:textId="77777777" w:rsidR="00BA23AE" w:rsidRPr="003A0BD4" w:rsidRDefault="00BA23AE" w:rsidP="003A0BD4">
      <w:pPr>
        <w:pStyle w:val="a1"/>
        <w:numPr>
          <w:ilvl w:val="0"/>
          <w:numId w:val="19"/>
        </w:numPr>
        <w:spacing w:after="0" w:line="240" w:lineRule="exact"/>
        <w:rPr>
          <w:sz w:val="16"/>
          <w:szCs w:val="16"/>
          <w:rtl/>
        </w:rPr>
      </w:pPr>
      <w:r w:rsidRPr="003A0BD4">
        <w:rPr>
          <w:rFonts w:hint="eastAsia"/>
          <w:sz w:val="16"/>
          <w:szCs w:val="16"/>
          <w:rtl/>
        </w:rPr>
        <w:t>חוקר</w:t>
      </w:r>
      <w:r w:rsidRPr="003A0BD4">
        <w:rPr>
          <w:sz w:val="16"/>
          <w:szCs w:val="16"/>
          <w:rtl/>
        </w:rPr>
        <w:t xml:space="preserve"> </w:t>
      </w:r>
      <w:r w:rsidRPr="003A0BD4">
        <w:rPr>
          <w:rFonts w:hint="eastAsia"/>
          <w:sz w:val="16"/>
          <w:szCs w:val="16"/>
          <w:rtl/>
        </w:rPr>
        <w:t>משטרה</w:t>
      </w:r>
      <w:r w:rsidRPr="003A0BD4">
        <w:rPr>
          <w:sz w:val="16"/>
          <w:szCs w:val="16"/>
          <w:rtl/>
        </w:rPr>
        <w:t xml:space="preserve"> </w:t>
      </w:r>
      <w:r w:rsidRPr="003A0BD4">
        <w:rPr>
          <w:rFonts w:hint="eastAsia"/>
          <w:sz w:val="16"/>
          <w:szCs w:val="16"/>
          <w:rtl/>
        </w:rPr>
        <w:t>נדרש</w:t>
      </w:r>
      <w:r w:rsidRPr="003A0BD4">
        <w:rPr>
          <w:sz w:val="16"/>
          <w:szCs w:val="16"/>
          <w:rtl/>
        </w:rPr>
        <w:t xml:space="preserve"> </w:t>
      </w:r>
      <w:r w:rsidRPr="003A0BD4">
        <w:rPr>
          <w:rFonts w:hint="eastAsia"/>
          <w:sz w:val="16"/>
          <w:szCs w:val="16"/>
          <w:rtl/>
        </w:rPr>
        <w:t>להבהיר</w:t>
      </w:r>
      <w:r w:rsidRPr="003A0BD4">
        <w:rPr>
          <w:sz w:val="16"/>
          <w:szCs w:val="16"/>
          <w:rtl/>
        </w:rPr>
        <w:t xml:space="preserve"> </w:t>
      </w:r>
      <w:r w:rsidRPr="003A0BD4">
        <w:rPr>
          <w:rFonts w:hint="eastAsia"/>
          <w:sz w:val="16"/>
          <w:szCs w:val="16"/>
          <w:rtl/>
        </w:rPr>
        <w:t>לחשוד</w:t>
      </w:r>
      <w:r w:rsidRPr="003A0BD4">
        <w:rPr>
          <w:sz w:val="16"/>
          <w:szCs w:val="16"/>
          <w:rtl/>
        </w:rPr>
        <w:t xml:space="preserve"> </w:t>
      </w:r>
      <w:r w:rsidRPr="003A0BD4">
        <w:rPr>
          <w:rFonts w:hint="eastAsia"/>
          <w:sz w:val="16"/>
          <w:szCs w:val="16"/>
          <w:rtl/>
        </w:rPr>
        <w:t>מהם</w:t>
      </w:r>
      <w:r w:rsidRPr="003A0BD4">
        <w:rPr>
          <w:sz w:val="16"/>
          <w:szCs w:val="16"/>
          <w:rtl/>
        </w:rPr>
        <w:t xml:space="preserve"> </w:t>
      </w:r>
      <w:r w:rsidRPr="003A0BD4">
        <w:rPr>
          <w:rFonts w:hint="eastAsia"/>
          <w:sz w:val="16"/>
          <w:szCs w:val="16"/>
          <w:rtl/>
        </w:rPr>
        <w:t>עיקרי</w:t>
      </w:r>
      <w:r w:rsidRPr="003A0BD4">
        <w:rPr>
          <w:sz w:val="16"/>
          <w:szCs w:val="16"/>
          <w:rtl/>
        </w:rPr>
        <w:t xml:space="preserve"> </w:t>
      </w:r>
      <w:r w:rsidRPr="003A0BD4">
        <w:rPr>
          <w:rFonts w:hint="eastAsia"/>
          <w:sz w:val="16"/>
          <w:szCs w:val="16"/>
          <w:rtl/>
        </w:rPr>
        <w:t>החשד</w:t>
      </w:r>
      <w:r w:rsidRPr="003A0BD4">
        <w:rPr>
          <w:sz w:val="16"/>
          <w:szCs w:val="16"/>
          <w:rtl/>
        </w:rPr>
        <w:t xml:space="preserve"> </w:t>
      </w:r>
      <w:r w:rsidRPr="003A0BD4">
        <w:rPr>
          <w:rFonts w:hint="eastAsia"/>
          <w:sz w:val="16"/>
          <w:szCs w:val="16"/>
          <w:rtl/>
        </w:rPr>
        <w:t>המיוחס</w:t>
      </w:r>
      <w:r w:rsidRPr="003A0BD4">
        <w:rPr>
          <w:sz w:val="16"/>
          <w:szCs w:val="16"/>
          <w:rtl/>
        </w:rPr>
        <w:t xml:space="preserve"> </w:t>
      </w:r>
      <w:r w:rsidRPr="003A0BD4">
        <w:rPr>
          <w:rFonts w:hint="eastAsia"/>
          <w:sz w:val="16"/>
          <w:szCs w:val="16"/>
          <w:rtl/>
        </w:rPr>
        <w:t>לו</w:t>
      </w:r>
      <w:r w:rsidRPr="003A0BD4">
        <w:rPr>
          <w:sz w:val="16"/>
          <w:szCs w:val="16"/>
          <w:rtl/>
        </w:rPr>
        <w:t xml:space="preserve"> </w:t>
      </w:r>
      <w:r w:rsidRPr="003A0BD4">
        <w:rPr>
          <w:rFonts w:hint="eastAsia"/>
          <w:sz w:val="16"/>
          <w:szCs w:val="16"/>
          <w:rtl/>
        </w:rPr>
        <w:t>ומהן</w:t>
      </w:r>
      <w:r w:rsidRPr="003A0BD4">
        <w:rPr>
          <w:sz w:val="16"/>
          <w:szCs w:val="16"/>
          <w:rtl/>
        </w:rPr>
        <w:t xml:space="preserve"> </w:t>
      </w:r>
      <w:r w:rsidRPr="003A0BD4">
        <w:rPr>
          <w:rFonts w:hint="eastAsia"/>
          <w:sz w:val="16"/>
          <w:szCs w:val="16"/>
          <w:rtl/>
        </w:rPr>
        <w:t>זכויותיו</w:t>
      </w:r>
      <w:r w:rsidRPr="003A0BD4">
        <w:rPr>
          <w:sz w:val="16"/>
          <w:szCs w:val="16"/>
          <w:rtl/>
        </w:rPr>
        <w:t xml:space="preserve">. </w:t>
      </w:r>
      <w:r w:rsidRPr="003A0BD4">
        <w:rPr>
          <w:rFonts w:hint="eastAsia"/>
          <w:sz w:val="16"/>
          <w:szCs w:val="16"/>
          <w:rtl/>
        </w:rPr>
        <w:t>נקודות</w:t>
      </w:r>
      <w:r w:rsidRPr="003A0BD4">
        <w:rPr>
          <w:sz w:val="16"/>
          <w:szCs w:val="16"/>
          <w:rtl/>
        </w:rPr>
        <w:t xml:space="preserve"> אלה יש לפרט </w:t>
      </w:r>
      <w:r w:rsidRPr="003A0BD4">
        <w:rPr>
          <w:rFonts w:hint="eastAsia"/>
          <w:sz w:val="16"/>
          <w:szCs w:val="16"/>
          <w:rtl/>
        </w:rPr>
        <w:t>על</w:t>
      </w:r>
      <w:r w:rsidRPr="003A0BD4">
        <w:rPr>
          <w:sz w:val="16"/>
          <w:szCs w:val="16"/>
          <w:rtl/>
        </w:rPr>
        <w:t xml:space="preserve"> גבי טופס </w:t>
      </w:r>
      <w:r w:rsidRPr="003A0BD4">
        <w:rPr>
          <w:rFonts w:hint="eastAsia"/>
          <w:sz w:val="16"/>
          <w:szCs w:val="16"/>
          <w:rtl/>
        </w:rPr>
        <w:t>שעליו</w:t>
      </w:r>
      <w:r w:rsidRPr="003A0BD4">
        <w:rPr>
          <w:sz w:val="16"/>
          <w:szCs w:val="16"/>
          <w:rtl/>
        </w:rPr>
        <w:t xml:space="preserve"> </w:t>
      </w:r>
      <w:r w:rsidRPr="003A0BD4">
        <w:rPr>
          <w:rFonts w:hint="eastAsia"/>
          <w:sz w:val="16"/>
          <w:szCs w:val="16"/>
          <w:rtl/>
        </w:rPr>
        <w:t>החשוד</w:t>
      </w:r>
      <w:r w:rsidRPr="003A0BD4">
        <w:rPr>
          <w:sz w:val="16"/>
          <w:szCs w:val="16"/>
          <w:rtl/>
        </w:rPr>
        <w:t xml:space="preserve"> </w:t>
      </w:r>
      <w:r w:rsidRPr="003A0BD4">
        <w:rPr>
          <w:rFonts w:hint="eastAsia"/>
          <w:sz w:val="16"/>
          <w:szCs w:val="16"/>
          <w:rtl/>
        </w:rPr>
        <w:t>חותם</w:t>
      </w:r>
      <w:r w:rsidRPr="003A0BD4">
        <w:rPr>
          <w:sz w:val="16"/>
          <w:szCs w:val="16"/>
          <w:rtl/>
        </w:rPr>
        <w:t>.</w:t>
      </w:r>
    </w:p>
    <w:p w14:paraId="6E62719C" w14:textId="77777777" w:rsidR="00BA23AE" w:rsidRPr="003A0BD4" w:rsidRDefault="00BA23AE" w:rsidP="003A0BD4">
      <w:pPr>
        <w:pStyle w:val="a1"/>
        <w:numPr>
          <w:ilvl w:val="0"/>
          <w:numId w:val="19"/>
        </w:numPr>
        <w:spacing w:after="0" w:line="240" w:lineRule="exact"/>
        <w:rPr>
          <w:sz w:val="16"/>
          <w:szCs w:val="16"/>
          <w:rtl/>
        </w:rPr>
      </w:pPr>
      <w:r w:rsidRPr="003A0BD4">
        <w:rPr>
          <w:sz w:val="16"/>
          <w:szCs w:val="16"/>
          <w:rtl/>
        </w:rPr>
        <w:t>לפי הפסיקה, המשטרה נדרשת לתעד את הו</w:t>
      </w:r>
      <w:r w:rsidRPr="003A0BD4">
        <w:rPr>
          <w:rFonts w:hint="eastAsia"/>
          <w:sz w:val="16"/>
          <w:szCs w:val="16"/>
          <w:rtl/>
        </w:rPr>
        <w:t>ויתור</w:t>
      </w:r>
      <w:r w:rsidRPr="003A0BD4">
        <w:rPr>
          <w:sz w:val="16"/>
          <w:szCs w:val="16"/>
          <w:rtl/>
        </w:rPr>
        <w:t xml:space="preserve"> של העצור על זכות ההיוועצות. </w:t>
      </w:r>
    </w:p>
    <w:p w14:paraId="51AD6DA6" w14:textId="77777777" w:rsidR="00BA23AE" w:rsidRPr="003A0BD4" w:rsidRDefault="00BA23AE" w:rsidP="003A0BD4">
      <w:pPr>
        <w:pStyle w:val="a1"/>
        <w:numPr>
          <w:ilvl w:val="0"/>
          <w:numId w:val="19"/>
        </w:numPr>
        <w:spacing w:after="0" w:line="240" w:lineRule="exact"/>
        <w:rPr>
          <w:sz w:val="16"/>
          <w:szCs w:val="16"/>
          <w:rtl/>
        </w:rPr>
      </w:pPr>
      <w:r w:rsidRPr="003A0BD4">
        <w:rPr>
          <w:sz w:val="16"/>
          <w:szCs w:val="16"/>
          <w:rtl/>
        </w:rPr>
        <w:t xml:space="preserve">שוטר חייב ליצור קשר באופן </w:t>
      </w:r>
      <w:r w:rsidRPr="003A0BD4">
        <w:rPr>
          <w:rFonts w:hint="eastAsia"/>
          <w:sz w:val="16"/>
          <w:szCs w:val="16"/>
          <w:rtl/>
        </w:rPr>
        <w:t>מיידי</w:t>
      </w:r>
      <w:r w:rsidRPr="003A0BD4">
        <w:rPr>
          <w:sz w:val="16"/>
          <w:szCs w:val="16"/>
          <w:rtl/>
        </w:rPr>
        <w:t xml:space="preserve">, ככל הניתן, עם סנגורו של נחקר, </w:t>
      </w:r>
      <w:r w:rsidRPr="003A0BD4">
        <w:rPr>
          <w:rFonts w:hint="eastAsia"/>
          <w:sz w:val="16"/>
          <w:szCs w:val="16"/>
          <w:rtl/>
        </w:rPr>
        <w:t>אם</w:t>
      </w:r>
      <w:r w:rsidRPr="003A0BD4">
        <w:rPr>
          <w:sz w:val="16"/>
          <w:szCs w:val="16"/>
          <w:rtl/>
        </w:rPr>
        <w:t xml:space="preserve"> </w:t>
      </w:r>
      <w:r w:rsidRPr="003A0BD4">
        <w:rPr>
          <w:rFonts w:hint="eastAsia"/>
          <w:sz w:val="16"/>
          <w:szCs w:val="16"/>
          <w:rtl/>
        </w:rPr>
        <w:t>הוא</w:t>
      </w:r>
      <w:r w:rsidRPr="003A0BD4">
        <w:rPr>
          <w:sz w:val="16"/>
          <w:szCs w:val="16"/>
          <w:rtl/>
        </w:rPr>
        <w:t xml:space="preserve"> </w:t>
      </w:r>
      <w:r w:rsidRPr="003A0BD4">
        <w:rPr>
          <w:rFonts w:hint="eastAsia"/>
          <w:sz w:val="16"/>
          <w:szCs w:val="16"/>
          <w:rtl/>
        </w:rPr>
        <w:t>ביקש</w:t>
      </w:r>
      <w:r w:rsidRPr="003A0BD4">
        <w:rPr>
          <w:sz w:val="16"/>
          <w:szCs w:val="16"/>
          <w:rtl/>
        </w:rPr>
        <w:t xml:space="preserve"> להיפגש </w:t>
      </w:r>
      <w:r w:rsidRPr="003A0BD4">
        <w:rPr>
          <w:rFonts w:hint="eastAsia"/>
          <w:sz w:val="16"/>
          <w:szCs w:val="16"/>
          <w:rtl/>
        </w:rPr>
        <w:t>ע</w:t>
      </w:r>
      <w:r w:rsidRPr="003A0BD4">
        <w:rPr>
          <w:rFonts w:hint="cs"/>
          <w:sz w:val="16"/>
          <w:szCs w:val="16"/>
          <w:rtl/>
        </w:rPr>
        <w:t>י</w:t>
      </w:r>
      <w:r w:rsidRPr="003A0BD4">
        <w:rPr>
          <w:rFonts w:hint="eastAsia"/>
          <w:sz w:val="16"/>
          <w:szCs w:val="16"/>
          <w:rtl/>
        </w:rPr>
        <w:t>מו</w:t>
      </w:r>
      <w:r w:rsidRPr="003A0BD4">
        <w:rPr>
          <w:sz w:val="16"/>
          <w:szCs w:val="16"/>
          <w:rtl/>
        </w:rPr>
        <w:t xml:space="preserve">. הזכות קמה ללא תלות בשאלה </w:t>
      </w:r>
      <w:r w:rsidRPr="003A0BD4">
        <w:rPr>
          <w:rFonts w:hint="eastAsia"/>
          <w:sz w:val="16"/>
          <w:szCs w:val="16"/>
          <w:rtl/>
        </w:rPr>
        <w:t>אם</w:t>
      </w:r>
      <w:r w:rsidRPr="003A0BD4">
        <w:rPr>
          <w:sz w:val="16"/>
          <w:szCs w:val="16"/>
          <w:rtl/>
        </w:rPr>
        <w:t xml:space="preserve"> </w:t>
      </w:r>
      <w:r w:rsidRPr="003A0BD4">
        <w:rPr>
          <w:rFonts w:hint="eastAsia"/>
          <w:sz w:val="16"/>
          <w:szCs w:val="16"/>
          <w:rtl/>
        </w:rPr>
        <w:t>הנחקר</w:t>
      </w:r>
      <w:r w:rsidRPr="003A0BD4">
        <w:rPr>
          <w:sz w:val="16"/>
          <w:szCs w:val="16"/>
          <w:rtl/>
        </w:rPr>
        <w:t xml:space="preserve"> </w:t>
      </w:r>
      <w:r w:rsidRPr="003A0BD4">
        <w:rPr>
          <w:rFonts w:hint="eastAsia"/>
          <w:sz w:val="16"/>
          <w:szCs w:val="16"/>
          <w:rtl/>
        </w:rPr>
        <w:t>עצור</w:t>
      </w:r>
      <w:r w:rsidRPr="003A0BD4">
        <w:rPr>
          <w:sz w:val="16"/>
          <w:szCs w:val="16"/>
          <w:rtl/>
        </w:rPr>
        <w:t xml:space="preserve"> </w:t>
      </w:r>
      <w:r w:rsidRPr="003A0BD4">
        <w:rPr>
          <w:rFonts w:hint="eastAsia"/>
          <w:sz w:val="16"/>
          <w:szCs w:val="16"/>
          <w:rtl/>
        </w:rPr>
        <w:t>או</w:t>
      </w:r>
      <w:r w:rsidRPr="003A0BD4">
        <w:rPr>
          <w:sz w:val="16"/>
          <w:szCs w:val="16"/>
          <w:rtl/>
        </w:rPr>
        <w:t xml:space="preserve"> </w:t>
      </w:r>
      <w:r w:rsidRPr="003A0BD4">
        <w:rPr>
          <w:rFonts w:hint="eastAsia"/>
          <w:sz w:val="16"/>
          <w:szCs w:val="16"/>
          <w:rtl/>
        </w:rPr>
        <w:t>לא</w:t>
      </w:r>
      <w:r w:rsidRPr="003A0BD4">
        <w:rPr>
          <w:sz w:val="16"/>
          <w:szCs w:val="16"/>
          <w:rtl/>
        </w:rPr>
        <w:t>.</w:t>
      </w:r>
    </w:p>
    <w:p w14:paraId="05545C70" w14:textId="77777777" w:rsidR="00BA23AE" w:rsidRPr="003A0BD4" w:rsidRDefault="00BA23AE" w:rsidP="003A0BD4">
      <w:pPr>
        <w:pStyle w:val="a1"/>
        <w:numPr>
          <w:ilvl w:val="0"/>
          <w:numId w:val="19"/>
        </w:numPr>
        <w:spacing w:after="0" w:line="240" w:lineRule="exact"/>
        <w:rPr>
          <w:sz w:val="16"/>
          <w:szCs w:val="16"/>
          <w:rtl/>
        </w:rPr>
      </w:pPr>
      <w:r w:rsidRPr="003A0BD4">
        <w:rPr>
          <w:rFonts w:hint="cs"/>
          <w:sz w:val="16"/>
          <w:szCs w:val="16"/>
          <w:rtl/>
        </w:rPr>
        <w:t>א</w:t>
      </w:r>
      <w:r w:rsidRPr="003A0BD4">
        <w:rPr>
          <w:rFonts w:hint="eastAsia"/>
          <w:sz w:val="16"/>
          <w:szCs w:val="16"/>
          <w:rtl/>
        </w:rPr>
        <w:t>ם</w:t>
      </w:r>
      <w:r w:rsidRPr="003A0BD4">
        <w:rPr>
          <w:sz w:val="16"/>
          <w:szCs w:val="16"/>
          <w:rtl/>
        </w:rPr>
        <w:t xml:space="preserve"> </w:t>
      </w:r>
      <w:r w:rsidRPr="003A0BD4">
        <w:rPr>
          <w:rFonts w:hint="eastAsia"/>
          <w:sz w:val="16"/>
          <w:szCs w:val="16"/>
          <w:rtl/>
        </w:rPr>
        <w:t>עצור</w:t>
      </w:r>
      <w:r w:rsidRPr="003A0BD4">
        <w:rPr>
          <w:sz w:val="16"/>
          <w:szCs w:val="16"/>
          <w:rtl/>
        </w:rPr>
        <w:t xml:space="preserve"> </w:t>
      </w:r>
      <w:r w:rsidRPr="003A0BD4">
        <w:rPr>
          <w:rFonts w:hint="eastAsia"/>
          <w:sz w:val="16"/>
          <w:szCs w:val="16"/>
          <w:rtl/>
        </w:rPr>
        <w:t>מבקש</w:t>
      </w:r>
      <w:r w:rsidRPr="003A0BD4">
        <w:rPr>
          <w:sz w:val="16"/>
          <w:szCs w:val="16"/>
          <w:rtl/>
        </w:rPr>
        <w:t xml:space="preserve"> </w:t>
      </w:r>
      <w:r w:rsidRPr="003A0BD4">
        <w:rPr>
          <w:rFonts w:hint="eastAsia"/>
          <w:sz w:val="16"/>
          <w:szCs w:val="16"/>
          <w:rtl/>
        </w:rPr>
        <w:t>להיות</w:t>
      </w:r>
      <w:r w:rsidRPr="003A0BD4">
        <w:rPr>
          <w:sz w:val="16"/>
          <w:szCs w:val="16"/>
          <w:rtl/>
        </w:rPr>
        <w:t xml:space="preserve"> </w:t>
      </w:r>
      <w:r w:rsidRPr="003A0BD4">
        <w:rPr>
          <w:rFonts w:hint="eastAsia"/>
          <w:sz w:val="16"/>
          <w:szCs w:val="16"/>
          <w:rtl/>
        </w:rPr>
        <w:t>מיוצג</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ידי</w:t>
      </w:r>
      <w:r w:rsidRPr="003A0BD4">
        <w:rPr>
          <w:sz w:val="16"/>
          <w:szCs w:val="16"/>
          <w:rtl/>
        </w:rPr>
        <w:t xml:space="preserve"> </w:t>
      </w:r>
      <w:r w:rsidRPr="003A0BD4">
        <w:rPr>
          <w:rFonts w:hint="eastAsia"/>
          <w:sz w:val="16"/>
          <w:szCs w:val="16"/>
          <w:rtl/>
        </w:rPr>
        <w:t>סנגור</w:t>
      </w:r>
      <w:r w:rsidRPr="003A0BD4">
        <w:rPr>
          <w:sz w:val="16"/>
          <w:szCs w:val="16"/>
          <w:rtl/>
        </w:rPr>
        <w:t xml:space="preserve"> </w:t>
      </w:r>
      <w:r w:rsidRPr="003A0BD4">
        <w:rPr>
          <w:rFonts w:hint="eastAsia"/>
          <w:sz w:val="16"/>
          <w:szCs w:val="16"/>
          <w:rtl/>
        </w:rPr>
        <w:t>ציבורי</w:t>
      </w:r>
      <w:r w:rsidRPr="003A0BD4">
        <w:rPr>
          <w:sz w:val="16"/>
          <w:szCs w:val="16"/>
          <w:rtl/>
        </w:rPr>
        <w:t xml:space="preserve">, </w:t>
      </w:r>
      <w:r w:rsidRPr="003A0BD4">
        <w:rPr>
          <w:rFonts w:hint="eastAsia"/>
          <w:sz w:val="16"/>
          <w:szCs w:val="16"/>
          <w:rtl/>
        </w:rPr>
        <w:t>הבקשה</w:t>
      </w:r>
      <w:r w:rsidRPr="003A0BD4">
        <w:rPr>
          <w:sz w:val="16"/>
          <w:szCs w:val="16"/>
          <w:rtl/>
        </w:rPr>
        <w:t xml:space="preserve"> </w:t>
      </w:r>
      <w:r w:rsidRPr="003A0BD4">
        <w:rPr>
          <w:rFonts w:hint="eastAsia"/>
          <w:sz w:val="16"/>
          <w:szCs w:val="16"/>
          <w:rtl/>
        </w:rPr>
        <w:t>תועבר</w:t>
      </w:r>
      <w:r w:rsidRPr="003A0BD4">
        <w:rPr>
          <w:sz w:val="16"/>
          <w:szCs w:val="16"/>
          <w:rtl/>
        </w:rPr>
        <w:t xml:space="preserve"> בהקדם </w:t>
      </w:r>
      <w:r w:rsidRPr="003A0BD4">
        <w:rPr>
          <w:rFonts w:hint="eastAsia"/>
          <w:sz w:val="16"/>
          <w:szCs w:val="16"/>
          <w:rtl/>
        </w:rPr>
        <w:t>האפשרי</w:t>
      </w:r>
      <w:r w:rsidRPr="003A0BD4">
        <w:rPr>
          <w:sz w:val="16"/>
          <w:szCs w:val="16"/>
          <w:rtl/>
        </w:rPr>
        <w:t xml:space="preserve"> </w:t>
      </w:r>
      <w:r w:rsidRPr="003A0BD4">
        <w:rPr>
          <w:rFonts w:hint="eastAsia"/>
          <w:sz w:val="16"/>
          <w:szCs w:val="16"/>
          <w:rtl/>
        </w:rPr>
        <w:t>ללשכת</w:t>
      </w:r>
      <w:r w:rsidRPr="003A0BD4">
        <w:rPr>
          <w:sz w:val="16"/>
          <w:szCs w:val="16"/>
          <w:rtl/>
        </w:rPr>
        <w:t xml:space="preserve"> </w:t>
      </w:r>
      <w:r w:rsidRPr="003A0BD4">
        <w:rPr>
          <w:rFonts w:hint="eastAsia"/>
          <w:sz w:val="16"/>
          <w:szCs w:val="16"/>
          <w:rtl/>
        </w:rPr>
        <w:t>הסנגוריה</w:t>
      </w:r>
      <w:r w:rsidRPr="003A0BD4">
        <w:rPr>
          <w:sz w:val="16"/>
          <w:szCs w:val="16"/>
          <w:rtl/>
        </w:rPr>
        <w:t xml:space="preserve"> </w:t>
      </w:r>
      <w:r w:rsidRPr="003A0BD4">
        <w:rPr>
          <w:rFonts w:hint="eastAsia"/>
          <w:sz w:val="16"/>
          <w:szCs w:val="16"/>
          <w:rtl/>
        </w:rPr>
        <w:t>הציבורית</w:t>
      </w:r>
      <w:r w:rsidRPr="003A0BD4">
        <w:rPr>
          <w:sz w:val="16"/>
          <w:szCs w:val="16"/>
          <w:rtl/>
        </w:rPr>
        <w:t xml:space="preserve"> </w:t>
      </w:r>
      <w:r w:rsidRPr="003A0BD4">
        <w:rPr>
          <w:rFonts w:hint="eastAsia"/>
          <w:sz w:val="16"/>
          <w:szCs w:val="16"/>
          <w:rtl/>
        </w:rPr>
        <w:t>באמצעות</w:t>
      </w:r>
      <w:r w:rsidRPr="003A0BD4">
        <w:rPr>
          <w:sz w:val="16"/>
          <w:szCs w:val="16"/>
          <w:rtl/>
        </w:rPr>
        <w:t xml:space="preserve"> </w:t>
      </w:r>
      <w:r w:rsidRPr="003A0BD4">
        <w:rPr>
          <w:rFonts w:hint="eastAsia"/>
          <w:sz w:val="16"/>
          <w:szCs w:val="16"/>
          <w:rtl/>
        </w:rPr>
        <w:t>הממונה</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החקירה</w:t>
      </w:r>
      <w:r w:rsidRPr="003A0BD4">
        <w:rPr>
          <w:sz w:val="16"/>
          <w:szCs w:val="16"/>
          <w:rtl/>
        </w:rPr>
        <w:t xml:space="preserve">. </w:t>
      </w:r>
    </w:p>
    <w:p w14:paraId="106AF414" w14:textId="77777777" w:rsidR="00BA23AE" w:rsidRPr="003A0BD4" w:rsidRDefault="00BA23AE" w:rsidP="003A0BD4">
      <w:pPr>
        <w:pStyle w:val="a1"/>
        <w:numPr>
          <w:ilvl w:val="0"/>
          <w:numId w:val="19"/>
        </w:numPr>
        <w:spacing w:after="0" w:line="240" w:lineRule="exact"/>
        <w:rPr>
          <w:sz w:val="16"/>
          <w:szCs w:val="16"/>
          <w:rtl/>
        </w:rPr>
      </w:pPr>
      <w:r w:rsidRPr="003A0BD4">
        <w:rPr>
          <w:rFonts w:hint="eastAsia"/>
          <w:sz w:val="16"/>
          <w:szCs w:val="16"/>
          <w:rtl/>
        </w:rPr>
        <w:t>ככלל</w:t>
      </w:r>
      <w:r w:rsidRPr="003A0BD4">
        <w:rPr>
          <w:sz w:val="16"/>
          <w:szCs w:val="16"/>
          <w:rtl/>
        </w:rPr>
        <w:t xml:space="preserve">, </w:t>
      </w:r>
      <w:r w:rsidRPr="003A0BD4">
        <w:rPr>
          <w:rFonts w:hint="eastAsia"/>
          <w:sz w:val="16"/>
          <w:szCs w:val="16"/>
          <w:rtl/>
        </w:rPr>
        <w:t>לפי</w:t>
      </w:r>
      <w:r w:rsidRPr="003A0BD4">
        <w:rPr>
          <w:sz w:val="16"/>
          <w:szCs w:val="16"/>
          <w:rtl/>
        </w:rPr>
        <w:t xml:space="preserve"> הפסיקה, </w:t>
      </w:r>
      <w:r w:rsidRPr="003A0BD4">
        <w:rPr>
          <w:rFonts w:hint="eastAsia"/>
          <w:sz w:val="16"/>
          <w:szCs w:val="16"/>
          <w:rtl/>
        </w:rPr>
        <w:t>אם</w:t>
      </w:r>
      <w:r w:rsidRPr="003A0BD4">
        <w:rPr>
          <w:sz w:val="16"/>
          <w:szCs w:val="16"/>
          <w:rtl/>
        </w:rPr>
        <w:t xml:space="preserve"> </w:t>
      </w:r>
      <w:r w:rsidRPr="003A0BD4">
        <w:rPr>
          <w:rFonts w:hint="eastAsia"/>
          <w:sz w:val="16"/>
          <w:szCs w:val="16"/>
          <w:rtl/>
        </w:rPr>
        <w:t>סנגור</w:t>
      </w:r>
      <w:r w:rsidRPr="003A0BD4">
        <w:rPr>
          <w:sz w:val="16"/>
          <w:szCs w:val="16"/>
          <w:rtl/>
        </w:rPr>
        <w:t xml:space="preserve"> </w:t>
      </w:r>
      <w:r w:rsidRPr="003A0BD4">
        <w:rPr>
          <w:rFonts w:hint="eastAsia"/>
          <w:sz w:val="16"/>
          <w:szCs w:val="16"/>
          <w:rtl/>
        </w:rPr>
        <w:t>מודיע</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כוונה</w:t>
      </w:r>
      <w:r w:rsidRPr="003A0BD4">
        <w:rPr>
          <w:sz w:val="16"/>
          <w:szCs w:val="16"/>
          <w:rtl/>
        </w:rPr>
        <w:t xml:space="preserve"> </w:t>
      </w:r>
      <w:r w:rsidRPr="003A0BD4">
        <w:rPr>
          <w:rFonts w:hint="eastAsia"/>
          <w:sz w:val="16"/>
          <w:szCs w:val="16"/>
          <w:rtl/>
        </w:rPr>
        <w:t>להגיע</w:t>
      </w:r>
      <w:r w:rsidRPr="003A0BD4">
        <w:rPr>
          <w:sz w:val="16"/>
          <w:szCs w:val="16"/>
          <w:rtl/>
        </w:rPr>
        <w:t xml:space="preserve"> </w:t>
      </w:r>
      <w:r w:rsidRPr="003A0BD4">
        <w:rPr>
          <w:rFonts w:hint="eastAsia"/>
          <w:sz w:val="16"/>
          <w:szCs w:val="16"/>
          <w:rtl/>
        </w:rPr>
        <w:t>למתקן</w:t>
      </w:r>
      <w:r w:rsidRPr="003A0BD4">
        <w:rPr>
          <w:sz w:val="16"/>
          <w:szCs w:val="16"/>
          <w:rtl/>
        </w:rPr>
        <w:t xml:space="preserve"> </w:t>
      </w:r>
      <w:r w:rsidRPr="003A0BD4">
        <w:rPr>
          <w:rFonts w:hint="eastAsia"/>
          <w:sz w:val="16"/>
          <w:szCs w:val="16"/>
          <w:rtl/>
        </w:rPr>
        <w:t>חקירה</w:t>
      </w:r>
      <w:r w:rsidRPr="003A0BD4">
        <w:rPr>
          <w:sz w:val="16"/>
          <w:szCs w:val="16"/>
          <w:rtl/>
        </w:rPr>
        <w:t xml:space="preserve"> </w:t>
      </w:r>
      <w:r w:rsidRPr="003A0BD4">
        <w:rPr>
          <w:rFonts w:hint="eastAsia"/>
          <w:sz w:val="16"/>
          <w:szCs w:val="16"/>
          <w:rtl/>
        </w:rPr>
        <w:t>במועד</w:t>
      </w:r>
      <w:r w:rsidRPr="003A0BD4">
        <w:rPr>
          <w:sz w:val="16"/>
          <w:szCs w:val="16"/>
          <w:rtl/>
        </w:rPr>
        <w:t xml:space="preserve"> </w:t>
      </w:r>
      <w:r w:rsidRPr="003A0BD4">
        <w:rPr>
          <w:rFonts w:hint="eastAsia"/>
          <w:sz w:val="16"/>
          <w:szCs w:val="16"/>
          <w:rtl/>
        </w:rPr>
        <w:t>סמוך</w:t>
      </w:r>
      <w:r w:rsidRPr="003A0BD4">
        <w:rPr>
          <w:sz w:val="16"/>
          <w:szCs w:val="16"/>
          <w:rtl/>
        </w:rPr>
        <w:t xml:space="preserve"> </w:t>
      </w:r>
      <w:r w:rsidRPr="003A0BD4">
        <w:rPr>
          <w:rFonts w:hint="eastAsia"/>
          <w:sz w:val="16"/>
          <w:szCs w:val="16"/>
          <w:rtl/>
        </w:rPr>
        <w:t>סביר</w:t>
      </w:r>
      <w:r w:rsidRPr="003A0BD4">
        <w:rPr>
          <w:sz w:val="16"/>
          <w:szCs w:val="16"/>
          <w:rtl/>
        </w:rPr>
        <w:t xml:space="preserve">, </w:t>
      </w:r>
      <w:r w:rsidRPr="003A0BD4">
        <w:rPr>
          <w:rFonts w:hint="eastAsia"/>
          <w:sz w:val="16"/>
          <w:szCs w:val="16"/>
          <w:rtl/>
        </w:rPr>
        <w:t>על</w:t>
      </w:r>
      <w:r w:rsidRPr="003A0BD4">
        <w:rPr>
          <w:sz w:val="16"/>
          <w:szCs w:val="16"/>
          <w:rtl/>
        </w:rPr>
        <w:t xml:space="preserve"> </w:t>
      </w:r>
      <w:r w:rsidRPr="003A0BD4">
        <w:rPr>
          <w:rFonts w:hint="eastAsia"/>
          <w:sz w:val="16"/>
          <w:szCs w:val="16"/>
          <w:rtl/>
        </w:rPr>
        <w:t>החוקר</w:t>
      </w:r>
      <w:r w:rsidRPr="003A0BD4">
        <w:rPr>
          <w:sz w:val="16"/>
          <w:szCs w:val="16"/>
          <w:rtl/>
        </w:rPr>
        <w:t xml:space="preserve"> </w:t>
      </w:r>
      <w:r w:rsidRPr="003A0BD4">
        <w:rPr>
          <w:rFonts w:hint="eastAsia"/>
          <w:sz w:val="16"/>
          <w:szCs w:val="16"/>
          <w:rtl/>
        </w:rPr>
        <w:t>להמתין</w:t>
      </w:r>
      <w:r w:rsidRPr="003A0BD4">
        <w:rPr>
          <w:sz w:val="16"/>
          <w:szCs w:val="16"/>
          <w:rtl/>
        </w:rPr>
        <w:t xml:space="preserve"> </w:t>
      </w:r>
      <w:r w:rsidRPr="003A0BD4">
        <w:rPr>
          <w:rFonts w:hint="eastAsia"/>
          <w:sz w:val="16"/>
          <w:szCs w:val="16"/>
          <w:rtl/>
        </w:rPr>
        <w:t>לבואו</w:t>
      </w:r>
      <w:r w:rsidRPr="003A0BD4">
        <w:rPr>
          <w:sz w:val="16"/>
          <w:szCs w:val="16"/>
          <w:rtl/>
        </w:rPr>
        <w:t xml:space="preserve"> </w:t>
      </w:r>
      <w:r w:rsidRPr="003A0BD4">
        <w:rPr>
          <w:rFonts w:hint="eastAsia"/>
          <w:sz w:val="16"/>
          <w:szCs w:val="16"/>
          <w:rtl/>
        </w:rPr>
        <w:t>בטרם</w:t>
      </w:r>
      <w:r w:rsidRPr="003A0BD4">
        <w:rPr>
          <w:sz w:val="16"/>
          <w:szCs w:val="16"/>
          <w:rtl/>
        </w:rPr>
        <w:t xml:space="preserve"> </w:t>
      </w:r>
      <w:r w:rsidRPr="003A0BD4">
        <w:rPr>
          <w:rFonts w:hint="eastAsia"/>
          <w:sz w:val="16"/>
          <w:szCs w:val="16"/>
          <w:rtl/>
        </w:rPr>
        <w:t>יימשכו</w:t>
      </w:r>
      <w:r w:rsidRPr="003A0BD4">
        <w:rPr>
          <w:sz w:val="16"/>
          <w:szCs w:val="16"/>
          <w:rtl/>
        </w:rPr>
        <w:t xml:space="preserve"> </w:t>
      </w:r>
      <w:r w:rsidRPr="003A0BD4">
        <w:rPr>
          <w:rFonts w:hint="eastAsia"/>
          <w:sz w:val="16"/>
          <w:szCs w:val="16"/>
          <w:rtl/>
        </w:rPr>
        <w:t>הליכי</w:t>
      </w:r>
      <w:r w:rsidRPr="003A0BD4">
        <w:rPr>
          <w:sz w:val="16"/>
          <w:szCs w:val="16"/>
          <w:rtl/>
        </w:rPr>
        <w:t xml:space="preserve"> </w:t>
      </w:r>
      <w:r w:rsidRPr="003A0BD4">
        <w:rPr>
          <w:rFonts w:hint="eastAsia"/>
          <w:sz w:val="16"/>
          <w:szCs w:val="16"/>
          <w:rtl/>
        </w:rPr>
        <w:t>החקירה</w:t>
      </w:r>
      <w:r w:rsidRPr="003A0BD4">
        <w:rPr>
          <w:sz w:val="16"/>
          <w:szCs w:val="16"/>
          <w:rtl/>
        </w:rPr>
        <w:t xml:space="preserve">. </w:t>
      </w:r>
    </w:p>
    <w:p w14:paraId="2E3D9C78" w14:textId="77777777" w:rsidR="00BA23AE" w:rsidRPr="00F13DA5" w:rsidRDefault="00BA23AE" w:rsidP="003B7A94">
      <w:pPr>
        <w:pStyle w:val="316"/>
        <w:rPr>
          <w:rtl/>
        </w:rPr>
      </w:pPr>
      <w:bookmarkStart w:id="13" w:name="_Toc6326460"/>
      <w:r w:rsidRPr="00F13DA5">
        <w:rPr>
          <w:rFonts w:hint="cs"/>
          <w:rtl/>
        </w:rPr>
        <w:lastRenderedPageBreak/>
        <w:t>השלבים המקדימים ליישום זכות ההיוועצות</w:t>
      </w:r>
      <w:bookmarkEnd w:id="13"/>
    </w:p>
    <w:p w14:paraId="0CA864AA" w14:textId="77777777" w:rsidR="00BA23AE" w:rsidRPr="00F13DA5" w:rsidRDefault="00BA23AE" w:rsidP="003B7A94">
      <w:pPr>
        <w:pStyle w:val="414"/>
        <w:rPr>
          <w:rtl/>
        </w:rPr>
      </w:pPr>
      <w:r w:rsidRPr="00F13DA5">
        <w:rPr>
          <w:rFonts w:hint="cs"/>
          <w:rtl/>
        </w:rPr>
        <w:t>יישום השלבים המקדימים על ידי קצין ממונה</w:t>
      </w:r>
    </w:p>
    <w:p w14:paraId="00E34A04" w14:textId="77777777" w:rsidR="00BA23AE" w:rsidRPr="00F13DA5" w:rsidRDefault="00BA23AE" w:rsidP="003B7A94">
      <w:pPr>
        <w:pStyle w:val="100"/>
        <w:rPr>
          <w:rtl/>
        </w:rPr>
      </w:pPr>
      <w:r w:rsidRPr="00F13DA5">
        <w:rPr>
          <w:rFonts w:hint="cs"/>
          <w:rtl/>
        </w:rPr>
        <w:t>לפי חוק המעצרים, העצור חייב לאשר בחתימת ידו שהקצין הממונה הודיע לו על חלק מהשלבים המקדימים</w:t>
      </w:r>
      <w:r w:rsidRPr="00F13DA5">
        <w:rPr>
          <w:vertAlign w:val="superscript"/>
          <w:rtl/>
        </w:rPr>
        <w:footnoteReference w:id="26"/>
      </w:r>
      <w:r w:rsidRPr="00F13DA5">
        <w:rPr>
          <w:rFonts w:hint="cs"/>
          <w:rtl/>
        </w:rPr>
        <w:t>. לאור פסיקת בית המשפט העליון</w:t>
      </w:r>
      <w:r w:rsidRPr="00F13DA5">
        <w:rPr>
          <w:vertAlign w:val="superscript"/>
          <w:rtl/>
        </w:rPr>
        <w:footnoteReference w:id="27"/>
      </w:r>
      <w:r w:rsidRPr="00F13DA5">
        <w:rPr>
          <w:rFonts w:hint="cs"/>
          <w:rtl/>
        </w:rPr>
        <w:t xml:space="preserve">, נראה כי יתר השלבים </w:t>
      </w:r>
      <w:r>
        <w:rPr>
          <w:rFonts w:hint="cs"/>
          <w:rtl/>
        </w:rPr>
        <w:t xml:space="preserve">הם </w:t>
      </w:r>
      <w:r w:rsidRPr="00F13DA5">
        <w:rPr>
          <w:rFonts w:hint="cs"/>
          <w:rtl/>
        </w:rPr>
        <w:t>מרכיבים בלתי נפרדים המשלימים את זכות ההיוועצות.</w:t>
      </w:r>
      <w:r>
        <w:rPr>
          <w:rFonts w:hint="cs"/>
          <w:rtl/>
        </w:rPr>
        <w:t xml:space="preserve"> לפיכך, נדרש </w:t>
      </w:r>
      <w:r w:rsidRPr="00F13DA5">
        <w:rPr>
          <w:rFonts w:hint="cs"/>
          <w:rtl/>
        </w:rPr>
        <w:t>שהמשטרה תיידע את העצור מפורשות על כלל השלבים</w:t>
      </w:r>
      <w:r>
        <w:rPr>
          <w:rFonts w:hint="cs"/>
          <w:rtl/>
        </w:rPr>
        <w:t>.</w:t>
      </w:r>
    </w:p>
    <w:p w14:paraId="1E1695A1" w14:textId="77777777" w:rsidR="00BA23AE" w:rsidRPr="00F13DA5" w:rsidRDefault="00BA23AE" w:rsidP="003B7A94">
      <w:pPr>
        <w:pStyle w:val="100"/>
        <w:rPr>
          <w:rtl/>
        </w:rPr>
      </w:pPr>
      <w:r w:rsidRPr="00F13DA5">
        <w:rPr>
          <w:rFonts w:hint="cs"/>
          <w:rtl/>
        </w:rPr>
        <w:t xml:space="preserve">דוח הקצין הממונה מפרט את ההודעות שקצין ממונה חייב למסור כחוק עת החליט על מעצרו של אדם. הקצין הממונה יכול לסמן באמצעות המערכת הממוחשבת את השדות בהתאם להודעות שמסר לעצור. הדוח מאפשר לעצור לאשר בחתימת ידו כי "נמסרו לי ההודעות כאמור לעיל". להלן, </w:t>
      </w:r>
      <w:r>
        <w:rPr>
          <w:rFonts w:hint="cs"/>
          <w:rtl/>
        </w:rPr>
        <w:t>מוצג טופס</w:t>
      </w:r>
      <w:r w:rsidRPr="00F13DA5">
        <w:rPr>
          <w:rFonts w:hint="cs"/>
          <w:rtl/>
        </w:rPr>
        <w:t xml:space="preserve"> דוח קצין ממונה</w:t>
      </w:r>
      <w:r>
        <w:rPr>
          <w:rFonts w:hint="cs"/>
          <w:rtl/>
        </w:rPr>
        <w:t>.</w:t>
      </w:r>
    </w:p>
    <w:p w14:paraId="66B5DCEC" w14:textId="77777777" w:rsidR="00BA23AE" w:rsidRPr="00F13DA5" w:rsidRDefault="00BA23AE" w:rsidP="003B7A94">
      <w:pPr>
        <w:pStyle w:val="a9"/>
        <w:rPr>
          <w:rtl/>
        </w:rPr>
      </w:pPr>
      <w:r w:rsidRPr="00F13DA5">
        <w:rPr>
          <w:rFonts w:hint="eastAsia"/>
          <w:rtl/>
        </w:rPr>
        <w:t>תמונה</w:t>
      </w:r>
      <w:r w:rsidRPr="00F13DA5">
        <w:rPr>
          <w:rtl/>
        </w:rPr>
        <w:t xml:space="preserve"> </w:t>
      </w:r>
      <w:r w:rsidRPr="00F13DA5">
        <w:rPr>
          <w:rFonts w:hint="cs"/>
          <w:rtl/>
        </w:rPr>
        <w:t>3</w:t>
      </w:r>
      <w:r w:rsidRPr="00F13DA5">
        <w:rPr>
          <w:rtl/>
        </w:rPr>
        <w:t xml:space="preserve">: </w:t>
      </w:r>
      <w:r w:rsidRPr="003B7A94">
        <w:rPr>
          <w:b/>
          <w:bCs/>
          <w:rtl/>
        </w:rPr>
        <w:t>דוח קצין ממונה</w:t>
      </w:r>
      <w:r w:rsidRPr="00F13DA5">
        <w:rPr>
          <w:rtl/>
        </w:rPr>
        <w:t xml:space="preserve"> </w:t>
      </w:r>
    </w:p>
    <w:p w14:paraId="69E9284B" w14:textId="77777777" w:rsidR="00BA23AE" w:rsidRPr="00F13DA5" w:rsidRDefault="00BA23AE" w:rsidP="00C976AC">
      <w:pPr>
        <w:pStyle w:val="100"/>
        <w:jc w:val="center"/>
        <w:rPr>
          <w:rtl/>
        </w:rPr>
      </w:pPr>
      <w:r w:rsidRPr="00F13DA5">
        <w:rPr>
          <w:noProof/>
          <w:rtl/>
        </w:rPr>
        <w:drawing>
          <wp:inline distT="0" distB="0" distL="0" distR="0" wp14:anchorId="03E74E91" wp14:editId="653A84B3">
            <wp:extent cx="4321391" cy="3372955"/>
            <wp:effectExtent l="0" t="0" r="3175"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87213" name="CA82A66.tmp"/>
                    <pic:cNvPicPr/>
                  </pic:nvPicPr>
                  <pic:blipFill>
                    <a:blip r:embed="rId32">
                      <a:extLst>
                        <a:ext uri="{28A0092B-C50C-407E-A947-70E740481C1C}">
                          <a14:useLocalDpi xmlns:a14="http://schemas.microsoft.com/office/drawing/2010/main" val="0"/>
                        </a:ext>
                      </a:extLst>
                    </a:blip>
                    <a:stretch>
                      <a:fillRect/>
                    </a:stretch>
                  </pic:blipFill>
                  <pic:spPr>
                    <a:xfrm>
                      <a:off x="0" y="0"/>
                      <a:ext cx="4475396" cy="3493160"/>
                    </a:xfrm>
                    <a:prstGeom prst="rect">
                      <a:avLst/>
                    </a:prstGeom>
                  </pic:spPr>
                </pic:pic>
              </a:graphicData>
            </a:graphic>
          </wp:inline>
        </w:drawing>
      </w:r>
    </w:p>
    <w:p w14:paraId="30BBA7EE" w14:textId="6793ACCE" w:rsidR="00742601" w:rsidRDefault="00BA23AE" w:rsidP="003B7A94">
      <w:pPr>
        <w:pStyle w:val="ab"/>
        <w:rPr>
          <w:rtl/>
        </w:rPr>
      </w:pPr>
      <w:r>
        <w:rPr>
          <w:rFonts w:hint="cs"/>
          <w:rtl/>
        </w:rPr>
        <w:t>ה</w:t>
      </w:r>
      <w:r w:rsidRPr="00792FE0">
        <w:rPr>
          <w:rFonts w:hint="eastAsia"/>
          <w:rtl/>
        </w:rPr>
        <w:t>מקור</w:t>
      </w:r>
      <w:r w:rsidRPr="00792FE0">
        <w:rPr>
          <w:rtl/>
        </w:rPr>
        <w:t xml:space="preserve">: </w:t>
      </w:r>
      <w:r w:rsidRPr="00792FE0">
        <w:rPr>
          <w:rFonts w:hint="eastAsia"/>
          <w:rtl/>
        </w:rPr>
        <w:t>משטרת</w:t>
      </w:r>
      <w:r w:rsidRPr="00792FE0">
        <w:rPr>
          <w:rtl/>
        </w:rPr>
        <w:t xml:space="preserve"> </w:t>
      </w:r>
      <w:r w:rsidRPr="00792FE0">
        <w:rPr>
          <w:rFonts w:hint="eastAsia"/>
          <w:rtl/>
        </w:rPr>
        <w:t>ישראל</w:t>
      </w:r>
      <w:r>
        <w:rPr>
          <w:rFonts w:hint="cs"/>
          <w:rtl/>
        </w:rPr>
        <w:t>.</w:t>
      </w:r>
    </w:p>
    <w:p w14:paraId="11768240" w14:textId="77777777" w:rsidR="00BA23AE" w:rsidRPr="00F13DA5" w:rsidRDefault="00BA23AE" w:rsidP="003B7A94">
      <w:pPr>
        <w:pStyle w:val="af4"/>
        <w:rPr>
          <w:rtl/>
        </w:rPr>
      </w:pPr>
      <w:r w:rsidRPr="00F13DA5">
        <w:rPr>
          <w:rtl/>
        </w:rPr>
        <w:lastRenderedPageBreak/>
        <w:t xml:space="preserve">נוסח האישור של העצור על קבלת ההודעות </w:t>
      </w:r>
      <w:r w:rsidRPr="00F13DA5">
        <w:rPr>
          <w:rFonts w:hint="eastAsia"/>
          <w:rtl/>
        </w:rPr>
        <w:t>אינו</w:t>
      </w:r>
      <w:r w:rsidRPr="00F13DA5">
        <w:rPr>
          <w:rtl/>
        </w:rPr>
        <w:t xml:space="preserve"> </w:t>
      </w:r>
      <w:r w:rsidRPr="00F13DA5">
        <w:rPr>
          <w:rFonts w:hint="eastAsia"/>
          <w:rtl/>
        </w:rPr>
        <w:t>מבהיר</w:t>
      </w:r>
      <w:r>
        <w:rPr>
          <w:rFonts w:hint="cs"/>
          <w:rtl/>
        </w:rPr>
        <w:t xml:space="preserve"> דיו</w:t>
      </w:r>
      <w:r w:rsidRPr="00F13DA5">
        <w:rPr>
          <w:rtl/>
        </w:rPr>
        <w:t xml:space="preserve"> לעצור שהוא </w:t>
      </w:r>
      <w:r>
        <w:rPr>
          <w:rFonts w:hint="cs"/>
          <w:rtl/>
        </w:rPr>
        <w:t xml:space="preserve">אכן </w:t>
      </w:r>
      <w:r w:rsidRPr="00F13DA5">
        <w:rPr>
          <w:rtl/>
        </w:rPr>
        <w:t xml:space="preserve">מאשר שהוא קיבל רק את ההודעות שסומנו על ידי הקצין הממונה. נוסף על כך, נוסח האישור של העצור </w:t>
      </w:r>
      <w:r w:rsidRPr="00F13DA5">
        <w:rPr>
          <w:rFonts w:hint="eastAsia"/>
          <w:rtl/>
        </w:rPr>
        <w:t>אינו</w:t>
      </w:r>
      <w:r w:rsidRPr="00F13DA5">
        <w:rPr>
          <w:rtl/>
        </w:rPr>
        <w:t xml:space="preserve"> </w:t>
      </w:r>
      <w:r w:rsidRPr="00F13DA5">
        <w:rPr>
          <w:rFonts w:hint="eastAsia"/>
          <w:rtl/>
        </w:rPr>
        <w:t>מאפשר</w:t>
      </w:r>
      <w:r w:rsidRPr="00F13DA5">
        <w:rPr>
          <w:rtl/>
        </w:rPr>
        <w:t xml:space="preserve"> לו להבין כי עליו לאשר את קבלת </w:t>
      </w:r>
      <w:r w:rsidRPr="00F13DA5">
        <w:rPr>
          <w:rFonts w:hint="eastAsia"/>
          <w:u w:val="single"/>
          <w:rtl/>
        </w:rPr>
        <w:t>כל</w:t>
      </w:r>
      <w:r w:rsidRPr="00F13DA5">
        <w:rPr>
          <w:rtl/>
        </w:rPr>
        <w:t xml:space="preserve"> ההודעות </w:t>
      </w:r>
      <w:r w:rsidRPr="00F13DA5">
        <w:rPr>
          <w:rFonts w:hint="eastAsia"/>
          <w:rtl/>
        </w:rPr>
        <w:t>שבהן</w:t>
      </w:r>
      <w:r w:rsidRPr="00F13DA5">
        <w:rPr>
          <w:rtl/>
        </w:rPr>
        <w:t xml:space="preserve"> </w:t>
      </w:r>
      <w:r w:rsidRPr="00F13DA5">
        <w:rPr>
          <w:rFonts w:hint="eastAsia"/>
          <w:rtl/>
        </w:rPr>
        <w:t>חב</w:t>
      </w:r>
      <w:r w:rsidRPr="00F13DA5">
        <w:rPr>
          <w:rtl/>
        </w:rPr>
        <w:t xml:space="preserve"> הקצין הממונה, ולא רק את ההודעות שסומנו, וכי עליו לחתום על האישור רק לאחר שקיבל את </w:t>
      </w:r>
      <w:r w:rsidRPr="00F13DA5">
        <w:rPr>
          <w:rFonts w:hint="eastAsia"/>
          <w:u w:val="single"/>
          <w:rtl/>
        </w:rPr>
        <w:t>כל</w:t>
      </w:r>
      <w:r w:rsidRPr="00F13DA5">
        <w:rPr>
          <w:rtl/>
        </w:rPr>
        <w:t xml:space="preserve"> ההודעות וההסברים הנדרשים על </w:t>
      </w:r>
      <w:r w:rsidRPr="00F13DA5">
        <w:rPr>
          <w:rFonts w:hint="eastAsia"/>
          <w:rtl/>
        </w:rPr>
        <w:t>פי</w:t>
      </w:r>
      <w:r w:rsidRPr="00F13DA5">
        <w:rPr>
          <w:rtl/>
        </w:rPr>
        <w:t xml:space="preserve"> </w:t>
      </w:r>
      <w:r w:rsidRPr="00F13DA5">
        <w:rPr>
          <w:rFonts w:hint="eastAsia"/>
          <w:rtl/>
        </w:rPr>
        <w:t>החוק</w:t>
      </w:r>
      <w:r w:rsidRPr="00F13DA5">
        <w:rPr>
          <w:rtl/>
        </w:rPr>
        <w:t xml:space="preserve">. כפועל יוצא מכך, העצור </w:t>
      </w:r>
      <w:r w:rsidRPr="00F13DA5">
        <w:rPr>
          <w:rFonts w:hint="eastAsia"/>
          <w:rtl/>
        </w:rPr>
        <w:t>אינו</w:t>
      </w:r>
      <w:r w:rsidRPr="00F13DA5">
        <w:rPr>
          <w:rtl/>
        </w:rPr>
        <w:t xml:space="preserve"> </w:t>
      </w:r>
      <w:r w:rsidRPr="00F13DA5">
        <w:rPr>
          <w:rFonts w:hint="eastAsia"/>
          <w:rtl/>
        </w:rPr>
        <w:t>יכול</w:t>
      </w:r>
      <w:r w:rsidRPr="00F13DA5">
        <w:rPr>
          <w:rtl/>
        </w:rPr>
        <w:t xml:space="preserve"> לדעת שרק חלק מההודעות הנדרשות למימוש זכויותיו ניתנו לו.</w:t>
      </w:r>
      <w:r>
        <w:rPr>
          <w:rtl/>
        </w:rPr>
        <w:t xml:space="preserve"> </w:t>
      </w:r>
    </w:p>
    <w:p w14:paraId="72664F33" w14:textId="77777777" w:rsidR="00BA23AE" w:rsidRPr="00F13DA5" w:rsidRDefault="00BA23AE" w:rsidP="003B7A94">
      <w:pPr>
        <w:pStyle w:val="100"/>
        <w:rPr>
          <w:rtl/>
        </w:rPr>
      </w:pPr>
      <w:r w:rsidRPr="001E40AC">
        <w:rPr>
          <w:rFonts w:hint="cs"/>
          <w:rtl/>
        </w:rPr>
        <w:t xml:space="preserve">המשטרה מסרה בתשובתה כי </w:t>
      </w:r>
      <w:r w:rsidRPr="001E40AC">
        <w:rPr>
          <w:rFonts w:hint="eastAsia"/>
          <w:rtl/>
        </w:rPr>
        <w:t>חטיבת</w:t>
      </w:r>
      <w:r w:rsidRPr="001E40AC">
        <w:rPr>
          <w:rtl/>
        </w:rPr>
        <w:t xml:space="preserve"> </w:t>
      </w:r>
      <w:r w:rsidRPr="001E40AC">
        <w:rPr>
          <w:rFonts w:hint="eastAsia"/>
          <w:rtl/>
        </w:rPr>
        <w:t>החקירות</w:t>
      </w:r>
      <w:r w:rsidRPr="001E40AC">
        <w:rPr>
          <w:rtl/>
        </w:rPr>
        <w:t xml:space="preserve"> </w:t>
      </w:r>
      <w:r w:rsidRPr="001E40AC">
        <w:rPr>
          <w:rFonts w:hint="cs"/>
          <w:rtl/>
        </w:rPr>
        <w:t>ת</w:t>
      </w:r>
      <w:r w:rsidRPr="001E40AC">
        <w:rPr>
          <w:rFonts w:hint="eastAsia"/>
          <w:rtl/>
        </w:rPr>
        <w:t>בחן</w:t>
      </w:r>
      <w:r w:rsidRPr="001E40AC">
        <w:rPr>
          <w:rtl/>
        </w:rPr>
        <w:t xml:space="preserve"> </w:t>
      </w:r>
      <w:r w:rsidRPr="001E40AC">
        <w:rPr>
          <w:rFonts w:hint="eastAsia"/>
          <w:rtl/>
        </w:rPr>
        <w:t>שינוי</w:t>
      </w:r>
      <w:r w:rsidRPr="001E40AC">
        <w:rPr>
          <w:rtl/>
        </w:rPr>
        <w:t xml:space="preserve"> </w:t>
      </w:r>
      <w:r w:rsidRPr="001E40AC">
        <w:rPr>
          <w:rFonts w:hint="eastAsia"/>
          <w:rtl/>
        </w:rPr>
        <w:t>בנוסח</w:t>
      </w:r>
      <w:r w:rsidRPr="001E40AC">
        <w:rPr>
          <w:rtl/>
        </w:rPr>
        <w:t xml:space="preserve"> </w:t>
      </w:r>
      <w:r w:rsidRPr="001E40AC">
        <w:rPr>
          <w:rFonts w:hint="eastAsia"/>
          <w:rtl/>
        </w:rPr>
        <w:t>דוח</w:t>
      </w:r>
      <w:r w:rsidRPr="001E40AC">
        <w:rPr>
          <w:rtl/>
        </w:rPr>
        <w:t xml:space="preserve"> </w:t>
      </w:r>
      <w:r w:rsidRPr="001E40AC">
        <w:rPr>
          <w:rFonts w:hint="eastAsia"/>
          <w:rtl/>
        </w:rPr>
        <w:t>הקצין</w:t>
      </w:r>
      <w:r w:rsidRPr="001E40AC">
        <w:rPr>
          <w:rtl/>
        </w:rPr>
        <w:t xml:space="preserve"> </w:t>
      </w:r>
      <w:r w:rsidRPr="001E40AC">
        <w:rPr>
          <w:rFonts w:hint="eastAsia"/>
          <w:rtl/>
        </w:rPr>
        <w:t>הממונה</w:t>
      </w:r>
      <w:r w:rsidRPr="001E40AC">
        <w:rPr>
          <w:rtl/>
        </w:rPr>
        <w:t>.</w:t>
      </w:r>
      <w:r>
        <w:rPr>
          <w:rFonts w:hint="cs"/>
          <w:rtl/>
        </w:rPr>
        <w:t xml:space="preserve"> </w:t>
      </w:r>
    </w:p>
    <w:p w14:paraId="4966039F" w14:textId="77777777" w:rsidR="00BA23AE" w:rsidRPr="00792FE0" w:rsidRDefault="00BA23AE" w:rsidP="003B7A94">
      <w:pPr>
        <w:pStyle w:val="af4"/>
      </w:pPr>
      <w:r w:rsidRPr="00792FE0">
        <w:rPr>
          <w:rFonts w:hint="eastAsia"/>
          <w:rtl/>
        </w:rPr>
        <w:t>משרד</w:t>
      </w:r>
      <w:r w:rsidRPr="00792FE0">
        <w:rPr>
          <w:rtl/>
        </w:rPr>
        <w:t xml:space="preserve"> מבקר המדינה בחן את תיעוד השלבים המקדימים </w:t>
      </w:r>
      <w:r w:rsidRPr="00792FE0">
        <w:rPr>
          <w:rFonts w:hint="eastAsia"/>
          <w:rtl/>
        </w:rPr>
        <w:t>בכ</w:t>
      </w:r>
      <w:r w:rsidRPr="00792FE0">
        <w:rPr>
          <w:rtl/>
        </w:rPr>
        <w:t xml:space="preserve">-145,000 </w:t>
      </w:r>
      <w:r w:rsidRPr="00792FE0">
        <w:rPr>
          <w:rFonts w:hint="eastAsia"/>
          <w:rtl/>
        </w:rPr>
        <w:t>דוחות</w:t>
      </w:r>
      <w:r w:rsidRPr="00792FE0">
        <w:rPr>
          <w:rtl/>
        </w:rPr>
        <w:t xml:space="preserve"> </w:t>
      </w:r>
      <w:r w:rsidRPr="00792FE0">
        <w:rPr>
          <w:rFonts w:hint="eastAsia"/>
          <w:rtl/>
        </w:rPr>
        <w:t>קצין</w:t>
      </w:r>
      <w:r w:rsidRPr="00792FE0">
        <w:rPr>
          <w:rtl/>
        </w:rPr>
        <w:t xml:space="preserve"> </w:t>
      </w:r>
      <w:r w:rsidRPr="00792FE0">
        <w:rPr>
          <w:rFonts w:hint="eastAsia"/>
          <w:rtl/>
        </w:rPr>
        <w:t>ממונה</w:t>
      </w:r>
      <w:r w:rsidRPr="00792FE0">
        <w:rPr>
          <w:rtl/>
        </w:rPr>
        <w:t xml:space="preserve"> </w:t>
      </w:r>
      <w:r w:rsidRPr="00792FE0">
        <w:rPr>
          <w:rFonts w:hint="eastAsia"/>
          <w:rtl/>
        </w:rPr>
        <w:t>מהשנים</w:t>
      </w:r>
      <w:r w:rsidRPr="00792FE0">
        <w:rPr>
          <w:rtl/>
        </w:rPr>
        <w:t xml:space="preserve"> 2016 - 2018 </w:t>
      </w:r>
      <w:r w:rsidRPr="00792FE0">
        <w:rPr>
          <w:rFonts w:hint="eastAsia"/>
          <w:rtl/>
        </w:rPr>
        <w:t>שבהם</w:t>
      </w:r>
      <w:r w:rsidRPr="00792FE0">
        <w:rPr>
          <w:rtl/>
        </w:rPr>
        <w:t xml:space="preserve"> ה</w:t>
      </w:r>
      <w:r w:rsidRPr="00792FE0">
        <w:rPr>
          <w:rFonts w:hint="eastAsia"/>
          <w:rtl/>
        </w:rPr>
        <w:t>ו</w:t>
      </w:r>
      <w:r w:rsidRPr="00792FE0">
        <w:rPr>
          <w:rtl/>
        </w:rPr>
        <w:t>חלט על המשך מעצרו של העצור. חלק מהשלבים אי</w:t>
      </w:r>
      <w:r>
        <w:rPr>
          <w:rFonts w:hint="cs"/>
          <w:rtl/>
        </w:rPr>
        <w:t>-</w:t>
      </w:r>
      <w:r w:rsidRPr="00792FE0">
        <w:rPr>
          <w:rtl/>
        </w:rPr>
        <w:t xml:space="preserve">אפשר לממש כלל, </w:t>
      </w:r>
      <w:r w:rsidRPr="00792FE0">
        <w:rPr>
          <w:rFonts w:hint="eastAsia"/>
          <w:rtl/>
        </w:rPr>
        <w:t>הואיל</w:t>
      </w:r>
      <w:r w:rsidRPr="00792FE0">
        <w:rPr>
          <w:rtl/>
        </w:rPr>
        <w:t xml:space="preserve"> וחסרים במשטרה כלים בסיסיים למימוש השלב, כפי שיפורט</w:t>
      </w:r>
      <w:r>
        <w:rPr>
          <w:rFonts w:hint="cs"/>
          <w:rtl/>
        </w:rPr>
        <w:t xml:space="preserve"> להלן</w:t>
      </w:r>
      <w:r w:rsidRPr="00792FE0">
        <w:rPr>
          <w:rtl/>
        </w:rPr>
        <w:t xml:space="preserve">: </w:t>
      </w:r>
    </w:p>
    <w:p w14:paraId="15BC4D68" w14:textId="77777777" w:rsidR="00BA23AE" w:rsidRDefault="00BA23AE" w:rsidP="008A0C03">
      <w:pPr>
        <w:pStyle w:val="a1"/>
        <w:numPr>
          <w:ilvl w:val="0"/>
          <w:numId w:val="20"/>
        </w:numPr>
      </w:pPr>
      <w:r w:rsidRPr="00F13DA5">
        <w:rPr>
          <w:rFonts w:hint="cs"/>
          <w:rtl/>
        </w:rPr>
        <w:t xml:space="preserve">בכ-26,000 מעצרים (18%) לא תועד כי ניתן הסבר על הזכות למסור הודעה </w:t>
      </w:r>
      <w:r>
        <w:rPr>
          <w:rFonts w:hint="cs"/>
          <w:rtl/>
        </w:rPr>
        <w:t xml:space="preserve">על המעצר ועל מקום הימצאו של העצור </w:t>
      </w:r>
      <w:r w:rsidRPr="00F13DA5">
        <w:rPr>
          <w:rFonts w:hint="cs"/>
          <w:rtl/>
        </w:rPr>
        <w:t>לקרוב או לעורך דין</w:t>
      </w:r>
      <w:r>
        <w:rPr>
          <w:rFonts w:hint="cs"/>
          <w:rtl/>
        </w:rPr>
        <w:t xml:space="preserve"> (פרטי או סנגור ציבורי; להלן בפרק זה - עורך דין)</w:t>
      </w:r>
      <w:r w:rsidRPr="00F13DA5">
        <w:rPr>
          <w:rFonts w:hint="cs"/>
          <w:rtl/>
        </w:rPr>
        <w:t>, או שלא תועד בדוח הקצין שבפועל נוצר קשר כדי להודיע על המעצר. בהיעדר הודעה לקרוב ולעורך דין</w:t>
      </w:r>
      <w:r>
        <w:rPr>
          <w:rFonts w:hint="cs"/>
          <w:rtl/>
        </w:rPr>
        <w:t>,</w:t>
      </w:r>
      <w:r w:rsidRPr="00F13DA5">
        <w:rPr>
          <w:rFonts w:hint="cs"/>
          <w:rtl/>
        </w:rPr>
        <w:t xml:space="preserve"> ובשל הניתוק של האדם מסביבתו ומאמצעי תקשורת בזמן החקירה, אין בידי העצור האפשרות למצות את זכויותיו כנחקר בטרם חקירתו. </w:t>
      </w:r>
    </w:p>
    <w:p w14:paraId="32547396" w14:textId="77777777" w:rsidR="00BA23AE" w:rsidRPr="00464D97" w:rsidRDefault="00BA23AE" w:rsidP="003B7A94">
      <w:pPr>
        <w:pStyle w:val="a1"/>
      </w:pPr>
      <w:r w:rsidRPr="00F13DA5">
        <w:rPr>
          <w:rFonts w:hint="cs"/>
          <w:rtl/>
        </w:rPr>
        <w:t>בכ-122,000 מעצרים (84%) לא תועד כי ניתן הסבר על הזכות להיפגש עם עו</w:t>
      </w:r>
      <w:r>
        <w:rPr>
          <w:rFonts w:hint="cs"/>
          <w:rtl/>
        </w:rPr>
        <w:t>רך דין</w:t>
      </w:r>
      <w:r w:rsidRPr="00F13DA5">
        <w:rPr>
          <w:rFonts w:hint="cs"/>
          <w:rtl/>
        </w:rPr>
        <w:t xml:space="preserve"> ללא דיחוי. </w:t>
      </w:r>
    </w:p>
    <w:p w14:paraId="5DC4F2C2" w14:textId="77777777" w:rsidR="00BA23AE" w:rsidRPr="00792FE0" w:rsidRDefault="00BA23AE" w:rsidP="003B7A94">
      <w:pPr>
        <w:pStyle w:val="a1"/>
        <w:rPr>
          <w:rtl/>
        </w:rPr>
      </w:pPr>
      <w:r w:rsidRPr="00803555">
        <w:rPr>
          <w:rFonts w:hint="cs"/>
          <w:rtl/>
        </w:rPr>
        <w:t xml:space="preserve">המשטרה </w:t>
      </w:r>
      <w:r>
        <w:rPr>
          <w:rFonts w:hint="cs"/>
          <w:rtl/>
        </w:rPr>
        <w:t>לא</w:t>
      </w:r>
      <w:r w:rsidRPr="00803555">
        <w:rPr>
          <w:rFonts w:hint="cs"/>
          <w:rtl/>
        </w:rPr>
        <w:t xml:space="preserve"> מחזיקה ב</w:t>
      </w:r>
      <w:r w:rsidRPr="00792FE0">
        <w:rPr>
          <w:rFonts w:hint="eastAsia"/>
          <w:rtl/>
        </w:rPr>
        <w:t>רשימת</w:t>
      </w:r>
      <w:r w:rsidRPr="00792FE0">
        <w:rPr>
          <w:rtl/>
        </w:rPr>
        <w:t xml:space="preserve"> </w:t>
      </w:r>
      <w:r w:rsidRPr="00792FE0">
        <w:rPr>
          <w:rFonts w:hint="eastAsia"/>
          <w:rtl/>
        </w:rPr>
        <w:t>עורכי</w:t>
      </w:r>
      <w:r w:rsidRPr="00792FE0">
        <w:rPr>
          <w:rtl/>
        </w:rPr>
        <w:t xml:space="preserve"> דין </w:t>
      </w:r>
      <w:r w:rsidRPr="00792FE0">
        <w:rPr>
          <w:rFonts w:hint="eastAsia"/>
          <w:rtl/>
        </w:rPr>
        <w:t>פרטיים</w:t>
      </w:r>
      <w:r w:rsidRPr="00792FE0">
        <w:rPr>
          <w:rtl/>
        </w:rPr>
        <w:t xml:space="preserve"> </w:t>
      </w:r>
      <w:r w:rsidRPr="00792FE0">
        <w:rPr>
          <w:rFonts w:hint="eastAsia"/>
          <w:rtl/>
        </w:rPr>
        <w:t>שנערכה</w:t>
      </w:r>
      <w:r w:rsidRPr="00792FE0">
        <w:rPr>
          <w:rtl/>
        </w:rPr>
        <w:t xml:space="preserve"> </w:t>
      </w:r>
      <w:r w:rsidRPr="00792FE0">
        <w:rPr>
          <w:rFonts w:hint="eastAsia"/>
          <w:rtl/>
        </w:rPr>
        <w:t>על</w:t>
      </w:r>
      <w:r w:rsidRPr="00792FE0">
        <w:rPr>
          <w:rtl/>
        </w:rPr>
        <w:t xml:space="preserve"> </w:t>
      </w:r>
      <w:r w:rsidRPr="00792FE0">
        <w:rPr>
          <w:rFonts w:hint="eastAsia"/>
          <w:rtl/>
        </w:rPr>
        <w:t>ידי</w:t>
      </w:r>
      <w:r w:rsidRPr="00792FE0">
        <w:rPr>
          <w:rtl/>
        </w:rPr>
        <w:t xml:space="preserve"> </w:t>
      </w:r>
      <w:r w:rsidRPr="00792FE0">
        <w:rPr>
          <w:rFonts w:hint="eastAsia"/>
          <w:rtl/>
        </w:rPr>
        <w:t>לשכת</w:t>
      </w:r>
      <w:r w:rsidRPr="00792FE0">
        <w:rPr>
          <w:rtl/>
        </w:rPr>
        <w:t xml:space="preserve"> </w:t>
      </w:r>
      <w:r w:rsidRPr="00792FE0">
        <w:rPr>
          <w:rFonts w:hint="eastAsia"/>
          <w:rtl/>
        </w:rPr>
        <w:t>עורכי</w:t>
      </w:r>
      <w:r w:rsidRPr="00792FE0">
        <w:rPr>
          <w:rtl/>
        </w:rPr>
        <w:t xml:space="preserve"> </w:t>
      </w:r>
      <w:r w:rsidRPr="00792FE0">
        <w:rPr>
          <w:rFonts w:hint="eastAsia"/>
          <w:rtl/>
        </w:rPr>
        <w:t>הדין</w:t>
      </w:r>
      <w:r>
        <w:rPr>
          <w:rFonts w:hint="cs"/>
          <w:rtl/>
        </w:rPr>
        <w:t>,</w:t>
      </w:r>
      <w:r w:rsidRPr="00152E38">
        <w:rPr>
          <w:rFonts w:hint="cs"/>
          <w:rtl/>
        </w:rPr>
        <w:t xml:space="preserve"> </w:t>
      </w:r>
      <w:r>
        <w:rPr>
          <w:rFonts w:hint="cs"/>
          <w:rtl/>
        </w:rPr>
        <w:t>ולפיכך, היא אינה מציגה לעצור רשימה שכזו ב</w:t>
      </w:r>
      <w:r w:rsidRPr="005470E0">
        <w:rPr>
          <w:rFonts w:hint="cs"/>
          <w:rtl/>
        </w:rPr>
        <w:t>ניגוד לחוק</w:t>
      </w:r>
      <w:r w:rsidRPr="00BE00FB">
        <w:rPr>
          <w:rtl/>
        </w:rPr>
        <w:t>.</w:t>
      </w:r>
      <w:r>
        <w:rPr>
          <w:rtl/>
        </w:rPr>
        <w:t xml:space="preserve"> </w:t>
      </w:r>
    </w:p>
    <w:p w14:paraId="4A288ABF" w14:textId="77777777" w:rsidR="00BA23AE" w:rsidRPr="00F13DA5" w:rsidRDefault="00BA23AE" w:rsidP="003B7A94">
      <w:pPr>
        <w:pStyle w:val="af3"/>
        <w:rPr>
          <w:rtl/>
        </w:rPr>
      </w:pPr>
      <w:r w:rsidRPr="00F13DA5">
        <w:rPr>
          <w:rFonts w:hint="eastAsia"/>
          <w:rtl/>
        </w:rPr>
        <w:t>המשטרה</w:t>
      </w:r>
      <w:r w:rsidRPr="00F13DA5">
        <w:rPr>
          <w:rtl/>
        </w:rPr>
        <w:t xml:space="preserve"> </w:t>
      </w:r>
      <w:r>
        <w:rPr>
          <w:rFonts w:hint="cs"/>
          <w:rtl/>
        </w:rPr>
        <w:t>אישרה זאת בתגובתה ו</w:t>
      </w:r>
      <w:r w:rsidRPr="00F13DA5">
        <w:rPr>
          <w:rtl/>
        </w:rPr>
        <w:t xml:space="preserve">מסרה </w:t>
      </w:r>
      <w:r>
        <w:rPr>
          <w:rFonts w:hint="cs"/>
          <w:rtl/>
        </w:rPr>
        <w:t>כי</w:t>
      </w:r>
      <w:r w:rsidRPr="00F13DA5">
        <w:rPr>
          <w:rtl/>
        </w:rPr>
        <w:t xml:space="preserve"> </w:t>
      </w:r>
      <w:r>
        <w:rPr>
          <w:rFonts w:hint="cs"/>
          <w:rtl/>
        </w:rPr>
        <w:t>ל</w:t>
      </w:r>
      <w:r w:rsidRPr="00F13DA5">
        <w:rPr>
          <w:rtl/>
        </w:rPr>
        <w:t xml:space="preserve">עצור אפשרויות שונות כדי להיוועץ עם עורך דין - לבקש לפנות לעורך דין מסוים, לבקש שקרוב משפחה יחפש עבורו עורך דין שניתן להתקשר אליו או לבקש לפנות לסנגוריה הציבורית. </w:t>
      </w:r>
    </w:p>
    <w:p w14:paraId="418A7272" w14:textId="77777777" w:rsidR="00BA23AE" w:rsidRPr="00F13DA5" w:rsidRDefault="00BA23AE" w:rsidP="003B7A94">
      <w:pPr>
        <w:pStyle w:val="ad"/>
      </w:pPr>
      <w:r w:rsidRPr="00F13DA5">
        <w:rPr>
          <w:rFonts w:hint="cs"/>
          <w:rtl/>
        </w:rPr>
        <w:t xml:space="preserve">משרד מבקר המדינה מעיר למשטרה כי חוק המעצרים מחייב אותה להחזיק רשימה מאת לשכת עורכי הדין של עורכי דין </w:t>
      </w:r>
      <w:r>
        <w:rPr>
          <w:rFonts w:hint="cs"/>
          <w:rtl/>
        </w:rPr>
        <w:t>פרטיים</w:t>
      </w:r>
      <w:r w:rsidRPr="00F13DA5">
        <w:rPr>
          <w:rtl/>
        </w:rPr>
        <w:t xml:space="preserve">. </w:t>
      </w:r>
      <w:r w:rsidRPr="00F13DA5">
        <w:rPr>
          <w:rFonts w:hint="eastAsia"/>
          <w:rtl/>
        </w:rPr>
        <w:t>ככל</w:t>
      </w:r>
      <w:r w:rsidRPr="00F13DA5">
        <w:rPr>
          <w:rtl/>
        </w:rPr>
        <w:t xml:space="preserve"> שלשכת עורכי הדין אינה מחזיקה ברשימה מעין זו, </w:t>
      </w:r>
      <w:r>
        <w:rPr>
          <w:rFonts w:hint="cs"/>
          <w:rtl/>
        </w:rPr>
        <w:t xml:space="preserve">יהיה </w:t>
      </w:r>
      <w:r w:rsidRPr="00F13DA5">
        <w:rPr>
          <w:rtl/>
        </w:rPr>
        <w:t xml:space="preserve">על המשטרה לפנות </w:t>
      </w:r>
      <w:r>
        <w:rPr>
          <w:rFonts w:hint="cs"/>
          <w:rtl/>
        </w:rPr>
        <w:t>א</w:t>
      </w:r>
      <w:r w:rsidRPr="00F13DA5">
        <w:rPr>
          <w:rtl/>
        </w:rPr>
        <w:t>ליה על מנת שזו תגובש.</w:t>
      </w:r>
      <w:r w:rsidRPr="00F13DA5">
        <w:rPr>
          <w:rFonts w:hint="cs"/>
          <w:rtl/>
        </w:rPr>
        <w:t xml:space="preserve"> על המשטרה לפעול לעדכון הרשימה לעיתים מזומנות מול הלשכה ולפרסמה באתר האינטרנט. ככל שהמשטרה סבורה כי בעידן הטכנולוגי רשימה מעין זו מיותרת, הרי שעליה לפעול לשינוי החוק בנושא. </w:t>
      </w:r>
    </w:p>
    <w:p w14:paraId="204264CE" w14:textId="77777777" w:rsidR="00BA23AE" w:rsidRPr="00F13DA5" w:rsidRDefault="00BA23AE" w:rsidP="003B7A94">
      <w:pPr>
        <w:pStyle w:val="af3"/>
        <w:rPr>
          <w:rtl/>
        </w:rPr>
      </w:pPr>
      <w:r>
        <w:rPr>
          <w:rFonts w:hint="cs"/>
          <w:rtl/>
        </w:rPr>
        <w:t xml:space="preserve">נמצא כי </w:t>
      </w:r>
      <w:r w:rsidRPr="00F13DA5">
        <w:rPr>
          <w:rFonts w:hint="eastAsia"/>
          <w:rtl/>
        </w:rPr>
        <w:t>חרף</w:t>
      </w:r>
      <w:r w:rsidRPr="00F13DA5">
        <w:rPr>
          <w:rtl/>
        </w:rPr>
        <w:t xml:space="preserve"> העובדה כי משטרת ישראל </w:t>
      </w:r>
      <w:r w:rsidRPr="00F13DA5">
        <w:rPr>
          <w:rFonts w:hint="cs"/>
          <w:rtl/>
        </w:rPr>
        <w:t>אינה</w:t>
      </w:r>
      <w:r w:rsidRPr="00F13DA5">
        <w:rPr>
          <w:rtl/>
        </w:rPr>
        <w:t xml:space="preserve"> מחזיקה ברשימה שכזו, ב-4,313 מעצרים </w:t>
      </w:r>
      <w:r w:rsidRPr="00F13DA5">
        <w:rPr>
          <w:rFonts w:hint="cs"/>
          <w:rtl/>
        </w:rPr>
        <w:t xml:space="preserve">מתוך 145,000 המעצרים שנבדקו </w:t>
      </w:r>
      <w:r w:rsidRPr="00F13DA5">
        <w:rPr>
          <w:rtl/>
        </w:rPr>
        <w:t xml:space="preserve">סימן החוקר כי הועברה לעצור רשימת עורכי דין פרטיים. ייתכן </w:t>
      </w:r>
      <w:r w:rsidRPr="00F13DA5">
        <w:rPr>
          <w:rFonts w:hint="cs"/>
          <w:rtl/>
        </w:rPr>
        <w:t>ש</w:t>
      </w:r>
      <w:r w:rsidRPr="00F13DA5">
        <w:rPr>
          <w:rtl/>
        </w:rPr>
        <w:t xml:space="preserve">סימון זה נובע מטעות אנוש או </w:t>
      </w:r>
      <w:r w:rsidRPr="00F13DA5">
        <w:rPr>
          <w:rFonts w:hint="cs"/>
          <w:rtl/>
        </w:rPr>
        <w:t>מ</w:t>
      </w:r>
      <w:r w:rsidRPr="00F13DA5">
        <w:rPr>
          <w:rtl/>
        </w:rPr>
        <w:t>חוסר תשומת לב לפרטים בעת מילוי ט</w:t>
      </w:r>
      <w:r w:rsidRPr="00F13DA5">
        <w:rPr>
          <w:rFonts w:hint="cs"/>
          <w:rtl/>
        </w:rPr>
        <w:t>ו</w:t>
      </w:r>
      <w:r w:rsidRPr="00F13DA5">
        <w:rPr>
          <w:rtl/>
        </w:rPr>
        <w:t xml:space="preserve">פסי המשטרה. </w:t>
      </w:r>
    </w:p>
    <w:p w14:paraId="67FA40CC" w14:textId="77777777" w:rsidR="00BA23AE" w:rsidRPr="00F13DA5" w:rsidRDefault="00BA23AE" w:rsidP="003B7A94">
      <w:pPr>
        <w:pStyle w:val="ad"/>
        <w:rPr>
          <w:rtl/>
        </w:rPr>
      </w:pPr>
      <w:r w:rsidRPr="00F13DA5">
        <w:rPr>
          <w:rFonts w:hint="cs"/>
          <w:rtl/>
        </w:rPr>
        <w:lastRenderedPageBreak/>
        <w:t xml:space="preserve">יוער כי לאור מעמדם הראייתי של מסמכים הנערכים על ידי המשטרה, ובפרט השפעתם על האפשרות להעלות טענות הנוגעות למימוש זכות ההיוועצות, על המשטרה להקפיד על מילוי הטפסים כדבעי. </w:t>
      </w:r>
    </w:p>
    <w:p w14:paraId="1518E6F7" w14:textId="77777777" w:rsidR="00BA23AE" w:rsidRPr="00BE00FB" w:rsidRDefault="00BA23AE" w:rsidP="003B7A94">
      <w:pPr>
        <w:pStyle w:val="a1"/>
        <w:rPr>
          <w:rtl/>
        </w:rPr>
      </w:pPr>
      <w:r w:rsidRPr="00792FE0">
        <w:rPr>
          <w:rFonts w:hint="eastAsia"/>
          <w:rtl/>
        </w:rPr>
        <w:t>בכל</w:t>
      </w:r>
      <w:r w:rsidRPr="00792FE0">
        <w:rPr>
          <w:rtl/>
        </w:rPr>
        <w:t xml:space="preserve"> המעצרים </w:t>
      </w:r>
      <w:r w:rsidRPr="00792FE0">
        <w:rPr>
          <w:rFonts w:hint="eastAsia"/>
          <w:rtl/>
        </w:rPr>
        <w:t>ובניגוד</w:t>
      </w:r>
      <w:r w:rsidRPr="00792FE0">
        <w:rPr>
          <w:rtl/>
        </w:rPr>
        <w:t xml:space="preserve"> לפקודה </w:t>
      </w:r>
      <w:r>
        <w:rPr>
          <w:rFonts w:hint="cs"/>
          <w:rtl/>
        </w:rPr>
        <w:t>המשטרה לא נותנת</w:t>
      </w:r>
      <w:r w:rsidRPr="00792FE0">
        <w:rPr>
          <w:rtl/>
        </w:rPr>
        <w:t xml:space="preserve"> </w:t>
      </w:r>
      <w:r w:rsidRPr="00792FE0">
        <w:rPr>
          <w:rFonts w:hint="eastAsia"/>
          <w:rtl/>
        </w:rPr>
        <w:t>לעצור</w:t>
      </w:r>
      <w:r w:rsidRPr="00792FE0">
        <w:rPr>
          <w:rtl/>
        </w:rPr>
        <w:t xml:space="preserve"> דף הסבר על הזכות לייצוג מטעם הסנגוריה הציבורית</w:t>
      </w:r>
      <w:r>
        <w:rPr>
          <w:rFonts w:hint="cs"/>
          <w:rtl/>
        </w:rPr>
        <w:t>, משום ש</w:t>
      </w:r>
      <w:r w:rsidRPr="00792FE0">
        <w:rPr>
          <w:rFonts w:hint="eastAsia"/>
          <w:rtl/>
        </w:rPr>
        <w:t>אין</w:t>
      </w:r>
      <w:r w:rsidRPr="00792FE0">
        <w:rPr>
          <w:rtl/>
        </w:rPr>
        <w:t xml:space="preserve"> </w:t>
      </w:r>
      <w:r w:rsidRPr="00792FE0">
        <w:rPr>
          <w:rFonts w:hint="eastAsia"/>
          <w:rtl/>
        </w:rPr>
        <w:t>לה</w:t>
      </w:r>
      <w:r w:rsidRPr="00792FE0">
        <w:rPr>
          <w:rtl/>
        </w:rPr>
        <w:t xml:space="preserve"> </w:t>
      </w:r>
      <w:r w:rsidRPr="00792FE0">
        <w:rPr>
          <w:rFonts w:hint="eastAsia"/>
          <w:rtl/>
        </w:rPr>
        <w:t>דף</w:t>
      </w:r>
      <w:r w:rsidRPr="00792FE0">
        <w:rPr>
          <w:rtl/>
        </w:rPr>
        <w:t xml:space="preserve"> </w:t>
      </w:r>
      <w:r w:rsidRPr="00792FE0">
        <w:rPr>
          <w:rFonts w:hint="eastAsia"/>
          <w:rtl/>
        </w:rPr>
        <w:t>הסבר</w:t>
      </w:r>
      <w:r w:rsidRPr="00792FE0">
        <w:rPr>
          <w:rtl/>
        </w:rPr>
        <w:t xml:space="preserve"> </w:t>
      </w:r>
      <w:r w:rsidRPr="00792FE0">
        <w:rPr>
          <w:rFonts w:hint="eastAsia"/>
          <w:rtl/>
        </w:rPr>
        <w:t>מסוג</w:t>
      </w:r>
      <w:r w:rsidRPr="00792FE0">
        <w:rPr>
          <w:rtl/>
        </w:rPr>
        <w:t xml:space="preserve"> </w:t>
      </w:r>
      <w:r w:rsidRPr="00792FE0">
        <w:rPr>
          <w:rFonts w:hint="eastAsia"/>
          <w:rtl/>
        </w:rPr>
        <w:t>זה</w:t>
      </w:r>
      <w:r w:rsidRPr="00BE00FB">
        <w:rPr>
          <w:rtl/>
        </w:rPr>
        <w:t>.</w:t>
      </w:r>
    </w:p>
    <w:p w14:paraId="688960DB" w14:textId="77777777" w:rsidR="00BA23AE" w:rsidRPr="00F13DA5" w:rsidRDefault="00BA23AE" w:rsidP="003B7A94">
      <w:pPr>
        <w:pStyle w:val="af3"/>
        <w:rPr>
          <w:rtl/>
        </w:rPr>
      </w:pPr>
      <w:r w:rsidRPr="00F13DA5">
        <w:rPr>
          <w:rFonts w:hint="cs"/>
          <w:rtl/>
        </w:rPr>
        <w:t>עוד נמסר מהמשטרה כי ההסבר שניתן על זכות הייצוג מטעם הסנגוריה הציבורית נכלל בטופס ההודעה לחשוד על זכויות טרם חקירה. טופס זה כולל הפניה לזכות להיוועצות עם סנגור ציבורי אם העצור זכאי לכך על פי חוק.</w:t>
      </w:r>
      <w:r>
        <w:rPr>
          <w:rFonts w:hint="cs"/>
          <w:rtl/>
        </w:rPr>
        <w:t xml:space="preserve"> המשטרה עדכנה, כי בכוונתה לעדכן את נוסח הטופס, כך שיכלול הסבר כי הזכאות לייצוג מטעם הסנגוריה הציבורית היא "על פי חוק, לרבות בשל מחסור באמצעים".</w:t>
      </w:r>
      <w:r w:rsidRPr="00F13DA5">
        <w:rPr>
          <w:rFonts w:hint="cs"/>
          <w:rtl/>
        </w:rPr>
        <w:t xml:space="preserve"> </w:t>
      </w:r>
      <w:r>
        <w:rPr>
          <w:rFonts w:hint="cs"/>
          <w:rtl/>
        </w:rPr>
        <w:t>אולם</w:t>
      </w:r>
      <w:r w:rsidRPr="00F13DA5">
        <w:rPr>
          <w:rFonts w:hint="cs"/>
          <w:rtl/>
        </w:rPr>
        <w:t xml:space="preserve"> הטופס אינו כולל הסבר אימתי עצור זכאי לייצוג מטעם הסנגוריה הציבורית, ואינו מסביר מהם </w:t>
      </w:r>
      <w:r>
        <w:rPr>
          <w:rFonts w:hint="cs"/>
          <w:rtl/>
        </w:rPr>
        <w:t xml:space="preserve">כלל </w:t>
      </w:r>
      <w:r w:rsidRPr="00F13DA5">
        <w:rPr>
          <w:rFonts w:hint="cs"/>
          <w:rtl/>
        </w:rPr>
        <w:t>הקריטריונים לקבלת ייצוג מטעם הסנגוריה הציבורית.</w:t>
      </w:r>
    </w:p>
    <w:p w14:paraId="660A6919" w14:textId="77777777" w:rsidR="00BA23AE" w:rsidRPr="00F13DA5" w:rsidRDefault="00BA23AE" w:rsidP="003B7A94">
      <w:pPr>
        <w:pStyle w:val="ad"/>
        <w:rPr>
          <w:rtl/>
        </w:rPr>
      </w:pPr>
      <w:r w:rsidRPr="00F13DA5">
        <w:rPr>
          <w:rFonts w:hint="cs"/>
          <w:rtl/>
        </w:rPr>
        <w:t>על משטרת ישראל להכין</w:t>
      </w:r>
      <w:r>
        <w:rPr>
          <w:rFonts w:hint="cs"/>
          <w:rtl/>
        </w:rPr>
        <w:t>,</w:t>
      </w:r>
      <w:r w:rsidRPr="00F13DA5">
        <w:rPr>
          <w:rFonts w:hint="cs"/>
          <w:rtl/>
        </w:rPr>
        <w:t xml:space="preserve"> בשיתוף עם הסנגוריה הציבורית</w:t>
      </w:r>
      <w:r>
        <w:rPr>
          <w:rFonts w:hint="cs"/>
          <w:rtl/>
        </w:rPr>
        <w:t>,</w:t>
      </w:r>
      <w:r w:rsidRPr="00F13DA5">
        <w:rPr>
          <w:rFonts w:hint="cs"/>
          <w:rtl/>
        </w:rPr>
        <w:t xml:space="preserve"> דף הסבר על הזכות לייצוג שיכלול את התנאים הכלליים המקנים זכאות לייצוג</w:t>
      </w:r>
      <w:r>
        <w:rPr>
          <w:rFonts w:hint="cs"/>
          <w:rtl/>
        </w:rPr>
        <w:t>,</w:t>
      </w:r>
      <w:r w:rsidRPr="00F13DA5">
        <w:rPr>
          <w:rFonts w:hint="cs"/>
          <w:rtl/>
        </w:rPr>
        <w:t xml:space="preserve"> ו</w:t>
      </w:r>
      <w:r>
        <w:rPr>
          <w:rFonts w:hint="cs"/>
          <w:rtl/>
        </w:rPr>
        <w:t xml:space="preserve">עליה </w:t>
      </w:r>
      <w:r w:rsidRPr="00F13DA5">
        <w:rPr>
          <w:rFonts w:hint="cs"/>
          <w:rtl/>
        </w:rPr>
        <w:t xml:space="preserve">לתרגמו לשפות שונות. על הקצין הממונה להציג דף זה </w:t>
      </w:r>
      <w:r>
        <w:rPr>
          <w:rFonts w:hint="cs"/>
          <w:rtl/>
        </w:rPr>
        <w:t>ל</w:t>
      </w:r>
      <w:r w:rsidRPr="00F13DA5">
        <w:rPr>
          <w:rFonts w:hint="cs"/>
          <w:rtl/>
        </w:rPr>
        <w:t>פני העצור ולהסביר בלשון המובנת לו את התנאים המפורטים בדף. באופן זה יוכל העצור לבחון בעצמו אם ברצונו לקבל ייעוץ מהסנגוריה הציבורית.</w:t>
      </w:r>
    </w:p>
    <w:p w14:paraId="0EEE3094" w14:textId="77777777" w:rsidR="00BA23AE" w:rsidRPr="00F13DA5" w:rsidRDefault="00BA23AE" w:rsidP="003B7A94">
      <w:pPr>
        <w:pStyle w:val="a1"/>
      </w:pPr>
      <w:r w:rsidRPr="00F13DA5">
        <w:rPr>
          <w:rFonts w:hint="cs"/>
          <w:rtl/>
        </w:rPr>
        <w:t xml:space="preserve">בכ-57,000 מתוך 88,000 מעצרים (65%) לא תועד מועד יצירת הקשר (שיחת טלפון וכדומה) עם </w:t>
      </w:r>
      <w:r>
        <w:rPr>
          <w:rFonts w:hint="cs"/>
          <w:rtl/>
        </w:rPr>
        <w:t>עורך הדין</w:t>
      </w:r>
      <w:r w:rsidRPr="00F13DA5">
        <w:rPr>
          <w:rFonts w:hint="cs"/>
          <w:rtl/>
        </w:rPr>
        <w:t xml:space="preserve">, אף על פי שהעצור ביקש להודיע </w:t>
      </w:r>
      <w:r>
        <w:rPr>
          <w:rFonts w:hint="cs"/>
          <w:rtl/>
        </w:rPr>
        <w:t xml:space="preserve">לו </w:t>
      </w:r>
      <w:r w:rsidRPr="00F13DA5">
        <w:rPr>
          <w:rFonts w:hint="cs"/>
          <w:rtl/>
        </w:rPr>
        <w:t xml:space="preserve">על מעצרו, או שהיו טעמים בידי המשטרה להודיע על המעצר. </w:t>
      </w:r>
    </w:p>
    <w:p w14:paraId="060BCFAA" w14:textId="77777777" w:rsidR="00BA23AE" w:rsidRPr="00F13DA5" w:rsidRDefault="00BA23AE" w:rsidP="003B7A94">
      <w:pPr>
        <w:pStyle w:val="ad"/>
        <w:rPr>
          <w:rtl/>
        </w:rPr>
      </w:pPr>
      <w:r w:rsidRPr="00F13DA5">
        <w:rPr>
          <w:rFonts w:hint="cs"/>
          <w:rtl/>
        </w:rPr>
        <w:t xml:space="preserve">בהיעדר תיעוד מסודר של מועד יצירת הקשר עם </w:t>
      </w:r>
      <w:r>
        <w:rPr>
          <w:rFonts w:hint="cs"/>
          <w:rtl/>
        </w:rPr>
        <w:t>עורך הדין</w:t>
      </w:r>
      <w:r w:rsidRPr="00F13DA5">
        <w:rPr>
          <w:rFonts w:hint="cs"/>
          <w:rtl/>
        </w:rPr>
        <w:t xml:space="preserve">, המשטרה אינה יכולה לפקח ברמה הארצית על משך הזמן שנדרש ממועד בקשת העצור להודיע על מעצרו </w:t>
      </w:r>
      <w:r>
        <w:rPr>
          <w:rFonts w:hint="cs"/>
          <w:rtl/>
        </w:rPr>
        <w:t>לעורך הדין</w:t>
      </w:r>
      <w:r w:rsidRPr="00F13DA5">
        <w:rPr>
          <w:rFonts w:hint="cs"/>
          <w:rtl/>
        </w:rPr>
        <w:t xml:space="preserve"> ועד יישום הבקשה בפועל. כתוצאה מכך, המשטרה אינה יכולה לבחון את היקף המעצרים שבהם השוטר לא יצר קשר עם </w:t>
      </w:r>
      <w:r>
        <w:rPr>
          <w:rFonts w:hint="cs"/>
          <w:rtl/>
        </w:rPr>
        <w:t>עורך הדין</w:t>
      </w:r>
      <w:r w:rsidRPr="00F13DA5">
        <w:rPr>
          <w:rFonts w:hint="cs"/>
          <w:rtl/>
        </w:rPr>
        <w:t xml:space="preserve"> באופן מיידי ולמפות את החסמים ליצירת הקשר.</w:t>
      </w:r>
      <w:r>
        <w:rPr>
          <w:rFonts w:hint="cs"/>
          <w:rtl/>
        </w:rPr>
        <w:t xml:space="preserve"> </w:t>
      </w:r>
    </w:p>
    <w:p w14:paraId="0CCB97AD" w14:textId="77777777" w:rsidR="00BA23AE" w:rsidRPr="00F13DA5" w:rsidRDefault="00BA23AE" w:rsidP="003B7A94">
      <w:pPr>
        <w:pStyle w:val="af3"/>
        <w:rPr>
          <w:rtl/>
        </w:rPr>
      </w:pPr>
      <w:r w:rsidRPr="00F13DA5">
        <w:rPr>
          <w:rFonts w:hint="cs"/>
          <w:rtl/>
        </w:rPr>
        <w:t>המשטרה מסרה כי במסגרת שינוי טופס דוח הקצין הממונה</w:t>
      </w:r>
      <w:r>
        <w:rPr>
          <w:rFonts w:hint="cs"/>
          <w:rtl/>
        </w:rPr>
        <w:t>,</w:t>
      </w:r>
      <w:r w:rsidRPr="00F13DA5">
        <w:rPr>
          <w:rFonts w:hint="cs"/>
          <w:rtl/>
        </w:rPr>
        <w:t xml:space="preserve"> תישקל הוספת שעת יצירת הקשר עם </w:t>
      </w:r>
      <w:r>
        <w:rPr>
          <w:rFonts w:hint="cs"/>
          <w:rtl/>
        </w:rPr>
        <w:t>עורך הדין</w:t>
      </w:r>
      <w:r w:rsidRPr="00F13DA5">
        <w:rPr>
          <w:rFonts w:hint="cs"/>
          <w:rtl/>
        </w:rPr>
        <w:t>.</w:t>
      </w:r>
      <w:r>
        <w:rPr>
          <w:rFonts w:hint="cs"/>
          <w:rtl/>
        </w:rPr>
        <w:t xml:space="preserve"> </w:t>
      </w:r>
    </w:p>
    <w:p w14:paraId="387DA215" w14:textId="77777777" w:rsidR="00BA23AE" w:rsidRPr="00F13DA5" w:rsidRDefault="00BA23AE" w:rsidP="003B7A94">
      <w:pPr>
        <w:pStyle w:val="a1"/>
        <w:rPr>
          <w:rtl/>
        </w:rPr>
      </w:pPr>
      <w:r w:rsidRPr="00F13DA5">
        <w:rPr>
          <w:rFonts w:hint="cs"/>
          <w:rtl/>
        </w:rPr>
        <w:t xml:space="preserve">בדוח הקצין הממונה אין שדה לרישום בקשת </w:t>
      </w:r>
      <w:r>
        <w:rPr>
          <w:rFonts w:hint="cs"/>
          <w:rtl/>
        </w:rPr>
        <w:t xml:space="preserve">עורך הדין </w:t>
      </w:r>
      <w:r w:rsidRPr="00F13DA5">
        <w:rPr>
          <w:rFonts w:hint="cs"/>
          <w:rtl/>
        </w:rPr>
        <w:t>על כוונתו להגיע למתקן החקירה בזמן סביר ומשך זמן ההמתנה לסנגור.</w:t>
      </w:r>
      <w:r>
        <w:rPr>
          <w:rFonts w:hint="cs"/>
          <w:rtl/>
        </w:rPr>
        <w:t xml:space="preserve"> </w:t>
      </w:r>
    </w:p>
    <w:p w14:paraId="478B3356" w14:textId="77777777" w:rsidR="00BA23AE" w:rsidRPr="00F13DA5" w:rsidRDefault="00BA23AE" w:rsidP="003B7A94">
      <w:pPr>
        <w:pStyle w:val="af3"/>
        <w:rPr>
          <w:rtl/>
        </w:rPr>
      </w:pPr>
      <w:r w:rsidRPr="00F13DA5">
        <w:rPr>
          <w:rFonts w:hint="cs"/>
          <w:rtl/>
        </w:rPr>
        <w:t xml:space="preserve">ממשטרת ישראל נמסר לנציגי </w:t>
      </w:r>
      <w:r>
        <w:rPr>
          <w:rFonts w:hint="cs"/>
          <w:rtl/>
        </w:rPr>
        <w:t xml:space="preserve">משרד </w:t>
      </w:r>
      <w:r w:rsidRPr="00F13DA5">
        <w:rPr>
          <w:rFonts w:hint="cs"/>
          <w:rtl/>
        </w:rPr>
        <w:t xml:space="preserve">מבקר המדינה כי תיעוד זמן ההמתנה להגעת </w:t>
      </w:r>
      <w:r>
        <w:rPr>
          <w:rFonts w:hint="cs"/>
          <w:rtl/>
        </w:rPr>
        <w:t>עורך הדין</w:t>
      </w:r>
      <w:r w:rsidRPr="00F13DA5">
        <w:rPr>
          <w:rFonts w:hint="cs"/>
          <w:rtl/>
        </w:rPr>
        <w:t xml:space="preserve"> נדרש רק כאשר </w:t>
      </w:r>
      <w:r>
        <w:rPr>
          <w:rFonts w:hint="cs"/>
          <w:rtl/>
        </w:rPr>
        <w:t>הוא</w:t>
      </w:r>
      <w:r w:rsidRPr="00F13DA5">
        <w:rPr>
          <w:rFonts w:hint="cs"/>
          <w:rtl/>
        </w:rPr>
        <w:t xml:space="preserve"> לא הגיע בזמן סביר לתחנת המשטרה. התיעוד מבוצע בגוף ההודעה שנגבתה מן העצור ולא בדוח הקצין הממונה. עוד מסרה המשטרה</w:t>
      </w:r>
      <w:r>
        <w:rPr>
          <w:rFonts w:hint="cs"/>
          <w:rtl/>
        </w:rPr>
        <w:t xml:space="preserve"> </w:t>
      </w:r>
      <w:r w:rsidRPr="00F13DA5">
        <w:rPr>
          <w:rFonts w:hint="cs"/>
          <w:rtl/>
        </w:rPr>
        <w:t xml:space="preserve">כי יש צורך </w:t>
      </w:r>
      <w:r w:rsidRPr="00F13DA5">
        <w:rPr>
          <w:rFonts w:hint="cs"/>
          <w:rtl/>
        </w:rPr>
        <w:lastRenderedPageBreak/>
        <w:t xml:space="preserve">לתעד תוך כמה זמן הצהיר </w:t>
      </w:r>
      <w:r>
        <w:rPr>
          <w:rFonts w:hint="cs"/>
          <w:rtl/>
        </w:rPr>
        <w:t>עורך הדין</w:t>
      </w:r>
      <w:r w:rsidRPr="00F13DA5">
        <w:rPr>
          <w:rFonts w:hint="cs"/>
          <w:rtl/>
        </w:rPr>
        <w:t xml:space="preserve"> שיגיע ובתוך כמה זמן הגיע בפועל, היות </w:t>
      </w:r>
      <w:r>
        <w:rPr>
          <w:rFonts w:hint="cs"/>
          <w:rtl/>
        </w:rPr>
        <w:t>ש</w:t>
      </w:r>
      <w:r w:rsidRPr="00F13DA5">
        <w:rPr>
          <w:rFonts w:hint="cs"/>
          <w:rtl/>
        </w:rPr>
        <w:t>במקרים רבים זמן ההגעה של</w:t>
      </w:r>
      <w:r>
        <w:rPr>
          <w:rFonts w:hint="cs"/>
          <w:rtl/>
        </w:rPr>
        <w:t xml:space="preserve"> עורך הדין</w:t>
      </w:r>
      <w:r w:rsidRPr="00F13DA5">
        <w:rPr>
          <w:rFonts w:hint="cs"/>
          <w:rtl/>
        </w:rPr>
        <w:t xml:space="preserve"> אינו סביר. </w:t>
      </w:r>
    </w:p>
    <w:p w14:paraId="4460E02E" w14:textId="77777777" w:rsidR="00BA23AE" w:rsidRPr="00F13DA5" w:rsidRDefault="00BA23AE" w:rsidP="003B7A94">
      <w:pPr>
        <w:pStyle w:val="ad"/>
      </w:pPr>
      <w:r w:rsidRPr="00F13DA5">
        <w:rPr>
          <w:rFonts w:hint="cs"/>
          <w:rtl/>
        </w:rPr>
        <w:t xml:space="preserve">יוצא אפוא כי תיעוד חלקי של </w:t>
      </w:r>
      <w:r w:rsidRPr="00F13DA5">
        <w:rPr>
          <w:rFonts w:hint="eastAsia"/>
          <w:rtl/>
        </w:rPr>
        <w:t>מועד</w:t>
      </w:r>
      <w:r w:rsidRPr="00F13DA5">
        <w:rPr>
          <w:rtl/>
        </w:rPr>
        <w:t xml:space="preserve"> </w:t>
      </w:r>
      <w:r w:rsidRPr="00F13DA5">
        <w:rPr>
          <w:rFonts w:hint="eastAsia"/>
          <w:rtl/>
        </w:rPr>
        <w:t>יצירת</w:t>
      </w:r>
      <w:r w:rsidRPr="00F13DA5">
        <w:rPr>
          <w:rtl/>
        </w:rPr>
        <w:t xml:space="preserve"> </w:t>
      </w:r>
      <w:r w:rsidRPr="00F13DA5">
        <w:rPr>
          <w:rFonts w:hint="eastAsia"/>
          <w:rtl/>
        </w:rPr>
        <w:t>הקשר</w:t>
      </w:r>
      <w:r w:rsidRPr="00F13DA5">
        <w:rPr>
          <w:rtl/>
        </w:rPr>
        <w:t xml:space="preserve"> </w:t>
      </w:r>
      <w:r w:rsidRPr="00F13DA5">
        <w:rPr>
          <w:rFonts w:hint="eastAsia"/>
          <w:rtl/>
        </w:rPr>
        <w:t>עם</w:t>
      </w:r>
      <w:r w:rsidRPr="00F13DA5">
        <w:rPr>
          <w:rFonts w:hint="cs"/>
          <w:rtl/>
        </w:rPr>
        <w:t xml:space="preserve"> </w:t>
      </w:r>
      <w:r>
        <w:rPr>
          <w:rFonts w:hint="cs"/>
          <w:rtl/>
        </w:rPr>
        <w:t>עורך הדין</w:t>
      </w:r>
      <w:r w:rsidRPr="00F13DA5">
        <w:rPr>
          <w:rFonts w:hint="cs"/>
          <w:rtl/>
        </w:rPr>
        <w:t xml:space="preserve"> בדוח הקצין הממונה מונע מהמשטרה לאתר את המקרים שבהם סנגור ביקש להגיע לתחנת המשטרה בזמן סביר</w:t>
      </w:r>
      <w:r>
        <w:rPr>
          <w:rFonts w:hint="cs"/>
          <w:rtl/>
        </w:rPr>
        <w:t>,</w:t>
      </w:r>
      <w:r w:rsidRPr="00F13DA5">
        <w:rPr>
          <w:rFonts w:hint="cs"/>
          <w:rtl/>
        </w:rPr>
        <w:t xml:space="preserve"> ולבחון אם גורמי החקירה המתינו להגעתו.</w:t>
      </w:r>
    </w:p>
    <w:p w14:paraId="3381E973" w14:textId="77777777" w:rsidR="00BA23AE" w:rsidRPr="00F13DA5" w:rsidRDefault="00BA23AE" w:rsidP="003B7A94">
      <w:pPr>
        <w:pStyle w:val="af4"/>
        <w:rPr>
          <w:rtl/>
        </w:rPr>
      </w:pPr>
      <w:r>
        <w:rPr>
          <w:rFonts w:hint="cs"/>
          <w:rtl/>
        </w:rPr>
        <w:t xml:space="preserve">יוער כי </w:t>
      </w:r>
      <w:r w:rsidRPr="00F13DA5">
        <w:rPr>
          <w:rFonts w:hint="cs"/>
          <w:rtl/>
        </w:rPr>
        <w:t>היעדר תיעוד מסודר ומקיף לכל הפעולות שחבה בהן המשטרה על מנת לשמור על זכויות העצורים שולל ממנה, מבית המשפט ומהסנגור כלי יעיל של פיקוח. תיעוד חלקי אף עלול להביא לבזבוז זמן שיפוטי בעוד העצור מוחזק במעצר</w:t>
      </w:r>
      <w:r>
        <w:rPr>
          <w:rFonts w:hint="cs"/>
          <w:rtl/>
        </w:rPr>
        <w:t>,</w:t>
      </w:r>
      <w:r w:rsidRPr="00F13DA5">
        <w:rPr>
          <w:rFonts w:hint="cs"/>
          <w:rtl/>
        </w:rPr>
        <w:t xml:space="preserve"> ובעת שהמשטרה נדרשת לבחון בדיעבד אם הוענקו לעצור זכויותיו. קושי זה אף מתגבר בדיונים שבהם הסנגור </w:t>
      </w:r>
      <w:r>
        <w:rPr>
          <w:rFonts w:hint="cs"/>
          <w:rtl/>
        </w:rPr>
        <w:t>אינו</w:t>
      </w:r>
      <w:r w:rsidRPr="00F13DA5">
        <w:rPr>
          <w:rFonts w:hint="cs"/>
          <w:rtl/>
        </w:rPr>
        <w:t xml:space="preserve"> רשאי לעיין בחומרי החקירה או אם החקירה לא תועדה באופן חזותי. </w:t>
      </w:r>
    </w:p>
    <w:p w14:paraId="1BB3E267" w14:textId="77777777" w:rsidR="00BA23AE" w:rsidRPr="00F13DA5" w:rsidRDefault="00BA23AE" w:rsidP="003B7A94">
      <w:pPr>
        <w:pStyle w:val="100"/>
        <w:rPr>
          <w:b/>
          <w:bCs/>
          <w:rtl/>
        </w:rPr>
      </w:pPr>
      <w:r w:rsidRPr="00F13DA5">
        <w:rPr>
          <w:rFonts w:hint="cs"/>
          <w:rtl/>
        </w:rPr>
        <w:t>משטרת ישראל מסרה בתגובתה כי היא פועלת בדרכים שונות כדי לוודא שזכות ההיוועצות מוענקת לעצור</w:t>
      </w:r>
      <w:r>
        <w:rPr>
          <w:rFonts w:hint="cs"/>
          <w:rtl/>
        </w:rPr>
        <w:t>,</w:t>
      </w:r>
      <w:r w:rsidRPr="00F13DA5">
        <w:rPr>
          <w:rFonts w:hint="cs"/>
          <w:rtl/>
        </w:rPr>
        <w:t xml:space="preserve"> למשל באמצעות הדרכות, חידוד נהלים, שינוי נוסח אזהרת חשוד ועוד. ברי כי על החוקר למלא דוחות באופן מלא, אולם משימתו בראש ובראשונה היא לחקור באופן המבטיח משך חקירה קצר ככל הניתן. בעתיד יתאפשר תיעוד אוטומטי של פעולות אלו, ואולם, עד אז התיעוד יתבצע אך לא תמיד בזמן אמת בשל העומס האדיר המוטל על גורמי החקירה. </w:t>
      </w:r>
    </w:p>
    <w:p w14:paraId="4FBD5584" w14:textId="77777777" w:rsidR="00BA23AE" w:rsidRPr="00F13DA5" w:rsidRDefault="00BA23AE" w:rsidP="003B7A94">
      <w:pPr>
        <w:pStyle w:val="af4"/>
        <w:rPr>
          <w:rtl/>
        </w:rPr>
      </w:pPr>
      <w:r w:rsidRPr="00F13DA5">
        <w:rPr>
          <w:rFonts w:hint="cs"/>
          <w:rtl/>
        </w:rPr>
        <w:t xml:space="preserve">על המשטרה לוודא כי החוקרים והקצינים הממונים </w:t>
      </w:r>
      <w:r>
        <w:rPr>
          <w:rFonts w:hint="cs"/>
          <w:rtl/>
        </w:rPr>
        <w:t>מקיימים</w:t>
      </w:r>
      <w:r w:rsidRPr="00F13DA5">
        <w:rPr>
          <w:rFonts w:hint="cs"/>
          <w:rtl/>
        </w:rPr>
        <w:t xml:space="preserve"> את כל השלבים המקדימים ליישום זכות ההיוועצות</w:t>
      </w:r>
      <w:r>
        <w:rPr>
          <w:rFonts w:hint="cs"/>
          <w:rtl/>
        </w:rPr>
        <w:t xml:space="preserve"> בקשר לעשרות אלפי מעצרים בשנה</w:t>
      </w:r>
      <w:r w:rsidRPr="00F13DA5">
        <w:rPr>
          <w:rFonts w:hint="cs"/>
          <w:rtl/>
        </w:rPr>
        <w:t xml:space="preserve"> בצורה סדורה</w:t>
      </w:r>
      <w:r>
        <w:rPr>
          <w:rFonts w:hint="cs"/>
          <w:rtl/>
        </w:rPr>
        <w:t xml:space="preserve">. כיום, תיעוד הפעולות מהווה כלי פיקוח </w:t>
      </w:r>
      <w:r w:rsidRPr="009F77E6">
        <w:rPr>
          <w:rFonts w:hint="cs"/>
          <w:rtl/>
        </w:rPr>
        <w:t xml:space="preserve">ובקרה יחידי ברמה הארצית המאפשר גם </w:t>
      </w:r>
      <w:r w:rsidRPr="0088704C">
        <w:rPr>
          <w:rFonts w:hint="cs"/>
          <w:rtl/>
        </w:rPr>
        <w:t>בדיקה של טענות בתיק ספציפי. מן הטעמים הללו, נודעת חשיבות לוודא כי החוקרים והקצינים מתעדים כנדרש את כל השלבים המקדימים</w:t>
      </w:r>
      <w:r>
        <w:rPr>
          <w:rFonts w:hint="cs"/>
          <w:rtl/>
        </w:rPr>
        <w:t xml:space="preserve">. </w:t>
      </w:r>
      <w:r w:rsidRPr="00F13DA5">
        <w:rPr>
          <w:rFonts w:hint="cs"/>
          <w:rtl/>
        </w:rPr>
        <w:t xml:space="preserve">ככלל, עליהם להכין את הדוח באופן מקוון באמצעות המערכות הממוחשבות. אם הם הכינו דוח ידני, עליהם להזינו במערכת הממוחשבת באופן המאפשר איתור וניתוח של הנתונים המצויים בו. </w:t>
      </w:r>
      <w:r w:rsidRPr="00F13DA5">
        <w:rPr>
          <w:rFonts w:hint="eastAsia"/>
          <w:rtl/>
        </w:rPr>
        <w:t>בשל</w:t>
      </w:r>
      <w:r w:rsidRPr="00F13DA5">
        <w:rPr>
          <w:rtl/>
        </w:rPr>
        <w:t xml:space="preserve"> העומס המוטל על החוקרים והשוטרים, </w:t>
      </w:r>
      <w:r w:rsidRPr="00F13DA5">
        <w:rPr>
          <w:rFonts w:hint="cs"/>
          <w:rtl/>
        </w:rPr>
        <w:t>מן הראוי שה</w:t>
      </w:r>
      <w:r w:rsidRPr="00F13DA5">
        <w:rPr>
          <w:rFonts w:hint="eastAsia"/>
          <w:rtl/>
        </w:rPr>
        <w:t>משטר</w:t>
      </w:r>
      <w:r w:rsidRPr="00F13DA5">
        <w:rPr>
          <w:rFonts w:hint="cs"/>
          <w:rtl/>
        </w:rPr>
        <w:t>ה</w:t>
      </w:r>
      <w:r w:rsidRPr="00F13DA5">
        <w:rPr>
          <w:rtl/>
        </w:rPr>
        <w:t xml:space="preserve"> תבחן כיצד לתעד את הפעולות </w:t>
      </w:r>
      <w:r>
        <w:rPr>
          <w:rFonts w:hint="cs"/>
          <w:rtl/>
        </w:rPr>
        <w:t>ש</w:t>
      </w:r>
      <w:r w:rsidRPr="00F13DA5">
        <w:rPr>
          <w:rtl/>
        </w:rPr>
        <w:t xml:space="preserve">בהן היא חבה בדין באופן </w:t>
      </w:r>
      <w:r w:rsidRPr="00F13DA5">
        <w:rPr>
          <w:rFonts w:hint="eastAsia"/>
          <w:rtl/>
        </w:rPr>
        <w:t>המדויק</w:t>
      </w:r>
      <w:r w:rsidRPr="00F13DA5">
        <w:rPr>
          <w:rtl/>
        </w:rPr>
        <w:t xml:space="preserve"> </w:t>
      </w:r>
      <w:r w:rsidRPr="00F13DA5">
        <w:rPr>
          <w:rFonts w:hint="eastAsia"/>
          <w:rtl/>
        </w:rPr>
        <w:t>והיעיל</w:t>
      </w:r>
      <w:r w:rsidRPr="00F13DA5">
        <w:rPr>
          <w:rtl/>
        </w:rPr>
        <w:t xml:space="preserve"> </w:t>
      </w:r>
      <w:r w:rsidRPr="00F13DA5">
        <w:rPr>
          <w:rFonts w:hint="eastAsia"/>
          <w:rtl/>
        </w:rPr>
        <w:t>ביותר</w:t>
      </w:r>
      <w:r w:rsidRPr="00F13DA5">
        <w:rPr>
          <w:rtl/>
        </w:rPr>
        <w:t xml:space="preserve">. </w:t>
      </w:r>
    </w:p>
    <w:p w14:paraId="1BF2BBD1" w14:textId="77777777" w:rsidR="00BA23AE" w:rsidRPr="001218A5" w:rsidRDefault="00BA23AE" w:rsidP="003B7A94">
      <w:pPr>
        <w:pStyle w:val="100"/>
        <w:rPr>
          <w:rtl/>
        </w:rPr>
      </w:pPr>
      <w:r w:rsidRPr="00F13DA5">
        <w:rPr>
          <w:rFonts w:hint="cs"/>
          <w:rtl/>
        </w:rPr>
        <w:t xml:space="preserve">על פי </w:t>
      </w:r>
      <w:r w:rsidRPr="00F13DA5">
        <w:rPr>
          <w:rFonts w:hint="eastAsia"/>
          <w:rtl/>
        </w:rPr>
        <w:t>חוק</w:t>
      </w:r>
      <w:r w:rsidRPr="00F13DA5">
        <w:rPr>
          <w:rFonts w:hint="cs"/>
          <w:rtl/>
        </w:rPr>
        <w:t xml:space="preserve"> סדר הדין הפלילי (חקירת חשודים), התשס"ב-2002,</w:t>
      </w:r>
      <w:r w:rsidRPr="00F13DA5">
        <w:rPr>
          <w:rtl/>
        </w:rPr>
        <w:t xml:space="preserve"> </w:t>
      </w:r>
      <w:r w:rsidRPr="00F13DA5">
        <w:rPr>
          <w:rFonts w:hint="eastAsia"/>
          <w:rtl/>
        </w:rPr>
        <w:t>חקירת</w:t>
      </w:r>
      <w:r w:rsidRPr="00F13DA5">
        <w:rPr>
          <w:rtl/>
        </w:rPr>
        <w:t xml:space="preserve"> </w:t>
      </w:r>
      <w:r w:rsidRPr="00F13DA5">
        <w:rPr>
          <w:rFonts w:hint="eastAsia"/>
          <w:rtl/>
        </w:rPr>
        <w:t>חשוד</w:t>
      </w:r>
      <w:r w:rsidRPr="00F13DA5">
        <w:rPr>
          <w:rFonts w:hint="cs"/>
          <w:rtl/>
        </w:rPr>
        <w:t>,</w:t>
      </w:r>
      <w:r w:rsidRPr="00F13DA5">
        <w:rPr>
          <w:rtl/>
        </w:rPr>
        <w:t xml:space="preserve"> </w:t>
      </w:r>
      <w:r w:rsidRPr="00F13DA5">
        <w:rPr>
          <w:rFonts w:hint="eastAsia"/>
          <w:rtl/>
        </w:rPr>
        <w:t>קרי</w:t>
      </w:r>
      <w:r w:rsidRPr="00F13DA5">
        <w:rPr>
          <w:rtl/>
        </w:rPr>
        <w:t xml:space="preserve"> </w:t>
      </w:r>
      <w:r w:rsidRPr="00F13DA5">
        <w:rPr>
          <w:rFonts w:hint="eastAsia"/>
          <w:rtl/>
        </w:rPr>
        <w:t>תשאולו</w:t>
      </w:r>
      <w:r w:rsidRPr="00F13DA5">
        <w:rPr>
          <w:rtl/>
        </w:rPr>
        <w:t xml:space="preserve"> </w:t>
      </w:r>
      <w:r w:rsidRPr="00F13DA5">
        <w:rPr>
          <w:rFonts w:hint="eastAsia"/>
          <w:rtl/>
        </w:rPr>
        <w:t>או</w:t>
      </w:r>
      <w:r w:rsidRPr="00F13DA5">
        <w:rPr>
          <w:rtl/>
        </w:rPr>
        <w:t xml:space="preserve"> </w:t>
      </w:r>
      <w:r w:rsidRPr="00F13DA5">
        <w:rPr>
          <w:rFonts w:hint="eastAsia"/>
          <w:rtl/>
        </w:rPr>
        <w:t>גביית</w:t>
      </w:r>
      <w:r w:rsidRPr="00F13DA5">
        <w:rPr>
          <w:rtl/>
        </w:rPr>
        <w:t xml:space="preserve"> </w:t>
      </w:r>
      <w:r w:rsidRPr="00F13DA5">
        <w:rPr>
          <w:rFonts w:hint="eastAsia"/>
          <w:rtl/>
        </w:rPr>
        <w:t>הודעה</w:t>
      </w:r>
      <w:r w:rsidRPr="00F13DA5">
        <w:rPr>
          <w:rtl/>
        </w:rPr>
        <w:t xml:space="preserve"> </w:t>
      </w:r>
      <w:r w:rsidRPr="00F13DA5">
        <w:rPr>
          <w:rFonts w:hint="eastAsia"/>
          <w:rtl/>
        </w:rPr>
        <w:t>ממנו</w:t>
      </w:r>
      <w:r w:rsidRPr="00F13DA5">
        <w:rPr>
          <w:rtl/>
        </w:rPr>
        <w:t xml:space="preserve">, </w:t>
      </w:r>
      <w:r w:rsidRPr="00F13DA5">
        <w:rPr>
          <w:rFonts w:hint="eastAsia"/>
          <w:rtl/>
        </w:rPr>
        <w:t>תיערך</w:t>
      </w:r>
      <w:r w:rsidRPr="00F13DA5">
        <w:rPr>
          <w:rtl/>
        </w:rPr>
        <w:t xml:space="preserve"> </w:t>
      </w:r>
      <w:r w:rsidRPr="00F13DA5">
        <w:rPr>
          <w:rFonts w:hint="eastAsia"/>
          <w:rtl/>
        </w:rPr>
        <w:t>בשפה</w:t>
      </w:r>
      <w:r w:rsidRPr="00F13DA5">
        <w:rPr>
          <w:rtl/>
        </w:rPr>
        <w:t xml:space="preserve"> </w:t>
      </w:r>
      <w:r w:rsidRPr="00F13DA5">
        <w:rPr>
          <w:rFonts w:hint="eastAsia"/>
          <w:rtl/>
        </w:rPr>
        <w:t>שהוא</w:t>
      </w:r>
      <w:r w:rsidRPr="00F13DA5">
        <w:rPr>
          <w:rtl/>
        </w:rPr>
        <w:t xml:space="preserve"> </w:t>
      </w:r>
      <w:r w:rsidRPr="00F13DA5">
        <w:rPr>
          <w:rFonts w:hint="eastAsia"/>
          <w:rtl/>
        </w:rPr>
        <w:t>מבין</w:t>
      </w:r>
      <w:r w:rsidRPr="00F13DA5">
        <w:rPr>
          <w:rtl/>
        </w:rPr>
        <w:t xml:space="preserve"> </w:t>
      </w:r>
      <w:r w:rsidRPr="00F13DA5">
        <w:rPr>
          <w:rFonts w:hint="eastAsia"/>
          <w:rtl/>
        </w:rPr>
        <w:t>ודובר</w:t>
      </w:r>
      <w:r w:rsidRPr="001218A5">
        <w:rPr>
          <w:rFonts w:hint="cs"/>
          <w:rtl/>
        </w:rPr>
        <w:t xml:space="preserve">. </w:t>
      </w:r>
    </w:p>
    <w:p w14:paraId="312ABAAC" w14:textId="77777777" w:rsidR="00BA23AE" w:rsidRPr="00F13DA5" w:rsidRDefault="00BA23AE" w:rsidP="003B7A94">
      <w:pPr>
        <w:pStyle w:val="100"/>
        <w:rPr>
          <w:rtl/>
        </w:rPr>
      </w:pPr>
      <w:r w:rsidRPr="00F13DA5">
        <w:rPr>
          <w:rFonts w:hint="cs"/>
          <w:rtl/>
        </w:rPr>
        <w:t xml:space="preserve">משטרת ישראל מסרה למשרד מבקר המדינה כי דוח קצין ממונה אינו מתורגם לשפות שונות. זאת משום שהדוח </w:t>
      </w:r>
      <w:r>
        <w:rPr>
          <w:rFonts w:hint="cs"/>
          <w:rtl/>
        </w:rPr>
        <w:t>אינו</w:t>
      </w:r>
      <w:r w:rsidRPr="00F13DA5">
        <w:rPr>
          <w:rFonts w:hint="cs"/>
          <w:rtl/>
        </w:rPr>
        <w:t xml:space="preserve"> נמסר לעצור, אלא מתויק בתיק החקירה בלבד. </w:t>
      </w:r>
    </w:p>
    <w:p w14:paraId="1E553C1F" w14:textId="77777777" w:rsidR="00BA23AE" w:rsidRDefault="00BA23AE" w:rsidP="003B7A94">
      <w:pPr>
        <w:pStyle w:val="af4"/>
        <w:rPr>
          <w:rtl/>
        </w:rPr>
      </w:pPr>
      <w:r>
        <w:rPr>
          <w:rFonts w:hint="cs"/>
          <w:rtl/>
        </w:rPr>
        <w:t xml:space="preserve">נמצא, כי </w:t>
      </w:r>
      <w:r w:rsidRPr="00F13DA5">
        <w:rPr>
          <w:rFonts w:hint="cs"/>
          <w:rtl/>
        </w:rPr>
        <w:t xml:space="preserve">המשטרה מחזיקה דוח קצין ממונה </w:t>
      </w:r>
      <w:r w:rsidRPr="00F13DA5">
        <w:rPr>
          <w:rFonts w:hint="eastAsia"/>
          <w:rtl/>
        </w:rPr>
        <w:t>בעברית</w:t>
      </w:r>
      <w:r w:rsidRPr="00F13DA5">
        <w:rPr>
          <w:rtl/>
        </w:rPr>
        <w:t xml:space="preserve"> </w:t>
      </w:r>
      <w:r w:rsidRPr="00F13DA5">
        <w:rPr>
          <w:rFonts w:hint="eastAsia"/>
          <w:rtl/>
        </w:rPr>
        <w:t>בלבד</w:t>
      </w:r>
      <w:r w:rsidRPr="00F13DA5">
        <w:rPr>
          <w:rFonts w:hint="cs"/>
          <w:rtl/>
        </w:rPr>
        <w:t>. כתוצאה מכך, עצור שאינו דובר את השפה העברית אינו יכול לקרוא</w:t>
      </w:r>
      <w:r>
        <w:rPr>
          <w:rFonts w:hint="cs"/>
          <w:rtl/>
        </w:rPr>
        <w:t xml:space="preserve"> את נוסח הדוח</w:t>
      </w:r>
      <w:r w:rsidRPr="00F13DA5">
        <w:rPr>
          <w:rFonts w:hint="cs"/>
          <w:rtl/>
        </w:rPr>
        <w:t xml:space="preserve"> ולאשר בחתימת ידו כי נמסרו לו כל ההודעות כנדרש בדין, כי קיבל הסבר על זכויותיו וכי ויתר מפורשות על זכויותיו. </w:t>
      </w:r>
    </w:p>
    <w:p w14:paraId="08C095AD" w14:textId="77777777" w:rsidR="00BA23AE" w:rsidRPr="00F13DA5" w:rsidRDefault="00BA23AE" w:rsidP="003B7A94">
      <w:pPr>
        <w:pStyle w:val="af4"/>
        <w:rPr>
          <w:rtl/>
        </w:rPr>
      </w:pPr>
      <w:r>
        <w:rPr>
          <w:rFonts w:hint="cs"/>
          <w:rtl/>
        </w:rPr>
        <w:lastRenderedPageBreak/>
        <w:t xml:space="preserve">משרד מבקר המדינה ממליץ למשטרה </w:t>
      </w:r>
      <w:r w:rsidRPr="00F13DA5">
        <w:rPr>
          <w:rFonts w:hint="cs"/>
          <w:rtl/>
        </w:rPr>
        <w:t xml:space="preserve">לתרגם לשפות שונות את חלקי הדוח העוסקים בזכויותיו על מנת שהעצור יוכל לקרוא אותם ולהבינם. </w:t>
      </w:r>
    </w:p>
    <w:p w14:paraId="6D3C91A1" w14:textId="3119C3E5" w:rsidR="00BA23AE" w:rsidRDefault="00BA23AE" w:rsidP="003B7A94">
      <w:pPr>
        <w:pStyle w:val="100"/>
        <w:rPr>
          <w:rtl/>
        </w:rPr>
      </w:pPr>
      <w:r w:rsidRPr="00F13DA5">
        <w:rPr>
          <w:rFonts w:hint="eastAsia"/>
          <w:rtl/>
        </w:rPr>
        <w:t>משטרת</w:t>
      </w:r>
      <w:r w:rsidRPr="00F13DA5">
        <w:rPr>
          <w:rtl/>
        </w:rPr>
        <w:t xml:space="preserve"> ישראל מסרה כי במסגרת שינוי דוח הקצין הממונה, יישקל גם שינוי שיביא לכך שחלקיו הדורשים חתימה ואישור של העצור יתורגמו ויימסרו לו.</w:t>
      </w:r>
      <w:r>
        <w:rPr>
          <w:rtl/>
        </w:rPr>
        <w:t xml:space="preserve"> </w:t>
      </w:r>
    </w:p>
    <w:p w14:paraId="430D37F8" w14:textId="4D81F217" w:rsidR="00BA23AE" w:rsidRDefault="00BA23AE" w:rsidP="003B7A94">
      <w:pPr>
        <w:pStyle w:val="aff"/>
        <w:rPr>
          <w:rtl/>
        </w:rPr>
      </w:pPr>
      <w:r>
        <w:rPr>
          <w:rFonts w:hint="cs"/>
          <w:rtl/>
        </w:rPr>
        <w:t>✰</w:t>
      </w:r>
    </w:p>
    <w:p w14:paraId="0D312C15" w14:textId="77777777" w:rsidR="003B7A94" w:rsidRDefault="003B7A94" w:rsidP="003B7A94">
      <w:pPr>
        <w:pStyle w:val="aff"/>
        <w:rPr>
          <w:rFonts w:ascii="Arial" w:hAnsi="Arial" w:cs="Arial"/>
          <w:rtl/>
        </w:rPr>
      </w:pPr>
    </w:p>
    <w:p w14:paraId="5753394F" w14:textId="77777777" w:rsidR="00BA23AE" w:rsidRPr="00396A39" w:rsidRDefault="00BA23AE" w:rsidP="003B7A94">
      <w:pPr>
        <w:pStyle w:val="a9"/>
        <w:rPr>
          <w:rtl/>
        </w:rPr>
      </w:pPr>
      <w:r w:rsidRPr="00396A39">
        <w:rPr>
          <w:rFonts w:hint="eastAsia"/>
          <w:rtl/>
        </w:rPr>
        <w:t>תרשים</w:t>
      </w:r>
      <w:r w:rsidRPr="00396A39">
        <w:rPr>
          <w:rtl/>
        </w:rPr>
        <w:t xml:space="preserve"> </w:t>
      </w:r>
      <w:r>
        <w:rPr>
          <w:rFonts w:hint="cs"/>
          <w:rtl/>
        </w:rPr>
        <w:t>12</w:t>
      </w:r>
      <w:r w:rsidRPr="00396A39">
        <w:rPr>
          <w:rtl/>
        </w:rPr>
        <w:t xml:space="preserve">: </w:t>
      </w:r>
      <w:r w:rsidRPr="003B7A94">
        <w:rPr>
          <w:b/>
          <w:bCs/>
          <w:rtl/>
        </w:rPr>
        <w:t>עיקרי הליקויים ביישום השלבים המקדימים על ידי קצין ממונה</w:t>
      </w:r>
    </w:p>
    <w:p w14:paraId="2ECA63BE" w14:textId="77777777" w:rsidR="00BA23AE" w:rsidRPr="00F13DA5" w:rsidRDefault="00BA23AE" w:rsidP="003B7A94">
      <w:pPr>
        <w:pStyle w:val="a9"/>
      </w:pPr>
      <w:r>
        <w:rPr>
          <w:noProof/>
        </w:rPr>
        <w:drawing>
          <wp:inline distT="0" distB="0" distL="0" distR="0" wp14:anchorId="178B7B54" wp14:editId="5D070B6C">
            <wp:extent cx="5220335" cy="3479800"/>
            <wp:effectExtent l="0" t="0" r="0" b="6350"/>
            <wp:docPr id="1992297230" name="תמונה 199229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7230" name="הטיפול המערכתי במעצרים 1102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0335" cy="3479800"/>
                    </a:xfrm>
                    <a:prstGeom prst="rect">
                      <a:avLst/>
                    </a:prstGeom>
                  </pic:spPr>
                </pic:pic>
              </a:graphicData>
            </a:graphic>
          </wp:inline>
        </w:drawing>
      </w:r>
    </w:p>
    <w:p w14:paraId="1D113ADA" w14:textId="77777777" w:rsidR="00BA23AE" w:rsidRPr="00F13DA5" w:rsidRDefault="00BA23AE" w:rsidP="003B7A94">
      <w:pPr>
        <w:pStyle w:val="414"/>
        <w:rPr>
          <w:rtl/>
        </w:rPr>
      </w:pPr>
      <w:r w:rsidRPr="00F13DA5">
        <w:rPr>
          <w:rFonts w:hint="cs"/>
          <w:rtl/>
        </w:rPr>
        <w:t>יישום השלבים המקדימים על ידי חוקר</w:t>
      </w:r>
    </w:p>
    <w:p w14:paraId="09978982" w14:textId="77777777" w:rsidR="00BA23AE" w:rsidRPr="00F13DA5" w:rsidRDefault="00BA23AE" w:rsidP="003B7A94">
      <w:pPr>
        <w:pStyle w:val="100"/>
        <w:rPr>
          <w:rtl/>
        </w:rPr>
      </w:pPr>
      <w:r w:rsidRPr="00F13DA5">
        <w:rPr>
          <w:rFonts w:hint="cs"/>
          <w:rtl/>
        </w:rPr>
        <w:t>בתי המשפט בוחנים את זכות ההיוועצות כפי שניתנה על ידי היחידה החוקרת</w:t>
      </w:r>
      <w:r>
        <w:rPr>
          <w:rFonts w:hint="cs"/>
          <w:rtl/>
        </w:rPr>
        <w:t>,</w:t>
      </w:r>
      <w:r w:rsidRPr="00F13DA5">
        <w:rPr>
          <w:rFonts w:hint="cs"/>
          <w:rtl/>
        </w:rPr>
        <w:t xml:space="preserve"> ללא תלות בזהות הגורם ביחידה שפעל למימושה - הקצין הממונה או החוקר. הלכה פסוקה</w:t>
      </w:r>
      <w:r w:rsidRPr="00F13DA5">
        <w:rPr>
          <w:vertAlign w:val="superscript"/>
          <w:rtl/>
        </w:rPr>
        <w:footnoteReference w:id="28"/>
      </w:r>
      <w:r w:rsidRPr="00F13DA5">
        <w:rPr>
          <w:rFonts w:hint="cs"/>
          <w:rtl/>
        </w:rPr>
        <w:t xml:space="preserve"> היא כי אזהרת חשוד אינה כוללת את חובת היידוע בדבר הזכות להיוועצות. כמו כן, אם קצין ממונה הודיע לעצור על זכותו להיוועצות, חוקר לא יידרש לשוב ולהודיע על זכות זו.</w:t>
      </w:r>
    </w:p>
    <w:p w14:paraId="5ED70F03" w14:textId="77777777" w:rsidR="00BA23AE" w:rsidRPr="00F13DA5" w:rsidRDefault="00BA23AE" w:rsidP="003B7A94">
      <w:pPr>
        <w:pStyle w:val="100"/>
        <w:rPr>
          <w:rtl/>
        </w:rPr>
      </w:pPr>
      <w:r w:rsidRPr="00F13DA5">
        <w:rPr>
          <w:rFonts w:hint="cs"/>
          <w:rtl/>
        </w:rPr>
        <w:t xml:space="preserve">שוטר שעצר אדם ללא צו מעצר חייב להביאו ללא דיחוי לתחנת המשטרה ולהעבירו לרשות הקצין הממונה. פקודת מטא"ר מאפשרת לדחות את הבאת העצור </w:t>
      </w:r>
      <w:r>
        <w:rPr>
          <w:rFonts w:hint="cs"/>
          <w:rtl/>
        </w:rPr>
        <w:t>ל</w:t>
      </w:r>
      <w:r w:rsidRPr="00F13DA5">
        <w:rPr>
          <w:rFonts w:hint="cs"/>
          <w:rtl/>
        </w:rPr>
        <w:t xml:space="preserve">פני הקצין הממונה למשך </w:t>
      </w:r>
      <w:r w:rsidRPr="00F13DA5">
        <w:rPr>
          <w:rFonts w:hint="cs"/>
          <w:rtl/>
        </w:rPr>
        <w:lastRenderedPageBreak/>
        <w:t>שלוש שעות לצורך ביצוע פעולות חקירה בתחנת המשטרה. ברוב המעצרים עצור שהובא לתחנת המשטרה מועבר לחקירה על ידי חוקר לצורך גביית הודעתו.</w:t>
      </w:r>
    </w:p>
    <w:p w14:paraId="5B458510" w14:textId="77777777" w:rsidR="00BA23AE" w:rsidRPr="00F13DA5" w:rsidRDefault="00BA23AE" w:rsidP="003B7A94">
      <w:pPr>
        <w:pStyle w:val="100"/>
        <w:rPr>
          <w:rtl/>
        </w:rPr>
      </w:pPr>
      <w:r w:rsidRPr="00F13DA5">
        <w:rPr>
          <w:rFonts w:hint="eastAsia"/>
          <w:rtl/>
        </w:rPr>
        <w:t>כך</w:t>
      </w:r>
      <w:r w:rsidRPr="00F13DA5">
        <w:rPr>
          <w:rtl/>
        </w:rPr>
        <w:t xml:space="preserve"> למשל, </w:t>
      </w:r>
      <w:r w:rsidRPr="00F13DA5">
        <w:rPr>
          <w:rFonts w:hint="eastAsia"/>
          <w:rtl/>
        </w:rPr>
        <w:t>מתוך</w:t>
      </w:r>
      <w:r w:rsidRPr="00F13DA5">
        <w:rPr>
          <w:rtl/>
        </w:rPr>
        <w:t xml:space="preserve"> 174,173 </w:t>
      </w:r>
      <w:r w:rsidRPr="00F13DA5">
        <w:rPr>
          <w:rFonts w:hint="eastAsia"/>
          <w:rtl/>
        </w:rPr>
        <w:t>המעצרים</w:t>
      </w:r>
      <w:r w:rsidRPr="00F13DA5">
        <w:rPr>
          <w:rtl/>
        </w:rPr>
        <w:t xml:space="preserve"> </w:t>
      </w:r>
      <w:r w:rsidRPr="00F13DA5">
        <w:rPr>
          <w:rFonts w:hint="eastAsia"/>
          <w:rtl/>
        </w:rPr>
        <w:t>שנערכו</w:t>
      </w:r>
      <w:r w:rsidRPr="00F13DA5">
        <w:rPr>
          <w:rtl/>
        </w:rPr>
        <w:t xml:space="preserve"> </w:t>
      </w:r>
      <w:r w:rsidRPr="00F13DA5">
        <w:rPr>
          <w:rFonts w:hint="eastAsia"/>
          <w:rtl/>
        </w:rPr>
        <w:t>בשנים</w:t>
      </w:r>
      <w:r w:rsidRPr="00F13DA5">
        <w:rPr>
          <w:rtl/>
        </w:rPr>
        <w:t xml:space="preserve"> 2016 -</w:t>
      </w:r>
      <w:r w:rsidRPr="00F13DA5">
        <w:rPr>
          <w:rFonts w:hint="cs"/>
          <w:rtl/>
        </w:rPr>
        <w:t xml:space="preserve"> </w:t>
      </w:r>
      <w:r w:rsidRPr="00F13DA5">
        <w:rPr>
          <w:rtl/>
        </w:rPr>
        <w:t>2018</w:t>
      </w:r>
      <w:r w:rsidRPr="00F13DA5">
        <w:rPr>
          <w:rFonts w:hint="cs"/>
          <w:rtl/>
        </w:rPr>
        <w:t>,</w:t>
      </w:r>
      <w:r w:rsidRPr="00F13DA5">
        <w:rPr>
          <w:rtl/>
        </w:rPr>
        <w:t xml:space="preserve"> </w:t>
      </w:r>
      <w:r w:rsidRPr="00F13DA5">
        <w:rPr>
          <w:rFonts w:hint="eastAsia"/>
          <w:rtl/>
        </w:rPr>
        <w:t>ב</w:t>
      </w:r>
      <w:r w:rsidRPr="00F13DA5">
        <w:rPr>
          <w:rFonts w:hint="cs"/>
          <w:rtl/>
        </w:rPr>
        <w:t xml:space="preserve">כ-101,000 </w:t>
      </w:r>
      <w:r w:rsidRPr="00F13DA5">
        <w:rPr>
          <w:rFonts w:hint="eastAsia"/>
          <w:rtl/>
        </w:rPr>
        <w:t>מעצרים</w:t>
      </w:r>
      <w:r w:rsidRPr="00F13DA5">
        <w:rPr>
          <w:rFonts w:asciiTheme="minorHAnsi" w:eastAsiaTheme="minorEastAsia" w:hAnsi="Calibri" w:cstheme="minorBidi"/>
          <w:color w:val="000000" w:themeColor="text1"/>
          <w:kern w:val="24"/>
          <w:sz w:val="36"/>
          <w:szCs w:val="36"/>
        </w:rPr>
        <w:t xml:space="preserve"> </w:t>
      </w:r>
      <w:r w:rsidRPr="00F13DA5">
        <w:rPr>
          <w:rtl/>
        </w:rPr>
        <w:t xml:space="preserve">(58%) </w:t>
      </w:r>
      <w:r w:rsidRPr="00F13DA5">
        <w:rPr>
          <w:rFonts w:hint="eastAsia"/>
          <w:rtl/>
        </w:rPr>
        <w:t>נחקר</w:t>
      </w:r>
      <w:r w:rsidRPr="00F13DA5">
        <w:rPr>
          <w:rtl/>
        </w:rPr>
        <w:t xml:space="preserve"> </w:t>
      </w:r>
      <w:r w:rsidRPr="00F13DA5">
        <w:rPr>
          <w:rFonts w:hint="eastAsia"/>
          <w:rtl/>
        </w:rPr>
        <w:t>העצור</w:t>
      </w:r>
      <w:r w:rsidRPr="00F13DA5">
        <w:rPr>
          <w:rtl/>
        </w:rPr>
        <w:t xml:space="preserve"> </w:t>
      </w:r>
      <w:r w:rsidRPr="00F13DA5">
        <w:rPr>
          <w:rFonts w:hint="eastAsia"/>
          <w:rtl/>
        </w:rPr>
        <w:t>על</w:t>
      </w:r>
      <w:r w:rsidRPr="00F13DA5">
        <w:rPr>
          <w:rtl/>
        </w:rPr>
        <w:t xml:space="preserve"> </w:t>
      </w:r>
      <w:r w:rsidRPr="00F13DA5">
        <w:rPr>
          <w:rFonts w:hint="eastAsia"/>
          <w:rtl/>
        </w:rPr>
        <w:t>ידי</w:t>
      </w:r>
      <w:r w:rsidRPr="00F13DA5">
        <w:rPr>
          <w:rtl/>
        </w:rPr>
        <w:t xml:space="preserve"> </w:t>
      </w:r>
      <w:r w:rsidRPr="00F13DA5">
        <w:rPr>
          <w:rFonts w:hint="eastAsia"/>
          <w:rtl/>
        </w:rPr>
        <w:t>חוקר</w:t>
      </w:r>
      <w:r w:rsidRPr="00F13DA5">
        <w:rPr>
          <w:rtl/>
        </w:rPr>
        <w:t xml:space="preserve"> </w:t>
      </w:r>
      <w:r w:rsidRPr="00F13DA5">
        <w:rPr>
          <w:rFonts w:hint="eastAsia"/>
          <w:rtl/>
        </w:rPr>
        <w:t>בטרם</w:t>
      </w:r>
      <w:r w:rsidRPr="00F13DA5">
        <w:rPr>
          <w:rtl/>
        </w:rPr>
        <w:t xml:space="preserve"> </w:t>
      </w:r>
      <w:r w:rsidRPr="00F13DA5">
        <w:rPr>
          <w:rFonts w:hint="eastAsia"/>
          <w:rtl/>
        </w:rPr>
        <w:t>הובא</w:t>
      </w:r>
      <w:r w:rsidRPr="00F13DA5">
        <w:rPr>
          <w:rtl/>
        </w:rPr>
        <w:t xml:space="preserve"> </w:t>
      </w:r>
      <w:r w:rsidRPr="00F13DA5">
        <w:rPr>
          <w:rFonts w:hint="eastAsia"/>
          <w:rtl/>
        </w:rPr>
        <w:t>בפני</w:t>
      </w:r>
      <w:r w:rsidRPr="00F13DA5">
        <w:rPr>
          <w:rtl/>
        </w:rPr>
        <w:t xml:space="preserve"> </w:t>
      </w:r>
      <w:r w:rsidRPr="00F13DA5">
        <w:rPr>
          <w:rFonts w:hint="eastAsia"/>
          <w:rtl/>
        </w:rPr>
        <w:t>קצין</w:t>
      </w:r>
      <w:r w:rsidRPr="00F13DA5">
        <w:rPr>
          <w:rtl/>
        </w:rPr>
        <w:t xml:space="preserve"> </w:t>
      </w:r>
      <w:r w:rsidRPr="00F13DA5">
        <w:rPr>
          <w:rFonts w:hint="eastAsia"/>
          <w:rtl/>
        </w:rPr>
        <w:t>ממונה</w:t>
      </w:r>
      <w:r w:rsidRPr="00F13DA5">
        <w:rPr>
          <w:rtl/>
        </w:rPr>
        <w:t xml:space="preserve">. </w:t>
      </w:r>
    </w:p>
    <w:p w14:paraId="6F2B7629" w14:textId="77777777" w:rsidR="00BA23AE" w:rsidRPr="008A58E6" w:rsidRDefault="00BA23AE" w:rsidP="003B7A94">
      <w:pPr>
        <w:pStyle w:val="100"/>
        <w:rPr>
          <w:rtl/>
        </w:rPr>
      </w:pPr>
      <w:r w:rsidRPr="00F13DA5">
        <w:rPr>
          <w:rFonts w:hint="cs"/>
          <w:rtl/>
        </w:rPr>
        <w:t>לפני תחילת חקירת חשוד במשטרה יבהיר החוקר את עיקרי החשד המיוחס לחשוד וימסור לו הודעה בכתב ובעל-פה בדבר זכויותיו. החשוד נדרש לחתום על "טופס הודעה על זכויות חשוד טרם חקירה". נוסח ההודעה לחשוד בגיר מנוסח כדלקמן (ומופיע בשפות עברית, אנגלית, ערבית ואמהרית</w:t>
      </w:r>
      <w:r w:rsidRPr="008A58E6">
        <w:rPr>
          <w:rFonts w:hint="cs"/>
          <w:rtl/>
        </w:rPr>
        <w:t>):</w:t>
      </w:r>
      <w:r w:rsidRPr="00547D02">
        <w:rPr>
          <w:rFonts w:hint="cs"/>
          <w:rtl/>
        </w:rPr>
        <w:t xml:space="preserve"> </w:t>
      </w:r>
      <w:r w:rsidRPr="00547D02">
        <w:rPr>
          <w:sz w:val="24"/>
          <w:rtl/>
        </w:rPr>
        <w:t>"</w:t>
      </w:r>
      <w:r w:rsidRPr="00547D02">
        <w:rPr>
          <w:rFonts w:hint="eastAsia"/>
          <w:sz w:val="24"/>
          <w:rtl/>
        </w:rPr>
        <w:t>זכותך</w:t>
      </w:r>
      <w:r w:rsidRPr="00547D02">
        <w:rPr>
          <w:sz w:val="24"/>
          <w:rtl/>
        </w:rPr>
        <w:t xml:space="preserve"> </w:t>
      </w:r>
      <w:r w:rsidRPr="00547D02">
        <w:rPr>
          <w:rFonts w:hint="eastAsia"/>
          <w:sz w:val="24"/>
          <w:rtl/>
        </w:rPr>
        <w:t>לא</w:t>
      </w:r>
      <w:r w:rsidRPr="00547D02">
        <w:rPr>
          <w:sz w:val="24"/>
          <w:rtl/>
        </w:rPr>
        <w:t xml:space="preserve"> </w:t>
      </w:r>
      <w:r w:rsidRPr="00547D02">
        <w:rPr>
          <w:rFonts w:hint="eastAsia"/>
          <w:sz w:val="24"/>
          <w:rtl/>
        </w:rPr>
        <w:t>לומר</w:t>
      </w:r>
      <w:r w:rsidRPr="00547D02">
        <w:rPr>
          <w:sz w:val="24"/>
          <w:rtl/>
        </w:rPr>
        <w:t xml:space="preserve"> </w:t>
      </w:r>
      <w:r w:rsidRPr="00547D02">
        <w:rPr>
          <w:rFonts w:hint="eastAsia"/>
          <w:sz w:val="24"/>
          <w:rtl/>
        </w:rPr>
        <w:t>דבר</w:t>
      </w:r>
      <w:r w:rsidRPr="00547D02">
        <w:rPr>
          <w:sz w:val="24"/>
          <w:rtl/>
        </w:rPr>
        <w:t xml:space="preserve">, </w:t>
      </w:r>
      <w:r w:rsidRPr="00547D02">
        <w:rPr>
          <w:rFonts w:hint="eastAsia"/>
          <w:sz w:val="24"/>
          <w:rtl/>
        </w:rPr>
        <w:t>דבריך</w:t>
      </w:r>
      <w:r w:rsidRPr="00547D02">
        <w:rPr>
          <w:sz w:val="24"/>
          <w:rtl/>
        </w:rPr>
        <w:t xml:space="preserve"> </w:t>
      </w:r>
      <w:r w:rsidRPr="00547D02">
        <w:rPr>
          <w:rFonts w:hint="eastAsia"/>
          <w:sz w:val="24"/>
          <w:rtl/>
        </w:rPr>
        <w:t>יתועדו</w:t>
      </w:r>
      <w:r w:rsidRPr="00547D02">
        <w:rPr>
          <w:sz w:val="24"/>
          <w:rtl/>
        </w:rPr>
        <w:t xml:space="preserve"> </w:t>
      </w:r>
      <w:r w:rsidRPr="00547D02">
        <w:rPr>
          <w:rFonts w:hint="eastAsia"/>
          <w:sz w:val="24"/>
          <w:rtl/>
        </w:rPr>
        <w:t>ועשויים</w:t>
      </w:r>
      <w:r w:rsidRPr="00547D02">
        <w:rPr>
          <w:sz w:val="24"/>
          <w:rtl/>
        </w:rPr>
        <w:t xml:space="preserve"> </w:t>
      </w:r>
      <w:r w:rsidRPr="00547D02">
        <w:rPr>
          <w:rFonts w:hint="eastAsia"/>
          <w:sz w:val="24"/>
          <w:rtl/>
        </w:rPr>
        <w:t>לשמש</w:t>
      </w:r>
      <w:r w:rsidRPr="00547D02">
        <w:rPr>
          <w:sz w:val="24"/>
          <w:rtl/>
        </w:rPr>
        <w:t xml:space="preserve"> </w:t>
      </w:r>
      <w:r w:rsidRPr="00547D02">
        <w:rPr>
          <w:rFonts w:hint="eastAsia"/>
          <w:sz w:val="24"/>
          <w:rtl/>
        </w:rPr>
        <w:t>כראיה</w:t>
      </w:r>
      <w:r w:rsidRPr="00547D02">
        <w:rPr>
          <w:sz w:val="24"/>
          <w:rtl/>
        </w:rPr>
        <w:t xml:space="preserve"> </w:t>
      </w:r>
      <w:r w:rsidRPr="00547D02">
        <w:rPr>
          <w:rFonts w:hint="eastAsia"/>
          <w:sz w:val="24"/>
          <w:rtl/>
        </w:rPr>
        <w:t>בבית</w:t>
      </w:r>
      <w:r w:rsidRPr="00547D02">
        <w:rPr>
          <w:sz w:val="24"/>
          <w:rtl/>
        </w:rPr>
        <w:t xml:space="preserve"> </w:t>
      </w:r>
      <w:r w:rsidRPr="00547D02">
        <w:rPr>
          <w:rFonts w:hint="eastAsia"/>
          <w:sz w:val="24"/>
          <w:rtl/>
        </w:rPr>
        <w:t>משפט</w:t>
      </w:r>
      <w:r w:rsidRPr="00547D02">
        <w:rPr>
          <w:sz w:val="24"/>
          <w:rtl/>
        </w:rPr>
        <w:t xml:space="preserve">, </w:t>
      </w:r>
      <w:r w:rsidRPr="00547D02">
        <w:rPr>
          <w:rFonts w:hint="eastAsia"/>
          <w:sz w:val="24"/>
          <w:rtl/>
        </w:rPr>
        <w:t>ואולם</w:t>
      </w:r>
      <w:r w:rsidRPr="00547D02">
        <w:rPr>
          <w:sz w:val="24"/>
          <w:rtl/>
        </w:rPr>
        <w:t xml:space="preserve"> </w:t>
      </w:r>
      <w:r w:rsidRPr="00547D02">
        <w:rPr>
          <w:rFonts w:hint="eastAsia"/>
          <w:sz w:val="24"/>
          <w:rtl/>
        </w:rPr>
        <w:t>דע</w:t>
      </w:r>
      <w:r w:rsidRPr="00547D02">
        <w:rPr>
          <w:sz w:val="24"/>
          <w:rtl/>
        </w:rPr>
        <w:t xml:space="preserve"> </w:t>
      </w:r>
      <w:r w:rsidRPr="00547D02">
        <w:rPr>
          <w:rFonts w:hint="eastAsia"/>
          <w:sz w:val="24"/>
          <w:rtl/>
        </w:rPr>
        <w:t>כי</w:t>
      </w:r>
      <w:r w:rsidRPr="00547D02">
        <w:rPr>
          <w:sz w:val="24"/>
          <w:rtl/>
        </w:rPr>
        <w:t xml:space="preserve"> </w:t>
      </w:r>
      <w:r w:rsidRPr="00547D02">
        <w:rPr>
          <w:rFonts w:hint="eastAsia"/>
          <w:sz w:val="24"/>
          <w:rtl/>
        </w:rPr>
        <w:t>בית</w:t>
      </w:r>
      <w:r w:rsidRPr="00547D02">
        <w:rPr>
          <w:sz w:val="24"/>
          <w:rtl/>
        </w:rPr>
        <w:t xml:space="preserve"> </w:t>
      </w:r>
      <w:r w:rsidRPr="00547D02">
        <w:rPr>
          <w:rFonts w:hint="eastAsia"/>
          <w:sz w:val="24"/>
          <w:rtl/>
        </w:rPr>
        <w:t>משפט</w:t>
      </w:r>
      <w:r w:rsidRPr="00547D02">
        <w:rPr>
          <w:sz w:val="24"/>
          <w:rtl/>
        </w:rPr>
        <w:t xml:space="preserve"> </w:t>
      </w:r>
      <w:r w:rsidRPr="00547D02">
        <w:rPr>
          <w:rFonts w:hint="eastAsia"/>
          <w:sz w:val="24"/>
          <w:rtl/>
        </w:rPr>
        <w:t>יוכל</w:t>
      </w:r>
      <w:r w:rsidRPr="00547D02">
        <w:rPr>
          <w:sz w:val="24"/>
          <w:rtl/>
        </w:rPr>
        <w:t xml:space="preserve"> </w:t>
      </w:r>
      <w:r w:rsidRPr="00547D02">
        <w:rPr>
          <w:rFonts w:hint="eastAsia"/>
          <w:sz w:val="24"/>
          <w:rtl/>
        </w:rPr>
        <w:t>להביא</w:t>
      </w:r>
      <w:r w:rsidRPr="00547D02">
        <w:rPr>
          <w:sz w:val="24"/>
          <w:rtl/>
        </w:rPr>
        <w:t xml:space="preserve"> </w:t>
      </w:r>
      <w:r w:rsidRPr="00547D02">
        <w:rPr>
          <w:rFonts w:hint="eastAsia"/>
          <w:sz w:val="24"/>
          <w:rtl/>
        </w:rPr>
        <w:t>בחשבון</w:t>
      </w:r>
      <w:r w:rsidRPr="00547D02">
        <w:rPr>
          <w:sz w:val="24"/>
          <w:rtl/>
        </w:rPr>
        <w:t xml:space="preserve"> </w:t>
      </w:r>
      <w:r w:rsidRPr="00547D02">
        <w:rPr>
          <w:rFonts w:hint="eastAsia"/>
          <w:sz w:val="24"/>
          <w:rtl/>
        </w:rPr>
        <w:t>את</w:t>
      </w:r>
      <w:r w:rsidRPr="00547D02">
        <w:rPr>
          <w:sz w:val="24"/>
          <w:rtl/>
        </w:rPr>
        <w:t xml:space="preserve"> </w:t>
      </w:r>
      <w:r w:rsidRPr="00547D02">
        <w:rPr>
          <w:rFonts w:hint="eastAsia"/>
          <w:sz w:val="24"/>
          <w:rtl/>
        </w:rPr>
        <w:t>שתיקתך</w:t>
      </w:r>
      <w:r w:rsidRPr="00547D02">
        <w:rPr>
          <w:sz w:val="24"/>
          <w:rtl/>
        </w:rPr>
        <w:t xml:space="preserve">. </w:t>
      </w:r>
      <w:r w:rsidRPr="00547D02">
        <w:rPr>
          <w:rFonts w:hint="eastAsia"/>
          <w:sz w:val="24"/>
          <w:rtl/>
        </w:rPr>
        <w:t>זכותך</w:t>
      </w:r>
      <w:r w:rsidRPr="00547D02">
        <w:rPr>
          <w:sz w:val="24"/>
          <w:rtl/>
        </w:rPr>
        <w:t xml:space="preserve"> </w:t>
      </w:r>
      <w:r w:rsidRPr="00547D02">
        <w:rPr>
          <w:rFonts w:hint="eastAsia"/>
          <w:sz w:val="24"/>
          <w:rtl/>
        </w:rPr>
        <w:t>להיוועץ</w:t>
      </w:r>
      <w:r w:rsidRPr="00547D02">
        <w:rPr>
          <w:sz w:val="24"/>
          <w:rtl/>
        </w:rPr>
        <w:t xml:space="preserve"> </w:t>
      </w:r>
      <w:r w:rsidRPr="00547D02">
        <w:rPr>
          <w:rFonts w:hint="eastAsia"/>
          <w:sz w:val="24"/>
          <w:rtl/>
        </w:rPr>
        <w:t>בעורך</w:t>
      </w:r>
      <w:r w:rsidRPr="00547D02">
        <w:rPr>
          <w:sz w:val="24"/>
          <w:rtl/>
        </w:rPr>
        <w:t xml:space="preserve"> </w:t>
      </w:r>
      <w:r w:rsidRPr="00547D02">
        <w:rPr>
          <w:rFonts w:hint="eastAsia"/>
          <w:sz w:val="24"/>
          <w:rtl/>
        </w:rPr>
        <w:t>דין</w:t>
      </w:r>
      <w:r w:rsidRPr="00547D02">
        <w:rPr>
          <w:sz w:val="24"/>
          <w:rtl/>
        </w:rPr>
        <w:t xml:space="preserve"> </w:t>
      </w:r>
      <w:r w:rsidRPr="00547D02">
        <w:rPr>
          <w:rFonts w:hint="eastAsia"/>
          <w:sz w:val="24"/>
          <w:rtl/>
        </w:rPr>
        <w:t>לפני</w:t>
      </w:r>
      <w:r w:rsidRPr="00547D02">
        <w:rPr>
          <w:sz w:val="24"/>
          <w:rtl/>
        </w:rPr>
        <w:t xml:space="preserve"> </w:t>
      </w:r>
      <w:r w:rsidRPr="00547D02">
        <w:rPr>
          <w:rFonts w:hint="eastAsia"/>
          <w:sz w:val="24"/>
          <w:rtl/>
        </w:rPr>
        <w:t>חקירתך</w:t>
      </w:r>
      <w:r w:rsidRPr="00547D02">
        <w:rPr>
          <w:sz w:val="24"/>
          <w:rtl/>
        </w:rPr>
        <w:t xml:space="preserve">, </w:t>
      </w:r>
      <w:r w:rsidRPr="00547D02">
        <w:rPr>
          <w:rFonts w:hint="eastAsia"/>
          <w:sz w:val="24"/>
          <w:rtl/>
        </w:rPr>
        <w:t>בכפוף</w:t>
      </w:r>
      <w:r w:rsidRPr="00547D02">
        <w:rPr>
          <w:sz w:val="24"/>
          <w:rtl/>
        </w:rPr>
        <w:t xml:space="preserve"> </w:t>
      </w:r>
      <w:r w:rsidRPr="00547D02">
        <w:rPr>
          <w:rFonts w:hint="eastAsia"/>
          <w:sz w:val="24"/>
          <w:rtl/>
        </w:rPr>
        <w:t>למגבלות</w:t>
      </w:r>
      <w:r w:rsidRPr="00547D02">
        <w:rPr>
          <w:sz w:val="24"/>
          <w:rtl/>
        </w:rPr>
        <w:t xml:space="preserve"> </w:t>
      </w:r>
      <w:r w:rsidRPr="00547D02">
        <w:rPr>
          <w:rFonts w:hint="eastAsia"/>
          <w:sz w:val="24"/>
          <w:rtl/>
        </w:rPr>
        <w:t>הקבועות</w:t>
      </w:r>
      <w:r w:rsidRPr="00547D02">
        <w:rPr>
          <w:sz w:val="24"/>
          <w:rtl/>
        </w:rPr>
        <w:t xml:space="preserve"> </w:t>
      </w:r>
      <w:r w:rsidRPr="00547D02">
        <w:rPr>
          <w:rFonts w:hint="eastAsia"/>
          <w:sz w:val="24"/>
          <w:rtl/>
        </w:rPr>
        <w:t>בחוק</w:t>
      </w:r>
      <w:r w:rsidRPr="00547D02">
        <w:rPr>
          <w:sz w:val="24"/>
          <w:rtl/>
        </w:rPr>
        <w:t xml:space="preserve"> </w:t>
      </w:r>
      <w:r w:rsidRPr="00547D02">
        <w:rPr>
          <w:rFonts w:hint="eastAsia"/>
          <w:sz w:val="24"/>
          <w:rtl/>
        </w:rPr>
        <w:t>וזכותך</w:t>
      </w:r>
      <w:r w:rsidRPr="00547D02">
        <w:rPr>
          <w:sz w:val="24"/>
          <w:rtl/>
        </w:rPr>
        <w:t xml:space="preserve"> </w:t>
      </w:r>
      <w:r w:rsidRPr="00547D02">
        <w:rPr>
          <w:rFonts w:hint="eastAsia"/>
          <w:sz w:val="24"/>
          <w:rtl/>
        </w:rPr>
        <w:t>להיוועץ</w:t>
      </w:r>
      <w:r w:rsidRPr="00547D02">
        <w:rPr>
          <w:sz w:val="24"/>
          <w:rtl/>
        </w:rPr>
        <w:t xml:space="preserve"> </w:t>
      </w:r>
      <w:r w:rsidRPr="00547D02">
        <w:rPr>
          <w:rFonts w:hint="eastAsia"/>
          <w:sz w:val="24"/>
          <w:rtl/>
        </w:rPr>
        <w:t>בסנגור</w:t>
      </w:r>
      <w:r w:rsidRPr="00547D02">
        <w:rPr>
          <w:sz w:val="24"/>
          <w:rtl/>
        </w:rPr>
        <w:t xml:space="preserve"> </w:t>
      </w:r>
      <w:r w:rsidRPr="00547D02">
        <w:rPr>
          <w:rFonts w:hint="eastAsia"/>
          <w:sz w:val="24"/>
          <w:rtl/>
        </w:rPr>
        <w:t>ציבורי</w:t>
      </w:r>
      <w:r w:rsidRPr="00547D02">
        <w:rPr>
          <w:sz w:val="24"/>
          <w:rtl/>
        </w:rPr>
        <w:t xml:space="preserve"> </w:t>
      </w:r>
      <w:r w:rsidRPr="00547D02">
        <w:rPr>
          <w:rFonts w:hint="eastAsia"/>
          <w:sz w:val="24"/>
          <w:rtl/>
        </w:rPr>
        <w:t>אם</w:t>
      </w:r>
      <w:r w:rsidRPr="00547D02">
        <w:rPr>
          <w:sz w:val="24"/>
          <w:rtl/>
        </w:rPr>
        <w:t xml:space="preserve"> </w:t>
      </w:r>
      <w:r w:rsidRPr="00547D02">
        <w:rPr>
          <w:rFonts w:hint="eastAsia"/>
          <w:sz w:val="24"/>
          <w:rtl/>
        </w:rPr>
        <w:t>אתה</w:t>
      </w:r>
      <w:r w:rsidRPr="00547D02">
        <w:rPr>
          <w:sz w:val="24"/>
          <w:rtl/>
        </w:rPr>
        <w:t xml:space="preserve"> </w:t>
      </w:r>
      <w:r w:rsidRPr="00547D02">
        <w:rPr>
          <w:rFonts w:hint="eastAsia"/>
          <w:sz w:val="24"/>
          <w:rtl/>
        </w:rPr>
        <w:t>זכאי</w:t>
      </w:r>
      <w:r w:rsidRPr="00547D02">
        <w:rPr>
          <w:sz w:val="24"/>
          <w:rtl/>
        </w:rPr>
        <w:t xml:space="preserve"> </w:t>
      </w:r>
      <w:r w:rsidRPr="00547D02">
        <w:rPr>
          <w:rFonts w:hint="eastAsia"/>
          <w:sz w:val="24"/>
          <w:rtl/>
        </w:rPr>
        <w:t>לכך</w:t>
      </w:r>
      <w:r w:rsidRPr="00547D02">
        <w:rPr>
          <w:sz w:val="24"/>
          <w:rtl/>
        </w:rPr>
        <w:t xml:space="preserve"> </w:t>
      </w:r>
      <w:r w:rsidRPr="00547D02">
        <w:rPr>
          <w:rFonts w:hint="eastAsia"/>
          <w:sz w:val="24"/>
          <w:rtl/>
        </w:rPr>
        <w:t>על</w:t>
      </w:r>
      <w:r w:rsidRPr="00547D02">
        <w:rPr>
          <w:sz w:val="24"/>
          <w:rtl/>
        </w:rPr>
        <w:t xml:space="preserve"> </w:t>
      </w:r>
      <w:r w:rsidRPr="00547D02">
        <w:rPr>
          <w:rFonts w:hint="eastAsia"/>
          <w:sz w:val="24"/>
          <w:rtl/>
        </w:rPr>
        <w:t>פי</w:t>
      </w:r>
      <w:r w:rsidRPr="00547D02">
        <w:rPr>
          <w:sz w:val="24"/>
          <w:rtl/>
        </w:rPr>
        <w:t xml:space="preserve"> </w:t>
      </w:r>
      <w:r w:rsidRPr="00547D02">
        <w:rPr>
          <w:rFonts w:hint="eastAsia"/>
          <w:sz w:val="24"/>
          <w:rtl/>
        </w:rPr>
        <w:t>החוק</w:t>
      </w:r>
      <w:r w:rsidRPr="00547D02">
        <w:rPr>
          <w:sz w:val="24"/>
          <w:rtl/>
        </w:rPr>
        <w:t>"</w:t>
      </w:r>
      <w:r w:rsidRPr="008A58E6">
        <w:rPr>
          <w:sz w:val="24"/>
          <w:rtl/>
        </w:rPr>
        <w:t xml:space="preserve">. </w:t>
      </w:r>
    </w:p>
    <w:p w14:paraId="2DC7159D" w14:textId="77777777" w:rsidR="00BA23AE" w:rsidRDefault="00BA23AE" w:rsidP="003B7A94">
      <w:pPr>
        <w:pStyle w:val="100"/>
        <w:rPr>
          <w:rtl/>
        </w:rPr>
      </w:pPr>
      <w:r w:rsidRPr="00F13DA5">
        <w:rPr>
          <w:rFonts w:hint="eastAsia"/>
          <w:rtl/>
        </w:rPr>
        <w:t>לפיכך</w:t>
      </w:r>
      <w:r w:rsidRPr="00F13DA5">
        <w:rPr>
          <w:rtl/>
        </w:rPr>
        <w:t>, בשונה מנוסח דוח קצין ממונה</w:t>
      </w:r>
      <w:r w:rsidRPr="00F13DA5">
        <w:rPr>
          <w:rFonts w:hint="cs"/>
          <w:rtl/>
        </w:rPr>
        <w:t>,</w:t>
      </w:r>
      <w:r w:rsidRPr="00F13DA5">
        <w:rPr>
          <w:rtl/>
        </w:rPr>
        <w:t xml:space="preserve"> </w:t>
      </w:r>
      <w:r w:rsidRPr="00F13DA5">
        <w:rPr>
          <w:rFonts w:hint="eastAsia"/>
          <w:rtl/>
        </w:rPr>
        <w:t>נוסח</w:t>
      </w:r>
      <w:r w:rsidRPr="00F13DA5">
        <w:rPr>
          <w:rtl/>
        </w:rPr>
        <w:t xml:space="preserve"> </w:t>
      </w:r>
      <w:r w:rsidRPr="00F13DA5">
        <w:rPr>
          <w:rFonts w:hint="eastAsia"/>
          <w:rtl/>
        </w:rPr>
        <w:t>ההודעה</w:t>
      </w:r>
      <w:r w:rsidRPr="00F13DA5">
        <w:rPr>
          <w:rtl/>
        </w:rPr>
        <w:t xml:space="preserve"> </w:t>
      </w:r>
      <w:r w:rsidRPr="00F13DA5">
        <w:rPr>
          <w:rFonts w:hint="eastAsia"/>
          <w:rtl/>
        </w:rPr>
        <w:t>לחשוד</w:t>
      </w:r>
      <w:r w:rsidRPr="00F13DA5">
        <w:rPr>
          <w:rtl/>
        </w:rPr>
        <w:t xml:space="preserve"> </w:t>
      </w:r>
      <w:r w:rsidRPr="00F13DA5">
        <w:rPr>
          <w:rFonts w:hint="cs"/>
          <w:rtl/>
        </w:rPr>
        <w:t xml:space="preserve">על </w:t>
      </w:r>
      <w:r w:rsidRPr="00F13DA5">
        <w:rPr>
          <w:rFonts w:hint="eastAsia"/>
          <w:rtl/>
        </w:rPr>
        <w:t>אודות</w:t>
      </w:r>
      <w:r w:rsidRPr="00F13DA5">
        <w:rPr>
          <w:rtl/>
        </w:rPr>
        <w:t xml:space="preserve"> </w:t>
      </w:r>
      <w:r w:rsidRPr="00F13DA5">
        <w:rPr>
          <w:rFonts w:hint="eastAsia"/>
          <w:rtl/>
        </w:rPr>
        <w:t>זכויותיו</w:t>
      </w:r>
      <w:r w:rsidRPr="00F13DA5">
        <w:rPr>
          <w:rtl/>
        </w:rPr>
        <w:t xml:space="preserve"> </w:t>
      </w:r>
      <w:r w:rsidRPr="00F13DA5">
        <w:rPr>
          <w:rFonts w:hint="cs"/>
          <w:rtl/>
        </w:rPr>
        <w:t xml:space="preserve">אינו </w:t>
      </w:r>
      <w:r w:rsidRPr="00F13DA5">
        <w:rPr>
          <w:rtl/>
        </w:rPr>
        <w:t xml:space="preserve">מפרט את </w:t>
      </w:r>
      <w:r w:rsidRPr="00F13DA5">
        <w:rPr>
          <w:rFonts w:hint="eastAsia"/>
          <w:rtl/>
        </w:rPr>
        <w:t>השלבים</w:t>
      </w:r>
      <w:r w:rsidRPr="00F13DA5">
        <w:rPr>
          <w:rtl/>
        </w:rPr>
        <w:t xml:space="preserve"> </w:t>
      </w:r>
      <w:r w:rsidRPr="00F13DA5">
        <w:rPr>
          <w:rFonts w:hint="eastAsia"/>
          <w:rtl/>
        </w:rPr>
        <w:t>המקדימים</w:t>
      </w:r>
      <w:r w:rsidRPr="00F13DA5">
        <w:rPr>
          <w:rtl/>
        </w:rPr>
        <w:t xml:space="preserve"> </w:t>
      </w:r>
      <w:r w:rsidRPr="00F13DA5">
        <w:rPr>
          <w:rFonts w:hint="eastAsia"/>
          <w:rtl/>
        </w:rPr>
        <w:t>למימוש</w:t>
      </w:r>
      <w:r w:rsidRPr="00F13DA5">
        <w:rPr>
          <w:rtl/>
        </w:rPr>
        <w:t xml:space="preserve"> </w:t>
      </w:r>
      <w:r w:rsidRPr="00F13DA5">
        <w:rPr>
          <w:rFonts w:hint="eastAsia"/>
          <w:rtl/>
        </w:rPr>
        <w:t>זכות</w:t>
      </w:r>
      <w:r w:rsidRPr="00F13DA5">
        <w:rPr>
          <w:rtl/>
        </w:rPr>
        <w:t xml:space="preserve"> </w:t>
      </w:r>
      <w:r w:rsidRPr="00F13DA5">
        <w:rPr>
          <w:rFonts w:hint="eastAsia"/>
          <w:rtl/>
        </w:rPr>
        <w:t>ההיוועצות</w:t>
      </w:r>
      <w:r w:rsidRPr="00F13DA5">
        <w:rPr>
          <w:rtl/>
        </w:rPr>
        <w:t xml:space="preserve">. </w:t>
      </w:r>
      <w:r w:rsidRPr="00F13DA5">
        <w:rPr>
          <w:rFonts w:hint="eastAsia"/>
          <w:rtl/>
        </w:rPr>
        <w:t>גם</w:t>
      </w:r>
      <w:r w:rsidRPr="00F13DA5">
        <w:rPr>
          <w:rtl/>
        </w:rPr>
        <w:t xml:space="preserve"> </w:t>
      </w:r>
      <w:r w:rsidRPr="00F13DA5">
        <w:rPr>
          <w:rFonts w:hint="eastAsia"/>
          <w:rtl/>
        </w:rPr>
        <w:t>נ</w:t>
      </w:r>
      <w:r w:rsidRPr="00F13DA5">
        <w:rPr>
          <w:rFonts w:hint="cs"/>
          <w:rtl/>
        </w:rPr>
        <w:t>ו</w:t>
      </w:r>
      <w:r w:rsidRPr="00F13DA5">
        <w:rPr>
          <w:rFonts w:hint="eastAsia"/>
          <w:rtl/>
        </w:rPr>
        <w:t>הלי</w:t>
      </w:r>
      <w:r w:rsidRPr="00F13DA5">
        <w:rPr>
          <w:rtl/>
        </w:rPr>
        <w:t xml:space="preserve"> המשטרה </w:t>
      </w:r>
      <w:r w:rsidRPr="00F13DA5">
        <w:rPr>
          <w:rFonts w:hint="cs"/>
          <w:rtl/>
        </w:rPr>
        <w:t>אינם</w:t>
      </w:r>
      <w:r w:rsidRPr="00F13DA5">
        <w:rPr>
          <w:rtl/>
        </w:rPr>
        <w:t xml:space="preserve"> מחייבים את החוקר לבצע את השלבים המקדימים</w:t>
      </w:r>
      <w:r w:rsidRPr="00F13DA5">
        <w:rPr>
          <w:rFonts w:hint="cs"/>
          <w:rtl/>
        </w:rPr>
        <w:t>,</w:t>
      </w:r>
      <w:r w:rsidRPr="00F13DA5">
        <w:rPr>
          <w:rtl/>
        </w:rPr>
        <w:t xml:space="preserve"> ו</w:t>
      </w:r>
      <w:r w:rsidRPr="00F13DA5">
        <w:rPr>
          <w:rFonts w:hint="eastAsia"/>
          <w:rtl/>
        </w:rPr>
        <w:t>תיעודן</w:t>
      </w:r>
      <w:r w:rsidRPr="00F13DA5">
        <w:rPr>
          <w:rtl/>
        </w:rPr>
        <w:t xml:space="preserve"> </w:t>
      </w:r>
      <w:r w:rsidRPr="00F13DA5">
        <w:rPr>
          <w:rFonts w:hint="cs"/>
          <w:rtl/>
        </w:rPr>
        <w:t>אינו</w:t>
      </w:r>
      <w:r w:rsidRPr="00F13DA5">
        <w:rPr>
          <w:rtl/>
        </w:rPr>
        <w:t xml:space="preserve"> מעוגן </w:t>
      </w:r>
      <w:r w:rsidRPr="00F13DA5">
        <w:rPr>
          <w:rFonts w:hint="eastAsia"/>
          <w:rtl/>
        </w:rPr>
        <w:t>במפורש</w:t>
      </w:r>
      <w:r w:rsidRPr="00F13DA5">
        <w:rPr>
          <w:rtl/>
        </w:rPr>
        <w:t xml:space="preserve"> </w:t>
      </w:r>
      <w:r w:rsidRPr="00F13DA5">
        <w:rPr>
          <w:rFonts w:hint="eastAsia"/>
          <w:rtl/>
        </w:rPr>
        <w:t>במסמכים</w:t>
      </w:r>
      <w:r w:rsidRPr="00F13DA5">
        <w:rPr>
          <w:rtl/>
        </w:rPr>
        <w:t xml:space="preserve"> </w:t>
      </w:r>
      <w:r w:rsidRPr="00F13DA5">
        <w:rPr>
          <w:rFonts w:hint="eastAsia"/>
          <w:rtl/>
        </w:rPr>
        <w:t>אלו</w:t>
      </w:r>
      <w:r w:rsidRPr="00F13DA5">
        <w:rPr>
          <w:rtl/>
        </w:rPr>
        <w:t xml:space="preserve">. </w:t>
      </w:r>
      <w:r w:rsidRPr="00F13DA5">
        <w:rPr>
          <w:rFonts w:hint="eastAsia"/>
          <w:rtl/>
        </w:rPr>
        <w:t>כפועל</w:t>
      </w:r>
      <w:r w:rsidRPr="00F13DA5">
        <w:rPr>
          <w:rtl/>
        </w:rPr>
        <w:t xml:space="preserve"> </w:t>
      </w:r>
      <w:r w:rsidRPr="00F13DA5">
        <w:rPr>
          <w:rFonts w:hint="eastAsia"/>
          <w:rtl/>
        </w:rPr>
        <w:t>יוצא</w:t>
      </w:r>
      <w:r w:rsidRPr="00F13DA5">
        <w:rPr>
          <w:rtl/>
        </w:rPr>
        <w:t xml:space="preserve"> </w:t>
      </w:r>
      <w:r w:rsidRPr="00F13DA5">
        <w:rPr>
          <w:rFonts w:hint="eastAsia"/>
          <w:rtl/>
        </w:rPr>
        <w:t>מכך</w:t>
      </w:r>
      <w:r w:rsidRPr="00F13DA5">
        <w:rPr>
          <w:rtl/>
        </w:rPr>
        <w:t xml:space="preserve">, </w:t>
      </w:r>
      <w:r w:rsidRPr="00F13DA5">
        <w:rPr>
          <w:rFonts w:hint="eastAsia"/>
          <w:rtl/>
        </w:rPr>
        <w:t>עצור</w:t>
      </w:r>
      <w:r w:rsidRPr="00F13DA5">
        <w:rPr>
          <w:rtl/>
        </w:rPr>
        <w:t xml:space="preserve"> </w:t>
      </w:r>
      <w:r w:rsidRPr="00F13DA5">
        <w:rPr>
          <w:rFonts w:hint="eastAsia"/>
          <w:rtl/>
        </w:rPr>
        <w:t>שנחקר</w:t>
      </w:r>
      <w:r w:rsidRPr="00F13DA5">
        <w:rPr>
          <w:rtl/>
        </w:rPr>
        <w:t xml:space="preserve"> </w:t>
      </w:r>
      <w:r w:rsidRPr="00F13DA5">
        <w:rPr>
          <w:rFonts w:hint="eastAsia"/>
          <w:rtl/>
        </w:rPr>
        <w:t>לפני</w:t>
      </w:r>
      <w:r w:rsidRPr="00F13DA5">
        <w:rPr>
          <w:rtl/>
        </w:rPr>
        <w:t xml:space="preserve"> </w:t>
      </w:r>
      <w:r w:rsidRPr="00F13DA5">
        <w:rPr>
          <w:rFonts w:hint="eastAsia"/>
          <w:rtl/>
        </w:rPr>
        <w:t>שהובא</w:t>
      </w:r>
      <w:r w:rsidRPr="00F13DA5">
        <w:rPr>
          <w:rtl/>
        </w:rPr>
        <w:t xml:space="preserve"> </w:t>
      </w:r>
      <w:r w:rsidRPr="00F13DA5">
        <w:rPr>
          <w:rFonts w:hint="cs"/>
          <w:rtl/>
        </w:rPr>
        <w:t>ל</w:t>
      </w:r>
      <w:r w:rsidRPr="00F13DA5">
        <w:rPr>
          <w:rFonts w:hint="eastAsia"/>
          <w:rtl/>
        </w:rPr>
        <w:t>פני</w:t>
      </w:r>
      <w:r w:rsidRPr="00F13DA5">
        <w:rPr>
          <w:rtl/>
        </w:rPr>
        <w:t xml:space="preserve"> </w:t>
      </w:r>
      <w:r w:rsidRPr="00F13DA5">
        <w:rPr>
          <w:rFonts w:hint="eastAsia"/>
          <w:rtl/>
        </w:rPr>
        <w:t>קצין</w:t>
      </w:r>
      <w:r w:rsidRPr="00F13DA5">
        <w:rPr>
          <w:rtl/>
        </w:rPr>
        <w:t xml:space="preserve"> </w:t>
      </w:r>
      <w:r w:rsidRPr="00F13DA5">
        <w:rPr>
          <w:rFonts w:hint="eastAsia"/>
          <w:rtl/>
        </w:rPr>
        <w:t>ממונה</w:t>
      </w:r>
      <w:r w:rsidRPr="00F13DA5">
        <w:rPr>
          <w:rtl/>
        </w:rPr>
        <w:t xml:space="preserve">, </w:t>
      </w:r>
      <w:r w:rsidRPr="00F13DA5">
        <w:rPr>
          <w:rFonts w:hint="eastAsia"/>
          <w:rtl/>
        </w:rPr>
        <w:t>וכן</w:t>
      </w:r>
      <w:r w:rsidRPr="00F13DA5">
        <w:rPr>
          <w:rtl/>
        </w:rPr>
        <w:t xml:space="preserve"> </w:t>
      </w:r>
      <w:r w:rsidRPr="00F13DA5">
        <w:rPr>
          <w:rFonts w:hint="eastAsia"/>
          <w:rtl/>
        </w:rPr>
        <w:t>חשוד</w:t>
      </w:r>
      <w:r w:rsidRPr="00F13DA5">
        <w:rPr>
          <w:rtl/>
        </w:rPr>
        <w:t xml:space="preserve"> </w:t>
      </w:r>
      <w:r w:rsidRPr="00F13DA5">
        <w:rPr>
          <w:rFonts w:hint="eastAsia"/>
          <w:rtl/>
        </w:rPr>
        <w:t>שעולה</w:t>
      </w:r>
      <w:r w:rsidRPr="00F13DA5">
        <w:rPr>
          <w:rtl/>
        </w:rPr>
        <w:t xml:space="preserve"> </w:t>
      </w:r>
      <w:r w:rsidRPr="00F13DA5">
        <w:rPr>
          <w:rFonts w:hint="eastAsia"/>
          <w:rtl/>
        </w:rPr>
        <w:t>עילה</w:t>
      </w:r>
      <w:r w:rsidRPr="00F13DA5">
        <w:rPr>
          <w:rtl/>
        </w:rPr>
        <w:t xml:space="preserve"> </w:t>
      </w:r>
      <w:r w:rsidRPr="00F13DA5">
        <w:rPr>
          <w:rFonts w:hint="eastAsia"/>
          <w:rtl/>
        </w:rPr>
        <w:t>למעצרו</w:t>
      </w:r>
      <w:r w:rsidRPr="00F13DA5">
        <w:rPr>
          <w:rtl/>
        </w:rPr>
        <w:t xml:space="preserve"> </w:t>
      </w:r>
      <w:r w:rsidRPr="00F13DA5">
        <w:rPr>
          <w:rFonts w:hint="eastAsia"/>
          <w:rtl/>
        </w:rPr>
        <w:t>במהלך</w:t>
      </w:r>
      <w:r w:rsidRPr="00F13DA5">
        <w:rPr>
          <w:rtl/>
        </w:rPr>
        <w:t xml:space="preserve"> </w:t>
      </w:r>
      <w:r w:rsidRPr="00F13DA5">
        <w:rPr>
          <w:rFonts w:hint="eastAsia"/>
          <w:rtl/>
        </w:rPr>
        <w:t>חקירתו</w:t>
      </w:r>
      <w:r w:rsidRPr="00F13DA5">
        <w:rPr>
          <w:rtl/>
        </w:rPr>
        <w:t xml:space="preserve">, </w:t>
      </w:r>
      <w:r w:rsidRPr="00F13DA5">
        <w:rPr>
          <w:rFonts w:hint="eastAsia"/>
          <w:rtl/>
        </w:rPr>
        <w:t>נחקר</w:t>
      </w:r>
      <w:r w:rsidRPr="00F13DA5">
        <w:rPr>
          <w:rtl/>
        </w:rPr>
        <w:t xml:space="preserve"> </w:t>
      </w:r>
      <w:r w:rsidRPr="00F13DA5">
        <w:rPr>
          <w:rFonts w:hint="eastAsia"/>
          <w:rtl/>
        </w:rPr>
        <w:t>על</w:t>
      </w:r>
      <w:r w:rsidRPr="00F13DA5">
        <w:rPr>
          <w:rtl/>
        </w:rPr>
        <w:t xml:space="preserve"> </w:t>
      </w:r>
      <w:r w:rsidRPr="00F13DA5">
        <w:rPr>
          <w:rFonts w:hint="eastAsia"/>
          <w:rtl/>
        </w:rPr>
        <w:t>ידי</w:t>
      </w:r>
      <w:r w:rsidRPr="00F13DA5">
        <w:rPr>
          <w:rtl/>
        </w:rPr>
        <w:t xml:space="preserve"> </w:t>
      </w:r>
      <w:r w:rsidRPr="00F13DA5">
        <w:rPr>
          <w:rFonts w:hint="eastAsia"/>
          <w:rtl/>
        </w:rPr>
        <w:t>חוקר</w:t>
      </w:r>
      <w:r w:rsidRPr="00F13DA5">
        <w:rPr>
          <w:rtl/>
        </w:rPr>
        <w:t xml:space="preserve"> </w:t>
      </w:r>
      <w:r w:rsidRPr="00F13DA5">
        <w:rPr>
          <w:rFonts w:hint="eastAsia"/>
          <w:rtl/>
        </w:rPr>
        <w:t>מבלי</w:t>
      </w:r>
      <w:r w:rsidRPr="00F13DA5">
        <w:rPr>
          <w:rtl/>
        </w:rPr>
        <w:t xml:space="preserve"> </w:t>
      </w:r>
      <w:r w:rsidRPr="00F13DA5">
        <w:rPr>
          <w:rFonts w:hint="cs"/>
          <w:rtl/>
        </w:rPr>
        <w:t>שתועד בצורה</w:t>
      </w:r>
      <w:r w:rsidRPr="00F13DA5">
        <w:rPr>
          <w:rtl/>
        </w:rPr>
        <w:t xml:space="preserve"> </w:t>
      </w:r>
      <w:r w:rsidRPr="00F13DA5">
        <w:rPr>
          <w:rFonts w:hint="eastAsia"/>
          <w:rtl/>
        </w:rPr>
        <w:t>מסודר</w:t>
      </w:r>
      <w:r w:rsidRPr="00F13DA5">
        <w:rPr>
          <w:rFonts w:hint="cs"/>
          <w:rtl/>
        </w:rPr>
        <w:t>ת</w:t>
      </w:r>
      <w:r w:rsidRPr="00F13DA5">
        <w:rPr>
          <w:rtl/>
        </w:rPr>
        <w:t xml:space="preserve"> </w:t>
      </w:r>
      <w:r w:rsidRPr="00F13DA5">
        <w:rPr>
          <w:rFonts w:hint="cs"/>
          <w:rtl/>
        </w:rPr>
        <w:t>ה</w:t>
      </w:r>
      <w:r w:rsidRPr="00F13DA5">
        <w:rPr>
          <w:rFonts w:hint="eastAsia"/>
          <w:rtl/>
        </w:rPr>
        <w:t>מימוש</w:t>
      </w:r>
      <w:r w:rsidRPr="00F13DA5">
        <w:rPr>
          <w:rFonts w:hint="cs"/>
          <w:rtl/>
        </w:rPr>
        <w:t xml:space="preserve"> של</w:t>
      </w:r>
      <w:r w:rsidRPr="00F13DA5">
        <w:rPr>
          <w:rtl/>
        </w:rPr>
        <w:t xml:space="preserve"> </w:t>
      </w:r>
      <w:r w:rsidRPr="00F13DA5">
        <w:rPr>
          <w:rFonts w:hint="eastAsia"/>
          <w:rtl/>
        </w:rPr>
        <w:t>כל</w:t>
      </w:r>
      <w:r w:rsidRPr="00F13DA5">
        <w:rPr>
          <w:rtl/>
        </w:rPr>
        <w:t xml:space="preserve"> </w:t>
      </w:r>
      <w:r w:rsidRPr="00F13DA5">
        <w:rPr>
          <w:rFonts w:hint="eastAsia"/>
          <w:rtl/>
        </w:rPr>
        <w:t>השלבים</w:t>
      </w:r>
      <w:r w:rsidRPr="00F13DA5">
        <w:rPr>
          <w:rtl/>
        </w:rPr>
        <w:t xml:space="preserve"> </w:t>
      </w:r>
      <w:r w:rsidRPr="00F13DA5">
        <w:rPr>
          <w:rFonts w:hint="eastAsia"/>
          <w:rtl/>
        </w:rPr>
        <w:t>המקדימים</w:t>
      </w:r>
      <w:r w:rsidRPr="00F13DA5">
        <w:rPr>
          <w:rtl/>
        </w:rPr>
        <w:t xml:space="preserve"> </w:t>
      </w:r>
      <w:r w:rsidRPr="00F13DA5">
        <w:rPr>
          <w:rFonts w:hint="cs"/>
          <w:rtl/>
        </w:rPr>
        <w:t xml:space="preserve">שביצע </w:t>
      </w:r>
      <w:r w:rsidRPr="00F13DA5">
        <w:rPr>
          <w:rFonts w:hint="eastAsia"/>
          <w:rtl/>
        </w:rPr>
        <w:t>החוקר</w:t>
      </w:r>
      <w:r w:rsidRPr="00F13DA5">
        <w:rPr>
          <w:rtl/>
        </w:rPr>
        <w:t>.</w:t>
      </w:r>
      <w:r w:rsidRPr="00F13DA5">
        <w:rPr>
          <w:rFonts w:hint="cs"/>
          <w:rtl/>
        </w:rPr>
        <w:t xml:space="preserve"> </w:t>
      </w:r>
    </w:p>
    <w:p w14:paraId="6FDB3511" w14:textId="77777777" w:rsidR="00BA23AE" w:rsidRPr="00F13DA5" w:rsidRDefault="00BA23AE" w:rsidP="005D1BB8">
      <w:pPr>
        <w:pStyle w:val="100"/>
        <w:rPr>
          <w:rtl/>
        </w:rPr>
      </w:pPr>
      <w:r w:rsidRPr="001E40AC">
        <w:rPr>
          <w:rFonts w:hint="cs"/>
          <w:rtl/>
        </w:rPr>
        <w:t xml:space="preserve">משטרת ישראל מסרה בתגובתה כי היא נערכת לשינוי נוסח </w:t>
      </w:r>
      <w:r w:rsidRPr="001E40AC">
        <w:rPr>
          <w:rFonts w:hint="eastAsia"/>
          <w:rtl/>
        </w:rPr>
        <w:t>ההודעה</w:t>
      </w:r>
      <w:r w:rsidRPr="001E40AC">
        <w:rPr>
          <w:rtl/>
        </w:rPr>
        <w:t xml:space="preserve"> </w:t>
      </w:r>
      <w:r w:rsidRPr="001E40AC">
        <w:rPr>
          <w:rFonts w:hint="eastAsia"/>
          <w:rtl/>
        </w:rPr>
        <w:t>לחשוד</w:t>
      </w:r>
      <w:r w:rsidRPr="001E40AC">
        <w:rPr>
          <w:rtl/>
        </w:rPr>
        <w:t xml:space="preserve"> </w:t>
      </w:r>
      <w:r w:rsidRPr="001E40AC">
        <w:rPr>
          <w:rFonts w:hint="cs"/>
          <w:rtl/>
        </w:rPr>
        <w:t xml:space="preserve">על </w:t>
      </w:r>
      <w:r w:rsidRPr="001E40AC">
        <w:rPr>
          <w:rFonts w:hint="eastAsia"/>
          <w:rtl/>
        </w:rPr>
        <w:t>אודות</w:t>
      </w:r>
      <w:r w:rsidRPr="001E40AC">
        <w:rPr>
          <w:rtl/>
        </w:rPr>
        <w:t xml:space="preserve"> </w:t>
      </w:r>
      <w:r w:rsidRPr="001E40AC">
        <w:rPr>
          <w:rFonts w:hint="eastAsia"/>
          <w:rtl/>
        </w:rPr>
        <w:t>זכויותיו</w:t>
      </w:r>
      <w:r w:rsidRPr="001E40AC">
        <w:rPr>
          <w:rtl/>
        </w:rPr>
        <w:t xml:space="preserve">, כך </w:t>
      </w:r>
      <w:r w:rsidRPr="001E40AC">
        <w:rPr>
          <w:rFonts w:hint="eastAsia"/>
          <w:rtl/>
        </w:rPr>
        <w:t>שיעודכן</w:t>
      </w:r>
      <w:r w:rsidRPr="001E40AC">
        <w:rPr>
          <w:rtl/>
        </w:rPr>
        <w:t xml:space="preserve"> נוסח אזהרת חשוד - </w:t>
      </w:r>
      <w:r w:rsidRPr="001E40AC">
        <w:rPr>
          <w:rFonts w:hint="eastAsia"/>
          <w:rtl/>
        </w:rPr>
        <w:t>בנוסף</w:t>
      </w:r>
      <w:r w:rsidRPr="001E40AC">
        <w:rPr>
          <w:rtl/>
        </w:rPr>
        <w:t xml:space="preserve"> </w:t>
      </w:r>
      <w:r w:rsidRPr="001E40AC">
        <w:rPr>
          <w:rFonts w:hint="eastAsia"/>
          <w:rtl/>
        </w:rPr>
        <w:t>לאישורו</w:t>
      </w:r>
      <w:r w:rsidRPr="001E40AC">
        <w:rPr>
          <w:rtl/>
        </w:rPr>
        <w:t xml:space="preserve"> </w:t>
      </w:r>
      <w:r w:rsidRPr="001E40AC">
        <w:rPr>
          <w:rFonts w:hint="eastAsia"/>
          <w:rtl/>
        </w:rPr>
        <w:t>כי</w:t>
      </w:r>
      <w:r w:rsidRPr="001E40AC">
        <w:rPr>
          <w:rtl/>
        </w:rPr>
        <w:t xml:space="preserve"> </w:t>
      </w:r>
      <w:r w:rsidRPr="001E40AC">
        <w:rPr>
          <w:rFonts w:hint="eastAsia"/>
          <w:rtl/>
        </w:rPr>
        <w:t>הבין</w:t>
      </w:r>
      <w:r w:rsidRPr="001E40AC">
        <w:rPr>
          <w:rtl/>
        </w:rPr>
        <w:t xml:space="preserve"> </w:t>
      </w:r>
      <w:r w:rsidRPr="001E40AC">
        <w:rPr>
          <w:rFonts w:hint="eastAsia"/>
          <w:rtl/>
        </w:rPr>
        <w:t>את</w:t>
      </w:r>
      <w:r w:rsidRPr="001E40AC">
        <w:rPr>
          <w:rtl/>
        </w:rPr>
        <w:t xml:space="preserve"> </w:t>
      </w:r>
      <w:r w:rsidRPr="001E40AC">
        <w:rPr>
          <w:rFonts w:hint="eastAsia"/>
          <w:rtl/>
        </w:rPr>
        <w:t>החשד</w:t>
      </w:r>
      <w:r w:rsidRPr="001E40AC">
        <w:rPr>
          <w:rtl/>
        </w:rPr>
        <w:t xml:space="preserve"> </w:t>
      </w:r>
      <w:r w:rsidRPr="001E40AC">
        <w:rPr>
          <w:rFonts w:hint="eastAsia"/>
          <w:rtl/>
        </w:rPr>
        <w:t>נגדו</w:t>
      </w:r>
      <w:r w:rsidRPr="001E40AC">
        <w:rPr>
          <w:rtl/>
        </w:rPr>
        <w:t xml:space="preserve"> </w:t>
      </w:r>
      <w:r w:rsidRPr="001E40AC">
        <w:rPr>
          <w:rFonts w:hint="eastAsia"/>
          <w:rtl/>
        </w:rPr>
        <w:t>ואת</w:t>
      </w:r>
      <w:r w:rsidRPr="001E40AC">
        <w:rPr>
          <w:rtl/>
        </w:rPr>
        <w:t xml:space="preserve"> </w:t>
      </w:r>
      <w:r w:rsidRPr="001E40AC">
        <w:rPr>
          <w:rFonts w:hint="eastAsia"/>
          <w:rtl/>
        </w:rPr>
        <w:t>אזהרתו</w:t>
      </w:r>
      <w:r w:rsidRPr="001E40AC">
        <w:rPr>
          <w:rtl/>
        </w:rPr>
        <w:t xml:space="preserve">, </w:t>
      </w:r>
      <w:r w:rsidRPr="001E40AC">
        <w:rPr>
          <w:rFonts w:hint="eastAsia"/>
          <w:rtl/>
        </w:rPr>
        <w:t>העצור</w:t>
      </w:r>
      <w:r w:rsidRPr="001E40AC">
        <w:rPr>
          <w:rtl/>
        </w:rPr>
        <w:t xml:space="preserve"> יחתום במפורש כי הבין </w:t>
      </w:r>
      <w:r w:rsidRPr="001E40AC">
        <w:rPr>
          <w:rFonts w:hint="eastAsia"/>
          <w:rtl/>
        </w:rPr>
        <w:t>את</w:t>
      </w:r>
      <w:r w:rsidRPr="001E40AC">
        <w:rPr>
          <w:rtl/>
        </w:rPr>
        <w:t xml:space="preserve"> זכויותיו.</w:t>
      </w:r>
      <w:r>
        <w:rPr>
          <w:rFonts w:hint="cs"/>
          <w:rtl/>
        </w:rPr>
        <w:t xml:space="preserve"> </w:t>
      </w:r>
    </w:p>
    <w:p w14:paraId="72F4D1EA" w14:textId="77777777" w:rsidR="00BA23AE" w:rsidRPr="00F13DA5" w:rsidRDefault="00BA23AE" w:rsidP="005D1BB8">
      <w:pPr>
        <w:pStyle w:val="af4"/>
        <w:rPr>
          <w:rtl/>
        </w:rPr>
      </w:pPr>
      <w:r>
        <w:rPr>
          <w:rFonts w:hint="cs"/>
          <w:rtl/>
        </w:rPr>
        <w:t>נמצא כי אין</w:t>
      </w:r>
      <w:r w:rsidRPr="00F13DA5">
        <w:rPr>
          <w:rtl/>
        </w:rPr>
        <w:t xml:space="preserve"> הנחיה ברורה ל</w:t>
      </w:r>
      <w:r w:rsidRPr="00F13DA5">
        <w:rPr>
          <w:rFonts w:hint="cs"/>
          <w:rtl/>
        </w:rPr>
        <w:t>חוקר</w:t>
      </w:r>
      <w:r w:rsidRPr="00F13DA5">
        <w:rPr>
          <w:rtl/>
        </w:rPr>
        <w:t xml:space="preserve"> </w:t>
      </w:r>
      <w:r w:rsidRPr="00F13DA5">
        <w:rPr>
          <w:rFonts w:hint="cs"/>
          <w:rtl/>
        </w:rPr>
        <w:t xml:space="preserve">לבצע את </w:t>
      </w:r>
      <w:r w:rsidRPr="00F13DA5">
        <w:rPr>
          <w:rtl/>
        </w:rPr>
        <w:t xml:space="preserve">השלבים </w:t>
      </w:r>
      <w:r w:rsidRPr="00F13DA5">
        <w:rPr>
          <w:rFonts w:hint="cs"/>
          <w:rtl/>
        </w:rPr>
        <w:t>ל</w:t>
      </w:r>
      <w:r w:rsidRPr="00F13DA5">
        <w:rPr>
          <w:rtl/>
        </w:rPr>
        <w:t xml:space="preserve">מימוש זכות ההיוועצות </w:t>
      </w:r>
      <w:r w:rsidRPr="00F13DA5">
        <w:rPr>
          <w:rFonts w:hint="cs"/>
          <w:rtl/>
        </w:rPr>
        <w:t xml:space="preserve">ולתעד זאת, </w:t>
      </w:r>
      <w:r w:rsidRPr="00F13DA5">
        <w:rPr>
          <w:rtl/>
        </w:rPr>
        <w:t xml:space="preserve">כפי </w:t>
      </w:r>
      <w:r>
        <w:rPr>
          <w:rFonts w:hint="cs"/>
          <w:rtl/>
        </w:rPr>
        <w:t>שחייב</w:t>
      </w:r>
      <w:r w:rsidRPr="00F13DA5">
        <w:rPr>
          <w:rtl/>
        </w:rPr>
        <w:t xml:space="preserve"> קצין ממונה</w:t>
      </w:r>
      <w:r>
        <w:rPr>
          <w:rFonts w:hint="cs"/>
          <w:rtl/>
        </w:rPr>
        <w:t>. משכך,</w:t>
      </w:r>
      <w:r w:rsidRPr="00F13DA5">
        <w:rPr>
          <w:rtl/>
        </w:rPr>
        <w:t xml:space="preserve"> </w:t>
      </w:r>
      <w:r w:rsidRPr="00F13DA5">
        <w:rPr>
          <w:rFonts w:hint="cs"/>
          <w:rtl/>
        </w:rPr>
        <w:t>נוצר פער בתיעוד שלבים אלה שאינו מאפשר פיקוח ברמה הארצית ובאופן שוטף על ידי כלל הגורמים המעורבים בהליך - המשטרה, בית המשפט והסנגוריה</w:t>
      </w:r>
      <w:r w:rsidRPr="00F13DA5">
        <w:rPr>
          <w:rtl/>
        </w:rPr>
        <w:t>.</w:t>
      </w:r>
      <w:r w:rsidRPr="00F13DA5">
        <w:rPr>
          <w:rFonts w:hint="cs"/>
          <w:rtl/>
        </w:rPr>
        <w:t xml:space="preserve"> פער זה </w:t>
      </w:r>
      <w:r w:rsidRPr="00F13DA5">
        <w:rPr>
          <w:rFonts w:hint="eastAsia"/>
          <w:rtl/>
        </w:rPr>
        <w:t>מקשה</w:t>
      </w:r>
      <w:r w:rsidRPr="00F13DA5">
        <w:rPr>
          <w:rtl/>
        </w:rPr>
        <w:t xml:space="preserve"> </w:t>
      </w:r>
      <w:r w:rsidRPr="00F13DA5">
        <w:rPr>
          <w:rFonts w:hint="eastAsia"/>
          <w:rtl/>
        </w:rPr>
        <w:t>על</w:t>
      </w:r>
      <w:r w:rsidRPr="00F13DA5">
        <w:rPr>
          <w:rtl/>
        </w:rPr>
        <w:t xml:space="preserve"> </w:t>
      </w:r>
      <w:r w:rsidRPr="00F13DA5">
        <w:rPr>
          <w:rFonts w:hint="eastAsia"/>
          <w:rtl/>
        </w:rPr>
        <w:t>המשטרה</w:t>
      </w:r>
      <w:r w:rsidRPr="00F13DA5">
        <w:rPr>
          <w:rtl/>
        </w:rPr>
        <w:t xml:space="preserve"> </w:t>
      </w:r>
      <w:r w:rsidRPr="00F13DA5">
        <w:rPr>
          <w:rFonts w:hint="eastAsia"/>
          <w:rtl/>
        </w:rPr>
        <w:t>להמציא</w:t>
      </w:r>
      <w:r w:rsidRPr="00F13DA5">
        <w:rPr>
          <w:rtl/>
        </w:rPr>
        <w:t xml:space="preserve"> </w:t>
      </w:r>
      <w:r w:rsidRPr="00F13DA5">
        <w:rPr>
          <w:rFonts w:hint="eastAsia"/>
          <w:rtl/>
        </w:rPr>
        <w:t>תיעוד</w:t>
      </w:r>
      <w:r w:rsidRPr="00F13DA5">
        <w:rPr>
          <w:rtl/>
        </w:rPr>
        <w:t xml:space="preserve"> </w:t>
      </w:r>
      <w:r w:rsidRPr="00F13DA5">
        <w:rPr>
          <w:rFonts w:hint="eastAsia"/>
          <w:rtl/>
        </w:rPr>
        <w:t>המלמד</w:t>
      </w:r>
      <w:r w:rsidRPr="00F13DA5">
        <w:rPr>
          <w:rtl/>
        </w:rPr>
        <w:t xml:space="preserve"> </w:t>
      </w:r>
      <w:r w:rsidRPr="00F13DA5">
        <w:rPr>
          <w:rFonts w:hint="cs"/>
          <w:rtl/>
        </w:rPr>
        <w:t>שעמדה</w:t>
      </w:r>
      <w:r w:rsidRPr="00F13DA5">
        <w:rPr>
          <w:rtl/>
        </w:rPr>
        <w:t xml:space="preserve"> </w:t>
      </w:r>
      <w:r w:rsidRPr="00F13DA5">
        <w:rPr>
          <w:rFonts w:hint="eastAsia"/>
          <w:rtl/>
        </w:rPr>
        <w:t>בחובותיה</w:t>
      </w:r>
      <w:r w:rsidRPr="00F13DA5">
        <w:rPr>
          <w:rFonts w:hint="cs"/>
          <w:rtl/>
        </w:rPr>
        <w:t>,</w:t>
      </w:r>
      <w:r w:rsidRPr="00F13DA5">
        <w:rPr>
          <w:rtl/>
        </w:rPr>
        <w:t xml:space="preserve"> </w:t>
      </w:r>
      <w:r w:rsidRPr="00F13DA5">
        <w:rPr>
          <w:rFonts w:hint="eastAsia"/>
          <w:rtl/>
        </w:rPr>
        <w:t>לו</w:t>
      </w:r>
      <w:r w:rsidRPr="00F13DA5">
        <w:rPr>
          <w:rtl/>
        </w:rPr>
        <w:t xml:space="preserve"> </w:t>
      </w:r>
      <w:r w:rsidRPr="00F13DA5">
        <w:rPr>
          <w:rFonts w:hint="eastAsia"/>
          <w:rtl/>
        </w:rPr>
        <w:t>תידרש</w:t>
      </w:r>
      <w:r w:rsidRPr="00F13DA5">
        <w:rPr>
          <w:rtl/>
        </w:rPr>
        <w:t xml:space="preserve"> </w:t>
      </w:r>
      <w:r w:rsidRPr="00F13DA5">
        <w:rPr>
          <w:rFonts w:hint="eastAsia"/>
          <w:rtl/>
        </w:rPr>
        <w:t>לכך</w:t>
      </w:r>
      <w:r w:rsidRPr="00F13DA5">
        <w:rPr>
          <w:rtl/>
        </w:rPr>
        <w:t xml:space="preserve"> </w:t>
      </w:r>
      <w:r w:rsidRPr="00F13DA5">
        <w:rPr>
          <w:rFonts w:hint="eastAsia"/>
          <w:rtl/>
        </w:rPr>
        <w:t>בהליך</w:t>
      </w:r>
      <w:r w:rsidRPr="00F13DA5">
        <w:rPr>
          <w:rtl/>
        </w:rPr>
        <w:t xml:space="preserve"> </w:t>
      </w:r>
      <w:r w:rsidRPr="00F13DA5">
        <w:rPr>
          <w:rFonts w:hint="eastAsia"/>
          <w:rtl/>
        </w:rPr>
        <w:t>שיפוטי</w:t>
      </w:r>
      <w:r w:rsidRPr="00F13DA5">
        <w:rPr>
          <w:rtl/>
        </w:rPr>
        <w:t xml:space="preserve">. זאת </w:t>
      </w:r>
      <w:r w:rsidRPr="00F13DA5">
        <w:rPr>
          <w:rFonts w:hint="eastAsia"/>
          <w:rtl/>
        </w:rPr>
        <w:t>ועוד</w:t>
      </w:r>
      <w:r w:rsidRPr="00F13DA5">
        <w:rPr>
          <w:rFonts w:hint="cs"/>
          <w:rtl/>
        </w:rPr>
        <w:t>,</w:t>
      </w:r>
      <w:r w:rsidRPr="00F13DA5">
        <w:rPr>
          <w:rtl/>
        </w:rPr>
        <w:t xml:space="preserve"> </w:t>
      </w:r>
      <w:r w:rsidRPr="00F13DA5">
        <w:rPr>
          <w:rFonts w:hint="eastAsia"/>
          <w:rtl/>
        </w:rPr>
        <w:t>במצב</w:t>
      </w:r>
      <w:r w:rsidRPr="00F13DA5">
        <w:rPr>
          <w:rtl/>
        </w:rPr>
        <w:t xml:space="preserve"> דברים זה </w:t>
      </w:r>
      <w:r w:rsidRPr="00F13DA5">
        <w:rPr>
          <w:rFonts w:hint="eastAsia"/>
          <w:rtl/>
        </w:rPr>
        <w:t>עולה</w:t>
      </w:r>
      <w:r w:rsidRPr="00F13DA5">
        <w:rPr>
          <w:rtl/>
        </w:rPr>
        <w:t xml:space="preserve"> </w:t>
      </w:r>
      <w:r w:rsidRPr="00F13DA5">
        <w:rPr>
          <w:rFonts w:hint="eastAsia"/>
          <w:rtl/>
        </w:rPr>
        <w:t>החשש</w:t>
      </w:r>
      <w:r w:rsidRPr="00F13DA5">
        <w:rPr>
          <w:rtl/>
        </w:rPr>
        <w:t xml:space="preserve"> </w:t>
      </w:r>
      <w:r w:rsidRPr="00F13DA5">
        <w:rPr>
          <w:rFonts w:hint="cs"/>
          <w:rtl/>
        </w:rPr>
        <w:t>ש</w:t>
      </w:r>
      <w:r w:rsidRPr="00F13DA5">
        <w:rPr>
          <w:rFonts w:hint="eastAsia"/>
          <w:rtl/>
        </w:rPr>
        <w:t>ברוב</w:t>
      </w:r>
      <w:r w:rsidRPr="00F13DA5">
        <w:rPr>
          <w:rtl/>
        </w:rPr>
        <w:t xml:space="preserve"> </w:t>
      </w:r>
      <w:r w:rsidRPr="00F13DA5">
        <w:rPr>
          <w:rFonts w:hint="eastAsia"/>
          <w:rtl/>
        </w:rPr>
        <w:t>המעצרים</w:t>
      </w:r>
      <w:r w:rsidRPr="00F13DA5">
        <w:rPr>
          <w:rtl/>
        </w:rPr>
        <w:t xml:space="preserve"> </w:t>
      </w:r>
      <w:r w:rsidRPr="00F13DA5">
        <w:rPr>
          <w:rFonts w:hint="eastAsia"/>
          <w:rtl/>
        </w:rPr>
        <w:t>מתייתר</w:t>
      </w:r>
      <w:r w:rsidRPr="00F13DA5">
        <w:rPr>
          <w:rtl/>
        </w:rPr>
        <w:t xml:space="preserve"> </w:t>
      </w:r>
      <w:r w:rsidRPr="00F13DA5">
        <w:rPr>
          <w:rFonts w:hint="eastAsia"/>
          <w:rtl/>
        </w:rPr>
        <w:t>ביצועו</w:t>
      </w:r>
      <w:r w:rsidRPr="00F13DA5">
        <w:rPr>
          <w:rtl/>
        </w:rPr>
        <w:t xml:space="preserve"> </w:t>
      </w:r>
      <w:r w:rsidRPr="00F13DA5">
        <w:rPr>
          <w:rFonts w:hint="eastAsia"/>
          <w:rtl/>
        </w:rPr>
        <w:t>בדיעבד</w:t>
      </w:r>
      <w:r w:rsidRPr="00F13DA5">
        <w:rPr>
          <w:rtl/>
        </w:rPr>
        <w:t xml:space="preserve"> </w:t>
      </w:r>
      <w:r w:rsidRPr="00F13DA5">
        <w:rPr>
          <w:rFonts w:hint="eastAsia"/>
          <w:rtl/>
        </w:rPr>
        <w:t>של</w:t>
      </w:r>
      <w:r w:rsidRPr="00F13DA5">
        <w:rPr>
          <w:rtl/>
        </w:rPr>
        <w:t xml:space="preserve"> </w:t>
      </w:r>
      <w:r w:rsidRPr="00F13DA5">
        <w:rPr>
          <w:rFonts w:hint="eastAsia"/>
          <w:rtl/>
        </w:rPr>
        <w:t>שלב</w:t>
      </w:r>
      <w:r w:rsidRPr="00F13DA5">
        <w:rPr>
          <w:rtl/>
        </w:rPr>
        <w:t xml:space="preserve"> </w:t>
      </w:r>
      <w:r w:rsidRPr="00F13DA5">
        <w:rPr>
          <w:rFonts w:hint="eastAsia"/>
          <w:rtl/>
        </w:rPr>
        <w:t>מימוש</w:t>
      </w:r>
      <w:r w:rsidRPr="00F13DA5">
        <w:rPr>
          <w:rtl/>
        </w:rPr>
        <w:t xml:space="preserve"> </w:t>
      </w:r>
      <w:r w:rsidRPr="00F13DA5">
        <w:rPr>
          <w:rFonts w:hint="eastAsia"/>
          <w:rtl/>
        </w:rPr>
        <w:t>השלבים</w:t>
      </w:r>
      <w:r w:rsidRPr="00F13DA5">
        <w:rPr>
          <w:rtl/>
        </w:rPr>
        <w:t xml:space="preserve"> </w:t>
      </w:r>
      <w:r w:rsidRPr="00F13DA5">
        <w:rPr>
          <w:rFonts w:hint="eastAsia"/>
          <w:rtl/>
        </w:rPr>
        <w:t>המקדימים</w:t>
      </w:r>
      <w:r w:rsidRPr="00F13DA5">
        <w:rPr>
          <w:rtl/>
        </w:rPr>
        <w:t xml:space="preserve"> </w:t>
      </w:r>
      <w:r w:rsidRPr="00F13DA5">
        <w:rPr>
          <w:rFonts w:hint="eastAsia"/>
          <w:rtl/>
        </w:rPr>
        <w:t>על</w:t>
      </w:r>
      <w:r w:rsidRPr="00F13DA5">
        <w:rPr>
          <w:rtl/>
        </w:rPr>
        <w:t xml:space="preserve"> </w:t>
      </w:r>
      <w:r w:rsidRPr="00F13DA5">
        <w:rPr>
          <w:rFonts w:hint="eastAsia"/>
          <w:rtl/>
        </w:rPr>
        <w:t>ידי</w:t>
      </w:r>
      <w:r w:rsidRPr="00F13DA5">
        <w:rPr>
          <w:rtl/>
        </w:rPr>
        <w:t xml:space="preserve"> </w:t>
      </w:r>
      <w:r w:rsidRPr="00F13DA5">
        <w:rPr>
          <w:rFonts w:hint="eastAsia"/>
          <w:rtl/>
        </w:rPr>
        <w:t>הקצין</w:t>
      </w:r>
      <w:r w:rsidRPr="00F13DA5">
        <w:rPr>
          <w:rtl/>
        </w:rPr>
        <w:t xml:space="preserve"> </w:t>
      </w:r>
      <w:r w:rsidRPr="00F13DA5">
        <w:rPr>
          <w:rFonts w:hint="eastAsia"/>
          <w:rtl/>
        </w:rPr>
        <w:t>הממונה</w:t>
      </w:r>
      <w:r w:rsidRPr="00F13DA5">
        <w:rPr>
          <w:rtl/>
        </w:rPr>
        <w:t>.</w:t>
      </w:r>
    </w:p>
    <w:p w14:paraId="0A6E73C8" w14:textId="77777777" w:rsidR="00BA23AE" w:rsidRPr="00F13DA5" w:rsidRDefault="00BA23AE" w:rsidP="005D1BB8">
      <w:pPr>
        <w:pStyle w:val="af4"/>
        <w:rPr>
          <w:rtl/>
        </w:rPr>
      </w:pPr>
      <w:r>
        <w:rPr>
          <w:rFonts w:hint="cs"/>
          <w:rtl/>
        </w:rPr>
        <w:t xml:space="preserve">הנוסח החדש של ההודעה לחשוד על אודות זכויותיו לא מפרט את השלבים המקדימים למימוש זכות ההיוועצות. </w:t>
      </w:r>
      <w:r w:rsidRPr="00F13DA5">
        <w:rPr>
          <w:rFonts w:hint="cs"/>
          <w:rtl/>
        </w:rPr>
        <w:t xml:space="preserve">לאור קיומו של טופס בדוח הקצין הממונה שמפרט </w:t>
      </w:r>
      <w:r>
        <w:rPr>
          <w:rFonts w:hint="cs"/>
          <w:rtl/>
        </w:rPr>
        <w:t>שלבים אלו</w:t>
      </w:r>
      <w:r w:rsidRPr="00F13DA5">
        <w:rPr>
          <w:rFonts w:hint="cs"/>
          <w:rtl/>
        </w:rPr>
        <w:t>, על המשטרה לשקול להורות לחוקריה להשתמש בנוסח זה בכל החלטה על מעצרו של אדם, ולא להסתמך על נוסח אזהרת חשוד בלבד. ככלל, על החוקרים להכין את הדוח באופן מקוון באמצעות המערכות הממוחשבות. אם החוקרים הכינו דוח ידני, עליהם להזינו במערכת הממוחשבת לאחר מעשה, כדי שניתן יהיה לאתר ולנתח את הנתונים המצויים בו.</w:t>
      </w:r>
      <w:r>
        <w:rPr>
          <w:rFonts w:hint="cs"/>
          <w:rtl/>
        </w:rPr>
        <w:t xml:space="preserve"> כל זאת כדי לאפשר פיקוח ובקרה על מימוש זכויות העצור. </w:t>
      </w:r>
    </w:p>
    <w:p w14:paraId="5AD02D75" w14:textId="77777777" w:rsidR="00BA23AE" w:rsidRPr="00F13DA5" w:rsidRDefault="00BA23AE" w:rsidP="005D1BB8">
      <w:pPr>
        <w:pStyle w:val="100"/>
        <w:rPr>
          <w:b/>
          <w:bCs/>
          <w:rtl/>
        </w:rPr>
      </w:pPr>
      <w:r w:rsidRPr="00F13DA5">
        <w:rPr>
          <w:rFonts w:hint="cs"/>
          <w:rtl/>
        </w:rPr>
        <w:t xml:space="preserve">משטרת ישראל מסרה כי תשקול לערוך את השינוי במסמך נוסח אזהרת חשוד או בדוח מעצר שוטר. כך, יתאפשר </w:t>
      </w:r>
      <w:r>
        <w:rPr>
          <w:rFonts w:hint="cs"/>
          <w:rtl/>
        </w:rPr>
        <w:t>לתעד את</w:t>
      </w:r>
      <w:r w:rsidRPr="00F13DA5">
        <w:rPr>
          <w:rFonts w:hint="cs"/>
          <w:rtl/>
        </w:rPr>
        <w:t xml:space="preserve"> מתן הזכויות גם אם עוכבה הבאתו של העצור </w:t>
      </w:r>
      <w:r>
        <w:rPr>
          <w:rFonts w:hint="cs"/>
          <w:rtl/>
        </w:rPr>
        <w:t>ל</w:t>
      </w:r>
      <w:r w:rsidRPr="00F13DA5">
        <w:rPr>
          <w:rFonts w:hint="cs"/>
          <w:rtl/>
        </w:rPr>
        <w:t>פני קצין ממונה.</w:t>
      </w:r>
      <w:r w:rsidRPr="00F13DA5">
        <w:rPr>
          <w:rFonts w:hint="cs"/>
          <w:b/>
          <w:bCs/>
          <w:rtl/>
        </w:rPr>
        <w:t xml:space="preserve"> </w:t>
      </w:r>
    </w:p>
    <w:p w14:paraId="0BEE3307" w14:textId="77777777" w:rsidR="00BA23AE" w:rsidRPr="00F13DA5" w:rsidRDefault="00BA23AE" w:rsidP="003405D2">
      <w:pPr>
        <w:pStyle w:val="316"/>
        <w:rPr>
          <w:rtl/>
        </w:rPr>
      </w:pPr>
      <w:r w:rsidRPr="00F13DA5">
        <w:rPr>
          <w:rFonts w:hint="cs"/>
          <w:rtl/>
        </w:rPr>
        <w:lastRenderedPageBreak/>
        <w:t>ויתור עצור על זכות ההיוועצות</w:t>
      </w:r>
    </w:p>
    <w:p w14:paraId="427842A0" w14:textId="77777777" w:rsidR="00BA23AE" w:rsidRPr="00F13DA5" w:rsidRDefault="00BA23AE" w:rsidP="003405D2">
      <w:pPr>
        <w:pStyle w:val="100"/>
      </w:pPr>
      <w:r w:rsidRPr="00F13DA5">
        <w:rPr>
          <w:rFonts w:hint="cs"/>
          <w:rtl/>
        </w:rPr>
        <w:t xml:space="preserve">בית המשפט העליון חזר וקבע פעמים אחדות כי ויתור על זכות ההיוועצות, שהיא זכות יסוד של חשוד בהליך הפלילי, צריך להיות מדעת ובמפורש, מבלי שיושפע מתרגילי חקירה, ועל החוקר לוודא שהעצור הבין את משמעות הוויתור. בשנת 2012 נתן בית המשפט עדיפות לתיעוד הוויתור בהקלטת וידאו או </w:t>
      </w:r>
      <w:r>
        <w:rPr>
          <w:rFonts w:hint="cs"/>
          <w:rtl/>
        </w:rPr>
        <w:t>שמע</w:t>
      </w:r>
      <w:r w:rsidRPr="00F13DA5">
        <w:rPr>
          <w:rFonts w:hint="cs"/>
          <w:rtl/>
        </w:rPr>
        <w:t>, וקבע שבלית ברירה ניתן לתעדו בכתב ובחתימת הנחקר</w:t>
      </w:r>
      <w:r w:rsidRPr="00F13DA5">
        <w:rPr>
          <w:vertAlign w:val="superscript"/>
          <w:rtl/>
        </w:rPr>
        <w:footnoteReference w:id="29"/>
      </w:r>
      <w:r w:rsidRPr="00F13DA5">
        <w:rPr>
          <w:rFonts w:hint="cs"/>
          <w:rtl/>
        </w:rPr>
        <w:t xml:space="preserve">. </w:t>
      </w:r>
    </w:p>
    <w:p w14:paraId="23302F41" w14:textId="77777777" w:rsidR="00BA23AE" w:rsidRPr="00F13DA5" w:rsidRDefault="00BA23AE" w:rsidP="003405D2">
      <w:pPr>
        <w:pStyle w:val="100"/>
      </w:pPr>
      <w:r w:rsidRPr="00F13DA5">
        <w:rPr>
          <w:rFonts w:hint="cs"/>
          <w:rtl/>
        </w:rPr>
        <w:t>באוגוסט 2018 חזר בית המשפט העליון בפרשת חייבטוב על הקביעה כי</w:t>
      </w:r>
      <w:r w:rsidRPr="00F13DA5">
        <w:rPr>
          <w:rtl/>
        </w:rPr>
        <w:t xml:space="preserve"> זכות ההיוועצות הי</w:t>
      </w:r>
      <w:r w:rsidRPr="00F13DA5">
        <w:rPr>
          <w:rFonts w:hint="cs"/>
          <w:rtl/>
        </w:rPr>
        <w:t>א</w:t>
      </w:r>
      <w:r w:rsidRPr="00F13DA5">
        <w:rPr>
          <w:rtl/>
        </w:rPr>
        <w:t xml:space="preserve"> זכות מהותית ויסודית ויש להקפיד על קיומה</w:t>
      </w:r>
      <w:r w:rsidRPr="00F13DA5">
        <w:rPr>
          <w:rFonts w:hint="cs"/>
          <w:rtl/>
        </w:rPr>
        <w:t xml:space="preserve">. עוד נקבע כי על גורמי החקירה מוטלת החובה לברר אם אכן ויתר החשוד על זכותו. בית המשפט העיר שיש לתעד את הוויתור בהקלטת וידאו או </w:t>
      </w:r>
      <w:r>
        <w:rPr>
          <w:rFonts w:hint="cs"/>
          <w:rtl/>
        </w:rPr>
        <w:t>שמע</w:t>
      </w:r>
      <w:r w:rsidRPr="00F13DA5">
        <w:rPr>
          <w:rtl/>
        </w:rPr>
        <w:t xml:space="preserve"> כדי לאפשר ביקורת שיפוטית בשלב מאוחר יותר בנוגע למימוש זכות ההיוועצות</w:t>
      </w:r>
      <w:r w:rsidRPr="00F13DA5">
        <w:rPr>
          <w:vertAlign w:val="superscript"/>
          <w:rtl/>
        </w:rPr>
        <w:footnoteReference w:id="30"/>
      </w:r>
      <w:r w:rsidRPr="00F13DA5">
        <w:rPr>
          <w:rFonts w:hint="cs"/>
          <w:rtl/>
        </w:rPr>
        <w:t xml:space="preserve">. </w:t>
      </w:r>
    </w:p>
    <w:p w14:paraId="0D17A5ED" w14:textId="77777777" w:rsidR="00BA23AE" w:rsidRPr="00F13DA5" w:rsidRDefault="00BA23AE" w:rsidP="003405D2">
      <w:pPr>
        <w:pStyle w:val="100"/>
        <w:rPr>
          <w:rtl/>
        </w:rPr>
      </w:pPr>
      <w:r w:rsidRPr="00F13DA5">
        <w:rPr>
          <w:rFonts w:hint="cs"/>
          <w:rtl/>
        </w:rPr>
        <w:t>בעקבות פסק הדין נערכה פנייה ממשרד המשפטים למשטרת ישראל, על מנת שזו תבדוק אילו פעולות נעשו לתיקון הכשלים ולמניעת הישנותם בעתיד. במענה המשטרה מחודש דצמבר 2018</w:t>
      </w:r>
      <w:r>
        <w:rPr>
          <w:rFonts w:hint="cs"/>
          <w:rtl/>
        </w:rPr>
        <w:t xml:space="preserve"> לפנייה זו</w:t>
      </w:r>
      <w:r w:rsidRPr="00F13DA5">
        <w:rPr>
          <w:rFonts w:hint="cs"/>
          <w:rtl/>
        </w:rPr>
        <w:t xml:space="preserve"> היא ציינה כי בהתאם לחוות דעת משפטית מטעמה, אין מקום </w:t>
      </w:r>
      <w:r w:rsidRPr="00F13DA5">
        <w:rPr>
          <w:rtl/>
        </w:rPr>
        <w:t>להורות על תיעוד חזותי</w:t>
      </w:r>
      <w:r w:rsidRPr="00F13DA5">
        <w:rPr>
          <w:rFonts w:hint="cs"/>
          <w:rtl/>
        </w:rPr>
        <w:t xml:space="preserve"> או </w:t>
      </w:r>
      <w:r w:rsidRPr="00F13DA5">
        <w:rPr>
          <w:rtl/>
        </w:rPr>
        <w:t>קולי של כל ויתור על זכות ההיוועצות, שכן הדבר יטיל על</w:t>
      </w:r>
      <w:r w:rsidRPr="00F13DA5">
        <w:rPr>
          <w:rFonts w:hint="cs"/>
          <w:rtl/>
        </w:rPr>
        <w:t>יה</w:t>
      </w:r>
      <w:r w:rsidRPr="00F13DA5">
        <w:rPr>
          <w:rtl/>
        </w:rPr>
        <w:t xml:space="preserve"> נטל בלתי סביר</w:t>
      </w:r>
      <w:r w:rsidRPr="00F13DA5">
        <w:rPr>
          <w:rFonts w:hint="cs"/>
          <w:rtl/>
        </w:rPr>
        <w:t xml:space="preserve">. יוצא אפוא כי תיעוד חזותי או קולי של ויתור על הזכות יתבצע בעבירות </w:t>
      </w:r>
      <w:r>
        <w:rPr>
          <w:rFonts w:hint="cs"/>
          <w:rtl/>
        </w:rPr>
        <w:t>ש</w:t>
      </w:r>
      <w:r w:rsidRPr="00F13DA5">
        <w:rPr>
          <w:rFonts w:hint="cs"/>
          <w:rtl/>
        </w:rPr>
        <w:t>בהן ממילא קיימת חובת תיעוד חקירה באופן זה. עם זאת, המשטרה</w:t>
      </w:r>
      <w:r w:rsidRPr="00F13DA5">
        <w:rPr>
          <w:rtl/>
        </w:rPr>
        <w:t xml:space="preserve"> </w:t>
      </w:r>
      <w:r w:rsidRPr="00F13DA5">
        <w:rPr>
          <w:rFonts w:hint="cs"/>
          <w:rtl/>
        </w:rPr>
        <w:t>ה</w:t>
      </w:r>
      <w:r w:rsidRPr="00F13DA5">
        <w:rPr>
          <w:rtl/>
        </w:rPr>
        <w:t>צ</w:t>
      </w:r>
      <w:r w:rsidRPr="00F13DA5">
        <w:rPr>
          <w:rFonts w:hint="cs"/>
          <w:rtl/>
        </w:rPr>
        <w:t>י</w:t>
      </w:r>
      <w:r w:rsidRPr="00F13DA5">
        <w:rPr>
          <w:rtl/>
        </w:rPr>
        <w:t>ע</w:t>
      </w:r>
      <w:r w:rsidRPr="00F13DA5">
        <w:rPr>
          <w:rFonts w:hint="cs"/>
          <w:rtl/>
        </w:rPr>
        <w:t xml:space="preserve">ה </w:t>
      </w:r>
      <w:r w:rsidRPr="00F13DA5">
        <w:rPr>
          <w:rtl/>
        </w:rPr>
        <w:t xml:space="preserve">לתקן את טופס </w:t>
      </w:r>
      <w:r w:rsidRPr="00F13DA5">
        <w:rPr>
          <w:rFonts w:hint="cs"/>
          <w:rtl/>
        </w:rPr>
        <w:t>ה</w:t>
      </w:r>
      <w:r w:rsidRPr="00F13DA5">
        <w:rPr>
          <w:rtl/>
        </w:rPr>
        <w:t>הודעה על זכויות חשוד טרם חקירה</w:t>
      </w:r>
      <w:r w:rsidRPr="00F13DA5">
        <w:rPr>
          <w:rFonts w:hint="cs"/>
          <w:rtl/>
        </w:rPr>
        <w:t xml:space="preserve">, באופן שהטופס המתוקן יכלול סעיף ויתור מפורש שעליו יידרש החשוד לחתום. </w:t>
      </w:r>
    </w:p>
    <w:p w14:paraId="7AE7A46F" w14:textId="77777777" w:rsidR="00BA23AE" w:rsidRPr="00F13DA5" w:rsidRDefault="00BA23AE" w:rsidP="00471FC6">
      <w:pPr>
        <w:pStyle w:val="100"/>
        <w:rPr>
          <w:rtl/>
        </w:rPr>
      </w:pPr>
      <w:r w:rsidRPr="00F13DA5">
        <w:rPr>
          <w:rFonts w:hint="cs"/>
          <w:rtl/>
        </w:rPr>
        <w:t xml:space="preserve">בשונה מעמדת המשטרה, לעמדת הסנגוריה הציבורית קביעת בית המשפט בפרשת חייבטוב מחייבת את המשטרה לתעד את הוויתור על זכות ההיוועצות באופן חזותי או קולי. </w:t>
      </w:r>
      <w:r>
        <w:rPr>
          <w:rFonts w:hint="cs"/>
          <w:rtl/>
        </w:rPr>
        <w:t xml:space="preserve">לעמדתה, </w:t>
      </w:r>
      <w:r w:rsidRPr="00F13DA5">
        <w:rPr>
          <w:rFonts w:hint="cs"/>
          <w:rtl/>
        </w:rPr>
        <w:t>פיקוח על עבודת המשטרה באמצעות תיעוד חזותי או קולי צפוי להפחית ליקויים בעבודת המשטרה בהליך יידוע העצור על זכותו להיוועצות ומתן האפשרות לממש אותה, ולאפשר בקרה על ההליך בדיעבד. בכך</w:t>
      </w:r>
      <w:r>
        <w:rPr>
          <w:rFonts w:hint="cs"/>
          <w:rtl/>
        </w:rPr>
        <w:t xml:space="preserve"> </w:t>
      </w:r>
      <w:r w:rsidRPr="00F13DA5">
        <w:rPr>
          <w:rFonts w:hint="cs"/>
          <w:rtl/>
        </w:rPr>
        <w:t xml:space="preserve">יימנעו מצבים </w:t>
      </w:r>
      <w:r>
        <w:rPr>
          <w:rFonts w:hint="cs"/>
          <w:rtl/>
        </w:rPr>
        <w:t>ש</w:t>
      </w:r>
      <w:r w:rsidRPr="00F13DA5">
        <w:rPr>
          <w:rFonts w:hint="cs"/>
          <w:rtl/>
        </w:rPr>
        <w:t xml:space="preserve">בהם עצורים </w:t>
      </w:r>
      <w:r>
        <w:rPr>
          <w:rFonts w:hint="cs"/>
          <w:rtl/>
        </w:rPr>
        <w:t>אינם</w:t>
      </w:r>
      <w:r w:rsidRPr="00F13DA5">
        <w:rPr>
          <w:rFonts w:hint="cs"/>
          <w:rtl/>
        </w:rPr>
        <w:t xml:space="preserve"> מודעים לזכות, לא מקבלים את מלוא המידע אודות הזכות, </w:t>
      </w:r>
      <w:r>
        <w:rPr>
          <w:rFonts w:hint="cs"/>
          <w:rtl/>
        </w:rPr>
        <w:t>אינם</w:t>
      </w:r>
      <w:r w:rsidRPr="00F13DA5">
        <w:rPr>
          <w:rFonts w:hint="cs"/>
          <w:rtl/>
        </w:rPr>
        <w:t xml:space="preserve"> מבינים את </w:t>
      </w:r>
      <w:r>
        <w:rPr>
          <w:rFonts w:hint="cs"/>
          <w:rtl/>
        </w:rPr>
        <w:t>משמעותה</w:t>
      </w:r>
      <w:r w:rsidRPr="00F13DA5">
        <w:rPr>
          <w:rFonts w:hint="cs"/>
          <w:rtl/>
        </w:rPr>
        <w:t xml:space="preserve"> או </w:t>
      </w:r>
      <w:r>
        <w:rPr>
          <w:rFonts w:hint="cs"/>
          <w:rtl/>
        </w:rPr>
        <w:t>אינם</w:t>
      </w:r>
      <w:r w:rsidRPr="00F13DA5">
        <w:rPr>
          <w:rFonts w:hint="cs"/>
          <w:rtl/>
        </w:rPr>
        <w:t xml:space="preserve"> מתייעצים במועד המוקדם ביותר האפשרי. </w:t>
      </w:r>
    </w:p>
    <w:p w14:paraId="39A2B946" w14:textId="77777777" w:rsidR="00BA23AE" w:rsidRPr="00F13DA5" w:rsidRDefault="00BA23AE" w:rsidP="00471FC6">
      <w:pPr>
        <w:pStyle w:val="100"/>
        <w:rPr>
          <w:rtl/>
        </w:rPr>
      </w:pPr>
      <w:r w:rsidRPr="00F13DA5">
        <w:rPr>
          <w:rFonts w:hint="eastAsia"/>
          <w:rtl/>
        </w:rPr>
        <w:t>המשטרה</w:t>
      </w:r>
      <w:r w:rsidRPr="00F13DA5">
        <w:rPr>
          <w:rtl/>
        </w:rPr>
        <w:t xml:space="preserve"> מסרה </w:t>
      </w:r>
      <w:r w:rsidRPr="00F13DA5">
        <w:rPr>
          <w:rFonts w:hint="eastAsia"/>
          <w:rtl/>
        </w:rPr>
        <w:t>בתשובתה</w:t>
      </w:r>
      <w:r w:rsidRPr="00F13DA5">
        <w:rPr>
          <w:rtl/>
        </w:rPr>
        <w:t xml:space="preserve"> </w:t>
      </w:r>
      <w:r w:rsidRPr="00F13DA5">
        <w:rPr>
          <w:rFonts w:hint="eastAsia"/>
          <w:rtl/>
        </w:rPr>
        <w:t>כי</w:t>
      </w:r>
      <w:r w:rsidRPr="00F13DA5">
        <w:rPr>
          <w:rtl/>
        </w:rPr>
        <w:t xml:space="preserve"> </w:t>
      </w:r>
      <w:r w:rsidRPr="00F13DA5">
        <w:rPr>
          <w:rFonts w:hint="eastAsia"/>
          <w:rtl/>
        </w:rPr>
        <w:t>במהלך</w:t>
      </w:r>
      <w:r w:rsidRPr="00F13DA5">
        <w:rPr>
          <w:rtl/>
        </w:rPr>
        <w:t xml:space="preserve"> </w:t>
      </w:r>
      <w:r w:rsidRPr="00F13DA5">
        <w:rPr>
          <w:rFonts w:hint="eastAsia"/>
          <w:rtl/>
        </w:rPr>
        <w:t>החציון</w:t>
      </w:r>
      <w:r w:rsidRPr="00F13DA5">
        <w:rPr>
          <w:rtl/>
        </w:rPr>
        <w:t xml:space="preserve"> </w:t>
      </w:r>
      <w:r w:rsidRPr="00F13DA5">
        <w:rPr>
          <w:rFonts w:hint="eastAsia"/>
          <w:rtl/>
        </w:rPr>
        <w:t>הראשון</w:t>
      </w:r>
      <w:r w:rsidRPr="00F13DA5">
        <w:rPr>
          <w:rtl/>
        </w:rPr>
        <w:t xml:space="preserve"> </w:t>
      </w:r>
      <w:r w:rsidRPr="00F13DA5">
        <w:rPr>
          <w:rFonts w:hint="eastAsia"/>
          <w:rtl/>
        </w:rPr>
        <w:t>של</w:t>
      </w:r>
      <w:r w:rsidRPr="00F13DA5">
        <w:rPr>
          <w:rtl/>
        </w:rPr>
        <w:t xml:space="preserve"> </w:t>
      </w:r>
      <w:r w:rsidRPr="00F13DA5">
        <w:rPr>
          <w:rFonts w:hint="eastAsia"/>
          <w:rtl/>
        </w:rPr>
        <w:t>שנת</w:t>
      </w:r>
      <w:r w:rsidRPr="00F13DA5">
        <w:rPr>
          <w:rtl/>
        </w:rPr>
        <w:t xml:space="preserve"> 2020 </w:t>
      </w:r>
      <w:r w:rsidRPr="00F13DA5">
        <w:rPr>
          <w:rFonts w:hint="eastAsia"/>
          <w:rtl/>
        </w:rPr>
        <w:t>ייכנס</w:t>
      </w:r>
      <w:r w:rsidRPr="00F13DA5">
        <w:rPr>
          <w:rtl/>
        </w:rPr>
        <w:t xml:space="preserve"> </w:t>
      </w:r>
      <w:r w:rsidRPr="00F13DA5">
        <w:rPr>
          <w:rFonts w:hint="eastAsia"/>
          <w:rtl/>
        </w:rPr>
        <w:t>לשימוש</w:t>
      </w:r>
      <w:r w:rsidRPr="00F13DA5">
        <w:rPr>
          <w:rtl/>
        </w:rPr>
        <w:t xml:space="preserve"> </w:t>
      </w:r>
      <w:r w:rsidRPr="00F13DA5">
        <w:rPr>
          <w:rFonts w:hint="eastAsia"/>
          <w:rtl/>
        </w:rPr>
        <w:t>נוסח</w:t>
      </w:r>
      <w:r w:rsidRPr="00F13DA5">
        <w:rPr>
          <w:rtl/>
        </w:rPr>
        <w:t xml:space="preserve"> </w:t>
      </w:r>
      <w:r w:rsidRPr="00F13DA5">
        <w:rPr>
          <w:rFonts w:hint="eastAsia"/>
          <w:rtl/>
        </w:rPr>
        <w:t>חדש</w:t>
      </w:r>
      <w:r w:rsidRPr="00F13DA5">
        <w:rPr>
          <w:rtl/>
        </w:rPr>
        <w:t xml:space="preserve"> </w:t>
      </w:r>
      <w:r w:rsidRPr="00F13DA5">
        <w:rPr>
          <w:rFonts w:hint="eastAsia"/>
          <w:rtl/>
        </w:rPr>
        <w:t>לטופס</w:t>
      </w:r>
      <w:r w:rsidRPr="00F13DA5">
        <w:rPr>
          <w:rtl/>
        </w:rPr>
        <w:t xml:space="preserve"> </w:t>
      </w:r>
      <w:r w:rsidRPr="00F13DA5">
        <w:rPr>
          <w:rFonts w:hint="eastAsia"/>
          <w:rtl/>
        </w:rPr>
        <w:t>ההודעה</w:t>
      </w:r>
      <w:r w:rsidRPr="00F13DA5">
        <w:rPr>
          <w:rtl/>
        </w:rPr>
        <w:t xml:space="preserve"> </w:t>
      </w:r>
      <w:r w:rsidRPr="00F13DA5">
        <w:rPr>
          <w:rFonts w:hint="eastAsia"/>
          <w:rtl/>
        </w:rPr>
        <w:t>על</w:t>
      </w:r>
      <w:r w:rsidRPr="00F13DA5">
        <w:rPr>
          <w:rtl/>
        </w:rPr>
        <w:t xml:space="preserve"> </w:t>
      </w:r>
      <w:r w:rsidRPr="00F13DA5">
        <w:rPr>
          <w:rFonts w:hint="eastAsia"/>
          <w:rtl/>
        </w:rPr>
        <w:t>זכויות</w:t>
      </w:r>
      <w:r w:rsidRPr="00F13DA5">
        <w:rPr>
          <w:rtl/>
        </w:rPr>
        <w:t xml:space="preserve"> </w:t>
      </w:r>
      <w:r w:rsidRPr="00F13DA5">
        <w:rPr>
          <w:rFonts w:hint="eastAsia"/>
          <w:rtl/>
        </w:rPr>
        <w:t>חשוד</w:t>
      </w:r>
      <w:r w:rsidRPr="00F13DA5">
        <w:rPr>
          <w:rtl/>
        </w:rPr>
        <w:t xml:space="preserve"> </w:t>
      </w:r>
      <w:r w:rsidRPr="00F13DA5">
        <w:rPr>
          <w:rFonts w:hint="eastAsia"/>
          <w:rtl/>
        </w:rPr>
        <w:t>טרם</w:t>
      </w:r>
      <w:r w:rsidRPr="00F13DA5">
        <w:rPr>
          <w:rtl/>
        </w:rPr>
        <w:t xml:space="preserve"> </w:t>
      </w:r>
      <w:r w:rsidRPr="00F13DA5">
        <w:rPr>
          <w:rFonts w:hint="eastAsia"/>
          <w:rtl/>
        </w:rPr>
        <w:t>חקירה</w:t>
      </w:r>
      <w:r w:rsidRPr="00F13DA5">
        <w:rPr>
          <w:rtl/>
        </w:rPr>
        <w:t xml:space="preserve">. </w:t>
      </w:r>
      <w:r w:rsidRPr="00F13DA5">
        <w:rPr>
          <w:rFonts w:hint="eastAsia"/>
          <w:rtl/>
        </w:rPr>
        <w:t>הנוסח</w:t>
      </w:r>
      <w:r w:rsidRPr="00F13DA5">
        <w:rPr>
          <w:rtl/>
        </w:rPr>
        <w:t xml:space="preserve"> </w:t>
      </w:r>
      <w:r w:rsidRPr="00F13DA5">
        <w:rPr>
          <w:rFonts w:hint="eastAsia"/>
          <w:rtl/>
        </w:rPr>
        <w:t>יכלול</w:t>
      </w:r>
      <w:r w:rsidRPr="00F13DA5">
        <w:rPr>
          <w:rtl/>
        </w:rPr>
        <w:t xml:space="preserve"> </w:t>
      </w:r>
      <w:r w:rsidRPr="00F13DA5">
        <w:rPr>
          <w:rFonts w:hint="eastAsia"/>
          <w:rtl/>
        </w:rPr>
        <w:t>סעיף</w:t>
      </w:r>
      <w:r w:rsidRPr="00F13DA5">
        <w:rPr>
          <w:rtl/>
        </w:rPr>
        <w:t xml:space="preserve"> </w:t>
      </w:r>
      <w:r w:rsidRPr="00F13DA5">
        <w:rPr>
          <w:rFonts w:hint="eastAsia"/>
          <w:rtl/>
        </w:rPr>
        <w:t>ויתור</w:t>
      </w:r>
      <w:r w:rsidRPr="00F13DA5">
        <w:rPr>
          <w:rtl/>
        </w:rPr>
        <w:t xml:space="preserve"> </w:t>
      </w:r>
      <w:r w:rsidRPr="00F13DA5">
        <w:rPr>
          <w:rFonts w:hint="eastAsia"/>
          <w:rtl/>
        </w:rPr>
        <w:t>מפורש</w:t>
      </w:r>
      <w:r w:rsidRPr="00F13DA5">
        <w:rPr>
          <w:rtl/>
        </w:rPr>
        <w:t xml:space="preserve"> </w:t>
      </w:r>
      <w:r w:rsidRPr="00F13DA5">
        <w:rPr>
          <w:rFonts w:hint="eastAsia"/>
          <w:rtl/>
        </w:rPr>
        <w:t>על</w:t>
      </w:r>
      <w:r w:rsidRPr="00F13DA5">
        <w:rPr>
          <w:rtl/>
        </w:rPr>
        <w:t xml:space="preserve"> </w:t>
      </w:r>
      <w:r w:rsidRPr="00F13DA5">
        <w:rPr>
          <w:rFonts w:hint="eastAsia"/>
          <w:rtl/>
        </w:rPr>
        <w:t>זכות</w:t>
      </w:r>
      <w:r w:rsidRPr="00F13DA5">
        <w:rPr>
          <w:rtl/>
        </w:rPr>
        <w:t xml:space="preserve"> </w:t>
      </w:r>
      <w:r w:rsidRPr="00F13DA5">
        <w:rPr>
          <w:rFonts w:hint="eastAsia"/>
          <w:rtl/>
        </w:rPr>
        <w:t>ההיוועצות</w:t>
      </w:r>
      <w:r w:rsidRPr="00F13DA5">
        <w:rPr>
          <w:rtl/>
        </w:rPr>
        <w:t xml:space="preserve"> </w:t>
      </w:r>
      <w:r w:rsidRPr="00F13DA5">
        <w:rPr>
          <w:rFonts w:hint="eastAsia"/>
          <w:rtl/>
        </w:rPr>
        <w:t>ועליו</w:t>
      </w:r>
      <w:r w:rsidRPr="00F13DA5">
        <w:rPr>
          <w:rtl/>
        </w:rPr>
        <w:t xml:space="preserve"> </w:t>
      </w:r>
      <w:r w:rsidRPr="00F13DA5">
        <w:rPr>
          <w:rFonts w:hint="eastAsia"/>
          <w:rtl/>
        </w:rPr>
        <w:t>יחתום</w:t>
      </w:r>
      <w:r w:rsidRPr="00F13DA5">
        <w:rPr>
          <w:rtl/>
        </w:rPr>
        <w:t xml:space="preserve"> </w:t>
      </w:r>
      <w:r w:rsidRPr="00F13DA5">
        <w:rPr>
          <w:rFonts w:hint="eastAsia"/>
          <w:rtl/>
        </w:rPr>
        <w:t>העצור</w:t>
      </w:r>
      <w:r w:rsidRPr="00F13DA5">
        <w:rPr>
          <w:rtl/>
        </w:rPr>
        <w:t>.</w:t>
      </w:r>
    </w:p>
    <w:p w14:paraId="54FC176B" w14:textId="54384C84" w:rsidR="00BA23AE" w:rsidRPr="00F13DA5" w:rsidRDefault="00BA23AE" w:rsidP="00471FC6">
      <w:pPr>
        <w:pStyle w:val="af4"/>
        <w:rPr>
          <w:rtl/>
        </w:rPr>
      </w:pPr>
      <w:r w:rsidRPr="00F13DA5">
        <w:rPr>
          <w:rFonts w:hint="cs"/>
          <w:rtl/>
        </w:rPr>
        <w:t>על המשטרה לוודא כי סעיף הוויתור</w:t>
      </w:r>
      <w:r>
        <w:rPr>
          <w:rFonts w:hint="cs"/>
          <w:rtl/>
        </w:rPr>
        <w:t xml:space="preserve"> על זכות ההיוועצות</w:t>
      </w:r>
      <w:r w:rsidRPr="00F13DA5">
        <w:rPr>
          <w:rFonts w:hint="cs"/>
          <w:rtl/>
        </w:rPr>
        <w:t xml:space="preserve"> </w:t>
      </w:r>
      <w:r>
        <w:rPr>
          <w:rFonts w:hint="cs"/>
          <w:rtl/>
        </w:rPr>
        <w:t xml:space="preserve">בהודעה על זכויות חשוד טרם חקירה </w:t>
      </w:r>
      <w:r w:rsidRPr="00F13DA5">
        <w:rPr>
          <w:rFonts w:hint="cs"/>
          <w:rtl/>
        </w:rPr>
        <w:t xml:space="preserve">יתורגם לשפות שונות ויכלול את התאריך והשעה של ויתור העצור על זכותו. כמו כן, מוצע למשטרה לבחון חלופות טכנולוגיות עכשוויות לתיעוד החזותי או הקולי של ההליך, שיאפשרו ביקורת שיפוטית על ההליך לצד הפחתת הנטל הנובע מתיעוד זה. </w:t>
      </w:r>
    </w:p>
    <w:p w14:paraId="3DAB25D5" w14:textId="77777777" w:rsidR="00BA23AE" w:rsidRPr="00F13DA5" w:rsidRDefault="00BA23AE" w:rsidP="00471FC6">
      <w:pPr>
        <w:pStyle w:val="316"/>
        <w:rPr>
          <w:rtl/>
        </w:rPr>
      </w:pPr>
      <w:bookmarkStart w:id="14" w:name="_Toc6326461"/>
      <w:r w:rsidRPr="00F13DA5">
        <w:rPr>
          <w:rFonts w:hint="cs"/>
          <w:rtl/>
        </w:rPr>
        <w:lastRenderedPageBreak/>
        <w:t>שליחת בקשה למינוי סנגור</w:t>
      </w:r>
      <w:bookmarkEnd w:id="14"/>
    </w:p>
    <w:p w14:paraId="014D6840" w14:textId="77777777" w:rsidR="00BA23AE" w:rsidRPr="00F13DA5" w:rsidRDefault="00BA23AE" w:rsidP="00471FC6">
      <w:pPr>
        <w:pStyle w:val="100"/>
        <w:rPr>
          <w:rtl/>
        </w:rPr>
      </w:pPr>
      <w:r w:rsidRPr="00F13DA5">
        <w:rPr>
          <w:rFonts w:hint="cs"/>
          <w:rtl/>
        </w:rPr>
        <w:t>אם עצור מבקש להיות מיוצג על ידי סנגור ציבורי, הבקשה תועבר ללשכת הסנגוריה הציבורית בהקדם האפשרי באמצעות הממונה על החקירה</w:t>
      </w:r>
      <w:r w:rsidRPr="00F13DA5">
        <w:rPr>
          <w:vertAlign w:val="superscript"/>
          <w:rtl/>
        </w:rPr>
        <w:footnoteReference w:id="31"/>
      </w:r>
      <w:r w:rsidRPr="00F13DA5">
        <w:rPr>
          <w:rFonts w:hint="cs"/>
          <w:rtl/>
        </w:rPr>
        <w:t>. ככלל, הבקשה נערכת באופן מקוון באמצעות המערכות הממוחשבות. העתק פיזי של הבקשה מועבר באמצעות הפקס ללשכת הסנגוריה הציבורית. מתן הודעה בעל פה לסנגוריה הציבורית, ככל שזו נעשתה, אינה מהווה תחליף לחובת שליחת הבקשה. לעניין תיעוד יצירת הקשר עם הסנגוריה הציבורית, ראו לעיל (</w:t>
      </w:r>
      <w:r>
        <w:rPr>
          <w:rFonts w:hint="cs"/>
          <w:rtl/>
        </w:rPr>
        <w:t>תת-</w:t>
      </w:r>
      <w:r w:rsidRPr="00F13DA5">
        <w:rPr>
          <w:rFonts w:hint="cs"/>
          <w:rtl/>
        </w:rPr>
        <w:t xml:space="preserve">הפרק </w:t>
      </w:r>
      <w:r>
        <w:rPr>
          <w:rFonts w:hint="cs"/>
          <w:rtl/>
        </w:rPr>
        <w:t>"</w:t>
      </w:r>
      <w:r w:rsidRPr="00F13DA5">
        <w:rPr>
          <w:rFonts w:hint="cs"/>
          <w:rtl/>
        </w:rPr>
        <w:t>יישום השלבים המקדימים על ידי קצין ממונה</w:t>
      </w:r>
      <w:r>
        <w:rPr>
          <w:rFonts w:hint="cs"/>
          <w:rtl/>
        </w:rPr>
        <w:t>"</w:t>
      </w:r>
      <w:r w:rsidRPr="00F13DA5">
        <w:rPr>
          <w:rFonts w:hint="cs"/>
          <w:rtl/>
        </w:rPr>
        <w:t xml:space="preserve">). </w:t>
      </w:r>
    </w:p>
    <w:p w14:paraId="06058D27" w14:textId="77777777" w:rsidR="00BA23AE" w:rsidRPr="00F13DA5" w:rsidRDefault="00BA23AE" w:rsidP="008A0C03">
      <w:pPr>
        <w:pStyle w:val="a1"/>
        <w:numPr>
          <w:ilvl w:val="0"/>
          <w:numId w:val="21"/>
        </w:numPr>
        <w:rPr>
          <w:rtl/>
        </w:rPr>
      </w:pPr>
      <w:r w:rsidRPr="00F13DA5">
        <w:rPr>
          <w:rFonts w:hint="cs"/>
          <w:rtl/>
        </w:rPr>
        <w:t>טופס הבקשה למינוי סנגור ציבורי כולל שדה של תאריך הבקשה, אך אינו כולל שדה לציון שעת הכנת הבקשה או העברתה ללשכת הסנגוריה הציבורית.</w:t>
      </w:r>
      <w:r w:rsidRPr="00471FC6">
        <w:rPr>
          <w:b/>
          <w:bCs/>
          <w:rtl/>
        </w:rPr>
        <w:t xml:space="preserve"> </w:t>
      </w:r>
      <w:r w:rsidRPr="00F13DA5">
        <w:rPr>
          <w:rFonts w:hint="cs"/>
          <w:rtl/>
        </w:rPr>
        <w:t>הבקשה נשלחת באופן ידני באמצעות הפקס, ואין תיעוד של מועד שליחתה.</w:t>
      </w:r>
    </w:p>
    <w:p w14:paraId="358D4B7C" w14:textId="77777777" w:rsidR="00BA23AE" w:rsidRPr="00F13DA5" w:rsidRDefault="00BA23AE" w:rsidP="00471FC6">
      <w:pPr>
        <w:pStyle w:val="ad"/>
        <w:rPr>
          <w:rtl/>
        </w:rPr>
      </w:pPr>
      <w:r w:rsidRPr="00F13DA5">
        <w:rPr>
          <w:rFonts w:hint="eastAsia"/>
          <w:rtl/>
        </w:rPr>
        <w:t>נמצא</w:t>
      </w:r>
      <w:r w:rsidRPr="00F13DA5">
        <w:rPr>
          <w:rtl/>
        </w:rPr>
        <w:t xml:space="preserve"> כי מתוך 174,173 מעצרים</w:t>
      </w:r>
      <w:r w:rsidRPr="00F13DA5">
        <w:rPr>
          <w:rFonts w:hint="cs"/>
          <w:rtl/>
        </w:rPr>
        <w:t xml:space="preserve"> בין השנים 2016 - 2018</w:t>
      </w:r>
      <w:r w:rsidRPr="00F13DA5">
        <w:rPr>
          <w:rtl/>
        </w:rPr>
        <w:t>, קיימים במערכות הממוחשבות נתונים מלאים על בקשה למינוי סנגור ב</w:t>
      </w:r>
      <w:r w:rsidRPr="00F13DA5">
        <w:rPr>
          <w:rFonts w:hint="cs"/>
          <w:rtl/>
        </w:rPr>
        <w:t xml:space="preserve">כ-67,000 </w:t>
      </w:r>
      <w:r w:rsidRPr="00F13DA5">
        <w:rPr>
          <w:rtl/>
        </w:rPr>
        <w:t>מעצרים</w:t>
      </w:r>
      <w:r>
        <w:rPr>
          <w:rFonts w:hint="cs"/>
          <w:rtl/>
        </w:rPr>
        <w:t xml:space="preserve"> בלבד</w:t>
      </w:r>
      <w:r w:rsidRPr="00F13DA5">
        <w:rPr>
          <w:rtl/>
        </w:rPr>
        <w:t xml:space="preserve">. מתוכם, </w:t>
      </w:r>
      <w:r>
        <w:rPr>
          <w:rFonts w:hint="cs"/>
          <w:rtl/>
        </w:rPr>
        <w:t xml:space="preserve">רק </w:t>
      </w:r>
      <w:r w:rsidRPr="00F13DA5">
        <w:rPr>
          <w:rtl/>
        </w:rPr>
        <w:t>ב</w:t>
      </w:r>
      <w:r w:rsidRPr="00F13DA5">
        <w:rPr>
          <w:rFonts w:hint="cs"/>
          <w:rtl/>
        </w:rPr>
        <w:t xml:space="preserve">כ-44,000 </w:t>
      </w:r>
      <w:r w:rsidRPr="00F13DA5">
        <w:rPr>
          <w:rtl/>
        </w:rPr>
        <w:t xml:space="preserve">מעצרים (66%) </w:t>
      </w:r>
      <w:r>
        <w:rPr>
          <w:rFonts w:hint="cs"/>
          <w:rtl/>
        </w:rPr>
        <w:t xml:space="preserve">הועברה </w:t>
      </w:r>
      <w:r w:rsidRPr="00F13DA5">
        <w:rPr>
          <w:rtl/>
        </w:rPr>
        <w:t>בקשת העצור למינוי סנגור רק לאחר סיום החקירה.</w:t>
      </w:r>
    </w:p>
    <w:p w14:paraId="6F277716" w14:textId="77777777" w:rsidR="00BA23AE" w:rsidRPr="00F13DA5" w:rsidRDefault="00BA23AE" w:rsidP="00471FC6">
      <w:pPr>
        <w:pStyle w:val="ad"/>
        <w:rPr>
          <w:rtl/>
        </w:rPr>
      </w:pPr>
      <w:r w:rsidRPr="00F13DA5">
        <w:rPr>
          <w:rFonts w:hint="cs"/>
          <w:rtl/>
        </w:rPr>
        <w:t xml:space="preserve">היקף הבקשות המועברות לסנגוריה לאחר סיום החקירה </w:t>
      </w:r>
      <w:r>
        <w:rPr>
          <w:rFonts w:hint="cs"/>
          <w:rtl/>
        </w:rPr>
        <w:t xml:space="preserve">הוא </w:t>
      </w:r>
      <w:r w:rsidRPr="00F13DA5">
        <w:rPr>
          <w:rFonts w:hint="cs"/>
          <w:rtl/>
        </w:rPr>
        <w:t xml:space="preserve">כשני שלישים מסך המעצרים שנבדקו ומעלה תמונה מטרידה. </w:t>
      </w:r>
    </w:p>
    <w:p w14:paraId="0C1CA68E" w14:textId="77777777" w:rsidR="00BA23AE" w:rsidRPr="00F13DA5" w:rsidRDefault="00BA23AE" w:rsidP="00B242E1">
      <w:pPr>
        <w:pStyle w:val="af3"/>
        <w:rPr>
          <w:rtl/>
        </w:rPr>
      </w:pPr>
      <w:r w:rsidRPr="00F13DA5">
        <w:rPr>
          <w:rFonts w:hint="cs"/>
          <w:rtl/>
        </w:rPr>
        <w:t xml:space="preserve">לעמדת המשטרה </w:t>
      </w:r>
      <w:r w:rsidRPr="00462444">
        <w:rPr>
          <w:rFonts w:hint="eastAsia"/>
          <w:rtl/>
        </w:rPr>
        <w:t>בתשובתה</w:t>
      </w:r>
      <w:r w:rsidRPr="00462444">
        <w:rPr>
          <w:rtl/>
        </w:rPr>
        <w:t xml:space="preserve">, </w:t>
      </w:r>
      <w:r w:rsidRPr="005044CD">
        <w:rPr>
          <w:rFonts w:hint="eastAsia"/>
          <w:rtl/>
        </w:rPr>
        <w:t>ייתכנו</w:t>
      </w:r>
      <w:r w:rsidRPr="005044CD">
        <w:rPr>
          <w:rtl/>
        </w:rPr>
        <w:t xml:space="preserve"> </w:t>
      </w:r>
      <w:r w:rsidRPr="005044CD">
        <w:rPr>
          <w:rFonts w:hint="eastAsia"/>
          <w:rtl/>
        </w:rPr>
        <w:t>טעמים</w:t>
      </w:r>
      <w:r w:rsidRPr="005044CD">
        <w:rPr>
          <w:rtl/>
        </w:rPr>
        <w:t xml:space="preserve"> </w:t>
      </w:r>
      <w:r w:rsidRPr="005044CD">
        <w:rPr>
          <w:rFonts w:hint="eastAsia"/>
          <w:rtl/>
        </w:rPr>
        <w:t>שונים</w:t>
      </w:r>
      <w:r w:rsidRPr="005044CD">
        <w:rPr>
          <w:rtl/>
        </w:rPr>
        <w:t xml:space="preserve"> </w:t>
      </w:r>
      <w:r w:rsidRPr="005044CD">
        <w:rPr>
          <w:rFonts w:hint="eastAsia"/>
          <w:rtl/>
        </w:rPr>
        <w:t>לתופעה</w:t>
      </w:r>
      <w:r w:rsidRPr="005044CD">
        <w:rPr>
          <w:rtl/>
        </w:rPr>
        <w:t xml:space="preserve"> </w:t>
      </w:r>
      <w:r w:rsidRPr="005044CD">
        <w:rPr>
          <w:rFonts w:hint="eastAsia"/>
          <w:rtl/>
        </w:rPr>
        <w:t>זאת</w:t>
      </w:r>
      <w:r w:rsidRPr="005044CD">
        <w:rPr>
          <w:rtl/>
        </w:rPr>
        <w:t xml:space="preserve">, </w:t>
      </w:r>
      <w:r w:rsidRPr="005044CD">
        <w:rPr>
          <w:rFonts w:hint="eastAsia"/>
          <w:rtl/>
        </w:rPr>
        <w:t>כמו</w:t>
      </w:r>
      <w:r w:rsidRPr="005044CD">
        <w:rPr>
          <w:rtl/>
        </w:rPr>
        <w:t xml:space="preserve"> </w:t>
      </w:r>
      <w:r w:rsidRPr="005044CD">
        <w:rPr>
          <w:rFonts w:hint="eastAsia"/>
          <w:rtl/>
        </w:rPr>
        <w:t>למשל</w:t>
      </w:r>
      <w:r w:rsidRPr="005044CD">
        <w:rPr>
          <w:rtl/>
        </w:rPr>
        <w:t xml:space="preserve"> </w:t>
      </w:r>
      <w:r w:rsidRPr="005044CD">
        <w:rPr>
          <w:rFonts w:hint="eastAsia"/>
          <w:rtl/>
        </w:rPr>
        <w:t>עצור</w:t>
      </w:r>
      <w:r w:rsidRPr="005044CD">
        <w:rPr>
          <w:rtl/>
        </w:rPr>
        <w:t xml:space="preserve"> </w:t>
      </w:r>
      <w:r w:rsidRPr="005044CD">
        <w:rPr>
          <w:rFonts w:hint="eastAsia"/>
          <w:rtl/>
        </w:rPr>
        <w:t>שחזר</w:t>
      </w:r>
      <w:r w:rsidRPr="005044CD">
        <w:rPr>
          <w:rtl/>
        </w:rPr>
        <w:t xml:space="preserve"> </w:t>
      </w:r>
      <w:r w:rsidRPr="005044CD">
        <w:rPr>
          <w:rFonts w:hint="eastAsia"/>
          <w:rtl/>
        </w:rPr>
        <w:t>מסירובו</w:t>
      </w:r>
      <w:r w:rsidRPr="005044CD">
        <w:rPr>
          <w:rtl/>
        </w:rPr>
        <w:t xml:space="preserve"> </w:t>
      </w:r>
      <w:r w:rsidRPr="005044CD">
        <w:rPr>
          <w:rFonts w:hint="eastAsia"/>
          <w:rtl/>
        </w:rPr>
        <w:t>לייצוג</w:t>
      </w:r>
      <w:r w:rsidRPr="005044CD">
        <w:rPr>
          <w:rtl/>
        </w:rPr>
        <w:t xml:space="preserve"> </w:t>
      </w:r>
      <w:r w:rsidRPr="005044CD">
        <w:rPr>
          <w:rFonts w:hint="eastAsia"/>
          <w:rtl/>
        </w:rPr>
        <w:t>רק</w:t>
      </w:r>
      <w:r w:rsidRPr="005044CD">
        <w:rPr>
          <w:rtl/>
        </w:rPr>
        <w:t xml:space="preserve"> </w:t>
      </w:r>
      <w:r w:rsidRPr="005044CD">
        <w:rPr>
          <w:rFonts w:hint="eastAsia"/>
          <w:rtl/>
        </w:rPr>
        <w:t>לאחר</w:t>
      </w:r>
      <w:r w:rsidRPr="005044CD">
        <w:rPr>
          <w:rtl/>
        </w:rPr>
        <w:t xml:space="preserve"> </w:t>
      </w:r>
      <w:r w:rsidRPr="005044CD">
        <w:rPr>
          <w:rFonts w:hint="eastAsia"/>
          <w:rtl/>
        </w:rPr>
        <w:t>סיום</w:t>
      </w:r>
      <w:r w:rsidRPr="005044CD">
        <w:rPr>
          <w:rtl/>
        </w:rPr>
        <w:t xml:space="preserve"> </w:t>
      </w:r>
      <w:r w:rsidRPr="005044CD">
        <w:rPr>
          <w:rFonts w:hint="eastAsia"/>
          <w:rtl/>
        </w:rPr>
        <w:t>חקירתו</w:t>
      </w:r>
      <w:r w:rsidRPr="005044CD">
        <w:rPr>
          <w:rtl/>
        </w:rPr>
        <w:t>. משכך,</w:t>
      </w:r>
      <w:r w:rsidRPr="00F13DA5">
        <w:rPr>
          <w:rFonts w:hint="cs"/>
          <w:b/>
          <w:bCs/>
          <w:rtl/>
        </w:rPr>
        <w:t xml:space="preserve"> </w:t>
      </w:r>
      <w:r w:rsidRPr="00F13DA5">
        <w:rPr>
          <w:rFonts w:hint="cs"/>
          <w:rtl/>
        </w:rPr>
        <w:t>אין לראות בה את הגורם האחראי הבלעדי לתופעה זו בשל נסיבות השונות שעשויות להשפיע על החלטת העצור. כמו כן, אין לראותה כאחראית לאי</w:t>
      </w:r>
      <w:r>
        <w:rPr>
          <w:rFonts w:hint="cs"/>
          <w:rtl/>
        </w:rPr>
        <w:t>-</w:t>
      </w:r>
      <w:r w:rsidRPr="00F13DA5">
        <w:rPr>
          <w:rFonts w:hint="cs"/>
          <w:rtl/>
        </w:rPr>
        <w:t>מתן האפשרות להיוועץ לפני חקירה.</w:t>
      </w:r>
      <w:r>
        <w:rPr>
          <w:rFonts w:hint="cs"/>
          <w:rtl/>
        </w:rPr>
        <w:t xml:space="preserve"> </w:t>
      </w:r>
    </w:p>
    <w:p w14:paraId="03C72739" w14:textId="77777777" w:rsidR="00BA23AE" w:rsidRPr="00F13DA5" w:rsidRDefault="00BA23AE" w:rsidP="00B242E1">
      <w:pPr>
        <w:pStyle w:val="ad"/>
        <w:rPr>
          <w:rtl/>
        </w:rPr>
      </w:pPr>
      <w:r w:rsidRPr="00F13DA5">
        <w:rPr>
          <w:rFonts w:hint="cs"/>
          <w:rtl/>
        </w:rPr>
        <w:t xml:space="preserve">היות שבקשת היוועצות בסנגור רק לאחר סיום החקירה מביאה, הלכה למעשה, לוויתור על זכות שנועדה לסייע לעצור, הרי שהתופעה דורשת בדיקה מעמיקה של המשטרה. </w:t>
      </w:r>
      <w:r w:rsidRPr="00F13DA5">
        <w:rPr>
          <w:rFonts w:hint="eastAsia"/>
          <w:rtl/>
        </w:rPr>
        <w:t>בדיקת</w:t>
      </w:r>
      <w:r w:rsidRPr="00F13DA5">
        <w:rPr>
          <w:rtl/>
        </w:rPr>
        <w:t xml:space="preserve"> הנסיבות </w:t>
      </w:r>
      <w:r w:rsidRPr="00F13DA5">
        <w:rPr>
          <w:rFonts w:hint="eastAsia"/>
          <w:rtl/>
        </w:rPr>
        <w:t>ולמידתן</w:t>
      </w:r>
      <w:r w:rsidRPr="00F13DA5">
        <w:rPr>
          <w:rtl/>
        </w:rPr>
        <w:t xml:space="preserve"> </w:t>
      </w:r>
      <w:r w:rsidRPr="00F13DA5">
        <w:rPr>
          <w:rFonts w:hint="cs"/>
          <w:rtl/>
        </w:rPr>
        <w:t>תיתן למשטרה כלים לוודא כי העצור המוחזק אצלה מקבל את ההחלטה באופן עצמאי ומיטבי</w:t>
      </w:r>
      <w:r w:rsidRPr="00F13DA5">
        <w:rPr>
          <w:rtl/>
        </w:rPr>
        <w:t>.</w:t>
      </w:r>
      <w:r w:rsidRPr="00F13DA5">
        <w:rPr>
          <w:rFonts w:hint="cs"/>
          <w:rtl/>
        </w:rPr>
        <w:t xml:space="preserve"> </w:t>
      </w:r>
    </w:p>
    <w:p w14:paraId="309B2816" w14:textId="04FC397C" w:rsidR="00BA23AE" w:rsidRDefault="00BA23AE" w:rsidP="00B242E1">
      <w:pPr>
        <w:pStyle w:val="af3"/>
        <w:rPr>
          <w:rtl/>
        </w:rPr>
      </w:pPr>
      <w:r w:rsidRPr="00F13DA5">
        <w:rPr>
          <w:rFonts w:hint="cs"/>
          <w:rtl/>
        </w:rPr>
        <w:t xml:space="preserve">עוד אותרו נתונים מתוך כלל המעצרים על אודות כ-11,000 מעצרים שבהם הובא העצור לפני קצין ממונה בטרם חקירתו, והקצין הממונה החליט שתישלח בקשה למינוי סנגור מטעם הסנגוריה הציבורית בטרם החלה חקירתו של העצור. </w:t>
      </w:r>
    </w:p>
    <w:p w14:paraId="5B360CE2" w14:textId="439914D7" w:rsidR="00C976AC" w:rsidRDefault="00C976AC" w:rsidP="00C976AC">
      <w:pPr>
        <w:rPr>
          <w:rFonts w:ascii="Tahoma" w:hAnsi="Tahoma" w:cs="Tahoma"/>
          <w:szCs w:val="20"/>
          <w:rtl/>
        </w:rPr>
      </w:pPr>
    </w:p>
    <w:p w14:paraId="5F95A795" w14:textId="57FC0473" w:rsidR="00BA23AE" w:rsidRPr="00F13DA5" w:rsidRDefault="00BA23AE" w:rsidP="00B242E1">
      <w:pPr>
        <w:pStyle w:val="ad"/>
        <w:rPr>
          <w:rtl/>
        </w:rPr>
      </w:pPr>
      <w:r w:rsidRPr="00F13DA5">
        <w:rPr>
          <w:rFonts w:hint="cs"/>
          <w:rtl/>
        </w:rPr>
        <w:lastRenderedPageBreak/>
        <w:t>מתוך כ-11,000 המעצרים שבהם החליט הקצין הממונה שתישלח בקשה למינוי סנגור לפני החקירה, ב-2,561 מעצרים (23%) הופק טופס הבקשה למינוי סנגור ציבורי לאחר שכבר נחקר</w:t>
      </w:r>
      <w:r>
        <w:rPr>
          <w:rFonts w:hint="cs"/>
          <w:rtl/>
        </w:rPr>
        <w:t xml:space="preserve"> העצור</w:t>
      </w:r>
      <w:r w:rsidRPr="00F13DA5">
        <w:rPr>
          <w:rFonts w:hint="cs"/>
          <w:rtl/>
        </w:rPr>
        <w:t xml:space="preserve">, בניגוד להוראת הקצין הממונה. </w:t>
      </w:r>
      <w:r w:rsidRPr="00F13DA5">
        <w:rPr>
          <w:rFonts w:hint="cs"/>
          <w:sz w:val="24"/>
          <w:rtl/>
        </w:rPr>
        <w:t>הדבר מעלה</w:t>
      </w:r>
      <w:r w:rsidRPr="00F13DA5">
        <w:rPr>
          <w:sz w:val="24"/>
          <w:rtl/>
        </w:rPr>
        <w:t xml:space="preserve"> </w:t>
      </w:r>
      <w:r w:rsidRPr="00F13DA5">
        <w:rPr>
          <w:rFonts w:hint="eastAsia"/>
          <w:sz w:val="24"/>
          <w:rtl/>
        </w:rPr>
        <w:t>את</w:t>
      </w:r>
      <w:r w:rsidRPr="00F13DA5">
        <w:rPr>
          <w:sz w:val="24"/>
          <w:rtl/>
        </w:rPr>
        <w:t xml:space="preserve"> </w:t>
      </w:r>
      <w:r w:rsidRPr="00F13DA5">
        <w:rPr>
          <w:rFonts w:hint="eastAsia"/>
          <w:sz w:val="24"/>
          <w:rtl/>
        </w:rPr>
        <w:t>החשש</w:t>
      </w:r>
      <w:r w:rsidRPr="00F13DA5">
        <w:rPr>
          <w:sz w:val="24"/>
          <w:rtl/>
        </w:rPr>
        <w:t xml:space="preserve"> </w:t>
      </w:r>
      <w:r w:rsidRPr="00F13DA5">
        <w:rPr>
          <w:rFonts w:hint="eastAsia"/>
          <w:sz w:val="24"/>
          <w:rtl/>
        </w:rPr>
        <w:t>כי</w:t>
      </w:r>
      <w:r w:rsidRPr="00F13DA5">
        <w:rPr>
          <w:sz w:val="24"/>
          <w:rtl/>
        </w:rPr>
        <w:t xml:space="preserve"> </w:t>
      </w:r>
      <w:r w:rsidRPr="00F13DA5">
        <w:rPr>
          <w:rFonts w:hint="eastAsia"/>
          <w:sz w:val="24"/>
          <w:rtl/>
        </w:rPr>
        <w:t>הופרה</w:t>
      </w:r>
      <w:r w:rsidRPr="00F13DA5">
        <w:rPr>
          <w:sz w:val="24"/>
          <w:rtl/>
        </w:rPr>
        <w:t xml:space="preserve"> </w:t>
      </w:r>
      <w:r w:rsidRPr="00F13DA5">
        <w:rPr>
          <w:rFonts w:hint="eastAsia"/>
          <w:sz w:val="24"/>
          <w:rtl/>
        </w:rPr>
        <w:t>זכות</w:t>
      </w:r>
      <w:r w:rsidRPr="00F13DA5">
        <w:rPr>
          <w:sz w:val="24"/>
          <w:rtl/>
        </w:rPr>
        <w:t xml:space="preserve"> </w:t>
      </w:r>
      <w:r w:rsidRPr="00F13DA5">
        <w:rPr>
          <w:rFonts w:hint="eastAsia"/>
          <w:sz w:val="24"/>
          <w:rtl/>
        </w:rPr>
        <w:t>ההיוועצות</w:t>
      </w:r>
      <w:r w:rsidRPr="00F13DA5">
        <w:rPr>
          <w:sz w:val="24"/>
          <w:rtl/>
        </w:rPr>
        <w:t xml:space="preserve"> </w:t>
      </w:r>
      <w:r w:rsidRPr="00F13DA5">
        <w:rPr>
          <w:rFonts w:hint="eastAsia"/>
          <w:sz w:val="24"/>
          <w:rtl/>
        </w:rPr>
        <w:t>של</w:t>
      </w:r>
      <w:r w:rsidRPr="00F13DA5">
        <w:rPr>
          <w:sz w:val="24"/>
          <w:rtl/>
        </w:rPr>
        <w:t xml:space="preserve"> </w:t>
      </w:r>
      <w:r w:rsidRPr="00F13DA5">
        <w:rPr>
          <w:rFonts w:hint="eastAsia"/>
          <w:sz w:val="24"/>
          <w:rtl/>
        </w:rPr>
        <w:t>העצורים</w:t>
      </w:r>
      <w:r w:rsidRPr="00F13DA5">
        <w:rPr>
          <w:sz w:val="24"/>
          <w:rtl/>
        </w:rPr>
        <w:t xml:space="preserve"> </w:t>
      </w:r>
      <w:r w:rsidRPr="00F13DA5">
        <w:rPr>
          <w:rFonts w:hint="eastAsia"/>
          <w:sz w:val="24"/>
          <w:rtl/>
        </w:rPr>
        <w:t>הללו</w:t>
      </w:r>
      <w:r w:rsidRPr="00F13DA5">
        <w:rPr>
          <w:sz w:val="24"/>
          <w:rtl/>
        </w:rPr>
        <w:t>.</w:t>
      </w:r>
      <w:r w:rsidRPr="00F13DA5">
        <w:rPr>
          <w:rFonts w:hint="cs"/>
          <w:rtl/>
        </w:rPr>
        <w:t xml:space="preserve"> </w:t>
      </w:r>
    </w:p>
    <w:p w14:paraId="52330B1A" w14:textId="77777777" w:rsidR="00BA23AE" w:rsidRPr="00F13DA5" w:rsidRDefault="00BA23AE" w:rsidP="00B242E1">
      <w:pPr>
        <w:pStyle w:val="af3"/>
        <w:rPr>
          <w:rtl/>
        </w:rPr>
      </w:pPr>
      <w:r w:rsidRPr="00F13DA5">
        <w:rPr>
          <w:rFonts w:hint="cs"/>
          <w:rtl/>
        </w:rPr>
        <w:t>לפי נתוני הסנגוריה הציבורית בנוגע למעצרים שנערכו בשנת 2018, מתוך כ-51,000 תיקי המעצרים של קטינים ובגירים שבהם התבקש ייצוג מהסנגוריה הציבורית, ב-56% מהתיקים הועברה בקשת הייצוג בטרם התקיימה חקירה. ביתר התיקים הועברה בקשת הייצוג לאחר שהעצור נחקר או כשהגיע לבית המשפט לדיון בהארכת מעצרו (24% ו-20% בהתאמה). בתיקי בגירים בלבד - מתוך כ-45,000 תיקי המעצרים שבהם התבקש ייצוג, במחצית מן התיקים (52%) הועברה בקשת הייצוג בטרם התקיימה חקירה. עוד עולה בבחינה כלל-ארצית ששיעור העברת הבקשות לפני חקירה נמצא במגמת עלייה.</w:t>
      </w:r>
      <w:r>
        <w:rPr>
          <w:rFonts w:hint="cs"/>
          <w:rtl/>
        </w:rPr>
        <w:t xml:space="preserve"> </w:t>
      </w:r>
    </w:p>
    <w:p w14:paraId="59863607" w14:textId="63CEEFC3" w:rsidR="00BA23AE" w:rsidRDefault="00BA23AE" w:rsidP="00B242E1">
      <w:pPr>
        <w:pStyle w:val="a1"/>
      </w:pPr>
      <w:r w:rsidRPr="00F13DA5">
        <w:rPr>
          <w:rFonts w:hint="cs"/>
          <w:rtl/>
        </w:rPr>
        <w:t>אי שליחת הבקשה למינוי סנגור במועד שבו ביקש זאת העצור פוגעת בזכויותיו ועשויה להביא לשחרורו בשל הפגיעה. זאת חרף חשד לביצוע עבירה פלילית על ידו, אשר ייתכן שהייתה מצדיקה את המשך החזקתו במעצר. מצד אחר, אי-שליחת בקשה למינוי סנגור עשויה להביא להמשך החזקתו של עצור במעצר שלא לצורך - למשל, ניתן היה לשחררו קודם לכן בהסכמה או שבית המשפט היה מוצא</w:t>
      </w:r>
      <w:r>
        <w:rPr>
          <w:rFonts w:hint="cs"/>
          <w:rtl/>
        </w:rPr>
        <w:t>, לאחר</w:t>
      </w:r>
      <w:r w:rsidRPr="00F13DA5">
        <w:rPr>
          <w:rFonts w:hint="cs"/>
          <w:rtl/>
        </w:rPr>
        <w:t xml:space="preserve"> הגשת בקשת שחרור מטעם הסנגור</w:t>
      </w:r>
      <w:r>
        <w:rPr>
          <w:rFonts w:hint="cs"/>
          <w:rtl/>
        </w:rPr>
        <w:t xml:space="preserve">, </w:t>
      </w:r>
      <w:r w:rsidRPr="00F13DA5">
        <w:rPr>
          <w:rFonts w:hint="cs"/>
          <w:rtl/>
        </w:rPr>
        <w:t>כי לא היה מקום לעוצרו. כך למשל, בבדיקת משרד מבקר המדינה נמצאו מספר מקרים בהם פגיעה בזכות ההיוועצות הביאה לשחרורם של עצורים</w:t>
      </w:r>
      <w:r w:rsidRPr="00F13DA5">
        <w:rPr>
          <w:rStyle w:val="FootnoteReference"/>
          <w:rtl/>
        </w:rPr>
        <w:footnoteReference w:id="32"/>
      </w:r>
      <w:r>
        <w:rPr>
          <w:rFonts w:hint="cs"/>
          <w:rtl/>
        </w:rPr>
        <w:t>.</w:t>
      </w:r>
      <w:r w:rsidRPr="00F13DA5">
        <w:rPr>
          <w:rFonts w:hint="cs"/>
          <w:rtl/>
        </w:rPr>
        <w:t xml:space="preserve"> </w:t>
      </w:r>
      <w:r>
        <w:rPr>
          <w:rFonts w:hint="cs"/>
          <w:rtl/>
        </w:rPr>
        <w:t>כמו כן</w:t>
      </w:r>
      <w:r w:rsidRPr="00F13DA5">
        <w:rPr>
          <w:rFonts w:hint="cs"/>
          <w:rtl/>
        </w:rPr>
        <w:t>, בבקרות שנערכו במרחב מסוים בשנים 2017 - 2019 אף עלה כי 72% מתיקי המעצרים שנבדקו נמצאו לא</w:t>
      </w:r>
      <w:r>
        <w:rPr>
          <w:rFonts w:hint="cs"/>
          <w:rtl/>
        </w:rPr>
        <w:t>-</w:t>
      </w:r>
      <w:r w:rsidRPr="00F13DA5">
        <w:rPr>
          <w:rFonts w:hint="cs"/>
          <w:rtl/>
        </w:rPr>
        <w:t xml:space="preserve">תקינים </w:t>
      </w:r>
      <w:r>
        <w:rPr>
          <w:rFonts w:hint="cs"/>
          <w:rtl/>
        </w:rPr>
        <w:t>מבחינת</w:t>
      </w:r>
      <w:r w:rsidRPr="00F13DA5">
        <w:rPr>
          <w:rFonts w:hint="cs"/>
          <w:rtl/>
        </w:rPr>
        <w:t xml:space="preserve"> תיעוד העברת הבקשות. </w:t>
      </w:r>
    </w:p>
    <w:p w14:paraId="2C507555" w14:textId="77777777" w:rsidR="00BA23AE" w:rsidRPr="00F13DA5" w:rsidRDefault="00BA23AE" w:rsidP="00F56FE5">
      <w:pPr>
        <w:pStyle w:val="af3"/>
        <w:rPr>
          <w:rtl/>
        </w:rPr>
      </w:pPr>
      <w:r w:rsidRPr="00F13DA5">
        <w:rPr>
          <w:rFonts w:hint="cs"/>
          <w:rtl/>
        </w:rPr>
        <w:t xml:space="preserve">משטרת ישראל מסרה בתגובתה כי פעלה להעביר הנחיות מפורטות </w:t>
      </w:r>
      <w:r>
        <w:rPr>
          <w:rFonts w:hint="cs"/>
          <w:rtl/>
        </w:rPr>
        <w:t>בעניין</w:t>
      </w:r>
      <w:r w:rsidRPr="00F13DA5">
        <w:rPr>
          <w:rFonts w:hint="cs"/>
          <w:rtl/>
        </w:rPr>
        <w:t xml:space="preserve"> </w:t>
      </w:r>
      <w:r>
        <w:rPr>
          <w:rFonts w:hint="cs"/>
          <w:rtl/>
        </w:rPr>
        <w:t>ה</w:t>
      </w:r>
      <w:r w:rsidRPr="00F13DA5">
        <w:rPr>
          <w:rFonts w:hint="cs"/>
          <w:rtl/>
        </w:rPr>
        <w:t xml:space="preserve">הקפדה על העברת הודעות לסנגוריה הציבורית, כי מנוהלים מעקב ובקרה שוטפים בנושא וכי יישלח ריענון הנחיות נוסף. </w:t>
      </w:r>
    </w:p>
    <w:p w14:paraId="3922C399" w14:textId="77777777" w:rsidR="00BA23AE" w:rsidRPr="00F13DA5" w:rsidRDefault="00BA23AE" w:rsidP="00F56FE5">
      <w:pPr>
        <w:pStyle w:val="ad"/>
        <w:rPr>
          <w:rtl/>
        </w:rPr>
      </w:pPr>
      <w:r w:rsidRPr="00F13DA5">
        <w:rPr>
          <w:rFonts w:hint="cs"/>
          <w:rtl/>
        </w:rPr>
        <w:t xml:space="preserve">מבדיקת משרד מבקר המדינה עולה שמשטרת ישראל אינה מחזיקה בנתונים סדורים ומלאים על מועדי העברת </w:t>
      </w:r>
      <w:r>
        <w:rPr>
          <w:rFonts w:hint="cs"/>
          <w:rtl/>
        </w:rPr>
        <w:t>ה</w:t>
      </w:r>
      <w:r w:rsidRPr="00F13DA5">
        <w:rPr>
          <w:rFonts w:hint="cs"/>
          <w:rtl/>
        </w:rPr>
        <w:t xml:space="preserve">בקשות למינוי סנגור ציבורי. נוסף על כך, בנוהלי המשטרה אין הוראה מחייבת לתיעוד שעת העברת הבקשה לידי הסנגוריה הציבורית; אין בטופסי הבקשה למינוי סנגור ובדוח הקצין הממונה שדה שיש למלאו לציון שעת העברת הבקשה; ואין הליך מסודר לתיעוד אישור קבלת הבקשה על ידי הסנגוריה הציבורית. </w:t>
      </w:r>
    </w:p>
    <w:p w14:paraId="49AC099F" w14:textId="77777777" w:rsidR="00BA23AE" w:rsidRPr="00F13DA5" w:rsidRDefault="00BA23AE" w:rsidP="00F56FE5">
      <w:pPr>
        <w:pStyle w:val="af3"/>
        <w:rPr>
          <w:rtl/>
        </w:rPr>
      </w:pPr>
      <w:r w:rsidRPr="00F13DA5">
        <w:rPr>
          <w:rFonts w:hint="cs"/>
          <w:rtl/>
        </w:rPr>
        <w:t xml:space="preserve">המשטרה מסרה בתגובתה כי </w:t>
      </w:r>
      <w:r w:rsidRPr="00F13DA5">
        <w:rPr>
          <w:rFonts w:hint="eastAsia"/>
          <w:rtl/>
        </w:rPr>
        <w:t>חטיבת</w:t>
      </w:r>
      <w:r w:rsidRPr="00F13DA5">
        <w:rPr>
          <w:rtl/>
        </w:rPr>
        <w:t xml:space="preserve"> </w:t>
      </w:r>
      <w:r w:rsidRPr="00F13DA5">
        <w:rPr>
          <w:rFonts w:hint="eastAsia"/>
          <w:rtl/>
        </w:rPr>
        <w:t>החקירות</w:t>
      </w:r>
      <w:r w:rsidRPr="00F13DA5">
        <w:rPr>
          <w:rtl/>
        </w:rPr>
        <w:t xml:space="preserve"> </w:t>
      </w:r>
      <w:r w:rsidRPr="00F13DA5">
        <w:rPr>
          <w:rFonts w:hint="eastAsia"/>
          <w:rtl/>
        </w:rPr>
        <w:t>תבחן</w:t>
      </w:r>
      <w:r w:rsidRPr="00F13DA5">
        <w:rPr>
          <w:rtl/>
        </w:rPr>
        <w:t xml:space="preserve"> </w:t>
      </w:r>
      <w:r w:rsidRPr="00F13DA5">
        <w:rPr>
          <w:rFonts w:hint="eastAsia"/>
          <w:rtl/>
        </w:rPr>
        <w:t>אפשרות</w:t>
      </w:r>
      <w:r w:rsidRPr="00F13DA5">
        <w:rPr>
          <w:rtl/>
        </w:rPr>
        <w:t xml:space="preserve"> </w:t>
      </w:r>
      <w:r w:rsidRPr="00F13DA5">
        <w:rPr>
          <w:rFonts w:hint="eastAsia"/>
          <w:rtl/>
        </w:rPr>
        <w:t>לפיתוח</w:t>
      </w:r>
      <w:r w:rsidRPr="00F13DA5">
        <w:rPr>
          <w:rtl/>
        </w:rPr>
        <w:t xml:space="preserve"> </w:t>
      </w:r>
      <w:r w:rsidRPr="00F13DA5">
        <w:rPr>
          <w:rFonts w:hint="eastAsia"/>
          <w:rtl/>
        </w:rPr>
        <w:t>ממשק</w:t>
      </w:r>
      <w:r w:rsidRPr="00F13DA5">
        <w:rPr>
          <w:rtl/>
        </w:rPr>
        <w:t xml:space="preserve"> </w:t>
      </w:r>
      <w:r w:rsidRPr="00F13DA5">
        <w:rPr>
          <w:rFonts w:hint="eastAsia"/>
          <w:rtl/>
        </w:rPr>
        <w:t>ממוחשב</w:t>
      </w:r>
      <w:r w:rsidRPr="00F13DA5">
        <w:rPr>
          <w:rtl/>
        </w:rPr>
        <w:t xml:space="preserve"> </w:t>
      </w:r>
      <w:r w:rsidRPr="00F13DA5">
        <w:rPr>
          <w:rFonts w:hint="eastAsia"/>
          <w:rtl/>
        </w:rPr>
        <w:t>משותף</w:t>
      </w:r>
      <w:r w:rsidRPr="00F13DA5">
        <w:rPr>
          <w:rtl/>
        </w:rPr>
        <w:t xml:space="preserve"> </w:t>
      </w:r>
      <w:r w:rsidRPr="00F13DA5">
        <w:rPr>
          <w:rFonts w:hint="eastAsia"/>
          <w:rtl/>
        </w:rPr>
        <w:t>עם</w:t>
      </w:r>
      <w:r w:rsidRPr="00F13DA5">
        <w:rPr>
          <w:rtl/>
        </w:rPr>
        <w:t xml:space="preserve"> </w:t>
      </w:r>
      <w:r w:rsidRPr="00F13DA5">
        <w:rPr>
          <w:rFonts w:hint="eastAsia"/>
          <w:rtl/>
        </w:rPr>
        <w:t>הסנגוריה</w:t>
      </w:r>
      <w:r w:rsidRPr="00F13DA5">
        <w:rPr>
          <w:rtl/>
        </w:rPr>
        <w:t xml:space="preserve"> </w:t>
      </w:r>
      <w:r w:rsidRPr="00F13DA5">
        <w:rPr>
          <w:rFonts w:hint="eastAsia"/>
          <w:rtl/>
        </w:rPr>
        <w:t>הציבורית</w:t>
      </w:r>
      <w:r>
        <w:rPr>
          <w:rFonts w:hint="cs"/>
          <w:rtl/>
        </w:rPr>
        <w:t>,</w:t>
      </w:r>
      <w:r w:rsidRPr="00F13DA5">
        <w:rPr>
          <w:rtl/>
        </w:rPr>
        <w:t xml:space="preserve"> </w:t>
      </w:r>
      <w:r w:rsidRPr="00F13DA5">
        <w:rPr>
          <w:rFonts w:hint="eastAsia"/>
          <w:rtl/>
        </w:rPr>
        <w:t>שיאפשר</w:t>
      </w:r>
      <w:r w:rsidRPr="00F13DA5">
        <w:rPr>
          <w:rtl/>
        </w:rPr>
        <w:t xml:space="preserve"> </w:t>
      </w:r>
      <w:r w:rsidRPr="00F13DA5">
        <w:rPr>
          <w:rFonts w:hint="eastAsia"/>
          <w:rtl/>
        </w:rPr>
        <w:t>העברה</w:t>
      </w:r>
      <w:r w:rsidRPr="00F13DA5">
        <w:rPr>
          <w:rtl/>
        </w:rPr>
        <w:t xml:space="preserve"> </w:t>
      </w:r>
      <w:r w:rsidRPr="00F13DA5">
        <w:rPr>
          <w:rFonts w:hint="eastAsia"/>
          <w:rtl/>
        </w:rPr>
        <w:t>מקוונת</w:t>
      </w:r>
      <w:r w:rsidRPr="00F13DA5">
        <w:rPr>
          <w:rtl/>
        </w:rPr>
        <w:t xml:space="preserve"> </w:t>
      </w:r>
      <w:r w:rsidRPr="00F13DA5">
        <w:rPr>
          <w:rFonts w:hint="eastAsia"/>
          <w:rtl/>
        </w:rPr>
        <w:t>של</w:t>
      </w:r>
      <w:r w:rsidRPr="00F13DA5">
        <w:rPr>
          <w:rtl/>
        </w:rPr>
        <w:t xml:space="preserve"> </w:t>
      </w:r>
      <w:r w:rsidRPr="00F13DA5">
        <w:rPr>
          <w:rFonts w:hint="eastAsia"/>
          <w:rtl/>
        </w:rPr>
        <w:t>בקשות</w:t>
      </w:r>
      <w:r w:rsidRPr="00F13DA5">
        <w:rPr>
          <w:rtl/>
        </w:rPr>
        <w:t xml:space="preserve"> </w:t>
      </w:r>
      <w:r w:rsidRPr="00F13DA5">
        <w:rPr>
          <w:rFonts w:hint="eastAsia"/>
          <w:rtl/>
        </w:rPr>
        <w:t>ותיעוד</w:t>
      </w:r>
      <w:r w:rsidRPr="00F13DA5">
        <w:rPr>
          <w:rtl/>
        </w:rPr>
        <w:t xml:space="preserve"> </w:t>
      </w:r>
      <w:r w:rsidRPr="00F13DA5">
        <w:rPr>
          <w:rFonts w:hint="eastAsia"/>
          <w:rtl/>
        </w:rPr>
        <w:t>אוטומטי</w:t>
      </w:r>
      <w:r w:rsidRPr="00F13DA5">
        <w:rPr>
          <w:rtl/>
        </w:rPr>
        <w:t xml:space="preserve"> </w:t>
      </w:r>
      <w:r w:rsidRPr="00F13DA5">
        <w:rPr>
          <w:rFonts w:hint="eastAsia"/>
          <w:rtl/>
        </w:rPr>
        <w:t>של</w:t>
      </w:r>
      <w:r w:rsidRPr="00F13DA5">
        <w:rPr>
          <w:rtl/>
        </w:rPr>
        <w:t xml:space="preserve"> </w:t>
      </w:r>
      <w:r w:rsidRPr="00F13DA5">
        <w:rPr>
          <w:rFonts w:hint="eastAsia"/>
          <w:rtl/>
        </w:rPr>
        <w:t>מועד</w:t>
      </w:r>
      <w:r w:rsidRPr="00F13DA5">
        <w:rPr>
          <w:rtl/>
        </w:rPr>
        <w:t xml:space="preserve"> </w:t>
      </w:r>
      <w:r w:rsidRPr="00F13DA5">
        <w:rPr>
          <w:rFonts w:hint="eastAsia"/>
          <w:rtl/>
        </w:rPr>
        <w:t>העברת</w:t>
      </w:r>
      <w:r w:rsidRPr="00F13DA5">
        <w:rPr>
          <w:rFonts w:hint="cs"/>
          <w:rtl/>
        </w:rPr>
        <w:t>ן</w:t>
      </w:r>
      <w:r w:rsidRPr="00F13DA5">
        <w:rPr>
          <w:rtl/>
        </w:rPr>
        <w:t xml:space="preserve">. </w:t>
      </w:r>
    </w:p>
    <w:p w14:paraId="7C441F73" w14:textId="77777777" w:rsidR="00BA23AE" w:rsidRPr="00F13DA5" w:rsidRDefault="00BA23AE" w:rsidP="00F56FE5">
      <w:pPr>
        <w:pStyle w:val="ad"/>
        <w:rPr>
          <w:rtl/>
        </w:rPr>
      </w:pPr>
      <w:r w:rsidRPr="00F13DA5">
        <w:rPr>
          <w:rFonts w:hint="cs"/>
          <w:rtl/>
        </w:rPr>
        <w:lastRenderedPageBreak/>
        <w:t>בטרם תיישם פתרון לממשק ממוחשב, על המשטרה להקפיד כבר עתה על רישום שעת העברת הבקשה וקבלתה והזנת</w:t>
      </w:r>
      <w:r>
        <w:rPr>
          <w:rFonts w:hint="cs"/>
          <w:rtl/>
        </w:rPr>
        <w:t>ה</w:t>
      </w:r>
      <w:r w:rsidRPr="00F13DA5">
        <w:rPr>
          <w:rFonts w:hint="cs"/>
          <w:rtl/>
        </w:rPr>
        <w:t xml:space="preserve"> במערכת הממוחשבת. </w:t>
      </w:r>
    </w:p>
    <w:p w14:paraId="6CC8721A" w14:textId="77777777" w:rsidR="00BA23AE" w:rsidRPr="00F13DA5" w:rsidRDefault="00BA23AE" w:rsidP="00F56FE5">
      <w:pPr>
        <w:pStyle w:val="a1"/>
        <w:rPr>
          <w:rtl/>
        </w:rPr>
      </w:pPr>
      <w:r w:rsidRPr="00F13DA5">
        <w:rPr>
          <w:rFonts w:hint="cs"/>
          <w:rtl/>
        </w:rPr>
        <w:t xml:space="preserve">הסנגור הציבורי הארצי פנה ללשכת המפכ"ל באפריל 2016 בנושא יישום זכות ההיוועצות. במכתבו נטען כי ישנה שונות קיצונית בשיעור העברת הבקשות לפני חקירה בין בגירים לקטינים ובשיעורה בין יחידות החקירה. לשכת המפכ"ל השיבה לו במאי 2016 שנחקר עשוי לוותר על זכות ההיוועצות לפני החקירה ולשנות את דעתו לאחר החקירה. עוד נמסר כי ניתן להסביר את השונות בין יחידות החקירה </w:t>
      </w:r>
      <w:r>
        <w:rPr>
          <w:rFonts w:hint="cs"/>
          <w:rtl/>
        </w:rPr>
        <w:t>ב</w:t>
      </w:r>
      <w:r w:rsidRPr="00F13DA5">
        <w:rPr>
          <w:rFonts w:hint="cs"/>
          <w:rtl/>
        </w:rPr>
        <w:t xml:space="preserve">סיבות אובייקטיביות כגון רקע חברתי, רקע סוציואקונומי וכיוצא בזה. </w:t>
      </w:r>
    </w:p>
    <w:p w14:paraId="4A1B0CBD" w14:textId="4CCA048C" w:rsidR="00BA23AE" w:rsidRPr="00F56FE5" w:rsidRDefault="00BA23AE" w:rsidP="00F56FE5">
      <w:pPr>
        <w:pStyle w:val="ad"/>
        <w:rPr>
          <w:rtl/>
        </w:rPr>
      </w:pPr>
      <w:r w:rsidRPr="00F13DA5">
        <w:rPr>
          <w:rFonts w:hint="cs"/>
          <w:rtl/>
        </w:rPr>
        <w:t xml:space="preserve">מבדיקת </w:t>
      </w:r>
      <w:r w:rsidRPr="00F13DA5">
        <w:rPr>
          <w:rFonts w:hint="eastAsia"/>
          <w:rtl/>
        </w:rPr>
        <w:t>משרד</w:t>
      </w:r>
      <w:r w:rsidRPr="00F13DA5">
        <w:rPr>
          <w:rtl/>
        </w:rPr>
        <w:t xml:space="preserve"> </w:t>
      </w:r>
      <w:r w:rsidRPr="00F13DA5">
        <w:rPr>
          <w:rFonts w:hint="eastAsia"/>
          <w:rtl/>
        </w:rPr>
        <w:t>מבקר</w:t>
      </w:r>
      <w:r w:rsidRPr="00F13DA5">
        <w:rPr>
          <w:rtl/>
        </w:rPr>
        <w:t xml:space="preserve"> </w:t>
      </w:r>
      <w:r w:rsidRPr="00F13DA5">
        <w:rPr>
          <w:rFonts w:hint="eastAsia"/>
          <w:rtl/>
        </w:rPr>
        <w:t>המדינה</w:t>
      </w:r>
      <w:r w:rsidRPr="00F13DA5">
        <w:rPr>
          <w:rtl/>
        </w:rPr>
        <w:t xml:space="preserve"> </w:t>
      </w:r>
      <w:r w:rsidRPr="00F13DA5">
        <w:rPr>
          <w:rFonts w:hint="cs"/>
          <w:rtl/>
        </w:rPr>
        <w:t>עולה</w:t>
      </w:r>
      <w:r w:rsidRPr="00F13DA5">
        <w:rPr>
          <w:rtl/>
        </w:rPr>
        <w:t xml:space="preserve"> </w:t>
      </w:r>
      <w:r w:rsidRPr="00F13DA5">
        <w:rPr>
          <w:rFonts w:hint="eastAsia"/>
          <w:rtl/>
        </w:rPr>
        <w:t>כי</w:t>
      </w:r>
      <w:r w:rsidRPr="00F13DA5">
        <w:rPr>
          <w:rtl/>
        </w:rPr>
        <w:t xml:space="preserve"> </w:t>
      </w:r>
      <w:r w:rsidRPr="00F13DA5">
        <w:rPr>
          <w:rFonts w:hint="eastAsia"/>
          <w:rtl/>
        </w:rPr>
        <w:t>יש</w:t>
      </w:r>
      <w:r w:rsidRPr="00F13DA5">
        <w:rPr>
          <w:rtl/>
        </w:rPr>
        <w:t xml:space="preserve"> </w:t>
      </w:r>
      <w:r w:rsidRPr="00F13DA5">
        <w:rPr>
          <w:rFonts w:hint="eastAsia"/>
          <w:rtl/>
        </w:rPr>
        <w:t>קושי</w:t>
      </w:r>
      <w:r w:rsidRPr="00F13DA5">
        <w:rPr>
          <w:rtl/>
        </w:rPr>
        <w:t xml:space="preserve"> </w:t>
      </w:r>
      <w:r w:rsidRPr="00F13DA5">
        <w:rPr>
          <w:rFonts w:hint="cs"/>
          <w:rtl/>
        </w:rPr>
        <w:t>להסביר</w:t>
      </w:r>
      <w:r w:rsidRPr="00F13DA5">
        <w:rPr>
          <w:rtl/>
        </w:rPr>
        <w:t xml:space="preserve"> </w:t>
      </w:r>
      <w:r w:rsidRPr="00F13DA5">
        <w:rPr>
          <w:rFonts w:hint="cs"/>
          <w:rtl/>
        </w:rPr>
        <w:t xml:space="preserve">את </w:t>
      </w:r>
      <w:r w:rsidRPr="00F13DA5">
        <w:rPr>
          <w:rFonts w:hint="eastAsia"/>
          <w:rtl/>
        </w:rPr>
        <w:t>מקור</w:t>
      </w:r>
      <w:r w:rsidRPr="00F13DA5">
        <w:rPr>
          <w:rtl/>
        </w:rPr>
        <w:t xml:space="preserve"> </w:t>
      </w:r>
      <w:r w:rsidRPr="00F13DA5">
        <w:rPr>
          <w:rFonts w:hint="eastAsia"/>
          <w:rtl/>
        </w:rPr>
        <w:t>הפער</w:t>
      </w:r>
      <w:r w:rsidRPr="00F13DA5">
        <w:rPr>
          <w:rtl/>
        </w:rPr>
        <w:t xml:space="preserve"> </w:t>
      </w:r>
      <w:r w:rsidRPr="00F13DA5">
        <w:rPr>
          <w:rFonts w:hint="eastAsia"/>
          <w:rtl/>
        </w:rPr>
        <w:t>בשיעור</w:t>
      </w:r>
      <w:r w:rsidRPr="00F13DA5">
        <w:rPr>
          <w:rFonts w:hint="cs"/>
          <w:rtl/>
        </w:rPr>
        <w:t>י</w:t>
      </w:r>
      <w:r w:rsidRPr="00F13DA5">
        <w:rPr>
          <w:rtl/>
        </w:rPr>
        <w:t xml:space="preserve"> </w:t>
      </w:r>
      <w:r w:rsidRPr="00F13DA5">
        <w:rPr>
          <w:rFonts w:hint="eastAsia"/>
          <w:rtl/>
        </w:rPr>
        <w:t>שליחת</w:t>
      </w:r>
      <w:r w:rsidRPr="00F13DA5">
        <w:rPr>
          <w:rtl/>
        </w:rPr>
        <w:t xml:space="preserve"> </w:t>
      </w:r>
      <w:r w:rsidRPr="00F13DA5">
        <w:rPr>
          <w:rFonts w:hint="eastAsia"/>
          <w:rtl/>
        </w:rPr>
        <w:t>הבקשות</w:t>
      </w:r>
      <w:r w:rsidRPr="00F13DA5">
        <w:rPr>
          <w:rtl/>
        </w:rPr>
        <w:t xml:space="preserve"> </w:t>
      </w:r>
      <w:r w:rsidRPr="00F13DA5">
        <w:rPr>
          <w:rFonts w:hint="eastAsia"/>
          <w:rtl/>
        </w:rPr>
        <w:t>לייצוג</w:t>
      </w:r>
      <w:r w:rsidRPr="00F13DA5">
        <w:rPr>
          <w:rtl/>
        </w:rPr>
        <w:t xml:space="preserve"> </w:t>
      </w:r>
      <w:r w:rsidRPr="00F13DA5">
        <w:rPr>
          <w:rFonts w:hint="eastAsia"/>
          <w:rtl/>
        </w:rPr>
        <w:t>לפני</w:t>
      </w:r>
      <w:r w:rsidRPr="00F13DA5">
        <w:rPr>
          <w:rtl/>
        </w:rPr>
        <w:t xml:space="preserve"> </w:t>
      </w:r>
      <w:r w:rsidRPr="00F13DA5">
        <w:rPr>
          <w:rFonts w:hint="eastAsia"/>
          <w:rtl/>
        </w:rPr>
        <w:t>חקירה</w:t>
      </w:r>
      <w:r w:rsidRPr="00F13DA5">
        <w:rPr>
          <w:rtl/>
        </w:rPr>
        <w:t xml:space="preserve"> </w:t>
      </w:r>
      <w:r w:rsidRPr="00F13DA5">
        <w:rPr>
          <w:rFonts w:hint="cs"/>
          <w:rtl/>
        </w:rPr>
        <w:t>ב</w:t>
      </w:r>
      <w:r w:rsidRPr="00F13DA5">
        <w:rPr>
          <w:rFonts w:hint="eastAsia"/>
          <w:rtl/>
        </w:rPr>
        <w:t>פערים</w:t>
      </w:r>
      <w:r w:rsidRPr="00F13DA5">
        <w:rPr>
          <w:rtl/>
        </w:rPr>
        <w:t xml:space="preserve"> </w:t>
      </w:r>
      <w:r w:rsidRPr="00F13DA5">
        <w:rPr>
          <w:rFonts w:hint="eastAsia"/>
          <w:rtl/>
        </w:rPr>
        <w:t>חברתיים</w:t>
      </w:r>
      <w:r w:rsidRPr="00F13DA5">
        <w:rPr>
          <w:rtl/>
        </w:rPr>
        <w:t xml:space="preserve"> </w:t>
      </w:r>
      <w:r w:rsidRPr="00F13DA5">
        <w:rPr>
          <w:rFonts w:hint="eastAsia"/>
          <w:rtl/>
        </w:rPr>
        <w:t>וכלכליים</w:t>
      </w:r>
      <w:r w:rsidRPr="00F13DA5">
        <w:rPr>
          <w:rtl/>
        </w:rPr>
        <w:t xml:space="preserve"> </w:t>
      </w:r>
      <w:r w:rsidRPr="00F13DA5">
        <w:rPr>
          <w:rFonts w:hint="eastAsia"/>
          <w:rtl/>
        </w:rPr>
        <w:t>בין</w:t>
      </w:r>
      <w:r w:rsidRPr="00F13DA5">
        <w:rPr>
          <w:rtl/>
        </w:rPr>
        <w:t xml:space="preserve"> </w:t>
      </w:r>
      <w:r w:rsidRPr="00F13DA5">
        <w:rPr>
          <w:rFonts w:hint="eastAsia"/>
          <w:rtl/>
        </w:rPr>
        <w:t>עצורים</w:t>
      </w:r>
      <w:r w:rsidRPr="00F13DA5">
        <w:rPr>
          <w:rtl/>
        </w:rPr>
        <w:t xml:space="preserve"> </w:t>
      </w:r>
      <w:r w:rsidRPr="00F13DA5">
        <w:rPr>
          <w:rFonts w:hint="eastAsia"/>
          <w:rtl/>
        </w:rPr>
        <w:t>בתחנות</w:t>
      </w:r>
      <w:r w:rsidRPr="00F13DA5">
        <w:rPr>
          <w:rtl/>
        </w:rPr>
        <w:t xml:space="preserve"> </w:t>
      </w:r>
      <w:r w:rsidRPr="00F13DA5">
        <w:rPr>
          <w:rFonts w:hint="eastAsia"/>
          <w:rtl/>
        </w:rPr>
        <w:t>השונות</w:t>
      </w:r>
      <w:r w:rsidRPr="00F13DA5">
        <w:rPr>
          <w:rtl/>
        </w:rPr>
        <w:t xml:space="preserve">. </w:t>
      </w:r>
      <w:r w:rsidRPr="00F13DA5">
        <w:rPr>
          <w:rFonts w:hint="eastAsia"/>
          <w:rtl/>
        </w:rPr>
        <w:t>זאת</w:t>
      </w:r>
      <w:r w:rsidRPr="00F13DA5">
        <w:rPr>
          <w:rFonts w:hint="cs"/>
          <w:rtl/>
        </w:rPr>
        <w:t>,</w:t>
      </w:r>
      <w:r w:rsidRPr="00F13DA5">
        <w:rPr>
          <w:rtl/>
        </w:rPr>
        <w:t xml:space="preserve"> </w:t>
      </w:r>
      <w:r w:rsidRPr="00F13DA5">
        <w:rPr>
          <w:rFonts w:hint="cs"/>
          <w:rtl/>
        </w:rPr>
        <w:t xml:space="preserve">משום שלפי נתוני הסנגוריה הציבורית אין הלימה מובהקת בין </w:t>
      </w:r>
      <w:r>
        <w:rPr>
          <w:rFonts w:hint="cs"/>
          <w:rtl/>
        </w:rPr>
        <w:t>ה</w:t>
      </w:r>
      <w:r w:rsidRPr="00F13DA5">
        <w:rPr>
          <w:rFonts w:hint="cs"/>
          <w:rtl/>
        </w:rPr>
        <w:t xml:space="preserve">מצב </w:t>
      </w:r>
      <w:r>
        <w:rPr>
          <w:rFonts w:hint="cs"/>
          <w:rtl/>
        </w:rPr>
        <w:t>ה</w:t>
      </w:r>
      <w:r w:rsidRPr="00F13DA5">
        <w:rPr>
          <w:rFonts w:hint="cs"/>
          <w:rtl/>
        </w:rPr>
        <w:t xml:space="preserve">חברתי כלכלי באזור </w:t>
      </w:r>
      <w:r>
        <w:rPr>
          <w:rFonts w:hint="cs"/>
          <w:rtl/>
        </w:rPr>
        <w:t>ש</w:t>
      </w:r>
      <w:r w:rsidRPr="00F13DA5">
        <w:rPr>
          <w:rFonts w:hint="cs"/>
          <w:rtl/>
        </w:rPr>
        <w:t>תחת סמכות תחנת המשטרה לבין שיעור העברת הבקשות לפני חקירה</w:t>
      </w:r>
      <w:r>
        <w:rPr>
          <w:rFonts w:hint="cs"/>
          <w:rtl/>
        </w:rPr>
        <w:t>.</w:t>
      </w:r>
      <w:r w:rsidRPr="00F13DA5">
        <w:rPr>
          <w:rFonts w:hint="cs"/>
          <w:rtl/>
        </w:rPr>
        <w:t xml:space="preserve"> </w:t>
      </w:r>
      <w:r w:rsidRPr="00F13DA5">
        <w:rPr>
          <w:rFonts w:hint="eastAsia"/>
          <w:rtl/>
        </w:rPr>
        <w:t>ישנן</w:t>
      </w:r>
      <w:r w:rsidRPr="00F13DA5">
        <w:rPr>
          <w:rtl/>
        </w:rPr>
        <w:t xml:space="preserve"> </w:t>
      </w:r>
      <w:r w:rsidRPr="00F13DA5">
        <w:rPr>
          <w:rFonts w:hint="eastAsia"/>
          <w:rtl/>
        </w:rPr>
        <w:t>תחנות</w:t>
      </w:r>
      <w:r w:rsidRPr="00F13DA5">
        <w:rPr>
          <w:rtl/>
        </w:rPr>
        <w:t xml:space="preserve"> </w:t>
      </w:r>
      <w:r w:rsidRPr="00F13DA5">
        <w:rPr>
          <w:rFonts w:hint="eastAsia"/>
          <w:rtl/>
        </w:rPr>
        <w:t>בהן</w:t>
      </w:r>
      <w:r w:rsidR="00F56FE5">
        <w:rPr>
          <w:rFonts w:hint="cs"/>
          <w:rtl/>
        </w:rPr>
        <w:t xml:space="preserve"> </w:t>
      </w:r>
      <w:r w:rsidRPr="00F56FE5">
        <w:rPr>
          <w:rFonts w:hint="eastAsia"/>
          <w:rtl/>
        </w:rPr>
        <w:t>היה</w:t>
      </w:r>
      <w:r w:rsidRPr="00F56FE5">
        <w:rPr>
          <w:rtl/>
        </w:rPr>
        <w:t xml:space="preserve"> </w:t>
      </w:r>
      <w:r w:rsidRPr="00F56FE5">
        <w:rPr>
          <w:rFonts w:hint="eastAsia"/>
          <w:rtl/>
        </w:rPr>
        <w:t>שינוי</w:t>
      </w:r>
      <w:r w:rsidRPr="00F56FE5">
        <w:rPr>
          <w:rtl/>
        </w:rPr>
        <w:t xml:space="preserve"> </w:t>
      </w:r>
      <w:r w:rsidRPr="00F56FE5">
        <w:rPr>
          <w:rFonts w:hint="eastAsia"/>
          <w:rtl/>
        </w:rPr>
        <w:t>משמעותי</w:t>
      </w:r>
      <w:r w:rsidRPr="00F56FE5">
        <w:rPr>
          <w:rtl/>
        </w:rPr>
        <w:t xml:space="preserve"> </w:t>
      </w:r>
      <w:r w:rsidRPr="00F56FE5">
        <w:rPr>
          <w:rFonts w:hint="eastAsia"/>
          <w:rtl/>
        </w:rPr>
        <w:t>בנושא</w:t>
      </w:r>
      <w:r w:rsidRPr="00F56FE5">
        <w:rPr>
          <w:rtl/>
        </w:rPr>
        <w:t xml:space="preserve"> </w:t>
      </w:r>
      <w:r w:rsidRPr="00F56FE5">
        <w:rPr>
          <w:rFonts w:hint="eastAsia"/>
          <w:rtl/>
        </w:rPr>
        <w:t>זה</w:t>
      </w:r>
      <w:r w:rsidRPr="00F56FE5">
        <w:rPr>
          <w:rtl/>
        </w:rPr>
        <w:t xml:space="preserve"> </w:t>
      </w:r>
      <w:r w:rsidRPr="00F56FE5">
        <w:rPr>
          <w:rFonts w:hint="eastAsia"/>
          <w:rtl/>
        </w:rPr>
        <w:t>במהלך</w:t>
      </w:r>
      <w:r w:rsidRPr="00F56FE5">
        <w:rPr>
          <w:rtl/>
        </w:rPr>
        <w:t xml:space="preserve"> </w:t>
      </w:r>
      <w:r w:rsidRPr="00F56FE5">
        <w:rPr>
          <w:rFonts w:hint="eastAsia"/>
          <w:rtl/>
        </w:rPr>
        <w:t>השנים</w:t>
      </w:r>
      <w:r w:rsidRPr="00F56FE5">
        <w:rPr>
          <w:rFonts w:hint="cs"/>
          <w:rtl/>
        </w:rPr>
        <w:t xml:space="preserve">. כמו כן, עדיין קיים פער </w:t>
      </w:r>
      <w:r w:rsidRPr="00F56FE5">
        <w:rPr>
          <w:rFonts w:hint="eastAsia"/>
          <w:rtl/>
        </w:rPr>
        <w:t>בין</w:t>
      </w:r>
      <w:r w:rsidRPr="00F56FE5">
        <w:rPr>
          <w:rtl/>
        </w:rPr>
        <w:t xml:space="preserve"> </w:t>
      </w:r>
      <w:r w:rsidRPr="00F56FE5">
        <w:rPr>
          <w:rFonts w:hint="eastAsia"/>
          <w:rtl/>
        </w:rPr>
        <w:t>מצבם</w:t>
      </w:r>
      <w:r w:rsidRPr="00F56FE5">
        <w:rPr>
          <w:rtl/>
        </w:rPr>
        <w:t xml:space="preserve"> </w:t>
      </w:r>
      <w:r w:rsidRPr="00F56FE5">
        <w:rPr>
          <w:rFonts w:hint="eastAsia"/>
          <w:rtl/>
        </w:rPr>
        <w:t>של</w:t>
      </w:r>
      <w:r w:rsidRPr="00F56FE5">
        <w:rPr>
          <w:rtl/>
        </w:rPr>
        <w:t xml:space="preserve"> </w:t>
      </w:r>
      <w:r w:rsidRPr="00F56FE5">
        <w:rPr>
          <w:rFonts w:hint="eastAsia"/>
          <w:rtl/>
        </w:rPr>
        <w:t>קטינים</w:t>
      </w:r>
      <w:r w:rsidRPr="00F56FE5">
        <w:rPr>
          <w:rtl/>
        </w:rPr>
        <w:t xml:space="preserve"> </w:t>
      </w:r>
      <w:r w:rsidRPr="00F56FE5">
        <w:rPr>
          <w:rFonts w:hint="cs"/>
          <w:rtl/>
        </w:rPr>
        <w:t>ל</w:t>
      </w:r>
      <w:r w:rsidRPr="00F56FE5">
        <w:rPr>
          <w:rFonts w:hint="eastAsia"/>
          <w:rtl/>
        </w:rPr>
        <w:t>בגירים</w:t>
      </w:r>
      <w:r w:rsidRPr="00F56FE5">
        <w:rPr>
          <w:rtl/>
        </w:rPr>
        <w:t>.</w:t>
      </w:r>
    </w:p>
    <w:p w14:paraId="3139A239" w14:textId="04A40E00" w:rsidR="00BA23AE" w:rsidRDefault="00BA23AE" w:rsidP="00F56FE5">
      <w:pPr>
        <w:pStyle w:val="af3"/>
        <w:rPr>
          <w:rtl/>
        </w:rPr>
      </w:pPr>
      <w:r w:rsidRPr="00F13DA5">
        <w:rPr>
          <w:rFonts w:hint="cs"/>
          <w:rtl/>
        </w:rPr>
        <w:t xml:space="preserve">כך למשל, בנתוני הסנגוריה נמצא שוני בשיעור הבקשות המועברות לפני חקירה אצל בגירים לעומת קטינים. בשנת 2015 </w:t>
      </w:r>
      <w:r>
        <w:rPr>
          <w:rFonts w:hint="cs"/>
          <w:rtl/>
        </w:rPr>
        <w:t xml:space="preserve">עמד </w:t>
      </w:r>
      <w:r w:rsidRPr="00F13DA5">
        <w:rPr>
          <w:rFonts w:hint="cs"/>
          <w:rtl/>
        </w:rPr>
        <w:t xml:space="preserve">שיעור העברת הבקשות </w:t>
      </w:r>
      <w:r>
        <w:rPr>
          <w:rFonts w:hint="cs"/>
          <w:rtl/>
        </w:rPr>
        <w:t xml:space="preserve">לפני חקירה </w:t>
      </w:r>
      <w:r w:rsidRPr="00F13DA5">
        <w:rPr>
          <w:rFonts w:hint="cs"/>
          <w:rtl/>
        </w:rPr>
        <w:t>אצל בגירים על כ-32%, ואילו אצל קטינים על 72%. בשנת 2018 עמד שיעור העברת הבקשות אצל בגירים על 52%, ואילו אצל קטינים על 89%. להלן תרשים המציג את שיעור</w:t>
      </w:r>
      <w:r>
        <w:rPr>
          <w:rFonts w:hint="cs"/>
          <w:rtl/>
        </w:rPr>
        <w:t>י</w:t>
      </w:r>
      <w:r w:rsidRPr="00F13DA5">
        <w:rPr>
          <w:rFonts w:hint="cs"/>
          <w:rtl/>
        </w:rPr>
        <w:t xml:space="preserve"> העברת הבקשות בשנים 2015 ו-2018 בפילוח לפי קטינים ובגירים. </w:t>
      </w:r>
    </w:p>
    <w:p w14:paraId="2FDE4F6E" w14:textId="665C83B9" w:rsidR="00BA23AE" w:rsidRPr="00F56FE5" w:rsidRDefault="00BA23AE" w:rsidP="00F56FE5">
      <w:pPr>
        <w:pStyle w:val="a9"/>
        <w:rPr>
          <w:b/>
          <w:bCs/>
        </w:rPr>
      </w:pPr>
      <w:r w:rsidRPr="00F13DA5">
        <w:rPr>
          <w:rFonts w:hint="eastAsia"/>
          <w:rtl/>
        </w:rPr>
        <w:t>תרשים</w:t>
      </w:r>
      <w:r w:rsidRPr="00F13DA5">
        <w:rPr>
          <w:rFonts w:hint="cs"/>
          <w:rtl/>
        </w:rPr>
        <w:t xml:space="preserve"> 1</w:t>
      </w:r>
      <w:r>
        <w:rPr>
          <w:rFonts w:hint="cs"/>
          <w:rtl/>
        </w:rPr>
        <w:t>3</w:t>
      </w:r>
      <w:r w:rsidRPr="00F13DA5">
        <w:rPr>
          <w:rFonts w:hint="cs"/>
          <w:rtl/>
        </w:rPr>
        <w:t>:</w:t>
      </w:r>
      <w:r w:rsidRPr="00F13DA5">
        <w:rPr>
          <w:rtl/>
        </w:rPr>
        <w:t xml:space="preserve"> </w:t>
      </w:r>
      <w:r w:rsidRPr="00F56FE5">
        <w:rPr>
          <w:rFonts w:hint="eastAsia"/>
          <w:b/>
          <w:bCs/>
          <w:rtl/>
        </w:rPr>
        <w:t>שיעור</w:t>
      </w:r>
      <w:r w:rsidRPr="00F56FE5">
        <w:rPr>
          <w:rFonts w:hint="cs"/>
          <w:b/>
          <w:bCs/>
          <w:rtl/>
        </w:rPr>
        <w:t>י</w:t>
      </w:r>
      <w:r w:rsidRPr="00F56FE5">
        <w:rPr>
          <w:b/>
          <w:bCs/>
          <w:rtl/>
        </w:rPr>
        <w:t xml:space="preserve"> </w:t>
      </w:r>
      <w:r w:rsidRPr="00F56FE5">
        <w:rPr>
          <w:rFonts w:hint="eastAsia"/>
          <w:b/>
          <w:bCs/>
          <w:rtl/>
        </w:rPr>
        <w:t>העברת</w:t>
      </w:r>
      <w:r w:rsidRPr="00F56FE5">
        <w:rPr>
          <w:b/>
          <w:bCs/>
          <w:rtl/>
        </w:rPr>
        <w:t xml:space="preserve"> </w:t>
      </w:r>
      <w:r w:rsidRPr="00F56FE5">
        <w:rPr>
          <w:rFonts w:hint="cs"/>
          <w:b/>
          <w:bCs/>
          <w:rtl/>
        </w:rPr>
        <w:t>ה</w:t>
      </w:r>
      <w:r w:rsidRPr="00F56FE5">
        <w:rPr>
          <w:rFonts w:hint="eastAsia"/>
          <w:b/>
          <w:bCs/>
          <w:rtl/>
        </w:rPr>
        <w:t>בקשות</w:t>
      </w:r>
      <w:r w:rsidRPr="00F56FE5">
        <w:rPr>
          <w:b/>
          <w:bCs/>
          <w:rtl/>
        </w:rPr>
        <w:t xml:space="preserve"> </w:t>
      </w:r>
      <w:r w:rsidRPr="00F56FE5">
        <w:rPr>
          <w:rFonts w:hint="eastAsia"/>
          <w:b/>
          <w:bCs/>
          <w:rtl/>
        </w:rPr>
        <w:t>למינוי</w:t>
      </w:r>
      <w:r w:rsidRPr="00F56FE5">
        <w:rPr>
          <w:b/>
          <w:bCs/>
          <w:rtl/>
        </w:rPr>
        <w:t xml:space="preserve"> </w:t>
      </w:r>
      <w:r w:rsidRPr="00F56FE5">
        <w:rPr>
          <w:rFonts w:hint="eastAsia"/>
          <w:b/>
          <w:bCs/>
          <w:rtl/>
        </w:rPr>
        <w:t>סנגור</w:t>
      </w:r>
      <w:r w:rsidRPr="00F56FE5">
        <w:rPr>
          <w:b/>
          <w:bCs/>
          <w:rtl/>
        </w:rPr>
        <w:t xml:space="preserve"> </w:t>
      </w:r>
      <w:r w:rsidRPr="00F56FE5">
        <w:rPr>
          <w:rFonts w:hint="eastAsia"/>
          <w:b/>
          <w:bCs/>
          <w:rtl/>
        </w:rPr>
        <w:t>ציבורי</w:t>
      </w:r>
      <w:r w:rsidRPr="00F56FE5">
        <w:rPr>
          <w:rFonts w:hint="cs"/>
          <w:b/>
          <w:bCs/>
          <w:rtl/>
        </w:rPr>
        <w:t xml:space="preserve"> לפני חקירה,</w:t>
      </w:r>
      <w:r w:rsidR="00F56FE5">
        <w:rPr>
          <w:b/>
          <w:bCs/>
          <w:rtl/>
        </w:rPr>
        <w:br/>
      </w:r>
      <w:r w:rsidRPr="00F56FE5">
        <w:rPr>
          <w:rFonts w:hint="eastAsia"/>
          <w:b/>
          <w:bCs/>
          <w:rtl/>
        </w:rPr>
        <w:t>לפי</w:t>
      </w:r>
      <w:r w:rsidRPr="00F56FE5">
        <w:rPr>
          <w:b/>
          <w:bCs/>
          <w:rtl/>
        </w:rPr>
        <w:t xml:space="preserve"> </w:t>
      </w:r>
      <w:r w:rsidRPr="00F56FE5">
        <w:rPr>
          <w:rFonts w:hint="cs"/>
          <w:b/>
          <w:bCs/>
          <w:rtl/>
        </w:rPr>
        <w:t xml:space="preserve">קטינים ובגירים, </w:t>
      </w:r>
      <w:r w:rsidRPr="00F56FE5">
        <w:rPr>
          <w:b/>
          <w:bCs/>
          <w:rtl/>
        </w:rPr>
        <w:t>2015</w:t>
      </w:r>
      <w:r w:rsidRPr="00F56FE5">
        <w:rPr>
          <w:rFonts w:hint="cs"/>
          <w:b/>
          <w:bCs/>
          <w:rtl/>
        </w:rPr>
        <w:t>,</w:t>
      </w:r>
      <w:r w:rsidRPr="00F56FE5">
        <w:rPr>
          <w:b/>
          <w:bCs/>
          <w:rtl/>
        </w:rPr>
        <w:t xml:space="preserve"> 2018 </w:t>
      </w:r>
    </w:p>
    <w:p w14:paraId="7E99F22B" w14:textId="77777777" w:rsidR="00BA23AE" w:rsidRPr="00F56FE5" w:rsidRDefault="00BA23AE" w:rsidP="00F56FE5">
      <w:pPr>
        <w:pStyle w:val="a9"/>
      </w:pPr>
      <w:r w:rsidRPr="00F56FE5">
        <w:rPr>
          <w:noProof/>
        </w:rPr>
        <w:drawing>
          <wp:inline distT="0" distB="0" distL="0" distR="0" wp14:anchorId="724E1A21" wp14:editId="394D5368">
            <wp:extent cx="4158532" cy="2139011"/>
            <wp:effectExtent l="0" t="0" r="13970" b="13970"/>
            <wp:docPr id="32" name="תרשים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EC5933" w14:textId="2B70BA8D" w:rsidR="00BA23AE" w:rsidRDefault="00BA23AE" w:rsidP="00F56FE5">
      <w:pPr>
        <w:pStyle w:val="ab"/>
        <w:rPr>
          <w:rtl/>
        </w:rPr>
      </w:pPr>
      <w:r w:rsidRPr="00F56FE5">
        <w:rPr>
          <w:rFonts w:hint="eastAsia"/>
          <w:rtl/>
        </w:rPr>
        <w:t>על</w:t>
      </w:r>
      <w:r w:rsidRPr="00F56FE5">
        <w:rPr>
          <w:rtl/>
        </w:rPr>
        <w:t xml:space="preserve"> </w:t>
      </w:r>
      <w:r w:rsidRPr="00F56FE5">
        <w:rPr>
          <w:rFonts w:hint="eastAsia"/>
          <w:rtl/>
        </w:rPr>
        <w:t>פי</w:t>
      </w:r>
      <w:r w:rsidRPr="00F56FE5">
        <w:rPr>
          <w:rtl/>
        </w:rPr>
        <w:t xml:space="preserve"> נתוני הסנגוריה </w:t>
      </w:r>
      <w:r w:rsidRPr="00F56FE5">
        <w:rPr>
          <w:rFonts w:hint="eastAsia"/>
          <w:rtl/>
        </w:rPr>
        <w:t>הציבורית</w:t>
      </w:r>
      <w:r w:rsidRPr="00F56FE5">
        <w:rPr>
          <w:rtl/>
        </w:rPr>
        <w:t xml:space="preserve">, </w:t>
      </w:r>
      <w:r w:rsidRPr="00F56FE5">
        <w:rPr>
          <w:rFonts w:hint="eastAsia"/>
          <w:rtl/>
        </w:rPr>
        <w:t>בעיבוד</w:t>
      </w:r>
      <w:r w:rsidRPr="00F56FE5">
        <w:rPr>
          <w:rtl/>
        </w:rPr>
        <w:t xml:space="preserve"> </w:t>
      </w:r>
      <w:r w:rsidRPr="00F56FE5">
        <w:rPr>
          <w:rFonts w:hint="eastAsia"/>
          <w:rtl/>
        </w:rPr>
        <w:t>משרד</w:t>
      </w:r>
      <w:r w:rsidRPr="00F56FE5">
        <w:rPr>
          <w:rtl/>
        </w:rPr>
        <w:t xml:space="preserve"> </w:t>
      </w:r>
      <w:r w:rsidRPr="00F56FE5">
        <w:rPr>
          <w:rFonts w:hint="eastAsia"/>
          <w:rtl/>
        </w:rPr>
        <w:t>מבקר</w:t>
      </w:r>
      <w:r w:rsidRPr="00F56FE5">
        <w:rPr>
          <w:rtl/>
        </w:rPr>
        <w:t xml:space="preserve"> </w:t>
      </w:r>
      <w:r w:rsidRPr="00F56FE5">
        <w:rPr>
          <w:rFonts w:hint="eastAsia"/>
          <w:rtl/>
        </w:rPr>
        <w:t>המדינה</w:t>
      </w:r>
      <w:r w:rsidRPr="00F56FE5">
        <w:rPr>
          <w:rtl/>
        </w:rPr>
        <w:t xml:space="preserve">. </w:t>
      </w:r>
    </w:p>
    <w:p w14:paraId="1EB17D54" w14:textId="77777777" w:rsidR="007A521B" w:rsidRPr="00F56FE5" w:rsidRDefault="007A521B" w:rsidP="007A521B">
      <w:pPr>
        <w:pStyle w:val="100"/>
      </w:pPr>
    </w:p>
    <w:p w14:paraId="1EFFF272" w14:textId="77777777" w:rsidR="00BA23AE" w:rsidRPr="00F13DA5" w:rsidRDefault="00BA23AE" w:rsidP="007A521B">
      <w:pPr>
        <w:pStyle w:val="ad"/>
        <w:rPr>
          <w:rtl/>
        </w:rPr>
      </w:pPr>
      <w:r w:rsidRPr="00F13DA5">
        <w:rPr>
          <w:rtl/>
        </w:rPr>
        <w:lastRenderedPageBreak/>
        <w:t xml:space="preserve">הסנגוריה הציבורית מחזיקה נתונים </w:t>
      </w:r>
      <w:r w:rsidRPr="00F13DA5">
        <w:rPr>
          <w:rFonts w:hint="cs"/>
          <w:rtl/>
        </w:rPr>
        <w:t xml:space="preserve">על </w:t>
      </w:r>
      <w:r w:rsidRPr="00F13DA5">
        <w:rPr>
          <w:rtl/>
        </w:rPr>
        <w:t xml:space="preserve">אודות </w:t>
      </w:r>
      <w:r w:rsidRPr="00F13DA5">
        <w:rPr>
          <w:rFonts w:hint="cs"/>
          <w:rtl/>
        </w:rPr>
        <w:t>הטיפול בבקשות המינוי,</w:t>
      </w:r>
      <w:r w:rsidRPr="00F13DA5">
        <w:rPr>
          <w:rtl/>
        </w:rPr>
        <w:t xml:space="preserve"> </w:t>
      </w:r>
      <w:r w:rsidRPr="00F13DA5">
        <w:rPr>
          <w:rFonts w:hint="cs"/>
          <w:rtl/>
        </w:rPr>
        <w:t xml:space="preserve">ואילו </w:t>
      </w:r>
      <w:r w:rsidRPr="00F13DA5">
        <w:rPr>
          <w:rtl/>
        </w:rPr>
        <w:t>משטרת י</w:t>
      </w:r>
      <w:r w:rsidRPr="00F13DA5">
        <w:rPr>
          <w:rFonts w:hint="eastAsia"/>
          <w:rtl/>
        </w:rPr>
        <w:t>שראל</w:t>
      </w:r>
      <w:r w:rsidRPr="00F13DA5">
        <w:rPr>
          <w:rFonts w:hint="cs"/>
          <w:rtl/>
        </w:rPr>
        <w:t xml:space="preserve"> אינה אוספת נתונים אלה</w:t>
      </w:r>
      <w:r w:rsidRPr="00F13DA5">
        <w:rPr>
          <w:rtl/>
        </w:rPr>
        <w:t xml:space="preserve">. </w:t>
      </w:r>
      <w:r w:rsidRPr="00F13DA5">
        <w:rPr>
          <w:rFonts w:hint="cs"/>
          <w:rtl/>
        </w:rPr>
        <w:t>היעדר איסוף הנתונים על ידי המשטרה מותיר את המחלוקות בין הסנגוריה הציבורית לבין המשטרה על כנן</w:t>
      </w:r>
      <w:r>
        <w:rPr>
          <w:rFonts w:hint="cs"/>
          <w:rtl/>
        </w:rPr>
        <w:t>,</w:t>
      </w:r>
      <w:r w:rsidRPr="00F13DA5">
        <w:rPr>
          <w:rFonts w:hint="cs"/>
          <w:rtl/>
        </w:rPr>
        <w:t xml:space="preserve"> ללא אפשרות לבחינתן העובדתית. הוא אף מונע מהמשטרה את האפשרות לבחון מדוע ישנה שונות ניכרת בשיעורי העברת הבקשות לפני חקירה אצל בגירים בתחנות המשטרה השונות</w:t>
      </w:r>
      <w:r w:rsidRPr="00F13DA5">
        <w:rPr>
          <w:rtl/>
        </w:rPr>
        <w:t xml:space="preserve"> </w:t>
      </w:r>
      <w:r w:rsidRPr="00F13DA5">
        <w:rPr>
          <w:rFonts w:hint="cs"/>
          <w:rtl/>
        </w:rPr>
        <w:t>וכן בין בגירים</w:t>
      </w:r>
      <w:r w:rsidRPr="00F13DA5">
        <w:rPr>
          <w:rtl/>
        </w:rPr>
        <w:t xml:space="preserve"> לקטינים</w:t>
      </w:r>
      <w:r w:rsidRPr="00F13DA5">
        <w:rPr>
          <w:rFonts w:hint="cs"/>
          <w:rtl/>
        </w:rPr>
        <w:t xml:space="preserve">. </w:t>
      </w:r>
      <w:r w:rsidRPr="00F13DA5">
        <w:rPr>
          <w:rFonts w:hint="eastAsia"/>
          <w:rtl/>
        </w:rPr>
        <w:t>איסוף</w:t>
      </w:r>
      <w:r w:rsidRPr="00F13DA5">
        <w:rPr>
          <w:rtl/>
        </w:rPr>
        <w:t xml:space="preserve"> </w:t>
      </w:r>
      <w:r w:rsidRPr="00F13DA5">
        <w:rPr>
          <w:rFonts w:hint="eastAsia"/>
          <w:rtl/>
        </w:rPr>
        <w:t>הנתונים</w:t>
      </w:r>
      <w:r w:rsidRPr="00F13DA5">
        <w:rPr>
          <w:rtl/>
        </w:rPr>
        <w:t xml:space="preserve"> </w:t>
      </w:r>
      <w:r w:rsidRPr="00F13DA5">
        <w:rPr>
          <w:rFonts w:hint="cs"/>
          <w:rtl/>
        </w:rPr>
        <w:t>ב</w:t>
      </w:r>
      <w:r w:rsidRPr="00F13DA5">
        <w:rPr>
          <w:rFonts w:hint="eastAsia"/>
          <w:rtl/>
        </w:rPr>
        <w:t>אמצע</w:t>
      </w:r>
      <w:r w:rsidRPr="00F13DA5">
        <w:rPr>
          <w:rFonts w:hint="cs"/>
          <w:rtl/>
        </w:rPr>
        <w:t>ים</w:t>
      </w:r>
      <w:r w:rsidRPr="00F13DA5">
        <w:rPr>
          <w:rtl/>
        </w:rPr>
        <w:t xml:space="preserve"> </w:t>
      </w:r>
      <w:r w:rsidRPr="00F13DA5">
        <w:rPr>
          <w:rFonts w:hint="eastAsia"/>
          <w:rtl/>
        </w:rPr>
        <w:t>ממוחשב</w:t>
      </w:r>
      <w:r w:rsidRPr="00F13DA5">
        <w:rPr>
          <w:rFonts w:hint="cs"/>
          <w:rtl/>
        </w:rPr>
        <w:t>ים</w:t>
      </w:r>
      <w:r w:rsidRPr="00F13DA5">
        <w:rPr>
          <w:rtl/>
        </w:rPr>
        <w:t xml:space="preserve"> </w:t>
      </w:r>
      <w:r w:rsidRPr="00F13DA5">
        <w:rPr>
          <w:rFonts w:hint="cs"/>
          <w:rtl/>
        </w:rPr>
        <w:t>יסייע ל</w:t>
      </w:r>
      <w:r w:rsidRPr="00F13DA5">
        <w:rPr>
          <w:rtl/>
        </w:rPr>
        <w:t xml:space="preserve">בחינת </w:t>
      </w:r>
      <w:r w:rsidRPr="00F13DA5">
        <w:rPr>
          <w:rFonts w:hint="cs"/>
          <w:rtl/>
        </w:rPr>
        <w:t>הסוגיה ברמה הארצית ויוכל לשמש ב</w:t>
      </w:r>
      <w:r w:rsidRPr="00F13DA5">
        <w:rPr>
          <w:rtl/>
        </w:rPr>
        <w:t>סיס לדיון שנתי בנושא</w:t>
      </w:r>
      <w:r w:rsidRPr="00F13DA5">
        <w:rPr>
          <w:rFonts w:hint="cs"/>
          <w:rtl/>
        </w:rPr>
        <w:t xml:space="preserve"> במשטרה, תוך הצבת</w:t>
      </w:r>
      <w:r w:rsidRPr="00F13DA5">
        <w:rPr>
          <w:rtl/>
        </w:rPr>
        <w:t xml:space="preserve"> יעדים שנתיים </w:t>
      </w:r>
      <w:r w:rsidRPr="00F13DA5">
        <w:rPr>
          <w:rFonts w:hint="cs"/>
          <w:rtl/>
        </w:rPr>
        <w:t xml:space="preserve">לתחנות </w:t>
      </w:r>
      <w:r w:rsidRPr="00F13DA5">
        <w:rPr>
          <w:rtl/>
        </w:rPr>
        <w:t xml:space="preserve">לגידול </w:t>
      </w:r>
      <w:r w:rsidRPr="00F13DA5">
        <w:rPr>
          <w:rFonts w:hint="cs"/>
          <w:rtl/>
        </w:rPr>
        <w:t>ב</w:t>
      </w:r>
      <w:r w:rsidRPr="00F13DA5">
        <w:rPr>
          <w:rtl/>
        </w:rPr>
        <w:t xml:space="preserve">שיעור </w:t>
      </w:r>
      <w:r w:rsidRPr="00F13DA5">
        <w:rPr>
          <w:rFonts w:hint="cs"/>
          <w:rtl/>
        </w:rPr>
        <w:t>מימושה של זכות ההיוועצות.</w:t>
      </w:r>
      <w:r w:rsidRPr="00F13DA5">
        <w:rPr>
          <w:rtl/>
        </w:rPr>
        <w:t xml:space="preserve"> </w:t>
      </w:r>
    </w:p>
    <w:p w14:paraId="3E6902CE" w14:textId="77777777" w:rsidR="00BA23AE" w:rsidRPr="00742601" w:rsidRDefault="00BA23AE" w:rsidP="00DA48D3">
      <w:pPr>
        <w:pStyle w:val="218"/>
        <w:bidi w:val="0"/>
        <w:spacing w:after="0"/>
        <w:jc w:val="right"/>
        <w:rPr>
          <w:rtl/>
        </w:rPr>
      </w:pPr>
      <w:bookmarkStart w:id="15" w:name="_Toc23159661"/>
      <w:bookmarkStart w:id="16" w:name="_Toc23160159"/>
      <w:bookmarkStart w:id="17" w:name="_Toc24624824"/>
      <w:r w:rsidRPr="00F13DA5">
        <w:rPr>
          <w:rFonts w:hint="cs"/>
          <w:rtl/>
        </w:rPr>
        <w:t>שחרור עצורים בתנאים</w:t>
      </w:r>
      <w:bookmarkEnd w:id="15"/>
      <w:bookmarkEnd w:id="16"/>
      <w:bookmarkEnd w:id="17"/>
    </w:p>
    <w:p w14:paraId="5D9D7FB6" w14:textId="77777777" w:rsidR="00BA23AE" w:rsidRPr="00F13DA5" w:rsidRDefault="00BA23AE" w:rsidP="00DA48D3">
      <w:pPr>
        <w:pStyle w:val="316"/>
        <w:spacing w:before="480" w:after="0"/>
        <w:rPr>
          <w:rtl/>
        </w:rPr>
      </w:pPr>
      <w:r w:rsidRPr="00F13DA5">
        <w:rPr>
          <w:rFonts w:hint="cs"/>
          <w:rtl/>
        </w:rPr>
        <w:t>הסמכות לשחרור עצור בתנאים</w:t>
      </w:r>
    </w:p>
    <w:p w14:paraId="780C48AE" w14:textId="77777777" w:rsidR="00BA23AE" w:rsidRDefault="00BA23AE" w:rsidP="007A521B">
      <w:pPr>
        <w:pStyle w:val="100"/>
        <w:rPr>
          <w:rtl/>
        </w:rPr>
      </w:pPr>
      <w:r w:rsidRPr="00F13DA5">
        <w:rPr>
          <w:rFonts w:hint="cs"/>
          <w:rtl/>
        </w:rPr>
        <w:t>החלטת המעצר היא מוצא אחרון בשרשרת האפשרויות העומדות לרשות מערכת האכיפה</w:t>
      </w:r>
      <w:r w:rsidRPr="00F13DA5">
        <w:rPr>
          <w:rStyle w:val="FootnoteReference"/>
          <w:rtl/>
        </w:rPr>
        <w:footnoteReference w:id="33"/>
      </w:r>
      <w:r w:rsidRPr="00F13DA5">
        <w:rPr>
          <w:rFonts w:hint="cs"/>
          <w:rtl/>
        </w:rPr>
        <w:t xml:space="preserve">. בהתאם לכך קובע חוק המעצרים </w:t>
      </w:r>
      <w:r>
        <w:rPr>
          <w:rFonts w:hint="cs"/>
          <w:rtl/>
        </w:rPr>
        <w:t xml:space="preserve">בעניין עצור שקיים חשד סביר שביצע עבירה, כי </w:t>
      </w:r>
      <w:r w:rsidRPr="00F13DA5">
        <w:rPr>
          <w:rFonts w:hint="cs"/>
          <w:rtl/>
        </w:rPr>
        <w:t>קצין ממונה</w:t>
      </w:r>
      <w:r>
        <w:rPr>
          <w:rFonts w:hint="cs"/>
          <w:rtl/>
        </w:rPr>
        <w:t xml:space="preserve"> או בית משפט</w:t>
      </w:r>
      <w:r w:rsidRPr="00F13DA5">
        <w:rPr>
          <w:rFonts w:hint="cs"/>
          <w:rtl/>
        </w:rPr>
        <w:t xml:space="preserve"> </w:t>
      </w:r>
      <w:r>
        <w:rPr>
          <w:rFonts w:hint="cs"/>
          <w:rtl/>
        </w:rPr>
        <w:t xml:space="preserve">- </w:t>
      </w:r>
      <w:r w:rsidRPr="00F13DA5">
        <w:rPr>
          <w:rFonts w:hint="cs"/>
          <w:rtl/>
        </w:rPr>
        <w:t>רשאי</w:t>
      </w:r>
      <w:r>
        <w:rPr>
          <w:rFonts w:hint="cs"/>
          <w:rtl/>
        </w:rPr>
        <w:t>ם</w:t>
      </w:r>
      <w:r w:rsidRPr="00F13DA5">
        <w:rPr>
          <w:rFonts w:hint="cs"/>
          <w:rtl/>
        </w:rPr>
        <w:t xml:space="preserve"> לשחרר</w:t>
      </w:r>
      <w:r>
        <w:rPr>
          <w:rFonts w:hint="cs"/>
          <w:rtl/>
        </w:rPr>
        <w:t>ו</w:t>
      </w:r>
      <w:r w:rsidRPr="00F13DA5">
        <w:rPr>
          <w:rFonts w:hint="cs"/>
          <w:rtl/>
        </w:rPr>
        <w:t xml:space="preserve"> בערובה (להלן - שחרור בתנאים). השימוש בחלופות מעצר בדרך של שחרור בתנאים פותח והורחב לאורך השנים מתוך הכרה בחשיבותן ולאור שינויים בתפיסות חברתיות והתפתחויות טכנולוגיות</w:t>
      </w:r>
      <w:r w:rsidRPr="00F13DA5">
        <w:rPr>
          <w:rStyle w:val="FootnoteReference"/>
          <w:rtl/>
        </w:rPr>
        <w:footnoteReference w:id="34"/>
      </w:r>
      <w:r w:rsidRPr="00F13DA5">
        <w:rPr>
          <w:rFonts w:hint="cs"/>
          <w:rtl/>
        </w:rPr>
        <w:t xml:space="preserve">. </w:t>
      </w:r>
    </w:p>
    <w:p w14:paraId="3852A8CA" w14:textId="77777777" w:rsidR="00BA23AE" w:rsidRPr="00F13DA5" w:rsidRDefault="00BA23AE" w:rsidP="007A521B">
      <w:pPr>
        <w:pStyle w:val="100"/>
        <w:rPr>
          <w:rtl/>
        </w:rPr>
      </w:pPr>
      <w:r w:rsidRPr="00F13DA5">
        <w:rPr>
          <w:rFonts w:hint="cs"/>
          <w:rtl/>
        </w:rPr>
        <w:t xml:space="preserve">על מנת להפחית ככל הניתן את הפגיעה בעצור, נדרשים גורמי האכיפה לקבל את ההחלטה על השחרור בתנאים בהקדם האפשרי ולבצעה במועד המוקדם ביותר, ככל שהדבר ניתן בנסיבות העניין. יתרה מכך, הימנעות מהפעלת סמכות הקצין הממונה לשחרור עצור בתנאים חלף הבאתו בפני בית המשפט מביאה לפגיעה שלא לצורך בכבודו ובחירותו. כמו כן, היא עלולה להביא לעומס יתר על בתי המשפט, שירות בתי הסוהר והסנגוריה הציבורית ולבזבוז משאבי ציבור. </w:t>
      </w:r>
    </w:p>
    <w:p w14:paraId="772508EE" w14:textId="77777777" w:rsidR="00BA23AE" w:rsidRPr="00F13DA5" w:rsidRDefault="00BA23AE" w:rsidP="007A521B">
      <w:pPr>
        <w:pStyle w:val="100"/>
        <w:rPr>
          <w:rtl/>
        </w:rPr>
      </w:pPr>
      <w:r w:rsidRPr="00F13DA5">
        <w:rPr>
          <w:rFonts w:hint="cs"/>
          <w:rtl/>
        </w:rPr>
        <w:t xml:space="preserve">הלכה למעשה, ישנם שלושה שלבים שבהם יש לפרט לפני העצור או בית המשפט את התנאים לשחרור ממעצר: </w:t>
      </w:r>
    </w:p>
    <w:p w14:paraId="0BE3C55C" w14:textId="77777777" w:rsidR="00BA23AE" w:rsidRPr="00F13DA5" w:rsidRDefault="00BA23AE" w:rsidP="00DA48D3">
      <w:pPr>
        <w:pStyle w:val="a1"/>
        <w:numPr>
          <w:ilvl w:val="0"/>
          <w:numId w:val="22"/>
        </w:numPr>
      </w:pPr>
      <w:r w:rsidRPr="007A521B">
        <w:rPr>
          <w:rStyle w:val="Heading5Char"/>
          <w:rFonts w:hint="eastAsia"/>
          <w:b/>
          <w:bCs w:val="0"/>
          <w:color w:val="387026"/>
          <w:spacing w:val="0"/>
          <w:rtl/>
        </w:rPr>
        <w:t>החלטת</w:t>
      </w:r>
      <w:r w:rsidRPr="007A521B">
        <w:rPr>
          <w:rStyle w:val="Heading5Char"/>
          <w:b/>
          <w:bCs w:val="0"/>
          <w:color w:val="387026"/>
          <w:spacing w:val="0"/>
          <w:rtl/>
        </w:rPr>
        <w:t xml:space="preserve"> </w:t>
      </w:r>
      <w:r w:rsidRPr="007A521B">
        <w:rPr>
          <w:rStyle w:val="Heading5Char"/>
          <w:rFonts w:hint="eastAsia"/>
          <w:b/>
          <w:bCs w:val="0"/>
          <w:color w:val="387026"/>
          <w:spacing w:val="0"/>
          <w:rtl/>
        </w:rPr>
        <w:t>הקצין</w:t>
      </w:r>
      <w:r w:rsidRPr="007A521B">
        <w:rPr>
          <w:rStyle w:val="Heading5Char"/>
          <w:b/>
          <w:bCs w:val="0"/>
          <w:color w:val="387026"/>
          <w:spacing w:val="0"/>
          <w:rtl/>
        </w:rPr>
        <w:t xml:space="preserve"> </w:t>
      </w:r>
      <w:r w:rsidRPr="007A521B">
        <w:rPr>
          <w:rStyle w:val="Heading5Char"/>
          <w:rFonts w:hint="eastAsia"/>
          <w:b/>
          <w:bCs w:val="0"/>
          <w:color w:val="387026"/>
          <w:spacing w:val="0"/>
          <w:rtl/>
        </w:rPr>
        <w:t>הממונה</w:t>
      </w:r>
      <w:r w:rsidRPr="007A521B">
        <w:rPr>
          <w:rStyle w:val="Heading5Char"/>
          <w:b/>
          <w:bCs w:val="0"/>
          <w:color w:val="387026"/>
          <w:spacing w:val="0"/>
          <w:rtl/>
        </w:rPr>
        <w:t>:</w:t>
      </w:r>
      <w:r w:rsidRPr="007A521B">
        <w:rPr>
          <w:rFonts w:hint="cs"/>
          <w:color w:val="387026"/>
          <w:rtl/>
        </w:rPr>
        <w:t xml:space="preserve"> </w:t>
      </w:r>
      <w:r w:rsidRPr="00F13DA5">
        <w:rPr>
          <w:rFonts w:hint="cs"/>
          <w:rtl/>
        </w:rPr>
        <w:t xml:space="preserve">על הקצין הממונה להציע לעצור, במקרים המתאימים, להשתחרר בתחנת המשטרה בתנאים המצויים בסמכותו. אם העצור הסכים לתנאים, הוא יחתום על כתב ערבות המפרט את תנאי השחרור. </w:t>
      </w:r>
    </w:p>
    <w:p w14:paraId="5B0167C9" w14:textId="77777777" w:rsidR="00BA23AE" w:rsidRPr="00F13DA5" w:rsidRDefault="00BA23AE" w:rsidP="007A521B">
      <w:pPr>
        <w:pStyle w:val="a1"/>
      </w:pPr>
      <w:r w:rsidRPr="007A521B">
        <w:rPr>
          <w:rStyle w:val="Heading5Char"/>
          <w:rFonts w:hint="eastAsia"/>
          <w:b/>
          <w:bCs w:val="0"/>
          <w:color w:val="387026"/>
          <w:spacing w:val="0"/>
          <w:rtl/>
        </w:rPr>
        <w:t>הגשת</w:t>
      </w:r>
      <w:r w:rsidRPr="007A521B">
        <w:rPr>
          <w:rStyle w:val="Heading5Char"/>
          <w:b/>
          <w:bCs w:val="0"/>
          <w:color w:val="387026"/>
          <w:spacing w:val="0"/>
          <w:rtl/>
        </w:rPr>
        <w:t xml:space="preserve"> בקשה בבית </w:t>
      </w:r>
      <w:r w:rsidRPr="007A521B">
        <w:rPr>
          <w:rStyle w:val="Heading5Char"/>
          <w:rFonts w:hint="eastAsia"/>
          <w:b/>
          <w:bCs w:val="0"/>
          <w:color w:val="387026"/>
          <w:spacing w:val="0"/>
          <w:rtl/>
        </w:rPr>
        <w:t>המשפט</w:t>
      </w:r>
      <w:r w:rsidRPr="007A521B">
        <w:rPr>
          <w:rStyle w:val="Heading5Char"/>
          <w:b/>
          <w:bCs w:val="0"/>
          <w:color w:val="387026"/>
          <w:spacing w:val="0"/>
          <w:rtl/>
        </w:rPr>
        <w:t>:</w:t>
      </w:r>
      <w:r w:rsidRPr="007A521B">
        <w:rPr>
          <w:rFonts w:hint="cs"/>
          <w:color w:val="387026"/>
          <w:rtl/>
        </w:rPr>
        <w:t xml:space="preserve"> </w:t>
      </w:r>
      <w:r w:rsidRPr="00F13DA5">
        <w:rPr>
          <w:rFonts w:hint="cs"/>
          <w:rtl/>
        </w:rPr>
        <w:t xml:space="preserve">אם עצור סירב לתנאים שהציע לו הקצין הממונה, או שהתנאים לשחרור שהקצין הממונה רוצה להציב אינם בסמכותו, עליו לפרט בבקשת השחרור ממעצר המוגשת למזכירות בית המשפט את תנאי השחרור המבוקשים. </w:t>
      </w:r>
    </w:p>
    <w:p w14:paraId="343CB860" w14:textId="77777777" w:rsidR="00BA23AE" w:rsidRPr="00F13DA5" w:rsidRDefault="00BA23AE" w:rsidP="007A521B">
      <w:pPr>
        <w:pStyle w:val="a1"/>
        <w:rPr>
          <w:rtl/>
        </w:rPr>
      </w:pPr>
      <w:r w:rsidRPr="007A521B">
        <w:rPr>
          <w:rStyle w:val="Heading5Char"/>
          <w:rFonts w:hint="eastAsia"/>
          <w:b/>
          <w:bCs w:val="0"/>
          <w:color w:val="387026"/>
          <w:spacing w:val="0"/>
          <w:rtl/>
        </w:rPr>
        <w:lastRenderedPageBreak/>
        <w:t>החלטת</w:t>
      </w:r>
      <w:r w:rsidRPr="007A521B">
        <w:rPr>
          <w:rStyle w:val="Heading5Char"/>
          <w:b/>
          <w:bCs w:val="0"/>
          <w:color w:val="387026"/>
          <w:spacing w:val="0"/>
          <w:rtl/>
        </w:rPr>
        <w:t xml:space="preserve"> </w:t>
      </w:r>
      <w:r w:rsidRPr="007A521B">
        <w:rPr>
          <w:rStyle w:val="Heading5Char"/>
          <w:rFonts w:hint="eastAsia"/>
          <w:b/>
          <w:bCs w:val="0"/>
          <w:color w:val="387026"/>
          <w:spacing w:val="0"/>
          <w:rtl/>
        </w:rPr>
        <w:t>בית</w:t>
      </w:r>
      <w:r w:rsidRPr="007A521B">
        <w:rPr>
          <w:rStyle w:val="Heading5Char"/>
          <w:b/>
          <w:bCs w:val="0"/>
          <w:color w:val="387026"/>
          <w:spacing w:val="0"/>
          <w:rtl/>
        </w:rPr>
        <w:t xml:space="preserve"> </w:t>
      </w:r>
      <w:r w:rsidRPr="007A521B">
        <w:rPr>
          <w:rStyle w:val="Heading5Char"/>
          <w:rFonts w:hint="eastAsia"/>
          <w:b/>
          <w:bCs w:val="0"/>
          <w:color w:val="387026"/>
          <w:spacing w:val="0"/>
          <w:rtl/>
        </w:rPr>
        <w:t>המשפט</w:t>
      </w:r>
      <w:r w:rsidRPr="007A521B">
        <w:rPr>
          <w:rStyle w:val="Heading5Char"/>
          <w:b/>
          <w:bCs w:val="0"/>
          <w:color w:val="387026"/>
          <w:spacing w:val="0"/>
          <w:rtl/>
        </w:rPr>
        <w:t>:</w:t>
      </w:r>
      <w:r w:rsidRPr="007A521B">
        <w:rPr>
          <w:rFonts w:hint="cs"/>
          <w:color w:val="387026"/>
          <w:rtl/>
        </w:rPr>
        <w:t xml:space="preserve"> </w:t>
      </w:r>
      <w:r w:rsidRPr="00F13DA5">
        <w:rPr>
          <w:rFonts w:hint="cs"/>
          <w:rtl/>
        </w:rPr>
        <w:t xml:space="preserve">עניינו של עצור מובא בפני בית המשפט בשני מצבים: הוגשה בקשה למעצר או שהוגשה בקשה לשחרור בתנאים. אם בית המשפט מחליט על שחרור בתנאים, הוא מכריע מהם התנאים לשחרור שבהם יידרש העצור לעמוד ומפרט אותם בהחלטתו. המשטרה נדרשת לאכוף את התנאים שנקבעו בבית המשפט. </w:t>
      </w:r>
    </w:p>
    <w:p w14:paraId="1C0F7DF6" w14:textId="77777777" w:rsidR="00BA23AE" w:rsidRDefault="00BA23AE" w:rsidP="007A521B">
      <w:pPr>
        <w:pStyle w:val="100"/>
        <w:rPr>
          <w:rtl/>
        </w:rPr>
      </w:pPr>
      <w:r w:rsidRPr="00F13DA5">
        <w:rPr>
          <w:rFonts w:hint="cs"/>
          <w:rtl/>
        </w:rPr>
        <w:t xml:space="preserve">להלן לוח המפרט את תנאי השחרור ממעצר שניתן לקבוע לפי חוק המעצרים בחלוקה לזהות הגורם המוסמך לקבוע אותם: </w:t>
      </w:r>
    </w:p>
    <w:p w14:paraId="4D06C92B" w14:textId="2EA1F248" w:rsidR="00BA23AE" w:rsidRPr="007A521B" w:rsidRDefault="00BA23AE" w:rsidP="007A521B">
      <w:pPr>
        <w:pStyle w:val="a9"/>
        <w:rPr>
          <w:b/>
          <w:bCs/>
          <w:rtl/>
        </w:rPr>
      </w:pPr>
      <w:r w:rsidRPr="00F13DA5">
        <w:rPr>
          <w:rFonts w:hint="cs"/>
          <w:rtl/>
        </w:rPr>
        <w:t xml:space="preserve">לוח </w:t>
      </w:r>
      <w:r>
        <w:rPr>
          <w:rFonts w:hint="cs"/>
          <w:rtl/>
        </w:rPr>
        <w:t>8</w:t>
      </w:r>
      <w:r w:rsidRPr="00F13DA5">
        <w:rPr>
          <w:rFonts w:hint="cs"/>
          <w:rtl/>
        </w:rPr>
        <w:t xml:space="preserve">: </w:t>
      </w:r>
      <w:r w:rsidRPr="007A521B">
        <w:rPr>
          <w:rFonts w:hint="cs"/>
          <w:b/>
          <w:bCs/>
          <w:rtl/>
        </w:rPr>
        <w:t>תנאי שחרור ממעצר - סמכויות בית המשפט וקצין ממונה</w:t>
      </w:r>
    </w:p>
    <w:tbl>
      <w:tblPr>
        <w:tblStyle w:val="312"/>
        <w:bidiVisual/>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3115"/>
        <w:gridCol w:w="1418"/>
        <w:gridCol w:w="993"/>
        <w:gridCol w:w="1135"/>
        <w:gridCol w:w="846"/>
      </w:tblGrid>
      <w:tr w:rsidR="00972F16" w:rsidRPr="00D34C3E" w14:paraId="546504D4" w14:textId="77777777" w:rsidTr="00972F1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411" w:type="pct"/>
            <w:tcBorders>
              <w:top w:val="none" w:sz="0" w:space="0" w:color="auto"/>
              <w:left w:val="none" w:sz="0" w:space="0" w:color="auto"/>
              <w:bottom w:val="none" w:sz="0" w:space="0" w:color="auto"/>
              <w:right w:val="none" w:sz="0" w:space="0" w:color="auto"/>
            </w:tcBorders>
            <w:shd w:val="clear" w:color="auto" w:fill="C6D9F1"/>
            <w:vAlign w:val="bottom"/>
          </w:tcPr>
          <w:p w14:paraId="18606225" w14:textId="77777777" w:rsidR="00BA23AE" w:rsidRPr="00D34C3E" w:rsidRDefault="00BA23AE" w:rsidP="00AD4267">
            <w:pPr>
              <w:pStyle w:val="af0"/>
              <w:rPr>
                <w:b/>
                <w:bCs/>
                <w:sz w:val="17"/>
                <w:szCs w:val="17"/>
                <w:rtl/>
              </w:rPr>
            </w:pPr>
          </w:p>
        </w:tc>
        <w:tc>
          <w:tcPr>
            <w:tcW w:w="1904" w:type="pct"/>
            <w:tcBorders>
              <w:top w:val="none" w:sz="0" w:space="0" w:color="auto"/>
              <w:left w:val="none" w:sz="0" w:space="0" w:color="auto"/>
              <w:right w:val="none" w:sz="0" w:space="0" w:color="auto"/>
            </w:tcBorders>
            <w:shd w:val="clear" w:color="auto" w:fill="C6D9F1"/>
            <w:noWrap/>
            <w:vAlign w:val="bottom"/>
            <w:hideMark/>
          </w:tcPr>
          <w:p w14:paraId="44A1F205" w14:textId="77777777" w:rsidR="00BA23AE" w:rsidRPr="00D34C3E" w:rsidRDefault="00BA23AE" w:rsidP="00AD4267">
            <w:pPr>
              <w:pStyle w:val="af0"/>
              <w:cnfStyle w:val="100000000000" w:firstRow="1" w:lastRow="0" w:firstColumn="0" w:lastColumn="0" w:oddVBand="0" w:evenVBand="0" w:oddHBand="0" w:evenHBand="0" w:firstRowFirstColumn="0" w:firstRowLastColumn="0" w:lastRowFirstColumn="0" w:lastRowLastColumn="0"/>
              <w:rPr>
                <w:b/>
                <w:bCs/>
                <w:sz w:val="17"/>
                <w:szCs w:val="17"/>
              </w:rPr>
            </w:pPr>
            <w:r w:rsidRPr="00D34C3E">
              <w:rPr>
                <w:b/>
                <w:bCs/>
                <w:sz w:val="17"/>
                <w:szCs w:val="17"/>
                <w:rtl/>
              </w:rPr>
              <w:t xml:space="preserve">תנאי </w:t>
            </w:r>
            <w:r w:rsidRPr="00D34C3E">
              <w:rPr>
                <w:rFonts w:hint="cs"/>
                <w:b/>
                <w:bCs/>
                <w:sz w:val="17"/>
                <w:szCs w:val="17"/>
                <w:rtl/>
              </w:rPr>
              <w:t>ה</w:t>
            </w:r>
            <w:r w:rsidRPr="00D34C3E">
              <w:rPr>
                <w:b/>
                <w:bCs/>
                <w:sz w:val="17"/>
                <w:szCs w:val="17"/>
                <w:rtl/>
              </w:rPr>
              <w:t>שחרור</w:t>
            </w:r>
          </w:p>
        </w:tc>
        <w:tc>
          <w:tcPr>
            <w:tcW w:w="867" w:type="pct"/>
            <w:tcBorders>
              <w:top w:val="none" w:sz="0" w:space="0" w:color="auto"/>
              <w:left w:val="none" w:sz="0" w:space="0" w:color="auto"/>
              <w:right w:val="none" w:sz="0" w:space="0" w:color="auto"/>
            </w:tcBorders>
            <w:shd w:val="clear" w:color="auto" w:fill="C6D9F1"/>
            <w:noWrap/>
            <w:vAlign w:val="bottom"/>
            <w:hideMark/>
          </w:tcPr>
          <w:p w14:paraId="7286EDC1" w14:textId="2AB3C976" w:rsidR="00BA23AE" w:rsidRPr="00D34C3E" w:rsidRDefault="00BA23AE" w:rsidP="00F11449">
            <w:pPr>
              <w:pStyle w:val="af0"/>
              <w:cnfStyle w:val="100000000000" w:firstRow="1" w:lastRow="0" w:firstColumn="0" w:lastColumn="0" w:oddVBand="0" w:evenVBand="0" w:oddHBand="0" w:evenHBand="0" w:firstRowFirstColumn="0" w:firstRowLastColumn="0" w:lastRowFirstColumn="0" w:lastRowLastColumn="0"/>
              <w:rPr>
                <w:b/>
                <w:bCs/>
                <w:sz w:val="17"/>
                <w:szCs w:val="17"/>
                <w:rtl/>
              </w:rPr>
            </w:pPr>
            <w:r w:rsidRPr="00D34C3E">
              <w:rPr>
                <w:b/>
                <w:bCs/>
                <w:sz w:val="17"/>
                <w:szCs w:val="17"/>
                <w:rtl/>
              </w:rPr>
              <w:t xml:space="preserve">משך </w:t>
            </w:r>
            <w:r w:rsidRPr="00D34C3E">
              <w:rPr>
                <w:rFonts w:hint="cs"/>
                <w:b/>
                <w:bCs/>
                <w:sz w:val="17"/>
                <w:szCs w:val="17"/>
                <w:rtl/>
              </w:rPr>
              <w:t>ה</w:t>
            </w:r>
            <w:r w:rsidRPr="00D34C3E">
              <w:rPr>
                <w:b/>
                <w:bCs/>
                <w:sz w:val="17"/>
                <w:szCs w:val="17"/>
                <w:rtl/>
              </w:rPr>
              <w:t>תקופה</w:t>
            </w:r>
            <w:r w:rsidR="00F11449" w:rsidRPr="00D34C3E">
              <w:rPr>
                <w:rFonts w:hint="cs"/>
                <w:b/>
                <w:bCs/>
                <w:sz w:val="17"/>
                <w:szCs w:val="17"/>
                <w:rtl/>
              </w:rPr>
              <w:t xml:space="preserve"> </w:t>
            </w:r>
            <w:r w:rsidRPr="00D34C3E">
              <w:rPr>
                <w:rFonts w:hint="cs"/>
                <w:b/>
                <w:bCs/>
                <w:sz w:val="17"/>
                <w:szCs w:val="17"/>
                <w:rtl/>
              </w:rPr>
              <w:t>המרבית</w:t>
            </w:r>
            <w:r w:rsidRPr="00D34C3E">
              <w:rPr>
                <w:b/>
                <w:bCs/>
                <w:sz w:val="17"/>
                <w:szCs w:val="17"/>
                <w:rtl/>
              </w:rPr>
              <w:t xml:space="preserve"> (בימים)</w:t>
            </w:r>
          </w:p>
        </w:tc>
        <w:tc>
          <w:tcPr>
            <w:tcW w:w="607" w:type="pct"/>
            <w:tcBorders>
              <w:top w:val="none" w:sz="0" w:space="0" w:color="auto"/>
              <w:left w:val="none" w:sz="0" w:space="0" w:color="auto"/>
              <w:right w:val="none" w:sz="0" w:space="0" w:color="auto"/>
            </w:tcBorders>
            <w:shd w:val="clear" w:color="auto" w:fill="C6D9F1"/>
            <w:noWrap/>
            <w:vAlign w:val="bottom"/>
            <w:hideMark/>
          </w:tcPr>
          <w:p w14:paraId="3D5C041E" w14:textId="77777777" w:rsidR="00BA23AE" w:rsidRPr="00D34C3E" w:rsidRDefault="00BA23AE" w:rsidP="00AD4267">
            <w:pPr>
              <w:pStyle w:val="af0"/>
              <w:cnfStyle w:val="100000000000" w:firstRow="1" w:lastRow="0" w:firstColumn="0" w:lastColumn="0" w:oddVBand="0" w:evenVBand="0" w:oddHBand="0" w:evenHBand="0" w:firstRowFirstColumn="0" w:firstRowLastColumn="0" w:lastRowFirstColumn="0" w:lastRowLastColumn="0"/>
              <w:rPr>
                <w:b/>
                <w:bCs/>
                <w:sz w:val="17"/>
                <w:szCs w:val="17"/>
                <w:rtl/>
              </w:rPr>
            </w:pPr>
            <w:r w:rsidRPr="00D34C3E">
              <w:rPr>
                <w:b/>
                <w:bCs/>
                <w:sz w:val="17"/>
                <w:szCs w:val="17"/>
                <w:rtl/>
              </w:rPr>
              <w:t xml:space="preserve">סמכות </w:t>
            </w:r>
            <w:r w:rsidRPr="00D34C3E">
              <w:rPr>
                <w:rFonts w:hint="cs"/>
                <w:b/>
                <w:bCs/>
                <w:sz w:val="17"/>
                <w:szCs w:val="17"/>
                <w:rtl/>
              </w:rPr>
              <w:t>קצין</w:t>
            </w:r>
          </w:p>
        </w:tc>
        <w:tc>
          <w:tcPr>
            <w:tcW w:w="694" w:type="pct"/>
            <w:tcBorders>
              <w:top w:val="none" w:sz="0" w:space="0" w:color="auto"/>
              <w:left w:val="none" w:sz="0" w:space="0" w:color="auto"/>
              <w:right w:val="none" w:sz="0" w:space="0" w:color="auto"/>
            </w:tcBorders>
            <w:shd w:val="clear" w:color="auto" w:fill="C6D9F1"/>
            <w:noWrap/>
            <w:vAlign w:val="bottom"/>
            <w:hideMark/>
          </w:tcPr>
          <w:p w14:paraId="0E16C83F" w14:textId="77777777" w:rsidR="00BA23AE" w:rsidRPr="00D34C3E" w:rsidRDefault="00BA23AE" w:rsidP="00AD4267">
            <w:pPr>
              <w:pStyle w:val="af0"/>
              <w:cnfStyle w:val="100000000000" w:firstRow="1" w:lastRow="0" w:firstColumn="0" w:lastColumn="0" w:oddVBand="0" w:evenVBand="0" w:oddHBand="0" w:evenHBand="0" w:firstRowFirstColumn="0" w:firstRowLastColumn="0" w:lastRowFirstColumn="0" w:lastRowLastColumn="0"/>
              <w:rPr>
                <w:b/>
                <w:bCs/>
                <w:sz w:val="17"/>
                <w:szCs w:val="17"/>
                <w:rtl/>
              </w:rPr>
            </w:pPr>
            <w:r w:rsidRPr="00D34C3E">
              <w:rPr>
                <w:b/>
                <w:bCs/>
                <w:sz w:val="17"/>
                <w:szCs w:val="17"/>
                <w:rtl/>
              </w:rPr>
              <w:t>סמכות שופט</w:t>
            </w:r>
          </w:p>
        </w:tc>
        <w:tc>
          <w:tcPr>
            <w:tcW w:w="517" w:type="pct"/>
            <w:tcBorders>
              <w:top w:val="none" w:sz="0" w:space="0" w:color="auto"/>
              <w:left w:val="none" w:sz="0" w:space="0" w:color="auto"/>
              <w:right w:val="none" w:sz="0" w:space="0" w:color="auto"/>
            </w:tcBorders>
            <w:shd w:val="clear" w:color="auto" w:fill="C6D9F1"/>
            <w:vAlign w:val="bottom"/>
          </w:tcPr>
          <w:p w14:paraId="1B0CC818" w14:textId="77777777" w:rsidR="00BA23AE" w:rsidRPr="00D34C3E" w:rsidRDefault="00BA23AE" w:rsidP="00AD4267">
            <w:pPr>
              <w:pStyle w:val="af0"/>
              <w:cnfStyle w:val="100000000000" w:firstRow="1" w:lastRow="0" w:firstColumn="0" w:lastColumn="0" w:oddVBand="0" w:evenVBand="0" w:oddHBand="0" w:evenHBand="0" w:firstRowFirstColumn="0" w:firstRowLastColumn="0" w:lastRowFirstColumn="0" w:lastRowLastColumn="0"/>
              <w:rPr>
                <w:b/>
                <w:bCs/>
                <w:sz w:val="17"/>
                <w:szCs w:val="17"/>
                <w:rtl/>
              </w:rPr>
            </w:pPr>
            <w:r w:rsidRPr="00D34C3E">
              <w:rPr>
                <w:rFonts w:hint="cs"/>
                <w:b/>
                <w:bCs/>
                <w:sz w:val="17"/>
                <w:szCs w:val="17"/>
                <w:rtl/>
              </w:rPr>
              <w:t>סוג סמכות</w:t>
            </w:r>
          </w:p>
        </w:tc>
      </w:tr>
      <w:tr w:rsidR="00972F16" w:rsidRPr="00D34C3E" w14:paraId="26C438D8" w14:textId="77777777" w:rsidTr="00972F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42771720" w14:textId="77777777" w:rsidR="00BA23AE" w:rsidRPr="00D34C3E" w:rsidRDefault="00BA23AE" w:rsidP="00AD4267">
            <w:pPr>
              <w:pStyle w:val="B"/>
              <w:rPr>
                <w:i w:val="0"/>
                <w:iCs w:val="0"/>
                <w:sz w:val="17"/>
                <w:szCs w:val="17"/>
                <w:rtl/>
              </w:rPr>
            </w:pPr>
            <w:r w:rsidRPr="00D34C3E">
              <w:rPr>
                <w:rFonts w:hint="cs"/>
                <w:i w:val="0"/>
                <w:iCs w:val="0"/>
                <w:sz w:val="17"/>
                <w:szCs w:val="17"/>
                <w:rtl/>
              </w:rPr>
              <w:t>1</w:t>
            </w:r>
          </w:p>
        </w:tc>
        <w:tc>
          <w:tcPr>
            <w:tcW w:w="1904" w:type="pct"/>
            <w:shd w:val="clear" w:color="auto" w:fill="auto"/>
            <w:noWrap/>
            <w:vAlign w:val="bottom"/>
            <w:hideMark/>
          </w:tcPr>
          <w:p w14:paraId="6DBF05DB"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ערובה</w:t>
            </w:r>
          </w:p>
        </w:tc>
        <w:tc>
          <w:tcPr>
            <w:tcW w:w="867" w:type="pct"/>
            <w:shd w:val="clear" w:color="auto" w:fill="auto"/>
            <w:noWrap/>
            <w:vAlign w:val="bottom"/>
            <w:hideMark/>
          </w:tcPr>
          <w:p w14:paraId="54509D97"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אין</w:t>
            </w:r>
          </w:p>
        </w:tc>
        <w:tc>
          <w:tcPr>
            <w:tcW w:w="607" w:type="pct"/>
            <w:shd w:val="clear" w:color="auto" w:fill="auto"/>
            <w:noWrap/>
            <w:vAlign w:val="bottom"/>
            <w:hideMark/>
          </w:tcPr>
          <w:p w14:paraId="33BA8D96"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694" w:type="pct"/>
            <w:shd w:val="clear" w:color="auto" w:fill="auto"/>
            <w:noWrap/>
            <w:vAlign w:val="bottom"/>
            <w:hideMark/>
          </w:tcPr>
          <w:p w14:paraId="16D68445"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17" w:type="pct"/>
            <w:vMerge w:val="restart"/>
            <w:shd w:val="clear" w:color="auto" w:fill="C6D9F1"/>
            <w:textDirection w:val="btLr"/>
            <w:vAlign w:val="center"/>
          </w:tcPr>
          <w:p w14:paraId="3E9CF733" w14:textId="77777777" w:rsidR="00BA23AE" w:rsidRPr="00D34C3E" w:rsidRDefault="00BA23AE" w:rsidP="00A17907">
            <w:pPr>
              <w:pStyle w:val="B"/>
              <w:jc w:val="center"/>
              <w:cnfStyle w:val="000000100000" w:firstRow="0" w:lastRow="0" w:firstColumn="0" w:lastColumn="0" w:oddVBand="0" w:evenVBand="0" w:oddHBand="1" w:evenHBand="0" w:firstRowFirstColumn="0" w:firstRowLastColumn="0" w:lastRowFirstColumn="0" w:lastRowLastColumn="0"/>
              <w:rPr>
                <w:sz w:val="17"/>
                <w:szCs w:val="17"/>
                <w:rtl/>
              </w:rPr>
            </w:pPr>
            <w:r w:rsidRPr="00D34C3E">
              <w:rPr>
                <w:rFonts w:hint="cs"/>
                <w:sz w:val="17"/>
                <w:szCs w:val="17"/>
                <w:rtl/>
              </w:rPr>
              <w:t>סמכות מקבילה</w:t>
            </w:r>
          </w:p>
        </w:tc>
      </w:tr>
      <w:tr w:rsidR="00972F16" w:rsidRPr="00D34C3E" w14:paraId="454F29A8" w14:textId="77777777" w:rsidTr="00972F16">
        <w:trPr>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50C57DBA" w14:textId="77777777" w:rsidR="00BA23AE" w:rsidRPr="00D34C3E" w:rsidRDefault="00BA23AE" w:rsidP="00AD4267">
            <w:pPr>
              <w:pStyle w:val="B"/>
              <w:rPr>
                <w:i w:val="0"/>
                <w:iCs w:val="0"/>
                <w:sz w:val="17"/>
                <w:szCs w:val="17"/>
                <w:rtl/>
              </w:rPr>
            </w:pPr>
            <w:r w:rsidRPr="00D34C3E">
              <w:rPr>
                <w:rFonts w:hint="cs"/>
                <w:i w:val="0"/>
                <w:iCs w:val="0"/>
                <w:sz w:val="17"/>
                <w:szCs w:val="17"/>
                <w:rtl/>
              </w:rPr>
              <w:t>2</w:t>
            </w:r>
          </w:p>
        </w:tc>
        <w:tc>
          <w:tcPr>
            <w:tcW w:w="1904" w:type="pct"/>
            <w:shd w:val="clear" w:color="auto" w:fill="auto"/>
            <w:noWrap/>
            <w:vAlign w:val="bottom"/>
            <w:hideMark/>
          </w:tcPr>
          <w:p w14:paraId="43751872"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ערבות צד ג'</w:t>
            </w:r>
          </w:p>
        </w:tc>
        <w:tc>
          <w:tcPr>
            <w:tcW w:w="867" w:type="pct"/>
            <w:shd w:val="clear" w:color="auto" w:fill="auto"/>
            <w:noWrap/>
            <w:vAlign w:val="bottom"/>
            <w:hideMark/>
          </w:tcPr>
          <w:p w14:paraId="7E379903"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אין</w:t>
            </w:r>
          </w:p>
        </w:tc>
        <w:tc>
          <w:tcPr>
            <w:tcW w:w="607" w:type="pct"/>
            <w:shd w:val="clear" w:color="auto" w:fill="auto"/>
            <w:noWrap/>
            <w:vAlign w:val="bottom"/>
            <w:hideMark/>
          </w:tcPr>
          <w:p w14:paraId="35F612DC"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694" w:type="pct"/>
            <w:shd w:val="clear" w:color="auto" w:fill="auto"/>
            <w:noWrap/>
            <w:vAlign w:val="bottom"/>
            <w:hideMark/>
          </w:tcPr>
          <w:p w14:paraId="3C3E44AF"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17" w:type="pct"/>
            <w:vMerge/>
            <w:shd w:val="clear" w:color="auto" w:fill="C6D9F1"/>
            <w:vAlign w:val="center"/>
          </w:tcPr>
          <w:p w14:paraId="3BDDC158" w14:textId="77777777" w:rsidR="00BA23AE" w:rsidRPr="00D34C3E" w:rsidRDefault="00BA23AE" w:rsidP="00A17907">
            <w:pPr>
              <w:pStyle w:val="B"/>
              <w:jc w:val="center"/>
              <w:cnfStyle w:val="000000000000" w:firstRow="0" w:lastRow="0" w:firstColumn="0" w:lastColumn="0" w:oddVBand="0" w:evenVBand="0" w:oddHBand="0" w:evenHBand="0" w:firstRowFirstColumn="0" w:firstRowLastColumn="0" w:lastRowFirstColumn="0" w:lastRowLastColumn="0"/>
              <w:rPr>
                <w:sz w:val="17"/>
                <w:szCs w:val="17"/>
                <w:rtl/>
              </w:rPr>
            </w:pPr>
          </w:p>
        </w:tc>
      </w:tr>
      <w:tr w:rsidR="00972F16" w:rsidRPr="00D34C3E" w14:paraId="293BE877" w14:textId="77777777" w:rsidTr="00972F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08FDDFF6" w14:textId="77777777" w:rsidR="00BA23AE" w:rsidRPr="00D34C3E" w:rsidRDefault="00BA23AE" w:rsidP="00AD4267">
            <w:pPr>
              <w:pStyle w:val="B"/>
              <w:rPr>
                <w:i w:val="0"/>
                <w:iCs w:val="0"/>
                <w:sz w:val="17"/>
                <w:szCs w:val="17"/>
                <w:rtl/>
              </w:rPr>
            </w:pPr>
            <w:r w:rsidRPr="00D34C3E">
              <w:rPr>
                <w:rFonts w:hint="cs"/>
                <w:i w:val="0"/>
                <w:iCs w:val="0"/>
                <w:sz w:val="17"/>
                <w:szCs w:val="17"/>
                <w:rtl/>
              </w:rPr>
              <w:t>3</w:t>
            </w:r>
          </w:p>
        </w:tc>
        <w:tc>
          <w:tcPr>
            <w:tcW w:w="1904" w:type="pct"/>
            <w:shd w:val="clear" w:color="auto" w:fill="auto"/>
            <w:vAlign w:val="bottom"/>
            <w:hideMark/>
          </w:tcPr>
          <w:p w14:paraId="0E859040"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חובת הודעה על כל שינוי ב</w:t>
            </w:r>
            <w:r w:rsidRPr="00D34C3E">
              <w:rPr>
                <w:rFonts w:eastAsia="Times New Roman" w:hint="cs"/>
                <w:sz w:val="17"/>
                <w:szCs w:val="17"/>
                <w:rtl/>
              </w:rPr>
              <w:t>כתובת</w:t>
            </w:r>
            <w:r w:rsidRPr="00D34C3E">
              <w:rPr>
                <w:rStyle w:val="FootnoteReference"/>
                <w:rFonts w:ascii="Arial" w:eastAsia="Times New Roman" w:hAnsi="Arial"/>
                <w:color w:val="000000"/>
                <w:sz w:val="17"/>
                <w:szCs w:val="17"/>
                <w:rtl/>
              </w:rPr>
              <w:footnoteReference w:id="35"/>
            </w:r>
            <w:r w:rsidRPr="00D34C3E">
              <w:rPr>
                <w:rFonts w:eastAsia="Times New Roman" w:hint="cs"/>
                <w:sz w:val="17"/>
                <w:szCs w:val="17"/>
                <w:rtl/>
              </w:rPr>
              <w:t xml:space="preserve"> </w:t>
            </w:r>
          </w:p>
        </w:tc>
        <w:tc>
          <w:tcPr>
            <w:tcW w:w="867" w:type="pct"/>
            <w:shd w:val="clear" w:color="auto" w:fill="auto"/>
            <w:noWrap/>
            <w:vAlign w:val="bottom"/>
            <w:hideMark/>
          </w:tcPr>
          <w:p w14:paraId="34FB9D59"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אין</w:t>
            </w:r>
          </w:p>
        </w:tc>
        <w:tc>
          <w:tcPr>
            <w:tcW w:w="607" w:type="pct"/>
            <w:shd w:val="clear" w:color="auto" w:fill="auto"/>
            <w:noWrap/>
            <w:vAlign w:val="bottom"/>
            <w:hideMark/>
          </w:tcPr>
          <w:p w14:paraId="33D03EB8"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694" w:type="pct"/>
            <w:shd w:val="clear" w:color="auto" w:fill="auto"/>
            <w:noWrap/>
            <w:vAlign w:val="bottom"/>
            <w:hideMark/>
          </w:tcPr>
          <w:p w14:paraId="5702D516"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17" w:type="pct"/>
            <w:vMerge/>
            <w:shd w:val="clear" w:color="auto" w:fill="C6D9F1"/>
            <w:vAlign w:val="center"/>
          </w:tcPr>
          <w:p w14:paraId="22B58855" w14:textId="77777777" w:rsidR="00BA23AE" w:rsidRPr="00D34C3E" w:rsidRDefault="00BA23AE" w:rsidP="00A17907">
            <w:pPr>
              <w:pStyle w:val="B"/>
              <w:jc w:val="center"/>
              <w:cnfStyle w:val="000000100000" w:firstRow="0" w:lastRow="0" w:firstColumn="0" w:lastColumn="0" w:oddVBand="0" w:evenVBand="0" w:oddHBand="1" w:evenHBand="0" w:firstRowFirstColumn="0" w:firstRowLastColumn="0" w:lastRowFirstColumn="0" w:lastRowLastColumn="0"/>
              <w:rPr>
                <w:sz w:val="17"/>
                <w:szCs w:val="17"/>
                <w:rtl/>
              </w:rPr>
            </w:pPr>
          </w:p>
        </w:tc>
      </w:tr>
      <w:tr w:rsidR="00972F16" w:rsidRPr="00D34C3E" w14:paraId="7E473C56" w14:textId="77777777" w:rsidTr="00972F16">
        <w:trPr>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7A51F0EC" w14:textId="77777777" w:rsidR="00BA23AE" w:rsidRPr="00D34C3E" w:rsidRDefault="00BA23AE" w:rsidP="00AD4267">
            <w:pPr>
              <w:pStyle w:val="B"/>
              <w:rPr>
                <w:i w:val="0"/>
                <w:iCs w:val="0"/>
                <w:sz w:val="17"/>
                <w:szCs w:val="17"/>
                <w:rtl/>
              </w:rPr>
            </w:pPr>
            <w:r w:rsidRPr="00D34C3E">
              <w:rPr>
                <w:rFonts w:hint="cs"/>
                <w:i w:val="0"/>
                <w:iCs w:val="0"/>
                <w:sz w:val="17"/>
                <w:szCs w:val="17"/>
                <w:rtl/>
              </w:rPr>
              <w:t>4</w:t>
            </w:r>
          </w:p>
        </w:tc>
        <w:tc>
          <w:tcPr>
            <w:tcW w:w="1904" w:type="pct"/>
            <w:shd w:val="clear" w:color="auto" w:fill="auto"/>
            <w:vAlign w:val="bottom"/>
          </w:tcPr>
          <w:p w14:paraId="349489D1"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הפקדת כלי נשק בתחנת משטרה</w:t>
            </w:r>
            <w:r w:rsidRPr="00D34C3E">
              <w:rPr>
                <w:rStyle w:val="FootnoteReference"/>
                <w:rFonts w:ascii="Arial" w:eastAsia="Times New Roman" w:hAnsi="Arial"/>
                <w:color w:val="000000"/>
                <w:sz w:val="17"/>
                <w:szCs w:val="17"/>
                <w:rtl/>
              </w:rPr>
              <w:footnoteReference w:id="36"/>
            </w:r>
          </w:p>
        </w:tc>
        <w:tc>
          <w:tcPr>
            <w:tcW w:w="867" w:type="pct"/>
            <w:shd w:val="clear" w:color="auto" w:fill="auto"/>
            <w:noWrap/>
            <w:vAlign w:val="bottom"/>
          </w:tcPr>
          <w:p w14:paraId="4177E8F9"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אין</w:t>
            </w:r>
          </w:p>
        </w:tc>
        <w:tc>
          <w:tcPr>
            <w:tcW w:w="607" w:type="pct"/>
            <w:shd w:val="clear" w:color="auto" w:fill="auto"/>
            <w:noWrap/>
            <w:vAlign w:val="bottom"/>
          </w:tcPr>
          <w:p w14:paraId="30316E53"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694" w:type="pct"/>
            <w:shd w:val="clear" w:color="auto" w:fill="auto"/>
            <w:noWrap/>
            <w:vAlign w:val="bottom"/>
          </w:tcPr>
          <w:p w14:paraId="73624622"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17" w:type="pct"/>
            <w:vMerge/>
            <w:shd w:val="clear" w:color="auto" w:fill="C6D9F1"/>
            <w:vAlign w:val="center"/>
          </w:tcPr>
          <w:p w14:paraId="1C297A58" w14:textId="77777777" w:rsidR="00BA23AE" w:rsidRPr="00D34C3E" w:rsidRDefault="00BA23AE" w:rsidP="00A17907">
            <w:pPr>
              <w:pStyle w:val="B"/>
              <w:jc w:val="center"/>
              <w:cnfStyle w:val="000000000000" w:firstRow="0" w:lastRow="0" w:firstColumn="0" w:lastColumn="0" w:oddVBand="0" w:evenVBand="0" w:oddHBand="0" w:evenHBand="0" w:firstRowFirstColumn="0" w:firstRowLastColumn="0" w:lastRowFirstColumn="0" w:lastRowLastColumn="0"/>
              <w:rPr>
                <w:sz w:val="17"/>
                <w:szCs w:val="17"/>
                <w:rtl/>
              </w:rPr>
            </w:pPr>
          </w:p>
        </w:tc>
      </w:tr>
      <w:tr w:rsidR="00972F16" w:rsidRPr="00D34C3E" w14:paraId="34B4687F" w14:textId="77777777" w:rsidTr="00972F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0DE29C31" w14:textId="77777777" w:rsidR="00BA23AE" w:rsidRPr="00D34C3E" w:rsidRDefault="00BA23AE" w:rsidP="00AD4267">
            <w:pPr>
              <w:pStyle w:val="B"/>
              <w:rPr>
                <w:i w:val="0"/>
                <w:iCs w:val="0"/>
                <w:sz w:val="17"/>
                <w:szCs w:val="17"/>
                <w:rtl/>
              </w:rPr>
            </w:pPr>
            <w:r w:rsidRPr="00D34C3E">
              <w:rPr>
                <w:rFonts w:hint="cs"/>
                <w:i w:val="0"/>
                <w:iCs w:val="0"/>
                <w:sz w:val="17"/>
                <w:szCs w:val="17"/>
                <w:rtl/>
              </w:rPr>
              <w:t>5</w:t>
            </w:r>
          </w:p>
        </w:tc>
        <w:tc>
          <w:tcPr>
            <w:tcW w:w="1904" w:type="pct"/>
            <w:shd w:val="clear" w:color="auto" w:fill="auto"/>
            <w:vAlign w:val="bottom"/>
          </w:tcPr>
          <w:p w14:paraId="498EBB79"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חובה להתייצב בתחנת משטרה</w:t>
            </w:r>
            <w:r w:rsidRPr="00D34C3E">
              <w:rPr>
                <w:rStyle w:val="FootnoteReference"/>
                <w:rFonts w:ascii="Arial" w:eastAsia="Times New Roman" w:hAnsi="Arial"/>
                <w:color w:val="000000"/>
                <w:sz w:val="17"/>
                <w:szCs w:val="17"/>
                <w:rtl/>
              </w:rPr>
              <w:footnoteReference w:id="37"/>
            </w:r>
            <w:r w:rsidRPr="00D34C3E">
              <w:rPr>
                <w:rFonts w:eastAsia="Times New Roman"/>
                <w:sz w:val="17"/>
                <w:szCs w:val="17"/>
                <w:rtl/>
              </w:rPr>
              <w:t xml:space="preserve"> </w:t>
            </w:r>
          </w:p>
        </w:tc>
        <w:tc>
          <w:tcPr>
            <w:tcW w:w="867" w:type="pct"/>
            <w:shd w:val="clear" w:color="auto" w:fill="auto"/>
            <w:noWrap/>
            <w:vAlign w:val="bottom"/>
          </w:tcPr>
          <w:p w14:paraId="03BAE93A"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אין</w:t>
            </w:r>
          </w:p>
        </w:tc>
        <w:tc>
          <w:tcPr>
            <w:tcW w:w="607" w:type="pct"/>
            <w:shd w:val="clear" w:color="auto" w:fill="auto"/>
            <w:noWrap/>
            <w:vAlign w:val="bottom"/>
          </w:tcPr>
          <w:p w14:paraId="34920880"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694" w:type="pct"/>
            <w:shd w:val="clear" w:color="auto" w:fill="auto"/>
            <w:noWrap/>
            <w:vAlign w:val="bottom"/>
          </w:tcPr>
          <w:p w14:paraId="615CD357"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17" w:type="pct"/>
            <w:vMerge/>
            <w:shd w:val="clear" w:color="auto" w:fill="C6D9F1"/>
            <w:vAlign w:val="center"/>
          </w:tcPr>
          <w:p w14:paraId="41249D54" w14:textId="77777777" w:rsidR="00BA23AE" w:rsidRPr="00D34C3E" w:rsidRDefault="00BA23AE" w:rsidP="00A17907">
            <w:pPr>
              <w:pStyle w:val="B"/>
              <w:jc w:val="center"/>
              <w:cnfStyle w:val="000000100000" w:firstRow="0" w:lastRow="0" w:firstColumn="0" w:lastColumn="0" w:oddVBand="0" w:evenVBand="0" w:oddHBand="1" w:evenHBand="0" w:firstRowFirstColumn="0" w:firstRowLastColumn="0" w:lastRowFirstColumn="0" w:lastRowLastColumn="0"/>
              <w:rPr>
                <w:sz w:val="17"/>
                <w:szCs w:val="17"/>
                <w:rtl/>
              </w:rPr>
            </w:pPr>
          </w:p>
        </w:tc>
      </w:tr>
      <w:tr w:rsidR="00972F16" w:rsidRPr="00D34C3E" w14:paraId="25EA3B2D" w14:textId="77777777" w:rsidTr="00972F16">
        <w:trPr>
          <w:cantSplit/>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0819A6D5" w14:textId="77777777" w:rsidR="00BA23AE" w:rsidRPr="00D34C3E" w:rsidRDefault="00BA23AE" w:rsidP="00AD4267">
            <w:pPr>
              <w:pStyle w:val="B"/>
              <w:rPr>
                <w:i w:val="0"/>
                <w:iCs w:val="0"/>
                <w:sz w:val="17"/>
                <w:szCs w:val="17"/>
                <w:rtl/>
              </w:rPr>
            </w:pPr>
            <w:r w:rsidRPr="00D34C3E">
              <w:rPr>
                <w:rFonts w:hint="cs"/>
                <w:i w:val="0"/>
                <w:iCs w:val="0"/>
                <w:sz w:val="17"/>
                <w:szCs w:val="17"/>
                <w:rtl/>
              </w:rPr>
              <w:t>6א</w:t>
            </w:r>
          </w:p>
        </w:tc>
        <w:tc>
          <w:tcPr>
            <w:tcW w:w="1904" w:type="pct"/>
            <w:shd w:val="clear" w:color="auto" w:fill="auto"/>
            <w:vAlign w:val="bottom"/>
            <w:hideMark/>
          </w:tcPr>
          <w:p w14:paraId="5B21F2EC"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איסור יציאה מן הארץ</w:t>
            </w:r>
            <w:r w:rsidRPr="00D34C3E">
              <w:rPr>
                <w:rStyle w:val="FootnoteReference"/>
                <w:rFonts w:ascii="Arial" w:eastAsia="Times New Roman" w:hAnsi="Arial"/>
                <w:color w:val="000000"/>
                <w:sz w:val="17"/>
                <w:szCs w:val="17"/>
                <w:rtl/>
              </w:rPr>
              <w:footnoteReference w:id="38"/>
            </w:r>
          </w:p>
        </w:tc>
        <w:tc>
          <w:tcPr>
            <w:tcW w:w="867" w:type="pct"/>
            <w:shd w:val="clear" w:color="auto" w:fill="auto"/>
            <w:noWrap/>
            <w:vAlign w:val="bottom"/>
            <w:hideMark/>
          </w:tcPr>
          <w:p w14:paraId="407134C1"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hint="cs"/>
                <w:sz w:val="17"/>
                <w:szCs w:val="17"/>
                <w:rtl/>
              </w:rPr>
              <w:t>90</w:t>
            </w:r>
          </w:p>
        </w:tc>
        <w:tc>
          <w:tcPr>
            <w:tcW w:w="607" w:type="pct"/>
            <w:shd w:val="clear" w:color="auto" w:fill="auto"/>
            <w:noWrap/>
            <w:vAlign w:val="bottom"/>
            <w:hideMark/>
          </w:tcPr>
          <w:p w14:paraId="5201B4F7"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Pr>
            </w:pPr>
            <w:r w:rsidRPr="00D34C3E">
              <w:rPr>
                <w:rFonts w:eastAsia="Times New Roman"/>
                <w:sz w:val="17"/>
                <w:szCs w:val="17"/>
                <w:rtl/>
              </w:rPr>
              <w:t>כן</w:t>
            </w:r>
          </w:p>
        </w:tc>
        <w:tc>
          <w:tcPr>
            <w:tcW w:w="694" w:type="pct"/>
            <w:shd w:val="clear" w:color="auto" w:fill="auto"/>
            <w:noWrap/>
            <w:vAlign w:val="bottom"/>
            <w:hideMark/>
          </w:tcPr>
          <w:p w14:paraId="2688544E"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17" w:type="pct"/>
            <w:vMerge w:val="restart"/>
            <w:shd w:val="clear" w:color="auto" w:fill="C6D9F1"/>
            <w:textDirection w:val="btLr"/>
            <w:vAlign w:val="center"/>
          </w:tcPr>
          <w:p w14:paraId="5716EF61" w14:textId="77777777" w:rsidR="00BA23AE" w:rsidRPr="00D34C3E" w:rsidRDefault="00BA23AE" w:rsidP="00A17907">
            <w:pPr>
              <w:pStyle w:val="B"/>
              <w:jc w:val="center"/>
              <w:cnfStyle w:val="000000000000" w:firstRow="0" w:lastRow="0" w:firstColumn="0" w:lastColumn="0" w:oddVBand="0" w:evenVBand="0" w:oddHBand="0" w:evenHBand="0" w:firstRowFirstColumn="0" w:firstRowLastColumn="0" w:lastRowFirstColumn="0" w:lastRowLastColumn="0"/>
              <w:rPr>
                <w:sz w:val="17"/>
                <w:szCs w:val="17"/>
                <w:rtl/>
              </w:rPr>
            </w:pPr>
            <w:r w:rsidRPr="00D34C3E">
              <w:rPr>
                <w:rFonts w:hint="cs"/>
                <w:sz w:val="17"/>
                <w:szCs w:val="17"/>
                <w:rtl/>
              </w:rPr>
              <w:t>סמכות מקבילה-חלקית</w:t>
            </w:r>
            <w:r w:rsidRPr="00D34C3E">
              <w:rPr>
                <w:rStyle w:val="FootnoteReference"/>
                <w:sz w:val="17"/>
                <w:szCs w:val="17"/>
                <w:rtl/>
              </w:rPr>
              <w:footnoteReference w:id="39"/>
            </w:r>
          </w:p>
        </w:tc>
      </w:tr>
      <w:tr w:rsidR="00972F16" w:rsidRPr="00D34C3E" w14:paraId="594721B5" w14:textId="77777777" w:rsidTr="00972F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25ECE625" w14:textId="77777777" w:rsidR="00BA23AE" w:rsidRPr="00D34C3E" w:rsidRDefault="00BA23AE" w:rsidP="00AD4267">
            <w:pPr>
              <w:pStyle w:val="B"/>
              <w:rPr>
                <w:i w:val="0"/>
                <w:iCs w:val="0"/>
                <w:sz w:val="17"/>
                <w:szCs w:val="17"/>
                <w:rtl/>
              </w:rPr>
            </w:pPr>
            <w:r w:rsidRPr="00D34C3E">
              <w:rPr>
                <w:rFonts w:hint="cs"/>
                <w:i w:val="0"/>
                <w:iCs w:val="0"/>
                <w:sz w:val="17"/>
                <w:szCs w:val="17"/>
                <w:rtl/>
              </w:rPr>
              <w:t>6ב</w:t>
            </w:r>
          </w:p>
        </w:tc>
        <w:tc>
          <w:tcPr>
            <w:tcW w:w="1904" w:type="pct"/>
            <w:shd w:val="clear" w:color="auto" w:fill="auto"/>
            <w:vAlign w:val="bottom"/>
          </w:tcPr>
          <w:p w14:paraId="0C45E725"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איסור יציאה מן הארץ</w:t>
            </w:r>
          </w:p>
        </w:tc>
        <w:tc>
          <w:tcPr>
            <w:tcW w:w="867" w:type="pct"/>
            <w:shd w:val="clear" w:color="auto" w:fill="auto"/>
            <w:noWrap/>
            <w:vAlign w:val="bottom"/>
          </w:tcPr>
          <w:p w14:paraId="70C137C7"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hint="cs"/>
                <w:sz w:val="17"/>
                <w:szCs w:val="17"/>
                <w:rtl/>
              </w:rPr>
              <w:t>למעלה מ-90</w:t>
            </w:r>
          </w:p>
        </w:tc>
        <w:tc>
          <w:tcPr>
            <w:tcW w:w="607" w:type="pct"/>
            <w:shd w:val="clear" w:color="auto" w:fill="auto"/>
            <w:noWrap/>
            <w:vAlign w:val="bottom"/>
          </w:tcPr>
          <w:p w14:paraId="3F85B61E"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hint="cs"/>
                <w:sz w:val="17"/>
                <w:szCs w:val="17"/>
                <w:rtl/>
              </w:rPr>
              <w:t>לא</w:t>
            </w:r>
          </w:p>
        </w:tc>
        <w:tc>
          <w:tcPr>
            <w:tcW w:w="694" w:type="pct"/>
            <w:shd w:val="clear" w:color="auto" w:fill="auto"/>
            <w:noWrap/>
            <w:vAlign w:val="bottom"/>
          </w:tcPr>
          <w:p w14:paraId="07A87B3D"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hint="cs"/>
                <w:sz w:val="17"/>
                <w:szCs w:val="17"/>
                <w:rtl/>
              </w:rPr>
              <w:t>כן</w:t>
            </w:r>
          </w:p>
        </w:tc>
        <w:tc>
          <w:tcPr>
            <w:tcW w:w="517" w:type="pct"/>
            <w:vMerge/>
            <w:shd w:val="clear" w:color="auto" w:fill="C6D9F1"/>
            <w:vAlign w:val="center"/>
          </w:tcPr>
          <w:p w14:paraId="658C7A92" w14:textId="77777777" w:rsidR="00BA23AE" w:rsidRPr="00D34C3E" w:rsidRDefault="00BA23AE" w:rsidP="00A17907">
            <w:pPr>
              <w:pStyle w:val="B"/>
              <w:jc w:val="center"/>
              <w:cnfStyle w:val="000000100000" w:firstRow="0" w:lastRow="0" w:firstColumn="0" w:lastColumn="0" w:oddVBand="0" w:evenVBand="0" w:oddHBand="1" w:evenHBand="0" w:firstRowFirstColumn="0" w:firstRowLastColumn="0" w:lastRowFirstColumn="0" w:lastRowLastColumn="0"/>
              <w:rPr>
                <w:sz w:val="17"/>
                <w:szCs w:val="17"/>
                <w:rtl/>
              </w:rPr>
            </w:pPr>
          </w:p>
        </w:tc>
      </w:tr>
      <w:tr w:rsidR="00972F16" w:rsidRPr="00D34C3E" w14:paraId="1643737D" w14:textId="77777777" w:rsidTr="00972F16">
        <w:trPr>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18E50176" w14:textId="77777777" w:rsidR="00BA23AE" w:rsidRPr="00D34C3E" w:rsidRDefault="00BA23AE" w:rsidP="00AD4267">
            <w:pPr>
              <w:pStyle w:val="B"/>
              <w:rPr>
                <w:i w:val="0"/>
                <w:iCs w:val="0"/>
                <w:sz w:val="17"/>
                <w:szCs w:val="17"/>
                <w:rtl/>
              </w:rPr>
            </w:pPr>
            <w:r w:rsidRPr="00D34C3E">
              <w:rPr>
                <w:rFonts w:hint="cs"/>
                <w:i w:val="0"/>
                <w:iCs w:val="0"/>
                <w:sz w:val="17"/>
                <w:szCs w:val="17"/>
                <w:rtl/>
              </w:rPr>
              <w:t>7א</w:t>
            </w:r>
          </w:p>
        </w:tc>
        <w:tc>
          <w:tcPr>
            <w:tcW w:w="1904" w:type="pct"/>
            <w:shd w:val="clear" w:color="auto" w:fill="auto"/>
            <w:vAlign w:val="bottom"/>
            <w:hideMark/>
          </w:tcPr>
          <w:p w14:paraId="2475C424"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 xml:space="preserve">איסור כניסה </w:t>
            </w:r>
            <w:r w:rsidRPr="00D34C3E">
              <w:rPr>
                <w:rFonts w:eastAsia="Times New Roman" w:hint="cs"/>
                <w:sz w:val="17"/>
                <w:szCs w:val="17"/>
                <w:rtl/>
              </w:rPr>
              <w:t>למקום</w:t>
            </w:r>
            <w:r w:rsidRPr="00D34C3E">
              <w:rPr>
                <w:rStyle w:val="FootnoteReference"/>
                <w:rFonts w:ascii="Arial" w:eastAsia="Times New Roman" w:hAnsi="Arial"/>
                <w:color w:val="000000"/>
                <w:sz w:val="17"/>
                <w:szCs w:val="17"/>
                <w:rtl/>
              </w:rPr>
              <w:footnoteReference w:id="40"/>
            </w:r>
          </w:p>
        </w:tc>
        <w:tc>
          <w:tcPr>
            <w:tcW w:w="867" w:type="pct"/>
            <w:shd w:val="clear" w:color="auto" w:fill="auto"/>
            <w:noWrap/>
            <w:vAlign w:val="bottom"/>
            <w:hideMark/>
          </w:tcPr>
          <w:p w14:paraId="54F25C5D"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hint="cs"/>
                <w:sz w:val="17"/>
                <w:szCs w:val="17"/>
                <w:rtl/>
              </w:rPr>
              <w:t>15</w:t>
            </w:r>
          </w:p>
        </w:tc>
        <w:tc>
          <w:tcPr>
            <w:tcW w:w="607" w:type="pct"/>
            <w:shd w:val="clear" w:color="auto" w:fill="auto"/>
            <w:noWrap/>
            <w:vAlign w:val="bottom"/>
            <w:hideMark/>
          </w:tcPr>
          <w:p w14:paraId="70CE39F8"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Pr>
            </w:pPr>
            <w:r w:rsidRPr="00D34C3E">
              <w:rPr>
                <w:rFonts w:eastAsia="Times New Roman"/>
                <w:sz w:val="17"/>
                <w:szCs w:val="17"/>
                <w:rtl/>
              </w:rPr>
              <w:t>כן</w:t>
            </w:r>
          </w:p>
        </w:tc>
        <w:tc>
          <w:tcPr>
            <w:tcW w:w="694" w:type="pct"/>
            <w:shd w:val="clear" w:color="auto" w:fill="auto"/>
            <w:noWrap/>
            <w:vAlign w:val="bottom"/>
            <w:hideMark/>
          </w:tcPr>
          <w:p w14:paraId="3292C54C"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17" w:type="pct"/>
            <w:vMerge/>
            <w:shd w:val="clear" w:color="auto" w:fill="C6D9F1"/>
            <w:vAlign w:val="center"/>
          </w:tcPr>
          <w:p w14:paraId="43A7C528" w14:textId="77777777" w:rsidR="00BA23AE" w:rsidRPr="00D34C3E" w:rsidRDefault="00BA23AE" w:rsidP="00A17907">
            <w:pPr>
              <w:pStyle w:val="B"/>
              <w:jc w:val="center"/>
              <w:cnfStyle w:val="000000000000" w:firstRow="0" w:lastRow="0" w:firstColumn="0" w:lastColumn="0" w:oddVBand="0" w:evenVBand="0" w:oddHBand="0" w:evenHBand="0" w:firstRowFirstColumn="0" w:firstRowLastColumn="0" w:lastRowFirstColumn="0" w:lastRowLastColumn="0"/>
              <w:rPr>
                <w:sz w:val="17"/>
                <w:szCs w:val="17"/>
                <w:rtl/>
              </w:rPr>
            </w:pPr>
          </w:p>
        </w:tc>
      </w:tr>
      <w:tr w:rsidR="00972F16" w:rsidRPr="00D34C3E" w14:paraId="534D2799" w14:textId="77777777" w:rsidTr="00972F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34B241BA" w14:textId="77777777" w:rsidR="00BA23AE" w:rsidRPr="00D34C3E" w:rsidRDefault="00BA23AE" w:rsidP="00AD4267">
            <w:pPr>
              <w:pStyle w:val="B"/>
              <w:rPr>
                <w:i w:val="0"/>
                <w:iCs w:val="0"/>
                <w:sz w:val="17"/>
                <w:szCs w:val="17"/>
                <w:rtl/>
              </w:rPr>
            </w:pPr>
            <w:r w:rsidRPr="00D34C3E">
              <w:rPr>
                <w:rFonts w:hint="cs"/>
                <w:i w:val="0"/>
                <w:iCs w:val="0"/>
                <w:sz w:val="17"/>
                <w:szCs w:val="17"/>
                <w:rtl/>
              </w:rPr>
              <w:t>7ב</w:t>
            </w:r>
          </w:p>
        </w:tc>
        <w:tc>
          <w:tcPr>
            <w:tcW w:w="1904" w:type="pct"/>
            <w:shd w:val="clear" w:color="auto" w:fill="auto"/>
            <w:vAlign w:val="bottom"/>
            <w:hideMark/>
          </w:tcPr>
          <w:p w14:paraId="359042B4"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 xml:space="preserve">איסור כניסה </w:t>
            </w:r>
            <w:r w:rsidRPr="00D34C3E">
              <w:rPr>
                <w:rFonts w:eastAsia="Times New Roman" w:hint="cs"/>
                <w:sz w:val="17"/>
                <w:szCs w:val="17"/>
                <w:rtl/>
              </w:rPr>
              <w:t>למקום</w:t>
            </w:r>
          </w:p>
        </w:tc>
        <w:tc>
          <w:tcPr>
            <w:tcW w:w="867" w:type="pct"/>
            <w:shd w:val="clear" w:color="auto" w:fill="auto"/>
            <w:noWrap/>
            <w:vAlign w:val="bottom"/>
            <w:hideMark/>
          </w:tcPr>
          <w:p w14:paraId="7A5BCDD3"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hint="cs"/>
                <w:sz w:val="17"/>
                <w:szCs w:val="17"/>
                <w:rtl/>
              </w:rPr>
              <w:t>למעלה מ-15</w:t>
            </w:r>
          </w:p>
        </w:tc>
        <w:tc>
          <w:tcPr>
            <w:tcW w:w="607" w:type="pct"/>
            <w:shd w:val="clear" w:color="auto" w:fill="auto"/>
            <w:noWrap/>
            <w:vAlign w:val="bottom"/>
            <w:hideMark/>
          </w:tcPr>
          <w:p w14:paraId="2EF42112"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Pr>
            </w:pPr>
            <w:r w:rsidRPr="00D34C3E">
              <w:rPr>
                <w:rFonts w:eastAsia="Times New Roman"/>
                <w:sz w:val="17"/>
                <w:szCs w:val="17"/>
                <w:rtl/>
              </w:rPr>
              <w:t>לא</w:t>
            </w:r>
          </w:p>
        </w:tc>
        <w:tc>
          <w:tcPr>
            <w:tcW w:w="694" w:type="pct"/>
            <w:shd w:val="clear" w:color="auto" w:fill="auto"/>
            <w:noWrap/>
            <w:vAlign w:val="bottom"/>
            <w:hideMark/>
          </w:tcPr>
          <w:p w14:paraId="66A58E79"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17" w:type="pct"/>
            <w:vMerge/>
            <w:shd w:val="clear" w:color="auto" w:fill="C6D9F1"/>
            <w:vAlign w:val="center"/>
          </w:tcPr>
          <w:p w14:paraId="7857971D" w14:textId="77777777" w:rsidR="00BA23AE" w:rsidRPr="00D34C3E" w:rsidRDefault="00BA23AE" w:rsidP="00A17907">
            <w:pPr>
              <w:pStyle w:val="B"/>
              <w:jc w:val="center"/>
              <w:cnfStyle w:val="000000100000" w:firstRow="0" w:lastRow="0" w:firstColumn="0" w:lastColumn="0" w:oddVBand="0" w:evenVBand="0" w:oddHBand="1" w:evenHBand="0" w:firstRowFirstColumn="0" w:firstRowLastColumn="0" w:lastRowFirstColumn="0" w:lastRowLastColumn="0"/>
              <w:rPr>
                <w:sz w:val="17"/>
                <w:szCs w:val="17"/>
                <w:rtl/>
              </w:rPr>
            </w:pPr>
          </w:p>
        </w:tc>
      </w:tr>
      <w:tr w:rsidR="00F11449" w:rsidRPr="00D34C3E" w14:paraId="20E61186" w14:textId="77777777" w:rsidTr="00F11449">
        <w:trPr>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51F5005B" w14:textId="77777777" w:rsidR="00BA23AE" w:rsidRPr="00D34C3E" w:rsidRDefault="00BA23AE" w:rsidP="00AD4267">
            <w:pPr>
              <w:pStyle w:val="B"/>
              <w:rPr>
                <w:i w:val="0"/>
                <w:iCs w:val="0"/>
                <w:sz w:val="17"/>
                <w:szCs w:val="17"/>
                <w:rtl/>
              </w:rPr>
            </w:pPr>
            <w:r w:rsidRPr="00D34C3E">
              <w:rPr>
                <w:rFonts w:hint="cs"/>
                <w:i w:val="0"/>
                <w:iCs w:val="0"/>
                <w:sz w:val="17"/>
                <w:szCs w:val="17"/>
                <w:rtl/>
              </w:rPr>
              <w:t>8א</w:t>
            </w:r>
          </w:p>
        </w:tc>
        <w:tc>
          <w:tcPr>
            <w:tcW w:w="1904" w:type="pct"/>
            <w:shd w:val="clear" w:color="auto" w:fill="auto"/>
            <w:vAlign w:val="bottom"/>
            <w:hideMark/>
          </w:tcPr>
          <w:p w14:paraId="3F1B92DA"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איסור לקיים קשר</w:t>
            </w:r>
            <w:r w:rsidRPr="00D34C3E">
              <w:rPr>
                <w:rStyle w:val="FootnoteReference"/>
                <w:rFonts w:ascii="Arial" w:eastAsia="Times New Roman" w:hAnsi="Arial"/>
                <w:color w:val="000000"/>
                <w:sz w:val="17"/>
                <w:szCs w:val="17"/>
                <w:rtl/>
              </w:rPr>
              <w:footnoteReference w:id="41"/>
            </w:r>
          </w:p>
        </w:tc>
        <w:tc>
          <w:tcPr>
            <w:tcW w:w="867" w:type="pct"/>
            <w:shd w:val="clear" w:color="auto" w:fill="auto"/>
            <w:noWrap/>
            <w:vAlign w:val="bottom"/>
          </w:tcPr>
          <w:p w14:paraId="1FDD8F56"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hint="cs"/>
                <w:sz w:val="17"/>
                <w:szCs w:val="17"/>
                <w:rtl/>
              </w:rPr>
              <w:t>30</w:t>
            </w:r>
          </w:p>
        </w:tc>
        <w:tc>
          <w:tcPr>
            <w:tcW w:w="607" w:type="pct"/>
            <w:shd w:val="clear" w:color="auto" w:fill="auto"/>
            <w:noWrap/>
            <w:vAlign w:val="bottom"/>
            <w:hideMark/>
          </w:tcPr>
          <w:p w14:paraId="11D09D6D"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Pr>
            </w:pPr>
            <w:r w:rsidRPr="00D34C3E">
              <w:rPr>
                <w:rFonts w:eastAsia="Times New Roman"/>
                <w:sz w:val="17"/>
                <w:szCs w:val="17"/>
                <w:rtl/>
              </w:rPr>
              <w:t>כן</w:t>
            </w:r>
          </w:p>
        </w:tc>
        <w:tc>
          <w:tcPr>
            <w:tcW w:w="694" w:type="pct"/>
            <w:shd w:val="clear" w:color="auto" w:fill="auto"/>
            <w:noWrap/>
            <w:vAlign w:val="bottom"/>
            <w:hideMark/>
          </w:tcPr>
          <w:p w14:paraId="0B342782"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hint="cs"/>
                <w:sz w:val="17"/>
                <w:szCs w:val="17"/>
                <w:rtl/>
              </w:rPr>
              <w:t>כן</w:t>
            </w:r>
          </w:p>
        </w:tc>
        <w:tc>
          <w:tcPr>
            <w:tcW w:w="517" w:type="pct"/>
            <w:vMerge/>
            <w:shd w:val="clear" w:color="auto" w:fill="C6D9F1"/>
            <w:vAlign w:val="center"/>
          </w:tcPr>
          <w:p w14:paraId="6ADC4F96" w14:textId="77777777" w:rsidR="00BA23AE" w:rsidRPr="00D34C3E" w:rsidRDefault="00BA23AE" w:rsidP="00A17907">
            <w:pPr>
              <w:pStyle w:val="B"/>
              <w:jc w:val="center"/>
              <w:cnfStyle w:val="000000000000" w:firstRow="0" w:lastRow="0" w:firstColumn="0" w:lastColumn="0" w:oddVBand="0" w:evenVBand="0" w:oddHBand="0" w:evenHBand="0" w:firstRowFirstColumn="0" w:firstRowLastColumn="0" w:lastRowFirstColumn="0" w:lastRowLastColumn="0"/>
              <w:rPr>
                <w:sz w:val="17"/>
                <w:szCs w:val="17"/>
                <w:rtl/>
              </w:rPr>
            </w:pPr>
          </w:p>
        </w:tc>
      </w:tr>
      <w:tr w:rsidR="00F11449" w:rsidRPr="00D34C3E" w14:paraId="2BFAA014" w14:textId="77777777" w:rsidTr="00F1144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353B080A" w14:textId="77777777" w:rsidR="00BA23AE" w:rsidRPr="00D34C3E" w:rsidRDefault="00BA23AE" w:rsidP="00AD4267">
            <w:pPr>
              <w:pStyle w:val="B"/>
              <w:rPr>
                <w:i w:val="0"/>
                <w:iCs w:val="0"/>
                <w:sz w:val="17"/>
                <w:szCs w:val="17"/>
                <w:rtl/>
              </w:rPr>
            </w:pPr>
            <w:r w:rsidRPr="00D34C3E">
              <w:rPr>
                <w:rFonts w:hint="cs"/>
                <w:i w:val="0"/>
                <w:iCs w:val="0"/>
                <w:sz w:val="17"/>
                <w:szCs w:val="17"/>
                <w:rtl/>
              </w:rPr>
              <w:t>8ב</w:t>
            </w:r>
          </w:p>
        </w:tc>
        <w:tc>
          <w:tcPr>
            <w:tcW w:w="1904" w:type="pct"/>
            <w:shd w:val="clear" w:color="auto" w:fill="auto"/>
            <w:vAlign w:val="bottom"/>
            <w:hideMark/>
          </w:tcPr>
          <w:p w14:paraId="34B0309D"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Pr>
            </w:pPr>
            <w:r w:rsidRPr="00D34C3E">
              <w:rPr>
                <w:rFonts w:eastAsia="Times New Roman"/>
                <w:sz w:val="17"/>
                <w:szCs w:val="17"/>
                <w:rtl/>
              </w:rPr>
              <w:t>איסור לקיים קשר</w:t>
            </w:r>
          </w:p>
        </w:tc>
        <w:tc>
          <w:tcPr>
            <w:tcW w:w="867" w:type="pct"/>
            <w:shd w:val="clear" w:color="auto" w:fill="auto"/>
            <w:noWrap/>
            <w:vAlign w:val="bottom"/>
            <w:hideMark/>
          </w:tcPr>
          <w:p w14:paraId="6645CDBA"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hint="cs"/>
                <w:sz w:val="17"/>
                <w:szCs w:val="17"/>
                <w:rtl/>
              </w:rPr>
              <w:t>למעלה מ-30</w:t>
            </w:r>
          </w:p>
        </w:tc>
        <w:tc>
          <w:tcPr>
            <w:tcW w:w="607" w:type="pct"/>
            <w:shd w:val="clear" w:color="auto" w:fill="auto"/>
            <w:noWrap/>
            <w:vAlign w:val="bottom"/>
            <w:hideMark/>
          </w:tcPr>
          <w:p w14:paraId="1EF2387B"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Pr>
            </w:pPr>
            <w:r w:rsidRPr="00D34C3E">
              <w:rPr>
                <w:rFonts w:eastAsia="Times New Roman"/>
                <w:sz w:val="17"/>
                <w:szCs w:val="17"/>
                <w:rtl/>
              </w:rPr>
              <w:t>לא</w:t>
            </w:r>
          </w:p>
        </w:tc>
        <w:tc>
          <w:tcPr>
            <w:tcW w:w="694" w:type="pct"/>
            <w:shd w:val="clear" w:color="auto" w:fill="auto"/>
            <w:noWrap/>
            <w:vAlign w:val="bottom"/>
            <w:hideMark/>
          </w:tcPr>
          <w:p w14:paraId="4D6D8D57"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17" w:type="pct"/>
            <w:vMerge/>
            <w:shd w:val="clear" w:color="auto" w:fill="C6D9F1"/>
            <w:vAlign w:val="center"/>
          </w:tcPr>
          <w:p w14:paraId="7ED42775" w14:textId="77777777" w:rsidR="00BA23AE" w:rsidRPr="00D34C3E" w:rsidRDefault="00BA23AE" w:rsidP="00A17907">
            <w:pPr>
              <w:pStyle w:val="B"/>
              <w:jc w:val="center"/>
              <w:cnfStyle w:val="000000100000" w:firstRow="0" w:lastRow="0" w:firstColumn="0" w:lastColumn="0" w:oddVBand="0" w:evenVBand="0" w:oddHBand="1" w:evenHBand="0" w:firstRowFirstColumn="0" w:firstRowLastColumn="0" w:lastRowFirstColumn="0" w:lastRowLastColumn="0"/>
              <w:rPr>
                <w:sz w:val="17"/>
                <w:szCs w:val="17"/>
                <w:rtl/>
              </w:rPr>
            </w:pPr>
          </w:p>
        </w:tc>
      </w:tr>
      <w:tr w:rsidR="00F11449" w:rsidRPr="00D34C3E" w14:paraId="537F8C8E" w14:textId="77777777" w:rsidTr="00F11449">
        <w:trPr>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48DBDA62" w14:textId="77777777" w:rsidR="00BA23AE" w:rsidRPr="00D34C3E" w:rsidRDefault="00BA23AE" w:rsidP="00AD4267">
            <w:pPr>
              <w:pStyle w:val="B"/>
              <w:rPr>
                <w:i w:val="0"/>
                <w:iCs w:val="0"/>
                <w:sz w:val="17"/>
                <w:szCs w:val="17"/>
                <w:rtl/>
              </w:rPr>
            </w:pPr>
            <w:r w:rsidRPr="00D34C3E">
              <w:rPr>
                <w:rFonts w:hint="cs"/>
                <w:i w:val="0"/>
                <w:iCs w:val="0"/>
                <w:sz w:val="17"/>
                <w:szCs w:val="17"/>
                <w:rtl/>
              </w:rPr>
              <w:t>9א</w:t>
            </w:r>
          </w:p>
        </w:tc>
        <w:tc>
          <w:tcPr>
            <w:tcW w:w="1904" w:type="pct"/>
            <w:shd w:val="clear" w:color="auto" w:fill="auto"/>
            <w:vAlign w:val="bottom"/>
            <w:hideMark/>
          </w:tcPr>
          <w:p w14:paraId="3555C781"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 xml:space="preserve">חובת הימצאות </w:t>
            </w:r>
            <w:r w:rsidRPr="00D34C3E">
              <w:rPr>
                <w:rFonts w:eastAsia="Times New Roman" w:hint="cs"/>
                <w:sz w:val="17"/>
                <w:szCs w:val="17"/>
                <w:rtl/>
              </w:rPr>
              <w:t>במקום</w:t>
            </w:r>
            <w:r w:rsidRPr="00D34C3E">
              <w:rPr>
                <w:rStyle w:val="FootnoteReference"/>
                <w:rFonts w:ascii="Arial" w:eastAsia="Times New Roman" w:hAnsi="Arial"/>
                <w:color w:val="000000"/>
                <w:sz w:val="17"/>
                <w:szCs w:val="17"/>
                <w:rtl/>
              </w:rPr>
              <w:footnoteReference w:id="42"/>
            </w:r>
          </w:p>
        </w:tc>
        <w:tc>
          <w:tcPr>
            <w:tcW w:w="867" w:type="pct"/>
            <w:shd w:val="clear" w:color="auto" w:fill="auto"/>
            <w:noWrap/>
            <w:vAlign w:val="bottom"/>
          </w:tcPr>
          <w:p w14:paraId="36D37AE7"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hint="cs"/>
                <w:sz w:val="17"/>
                <w:szCs w:val="17"/>
                <w:rtl/>
              </w:rPr>
              <w:t>15</w:t>
            </w:r>
          </w:p>
        </w:tc>
        <w:tc>
          <w:tcPr>
            <w:tcW w:w="607" w:type="pct"/>
            <w:shd w:val="clear" w:color="auto" w:fill="auto"/>
            <w:noWrap/>
            <w:vAlign w:val="bottom"/>
            <w:hideMark/>
          </w:tcPr>
          <w:p w14:paraId="6A1EBDFE"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Pr>
            </w:pPr>
            <w:r w:rsidRPr="00D34C3E">
              <w:rPr>
                <w:rFonts w:eastAsia="Times New Roman"/>
                <w:sz w:val="17"/>
                <w:szCs w:val="17"/>
                <w:rtl/>
              </w:rPr>
              <w:t>כן</w:t>
            </w:r>
          </w:p>
        </w:tc>
        <w:tc>
          <w:tcPr>
            <w:tcW w:w="694" w:type="pct"/>
            <w:shd w:val="clear" w:color="auto" w:fill="auto"/>
            <w:noWrap/>
            <w:vAlign w:val="bottom"/>
            <w:hideMark/>
          </w:tcPr>
          <w:p w14:paraId="386B9D74"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hint="cs"/>
                <w:sz w:val="17"/>
                <w:szCs w:val="17"/>
                <w:rtl/>
              </w:rPr>
              <w:t>כן</w:t>
            </w:r>
          </w:p>
        </w:tc>
        <w:tc>
          <w:tcPr>
            <w:tcW w:w="517" w:type="pct"/>
            <w:vMerge/>
            <w:shd w:val="clear" w:color="auto" w:fill="C6D9F1"/>
            <w:vAlign w:val="center"/>
          </w:tcPr>
          <w:p w14:paraId="13843F5D" w14:textId="77777777" w:rsidR="00BA23AE" w:rsidRPr="00D34C3E" w:rsidRDefault="00BA23AE" w:rsidP="00A17907">
            <w:pPr>
              <w:pStyle w:val="B"/>
              <w:jc w:val="center"/>
              <w:cnfStyle w:val="000000000000" w:firstRow="0" w:lastRow="0" w:firstColumn="0" w:lastColumn="0" w:oddVBand="0" w:evenVBand="0" w:oddHBand="0" w:evenHBand="0" w:firstRowFirstColumn="0" w:firstRowLastColumn="0" w:lastRowFirstColumn="0" w:lastRowLastColumn="0"/>
              <w:rPr>
                <w:sz w:val="17"/>
                <w:szCs w:val="17"/>
                <w:rtl/>
              </w:rPr>
            </w:pPr>
          </w:p>
        </w:tc>
      </w:tr>
      <w:tr w:rsidR="00F11449" w:rsidRPr="00D34C3E" w14:paraId="79C2E533" w14:textId="77777777" w:rsidTr="00F1144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5F3FFF26" w14:textId="77777777" w:rsidR="00BA23AE" w:rsidRPr="00D34C3E" w:rsidRDefault="00BA23AE" w:rsidP="00AD4267">
            <w:pPr>
              <w:pStyle w:val="B"/>
              <w:rPr>
                <w:i w:val="0"/>
                <w:iCs w:val="0"/>
                <w:sz w:val="17"/>
                <w:szCs w:val="17"/>
                <w:rtl/>
              </w:rPr>
            </w:pPr>
            <w:r w:rsidRPr="00D34C3E">
              <w:rPr>
                <w:rFonts w:hint="cs"/>
                <w:i w:val="0"/>
                <w:iCs w:val="0"/>
                <w:sz w:val="17"/>
                <w:szCs w:val="17"/>
                <w:rtl/>
              </w:rPr>
              <w:t>9ב</w:t>
            </w:r>
          </w:p>
        </w:tc>
        <w:tc>
          <w:tcPr>
            <w:tcW w:w="1904" w:type="pct"/>
            <w:shd w:val="clear" w:color="auto" w:fill="auto"/>
            <w:vAlign w:val="bottom"/>
            <w:hideMark/>
          </w:tcPr>
          <w:p w14:paraId="352C2D4C"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Pr>
            </w:pPr>
            <w:r w:rsidRPr="00D34C3E">
              <w:rPr>
                <w:rFonts w:eastAsia="Times New Roman"/>
                <w:sz w:val="17"/>
                <w:szCs w:val="17"/>
                <w:rtl/>
              </w:rPr>
              <w:t xml:space="preserve">חובת הימצאות </w:t>
            </w:r>
            <w:r w:rsidRPr="00D34C3E">
              <w:rPr>
                <w:rFonts w:eastAsia="Times New Roman" w:hint="cs"/>
                <w:sz w:val="17"/>
                <w:szCs w:val="17"/>
                <w:rtl/>
              </w:rPr>
              <w:t>במקום</w:t>
            </w:r>
          </w:p>
        </w:tc>
        <w:tc>
          <w:tcPr>
            <w:tcW w:w="867" w:type="pct"/>
            <w:shd w:val="clear" w:color="auto" w:fill="auto"/>
            <w:noWrap/>
            <w:vAlign w:val="bottom"/>
            <w:hideMark/>
          </w:tcPr>
          <w:p w14:paraId="7AD283F0"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hint="cs"/>
                <w:sz w:val="17"/>
                <w:szCs w:val="17"/>
                <w:rtl/>
              </w:rPr>
              <w:t>למעלה מ-15</w:t>
            </w:r>
          </w:p>
        </w:tc>
        <w:tc>
          <w:tcPr>
            <w:tcW w:w="607" w:type="pct"/>
            <w:shd w:val="clear" w:color="auto" w:fill="auto"/>
            <w:noWrap/>
            <w:vAlign w:val="bottom"/>
            <w:hideMark/>
          </w:tcPr>
          <w:p w14:paraId="791C8B64"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Pr>
            </w:pPr>
            <w:r w:rsidRPr="00D34C3E">
              <w:rPr>
                <w:rFonts w:eastAsia="Times New Roman"/>
                <w:sz w:val="17"/>
                <w:szCs w:val="17"/>
                <w:rtl/>
              </w:rPr>
              <w:t>לא</w:t>
            </w:r>
          </w:p>
        </w:tc>
        <w:tc>
          <w:tcPr>
            <w:tcW w:w="694" w:type="pct"/>
            <w:shd w:val="clear" w:color="auto" w:fill="auto"/>
            <w:noWrap/>
            <w:vAlign w:val="bottom"/>
            <w:hideMark/>
          </w:tcPr>
          <w:p w14:paraId="571C693F"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17" w:type="pct"/>
            <w:vMerge/>
            <w:shd w:val="clear" w:color="auto" w:fill="C6D9F1"/>
            <w:vAlign w:val="center"/>
          </w:tcPr>
          <w:p w14:paraId="77FE81B5" w14:textId="77777777" w:rsidR="00BA23AE" w:rsidRPr="00D34C3E" w:rsidRDefault="00BA23AE" w:rsidP="00A17907">
            <w:pPr>
              <w:pStyle w:val="B"/>
              <w:jc w:val="center"/>
              <w:cnfStyle w:val="000000100000" w:firstRow="0" w:lastRow="0" w:firstColumn="0" w:lastColumn="0" w:oddVBand="0" w:evenVBand="0" w:oddHBand="1" w:evenHBand="0" w:firstRowFirstColumn="0" w:firstRowLastColumn="0" w:lastRowFirstColumn="0" w:lastRowLastColumn="0"/>
              <w:rPr>
                <w:sz w:val="17"/>
                <w:szCs w:val="17"/>
                <w:rtl/>
              </w:rPr>
            </w:pPr>
          </w:p>
        </w:tc>
      </w:tr>
      <w:tr w:rsidR="00F11449" w:rsidRPr="00D34C3E" w14:paraId="06A52B19" w14:textId="77777777" w:rsidTr="00F11449">
        <w:trPr>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44DFDDD2" w14:textId="77777777" w:rsidR="00BA23AE" w:rsidRPr="00D34C3E" w:rsidRDefault="00BA23AE" w:rsidP="00AD4267">
            <w:pPr>
              <w:pStyle w:val="B"/>
              <w:rPr>
                <w:i w:val="0"/>
                <w:iCs w:val="0"/>
                <w:sz w:val="17"/>
                <w:szCs w:val="17"/>
                <w:rtl/>
              </w:rPr>
            </w:pPr>
            <w:r w:rsidRPr="00D34C3E">
              <w:rPr>
                <w:rFonts w:hint="cs"/>
                <w:i w:val="0"/>
                <w:iCs w:val="0"/>
                <w:sz w:val="17"/>
                <w:szCs w:val="17"/>
                <w:rtl/>
              </w:rPr>
              <w:t>10א</w:t>
            </w:r>
          </w:p>
        </w:tc>
        <w:tc>
          <w:tcPr>
            <w:tcW w:w="1904" w:type="pct"/>
            <w:shd w:val="clear" w:color="auto" w:fill="auto"/>
            <w:vAlign w:val="bottom"/>
            <w:hideMark/>
          </w:tcPr>
          <w:p w14:paraId="5B4DAAB6"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איסור יציאה ממקום המגורים</w:t>
            </w:r>
            <w:r w:rsidRPr="00D34C3E">
              <w:rPr>
                <w:rStyle w:val="FootnoteReference"/>
                <w:rFonts w:ascii="Arial" w:eastAsia="Times New Roman" w:hAnsi="Arial"/>
                <w:color w:val="000000"/>
                <w:sz w:val="17"/>
                <w:szCs w:val="17"/>
                <w:rtl/>
              </w:rPr>
              <w:footnoteReference w:id="43"/>
            </w:r>
          </w:p>
        </w:tc>
        <w:tc>
          <w:tcPr>
            <w:tcW w:w="867" w:type="pct"/>
            <w:shd w:val="clear" w:color="auto" w:fill="auto"/>
            <w:noWrap/>
            <w:vAlign w:val="bottom"/>
            <w:hideMark/>
          </w:tcPr>
          <w:p w14:paraId="4D9AF7C3"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hint="cs"/>
                <w:sz w:val="17"/>
                <w:szCs w:val="17"/>
                <w:rtl/>
              </w:rPr>
              <w:t>5</w:t>
            </w:r>
          </w:p>
        </w:tc>
        <w:tc>
          <w:tcPr>
            <w:tcW w:w="607" w:type="pct"/>
            <w:shd w:val="clear" w:color="auto" w:fill="auto"/>
            <w:noWrap/>
            <w:vAlign w:val="bottom"/>
            <w:hideMark/>
          </w:tcPr>
          <w:p w14:paraId="4D1FC00B"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Pr>
            </w:pPr>
            <w:r w:rsidRPr="00D34C3E">
              <w:rPr>
                <w:rFonts w:eastAsia="Times New Roman"/>
                <w:sz w:val="17"/>
                <w:szCs w:val="17"/>
                <w:rtl/>
              </w:rPr>
              <w:t>כן</w:t>
            </w:r>
          </w:p>
        </w:tc>
        <w:tc>
          <w:tcPr>
            <w:tcW w:w="694" w:type="pct"/>
            <w:shd w:val="clear" w:color="auto" w:fill="auto"/>
            <w:noWrap/>
            <w:vAlign w:val="bottom"/>
            <w:hideMark/>
          </w:tcPr>
          <w:p w14:paraId="5617356B" w14:textId="77777777" w:rsidR="00BA23AE" w:rsidRPr="00D34C3E" w:rsidRDefault="00BA23AE" w:rsidP="00AD4267">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hint="cs"/>
                <w:sz w:val="17"/>
                <w:szCs w:val="17"/>
                <w:rtl/>
              </w:rPr>
              <w:t>כן</w:t>
            </w:r>
          </w:p>
        </w:tc>
        <w:tc>
          <w:tcPr>
            <w:tcW w:w="517" w:type="pct"/>
            <w:vMerge/>
            <w:shd w:val="clear" w:color="auto" w:fill="C6D9F1"/>
            <w:vAlign w:val="center"/>
          </w:tcPr>
          <w:p w14:paraId="53693864" w14:textId="77777777" w:rsidR="00BA23AE" w:rsidRPr="00D34C3E" w:rsidRDefault="00BA23AE" w:rsidP="00A17907">
            <w:pPr>
              <w:pStyle w:val="B"/>
              <w:jc w:val="center"/>
              <w:cnfStyle w:val="000000000000" w:firstRow="0" w:lastRow="0" w:firstColumn="0" w:lastColumn="0" w:oddVBand="0" w:evenVBand="0" w:oddHBand="0" w:evenHBand="0" w:firstRowFirstColumn="0" w:firstRowLastColumn="0" w:lastRowFirstColumn="0" w:lastRowLastColumn="0"/>
              <w:rPr>
                <w:sz w:val="17"/>
                <w:szCs w:val="17"/>
                <w:rtl/>
              </w:rPr>
            </w:pPr>
          </w:p>
        </w:tc>
      </w:tr>
      <w:tr w:rsidR="00F11449" w:rsidRPr="00D34C3E" w14:paraId="51B98A16" w14:textId="77777777" w:rsidTr="00F1144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11" w:type="pct"/>
            <w:tcBorders>
              <w:top w:val="none" w:sz="0" w:space="0" w:color="auto"/>
              <w:left w:val="none" w:sz="0" w:space="0" w:color="auto"/>
              <w:bottom w:val="none" w:sz="0" w:space="0" w:color="auto"/>
            </w:tcBorders>
            <w:shd w:val="clear" w:color="auto" w:fill="auto"/>
            <w:vAlign w:val="bottom"/>
          </w:tcPr>
          <w:p w14:paraId="09731E99" w14:textId="77777777" w:rsidR="00BA23AE" w:rsidRPr="00D34C3E" w:rsidRDefault="00BA23AE" w:rsidP="00AD4267">
            <w:pPr>
              <w:pStyle w:val="B"/>
              <w:rPr>
                <w:i w:val="0"/>
                <w:iCs w:val="0"/>
                <w:sz w:val="17"/>
                <w:szCs w:val="17"/>
                <w:rtl/>
              </w:rPr>
            </w:pPr>
            <w:r w:rsidRPr="00D34C3E">
              <w:rPr>
                <w:rFonts w:hint="cs"/>
                <w:i w:val="0"/>
                <w:iCs w:val="0"/>
                <w:sz w:val="17"/>
                <w:szCs w:val="17"/>
                <w:rtl/>
              </w:rPr>
              <w:t>10ב</w:t>
            </w:r>
          </w:p>
        </w:tc>
        <w:tc>
          <w:tcPr>
            <w:tcW w:w="1904" w:type="pct"/>
            <w:shd w:val="clear" w:color="auto" w:fill="auto"/>
            <w:vAlign w:val="bottom"/>
            <w:hideMark/>
          </w:tcPr>
          <w:p w14:paraId="2069961F"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Pr>
            </w:pPr>
            <w:r w:rsidRPr="00D34C3E">
              <w:rPr>
                <w:rFonts w:eastAsia="Times New Roman"/>
                <w:sz w:val="17"/>
                <w:szCs w:val="17"/>
                <w:rtl/>
              </w:rPr>
              <w:t>איסור יציאה ממקום המגורים</w:t>
            </w:r>
          </w:p>
        </w:tc>
        <w:tc>
          <w:tcPr>
            <w:tcW w:w="867" w:type="pct"/>
            <w:shd w:val="clear" w:color="auto" w:fill="auto"/>
            <w:noWrap/>
            <w:vAlign w:val="bottom"/>
            <w:hideMark/>
          </w:tcPr>
          <w:p w14:paraId="0DB0E221"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hint="cs"/>
                <w:sz w:val="17"/>
                <w:szCs w:val="17"/>
                <w:rtl/>
              </w:rPr>
              <w:t>למעלה מ-5</w:t>
            </w:r>
          </w:p>
        </w:tc>
        <w:tc>
          <w:tcPr>
            <w:tcW w:w="607" w:type="pct"/>
            <w:shd w:val="clear" w:color="auto" w:fill="auto"/>
            <w:noWrap/>
            <w:vAlign w:val="bottom"/>
            <w:hideMark/>
          </w:tcPr>
          <w:p w14:paraId="55DFCEAC"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Pr>
            </w:pPr>
            <w:r w:rsidRPr="00D34C3E">
              <w:rPr>
                <w:rFonts w:eastAsia="Times New Roman"/>
                <w:sz w:val="17"/>
                <w:szCs w:val="17"/>
                <w:rtl/>
              </w:rPr>
              <w:t>לא</w:t>
            </w:r>
          </w:p>
        </w:tc>
        <w:tc>
          <w:tcPr>
            <w:tcW w:w="694" w:type="pct"/>
            <w:shd w:val="clear" w:color="auto" w:fill="auto"/>
            <w:noWrap/>
            <w:vAlign w:val="bottom"/>
            <w:hideMark/>
          </w:tcPr>
          <w:p w14:paraId="06088FA7"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17" w:type="pct"/>
            <w:vMerge/>
            <w:shd w:val="clear" w:color="auto" w:fill="C6D9F1"/>
            <w:vAlign w:val="center"/>
          </w:tcPr>
          <w:p w14:paraId="117BB41D" w14:textId="77777777" w:rsidR="00BA23AE" w:rsidRPr="00D34C3E" w:rsidRDefault="00BA23AE" w:rsidP="00A17907">
            <w:pPr>
              <w:pStyle w:val="B"/>
              <w:jc w:val="center"/>
              <w:cnfStyle w:val="000000100000" w:firstRow="0" w:lastRow="0" w:firstColumn="0" w:lastColumn="0" w:oddVBand="0" w:evenVBand="0" w:oddHBand="1" w:evenHBand="0" w:firstRowFirstColumn="0" w:firstRowLastColumn="0" w:lastRowFirstColumn="0" w:lastRowLastColumn="0"/>
              <w:rPr>
                <w:sz w:val="17"/>
                <w:szCs w:val="17"/>
                <w:rtl/>
              </w:rPr>
            </w:pPr>
          </w:p>
        </w:tc>
      </w:tr>
    </w:tbl>
    <w:p w14:paraId="7CEA2681" w14:textId="56673203" w:rsidR="00ED04DA" w:rsidRPr="00D34C3E" w:rsidRDefault="00ED04DA">
      <w:pPr>
        <w:rPr>
          <w:sz w:val="17"/>
          <w:szCs w:val="17"/>
          <w:rtl/>
        </w:rPr>
      </w:pPr>
    </w:p>
    <w:tbl>
      <w:tblPr>
        <w:tblStyle w:val="312"/>
        <w:bidiVisual/>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
        <w:gridCol w:w="707"/>
        <w:gridCol w:w="7"/>
        <w:gridCol w:w="3124"/>
        <w:gridCol w:w="1418"/>
        <w:gridCol w:w="992"/>
        <w:gridCol w:w="996"/>
        <w:gridCol w:w="988"/>
      </w:tblGrid>
      <w:tr w:rsidR="00ED04DA" w:rsidRPr="00DA48D3" w14:paraId="0E52694F" w14:textId="77777777" w:rsidTr="001264C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440" w:type="pct"/>
            <w:gridSpan w:val="3"/>
            <w:tcBorders>
              <w:top w:val="single" w:sz="4" w:space="0" w:color="auto"/>
              <w:left w:val="single" w:sz="4" w:space="0" w:color="auto"/>
              <w:bottom w:val="nil"/>
              <w:right w:val="single" w:sz="4" w:space="0" w:color="auto"/>
            </w:tcBorders>
            <w:shd w:val="clear" w:color="auto" w:fill="C6D9F1"/>
            <w:vAlign w:val="bottom"/>
          </w:tcPr>
          <w:p w14:paraId="6E6AD7D6" w14:textId="77777777" w:rsidR="00ED04DA" w:rsidRPr="00D34C3E" w:rsidRDefault="00ED04DA" w:rsidP="004E3775">
            <w:pPr>
              <w:pStyle w:val="af0"/>
              <w:rPr>
                <w:b/>
                <w:bCs/>
                <w:sz w:val="17"/>
                <w:szCs w:val="17"/>
                <w:rtl/>
              </w:rPr>
            </w:pPr>
          </w:p>
        </w:tc>
        <w:tc>
          <w:tcPr>
            <w:tcW w:w="1895" w:type="pct"/>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13E72588" w14:textId="77777777" w:rsidR="00ED04DA" w:rsidRPr="00D34C3E" w:rsidRDefault="00ED04DA" w:rsidP="004E3775">
            <w:pPr>
              <w:pStyle w:val="af0"/>
              <w:cnfStyle w:val="100000000000" w:firstRow="1" w:lastRow="0" w:firstColumn="0" w:lastColumn="0" w:oddVBand="0" w:evenVBand="0" w:oddHBand="0" w:evenHBand="0" w:firstRowFirstColumn="0" w:firstRowLastColumn="0" w:lastRowFirstColumn="0" w:lastRowLastColumn="0"/>
              <w:rPr>
                <w:b/>
                <w:bCs/>
                <w:sz w:val="17"/>
                <w:szCs w:val="17"/>
              </w:rPr>
            </w:pPr>
            <w:r w:rsidRPr="00D34C3E">
              <w:rPr>
                <w:b/>
                <w:bCs/>
                <w:sz w:val="17"/>
                <w:szCs w:val="17"/>
                <w:rtl/>
              </w:rPr>
              <w:t xml:space="preserve">תנאי </w:t>
            </w:r>
            <w:r w:rsidRPr="00D34C3E">
              <w:rPr>
                <w:rFonts w:hint="cs"/>
                <w:b/>
                <w:bCs/>
                <w:sz w:val="17"/>
                <w:szCs w:val="17"/>
                <w:rtl/>
              </w:rPr>
              <w:t>ה</w:t>
            </w:r>
            <w:r w:rsidRPr="00D34C3E">
              <w:rPr>
                <w:b/>
                <w:bCs/>
                <w:sz w:val="17"/>
                <w:szCs w:val="17"/>
                <w:rtl/>
              </w:rPr>
              <w:t>שחרור</w:t>
            </w:r>
          </w:p>
        </w:tc>
        <w:tc>
          <w:tcPr>
            <w:tcW w:w="860" w:type="pct"/>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25977E64" w14:textId="77777777" w:rsidR="00ED04DA" w:rsidRPr="00D34C3E" w:rsidRDefault="00ED04DA" w:rsidP="004E3775">
            <w:pPr>
              <w:pStyle w:val="af0"/>
              <w:cnfStyle w:val="100000000000" w:firstRow="1" w:lastRow="0" w:firstColumn="0" w:lastColumn="0" w:oddVBand="0" w:evenVBand="0" w:oddHBand="0" w:evenHBand="0" w:firstRowFirstColumn="0" w:firstRowLastColumn="0" w:lastRowFirstColumn="0" w:lastRowLastColumn="0"/>
              <w:rPr>
                <w:b/>
                <w:bCs/>
                <w:sz w:val="17"/>
                <w:szCs w:val="17"/>
                <w:rtl/>
              </w:rPr>
            </w:pPr>
            <w:r w:rsidRPr="00D34C3E">
              <w:rPr>
                <w:b/>
                <w:bCs/>
                <w:sz w:val="17"/>
                <w:szCs w:val="17"/>
                <w:rtl/>
              </w:rPr>
              <w:t xml:space="preserve">משך </w:t>
            </w:r>
            <w:r w:rsidRPr="00D34C3E">
              <w:rPr>
                <w:rFonts w:hint="cs"/>
                <w:b/>
                <w:bCs/>
                <w:sz w:val="17"/>
                <w:szCs w:val="17"/>
                <w:rtl/>
              </w:rPr>
              <w:t>ה</w:t>
            </w:r>
            <w:r w:rsidRPr="00D34C3E">
              <w:rPr>
                <w:b/>
                <w:bCs/>
                <w:sz w:val="17"/>
                <w:szCs w:val="17"/>
                <w:rtl/>
              </w:rPr>
              <w:t>תקופה</w:t>
            </w:r>
            <w:r w:rsidRPr="00D34C3E">
              <w:rPr>
                <w:rFonts w:hint="cs"/>
                <w:b/>
                <w:bCs/>
                <w:sz w:val="17"/>
                <w:szCs w:val="17"/>
                <w:rtl/>
              </w:rPr>
              <w:t xml:space="preserve"> המרבית</w:t>
            </w:r>
            <w:r w:rsidRPr="00D34C3E">
              <w:rPr>
                <w:b/>
                <w:bCs/>
                <w:sz w:val="17"/>
                <w:szCs w:val="17"/>
                <w:rtl/>
              </w:rPr>
              <w:t xml:space="preserve"> (בימים)</w:t>
            </w:r>
          </w:p>
        </w:tc>
        <w:tc>
          <w:tcPr>
            <w:tcW w:w="602" w:type="pct"/>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3FD88DB5" w14:textId="77777777" w:rsidR="00ED04DA" w:rsidRPr="00D34C3E" w:rsidRDefault="00ED04DA" w:rsidP="004E3775">
            <w:pPr>
              <w:pStyle w:val="af0"/>
              <w:cnfStyle w:val="100000000000" w:firstRow="1" w:lastRow="0" w:firstColumn="0" w:lastColumn="0" w:oddVBand="0" w:evenVBand="0" w:oddHBand="0" w:evenHBand="0" w:firstRowFirstColumn="0" w:firstRowLastColumn="0" w:lastRowFirstColumn="0" w:lastRowLastColumn="0"/>
              <w:rPr>
                <w:b/>
                <w:bCs/>
                <w:sz w:val="17"/>
                <w:szCs w:val="17"/>
                <w:rtl/>
              </w:rPr>
            </w:pPr>
            <w:r w:rsidRPr="00D34C3E">
              <w:rPr>
                <w:b/>
                <w:bCs/>
                <w:sz w:val="17"/>
                <w:szCs w:val="17"/>
                <w:rtl/>
              </w:rPr>
              <w:t xml:space="preserve">סמכות </w:t>
            </w:r>
            <w:r w:rsidRPr="00D34C3E">
              <w:rPr>
                <w:rFonts w:hint="cs"/>
                <w:b/>
                <w:bCs/>
                <w:sz w:val="17"/>
                <w:szCs w:val="17"/>
                <w:rtl/>
              </w:rPr>
              <w:t>קצין</w:t>
            </w:r>
          </w:p>
        </w:tc>
        <w:tc>
          <w:tcPr>
            <w:tcW w:w="604" w:type="pct"/>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71C12840" w14:textId="77777777" w:rsidR="00ED04DA" w:rsidRPr="00D34C3E" w:rsidRDefault="00ED04DA" w:rsidP="004E3775">
            <w:pPr>
              <w:pStyle w:val="af0"/>
              <w:cnfStyle w:val="100000000000" w:firstRow="1" w:lastRow="0" w:firstColumn="0" w:lastColumn="0" w:oddVBand="0" w:evenVBand="0" w:oddHBand="0" w:evenHBand="0" w:firstRowFirstColumn="0" w:firstRowLastColumn="0" w:lastRowFirstColumn="0" w:lastRowLastColumn="0"/>
              <w:rPr>
                <w:b/>
                <w:bCs/>
                <w:sz w:val="17"/>
                <w:szCs w:val="17"/>
                <w:rtl/>
              </w:rPr>
            </w:pPr>
            <w:r w:rsidRPr="00D34C3E">
              <w:rPr>
                <w:b/>
                <w:bCs/>
                <w:sz w:val="17"/>
                <w:szCs w:val="17"/>
                <w:rtl/>
              </w:rPr>
              <w:t>סמכות שופט</w:t>
            </w:r>
          </w:p>
        </w:tc>
        <w:tc>
          <w:tcPr>
            <w:tcW w:w="599" w:type="pct"/>
            <w:tcBorders>
              <w:top w:val="single" w:sz="4" w:space="0" w:color="auto"/>
              <w:left w:val="single" w:sz="4" w:space="0" w:color="auto"/>
              <w:bottom w:val="single" w:sz="4" w:space="0" w:color="auto"/>
              <w:right w:val="single" w:sz="4" w:space="0" w:color="auto"/>
            </w:tcBorders>
            <w:shd w:val="clear" w:color="auto" w:fill="C6D9F1"/>
            <w:vAlign w:val="bottom"/>
          </w:tcPr>
          <w:p w14:paraId="1A3214BD" w14:textId="77777777" w:rsidR="00ED04DA" w:rsidRPr="00D34C3E" w:rsidRDefault="00ED04DA" w:rsidP="004E3775">
            <w:pPr>
              <w:pStyle w:val="af0"/>
              <w:cnfStyle w:val="100000000000" w:firstRow="1" w:lastRow="0" w:firstColumn="0" w:lastColumn="0" w:oddVBand="0" w:evenVBand="0" w:oddHBand="0" w:evenHBand="0" w:firstRowFirstColumn="0" w:firstRowLastColumn="0" w:lastRowFirstColumn="0" w:lastRowLastColumn="0"/>
              <w:rPr>
                <w:b/>
                <w:bCs/>
                <w:sz w:val="17"/>
                <w:szCs w:val="17"/>
                <w:rtl/>
              </w:rPr>
            </w:pPr>
            <w:r w:rsidRPr="00D34C3E">
              <w:rPr>
                <w:rFonts w:hint="cs"/>
                <w:b/>
                <w:bCs/>
                <w:sz w:val="17"/>
                <w:szCs w:val="17"/>
                <w:rtl/>
              </w:rPr>
              <w:t>סוג סמכות</w:t>
            </w:r>
          </w:p>
        </w:tc>
      </w:tr>
      <w:tr w:rsidR="00D34C3E" w:rsidRPr="008641A1" w14:paraId="4D865BE4" w14:textId="77777777" w:rsidTr="007E6FD1">
        <w:tblPrEx>
          <w:tblBorders>
            <w:top w:val="single" w:sz="12" w:space="0" w:color="auto"/>
            <w:left w:val="single" w:sz="12" w:space="0" w:color="auto"/>
            <w:bottom w:val="single" w:sz="12" w:space="0" w:color="auto"/>
            <w:right w:val="single" w:sz="12" w:space="0" w:color="auto"/>
            <w:insideH w:val="single" w:sz="4" w:space="0" w:color="666666" w:themeColor="text1" w:themeTint="99"/>
            <w:insideV w:val="single" w:sz="4" w:space="0" w:color="666666" w:themeColor="text1" w:themeTint="99"/>
          </w:tblBorders>
        </w:tblPrEx>
        <w:trPr>
          <w:gridBefore w:val="1"/>
          <w:cnfStyle w:val="000000100000" w:firstRow="0" w:lastRow="0" w:firstColumn="0" w:lastColumn="0" w:oddVBand="0" w:evenVBand="0" w:oddHBand="1" w:evenHBand="0" w:firstRowFirstColumn="0" w:firstRowLastColumn="0" w:lastRowFirstColumn="0" w:lastRowLastColumn="0"/>
          <w:wBefore w:w="7" w:type="pct"/>
          <w:cantSplit/>
          <w:trHeight w:val="20"/>
          <w:jc w:val="center"/>
        </w:trPr>
        <w:tc>
          <w:tcPr>
            <w:cnfStyle w:val="001000000000" w:firstRow="0" w:lastRow="0" w:firstColumn="1" w:lastColumn="0" w:oddVBand="0" w:evenVBand="0" w:oddHBand="0" w:evenHBand="0" w:firstRowFirstColumn="0" w:firstRowLastColumn="0" w:lastRowFirstColumn="0" w:lastRowLastColumn="0"/>
            <w:tcW w:w="429" w:type="pct"/>
            <w:tcBorders>
              <w:top w:val="single" w:sz="4" w:space="0" w:color="auto"/>
              <w:left w:val="single" w:sz="4" w:space="0" w:color="auto"/>
              <w:bottom w:val="single" w:sz="4" w:space="0" w:color="auto"/>
            </w:tcBorders>
            <w:shd w:val="clear" w:color="auto" w:fill="auto"/>
            <w:vAlign w:val="bottom"/>
          </w:tcPr>
          <w:p w14:paraId="55F347C1" w14:textId="77777777" w:rsidR="00BA23AE" w:rsidRPr="00D34C3E" w:rsidRDefault="00BA23AE" w:rsidP="00AD4267">
            <w:pPr>
              <w:pStyle w:val="B"/>
              <w:rPr>
                <w:i w:val="0"/>
                <w:iCs w:val="0"/>
                <w:sz w:val="17"/>
                <w:szCs w:val="17"/>
                <w:rtl/>
              </w:rPr>
            </w:pPr>
            <w:r w:rsidRPr="00D34C3E">
              <w:rPr>
                <w:rFonts w:hint="cs"/>
                <w:i w:val="0"/>
                <w:iCs w:val="0"/>
                <w:sz w:val="17"/>
                <w:szCs w:val="17"/>
                <w:rtl/>
              </w:rPr>
              <w:t>11</w:t>
            </w:r>
          </w:p>
        </w:tc>
        <w:tc>
          <w:tcPr>
            <w:tcW w:w="1899" w:type="pct"/>
            <w:gridSpan w:val="2"/>
            <w:tcBorders>
              <w:top w:val="single" w:sz="4" w:space="0" w:color="auto"/>
            </w:tcBorders>
            <w:shd w:val="clear" w:color="auto" w:fill="auto"/>
            <w:vAlign w:val="bottom"/>
            <w:hideMark/>
          </w:tcPr>
          <w:p w14:paraId="7114A82D"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פיקוח של קצין מבחן</w:t>
            </w:r>
            <w:r w:rsidRPr="00D34C3E">
              <w:rPr>
                <w:rStyle w:val="FootnoteReference"/>
                <w:rFonts w:ascii="Arial" w:eastAsia="Times New Roman" w:hAnsi="Arial"/>
                <w:color w:val="000000"/>
                <w:sz w:val="17"/>
                <w:szCs w:val="17"/>
                <w:rtl/>
              </w:rPr>
              <w:footnoteReference w:id="44"/>
            </w:r>
          </w:p>
        </w:tc>
        <w:tc>
          <w:tcPr>
            <w:tcW w:w="860" w:type="pct"/>
            <w:tcBorders>
              <w:top w:val="single" w:sz="4" w:space="0" w:color="auto"/>
            </w:tcBorders>
            <w:shd w:val="clear" w:color="auto" w:fill="auto"/>
            <w:noWrap/>
            <w:vAlign w:val="bottom"/>
            <w:hideMark/>
          </w:tcPr>
          <w:p w14:paraId="4084CA39"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hint="cs"/>
                <w:sz w:val="17"/>
                <w:szCs w:val="17"/>
                <w:rtl/>
              </w:rPr>
              <w:t>180</w:t>
            </w:r>
          </w:p>
        </w:tc>
        <w:tc>
          <w:tcPr>
            <w:tcW w:w="602" w:type="pct"/>
            <w:tcBorders>
              <w:top w:val="single" w:sz="4" w:space="0" w:color="auto"/>
            </w:tcBorders>
            <w:shd w:val="clear" w:color="auto" w:fill="auto"/>
            <w:noWrap/>
            <w:vAlign w:val="bottom"/>
            <w:hideMark/>
          </w:tcPr>
          <w:p w14:paraId="414EBA8F"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Pr>
            </w:pPr>
            <w:r w:rsidRPr="00D34C3E">
              <w:rPr>
                <w:rFonts w:eastAsia="Times New Roman"/>
                <w:sz w:val="17"/>
                <w:szCs w:val="17"/>
                <w:rtl/>
              </w:rPr>
              <w:t>לא</w:t>
            </w:r>
          </w:p>
        </w:tc>
        <w:tc>
          <w:tcPr>
            <w:tcW w:w="604" w:type="pct"/>
            <w:tcBorders>
              <w:top w:val="single" w:sz="4" w:space="0" w:color="auto"/>
            </w:tcBorders>
            <w:shd w:val="clear" w:color="auto" w:fill="auto"/>
            <w:noWrap/>
            <w:vAlign w:val="bottom"/>
            <w:hideMark/>
          </w:tcPr>
          <w:p w14:paraId="0457CF3A" w14:textId="77777777" w:rsidR="00BA23AE" w:rsidRPr="00D34C3E" w:rsidRDefault="00BA23AE" w:rsidP="00AD4267">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99" w:type="pct"/>
            <w:vMerge w:val="restart"/>
            <w:tcBorders>
              <w:top w:val="single" w:sz="4" w:space="0" w:color="auto"/>
              <w:right w:val="single" w:sz="4" w:space="0" w:color="auto"/>
            </w:tcBorders>
            <w:shd w:val="clear" w:color="auto" w:fill="C6D9F1"/>
            <w:textDirection w:val="btLr"/>
            <w:vAlign w:val="center"/>
          </w:tcPr>
          <w:p w14:paraId="37B59E4A" w14:textId="77777777" w:rsidR="00BA23AE" w:rsidRPr="00D34C3E" w:rsidRDefault="00BA23AE" w:rsidP="00A17907">
            <w:pPr>
              <w:pStyle w:val="B"/>
              <w:jc w:val="center"/>
              <w:cnfStyle w:val="000000100000" w:firstRow="0" w:lastRow="0" w:firstColumn="0" w:lastColumn="0" w:oddVBand="0" w:evenVBand="0" w:oddHBand="1" w:evenHBand="0" w:firstRowFirstColumn="0" w:firstRowLastColumn="0" w:lastRowFirstColumn="0" w:lastRowLastColumn="0"/>
              <w:rPr>
                <w:sz w:val="17"/>
                <w:szCs w:val="17"/>
                <w:rtl/>
              </w:rPr>
            </w:pPr>
            <w:r w:rsidRPr="00D34C3E">
              <w:rPr>
                <w:rFonts w:hint="cs"/>
                <w:sz w:val="17"/>
                <w:szCs w:val="17"/>
                <w:rtl/>
              </w:rPr>
              <w:t>סמכות בלעדית לבית המשפט</w:t>
            </w:r>
          </w:p>
        </w:tc>
      </w:tr>
      <w:tr w:rsidR="00ED04DA" w:rsidRPr="008641A1" w14:paraId="66BE4D7A" w14:textId="77777777" w:rsidTr="007E6FD1">
        <w:tblPrEx>
          <w:tblBorders>
            <w:top w:val="single" w:sz="12" w:space="0" w:color="auto"/>
            <w:left w:val="single" w:sz="12" w:space="0" w:color="auto"/>
            <w:bottom w:val="single" w:sz="12" w:space="0" w:color="auto"/>
            <w:right w:val="single" w:sz="12" w:space="0" w:color="auto"/>
            <w:insideH w:val="single" w:sz="4" w:space="0" w:color="666666" w:themeColor="text1" w:themeTint="99"/>
            <w:insideV w:val="single" w:sz="4" w:space="0" w:color="666666" w:themeColor="text1" w:themeTint="99"/>
          </w:tblBorders>
        </w:tblPrEx>
        <w:trPr>
          <w:gridBefore w:val="1"/>
          <w:wBefore w:w="7" w:type="pct"/>
          <w:trHeight w:val="20"/>
          <w:jc w:val="center"/>
        </w:trPr>
        <w:tc>
          <w:tcPr>
            <w:cnfStyle w:val="001000000000" w:firstRow="0" w:lastRow="0" w:firstColumn="1" w:lastColumn="0" w:oddVBand="0" w:evenVBand="0" w:oddHBand="0" w:evenHBand="0" w:firstRowFirstColumn="0" w:firstRowLastColumn="0" w:lastRowFirstColumn="0" w:lastRowLastColumn="0"/>
            <w:tcW w:w="429" w:type="pct"/>
            <w:tcBorders>
              <w:top w:val="single" w:sz="4" w:space="0" w:color="auto"/>
              <w:left w:val="single" w:sz="4" w:space="0" w:color="auto"/>
              <w:bottom w:val="single" w:sz="4" w:space="0" w:color="auto"/>
            </w:tcBorders>
            <w:shd w:val="clear" w:color="auto" w:fill="auto"/>
            <w:vAlign w:val="bottom"/>
          </w:tcPr>
          <w:p w14:paraId="36801FF5" w14:textId="77777777" w:rsidR="00BA23AE" w:rsidRPr="00D34C3E" w:rsidRDefault="00BA23AE" w:rsidP="00AD4267">
            <w:pPr>
              <w:pStyle w:val="B"/>
              <w:rPr>
                <w:i w:val="0"/>
                <w:iCs w:val="0"/>
                <w:sz w:val="17"/>
                <w:szCs w:val="17"/>
                <w:rtl/>
              </w:rPr>
            </w:pPr>
            <w:r w:rsidRPr="00D34C3E">
              <w:rPr>
                <w:rFonts w:hint="cs"/>
                <w:i w:val="0"/>
                <w:iCs w:val="0"/>
                <w:sz w:val="17"/>
                <w:szCs w:val="17"/>
                <w:rtl/>
              </w:rPr>
              <w:t>12</w:t>
            </w:r>
          </w:p>
        </w:tc>
        <w:tc>
          <w:tcPr>
            <w:tcW w:w="1899" w:type="pct"/>
            <w:gridSpan w:val="2"/>
            <w:shd w:val="clear" w:color="auto" w:fill="auto"/>
            <w:vAlign w:val="bottom"/>
            <w:hideMark/>
          </w:tcPr>
          <w:p w14:paraId="6C56C395" w14:textId="77777777" w:rsidR="00BA23AE" w:rsidRPr="00D34C3E" w:rsidRDefault="00BA23AE" w:rsidP="006E36C3">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חובה לקבל טיפול למשתמשים בסמים</w:t>
            </w:r>
            <w:r w:rsidRPr="00D34C3E">
              <w:rPr>
                <w:rStyle w:val="FootnoteReference"/>
                <w:rFonts w:ascii="Arial" w:eastAsia="Times New Roman" w:hAnsi="Arial"/>
                <w:color w:val="000000"/>
                <w:sz w:val="17"/>
                <w:szCs w:val="17"/>
                <w:rtl/>
              </w:rPr>
              <w:footnoteReference w:id="45"/>
            </w:r>
          </w:p>
        </w:tc>
        <w:tc>
          <w:tcPr>
            <w:tcW w:w="860" w:type="pct"/>
            <w:shd w:val="clear" w:color="auto" w:fill="auto"/>
            <w:noWrap/>
            <w:vAlign w:val="bottom"/>
            <w:hideMark/>
          </w:tcPr>
          <w:p w14:paraId="579A1334" w14:textId="77777777" w:rsidR="00BA23AE" w:rsidRPr="00D34C3E" w:rsidRDefault="00BA23AE" w:rsidP="006E36C3">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אין</w:t>
            </w:r>
          </w:p>
        </w:tc>
        <w:tc>
          <w:tcPr>
            <w:tcW w:w="602" w:type="pct"/>
            <w:shd w:val="clear" w:color="auto" w:fill="auto"/>
            <w:noWrap/>
            <w:vAlign w:val="bottom"/>
            <w:hideMark/>
          </w:tcPr>
          <w:p w14:paraId="4CDF9745" w14:textId="77777777" w:rsidR="00BA23AE" w:rsidRPr="00D34C3E" w:rsidRDefault="00BA23AE" w:rsidP="006E36C3">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לא</w:t>
            </w:r>
          </w:p>
        </w:tc>
        <w:tc>
          <w:tcPr>
            <w:tcW w:w="604" w:type="pct"/>
            <w:shd w:val="clear" w:color="auto" w:fill="auto"/>
            <w:noWrap/>
            <w:vAlign w:val="bottom"/>
            <w:hideMark/>
          </w:tcPr>
          <w:p w14:paraId="38BB02B1" w14:textId="77777777" w:rsidR="00BA23AE" w:rsidRPr="00D34C3E" w:rsidRDefault="00BA23AE" w:rsidP="006E36C3">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99" w:type="pct"/>
            <w:vMerge/>
            <w:tcBorders>
              <w:right w:val="single" w:sz="4" w:space="0" w:color="auto"/>
            </w:tcBorders>
            <w:shd w:val="clear" w:color="auto" w:fill="C6D9F1"/>
            <w:vAlign w:val="bottom"/>
          </w:tcPr>
          <w:p w14:paraId="796304DB" w14:textId="77777777" w:rsidR="00BA23AE" w:rsidRPr="008641A1" w:rsidRDefault="00BA23AE" w:rsidP="00465562">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p>
        </w:tc>
      </w:tr>
      <w:tr w:rsidR="00ED04DA" w:rsidRPr="008641A1" w14:paraId="450B26CA" w14:textId="77777777" w:rsidTr="007E6FD1">
        <w:tblPrEx>
          <w:tblBorders>
            <w:top w:val="single" w:sz="12" w:space="0" w:color="auto"/>
            <w:left w:val="single" w:sz="12" w:space="0" w:color="auto"/>
            <w:bottom w:val="single" w:sz="12" w:space="0" w:color="auto"/>
            <w:right w:val="single" w:sz="12" w:space="0" w:color="auto"/>
            <w:insideH w:val="single" w:sz="4" w:space="0" w:color="666666" w:themeColor="text1" w:themeTint="99"/>
            <w:insideV w:val="single" w:sz="4" w:space="0" w:color="666666" w:themeColor="text1" w:themeTint="99"/>
          </w:tblBorders>
        </w:tblPrEx>
        <w:trPr>
          <w:gridBefore w:val="1"/>
          <w:cnfStyle w:val="000000100000" w:firstRow="0" w:lastRow="0" w:firstColumn="0" w:lastColumn="0" w:oddVBand="0" w:evenVBand="0" w:oddHBand="1" w:evenHBand="0" w:firstRowFirstColumn="0" w:firstRowLastColumn="0" w:lastRowFirstColumn="0" w:lastRowLastColumn="0"/>
          <w:wBefore w:w="7" w:type="pct"/>
          <w:trHeight w:val="20"/>
          <w:jc w:val="center"/>
        </w:trPr>
        <w:tc>
          <w:tcPr>
            <w:cnfStyle w:val="001000000000" w:firstRow="0" w:lastRow="0" w:firstColumn="1" w:lastColumn="0" w:oddVBand="0" w:evenVBand="0" w:oddHBand="0" w:evenHBand="0" w:firstRowFirstColumn="0" w:firstRowLastColumn="0" w:lastRowFirstColumn="0" w:lastRowLastColumn="0"/>
            <w:tcW w:w="429" w:type="pct"/>
            <w:tcBorders>
              <w:top w:val="single" w:sz="4" w:space="0" w:color="auto"/>
              <w:left w:val="single" w:sz="4" w:space="0" w:color="auto"/>
              <w:bottom w:val="single" w:sz="4" w:space="0" w:color="auto"/>
            </w:tcBorders>
            <w:shd w:val="clear" w:color="auto" w:fill="auto"/>
            <w:vAlign w:val="bottom"/>
          </w:tcPr>
          <w:p w14:paraId="2DAF2E58" w14:textId="77777777" w:rsidR="00BA23AE" w:rsidRPr="00D34C3E" w:rsidRDefault="00BA23AE" w:rsidP="00AD4267">
            <w:pPr>
              <w:pStyle w:val="B"/>
              <w:rPr>
                <w:i w:val="0"/>
                <w:iCs w:val="0"/>
                <w:sz w:val="17"/>
                <w:szCs w:val="17"/>
                <w:rtl/>
              </w:rPr>
            </w:pPr>
            <w:r w:rsidRPr="00D34C3E">
              <w:rPr>
                <w:rFonts w:hint="cs"/>
                <w:i w:val="0"/>
                <w:iCs w:val="0"/>
                <w:sz w:val="17"/>
                <w:szCs w:val="17"/>
                <w:rtl/>
              </w:rPr>
              <w:t>13</w:t>
            </w:r>
          </w:p>
        </w:tc>
        <w:tc>
          <w:tcPr>
            <w:tcW w:w="1899" w:type="pct"/>
            <w:gridSpan w:val="2"/>
            <w:shd w:val="clear" w:color="auto" w:fill="auto"/>
            <w:vAlign w:val="bottom"/>
            <w:hideMark/>
          </w:tcPr>
          <w:p w14:paraId="3491A476" w14:textId="77777777" w:rsidR="00BA23AE" w:rsidRPr="00D34C3E" w:rsidRDefault="00BA23AE" w:rsidP="006E36C3">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hint="cs"/>
                <w:sz w:val="17"/>
                <w:szCs w:val="17"/>
                <w:rtl/>
              </w:rPr>
              <w:t>בדיקה פסיכיאטרית</w:t>
            </w:r>
            <w:r w:rsidRPr="00D34C3E">
              <w:rPr>
                <w:rStyle w:val="FootnoteReference"/>
                <w:rFonts w:ascii="Arial" w:eastAsia="Times New Roman" w:hAnsi="Arial"/>
                <w:color w:val="000000"/>
                <w:sz w:val="17"/>
                <w:szCs w:val="17"/>
                <w:rtl/>
              </w:rPr>
              <w:footnoteReference w:id="46"/>
            </w:r>
          </w:p>
        </w:tc>
        <w:tc>
          <w:tcPr>
            <w:tcW w:w="860" w:type="pct"/>
            <w:shd w:val="clear" w:color="auto" w:fill="auto"/>
            <w:noWrap/>
            <w:vAlign w:val="bottom"/>
            <w:hideMark/>
          </w:tcPr>
          <w:p w14:paraId="525F0913" w14:textId="77777777" w:rsidR="00BA23AE" w:rsidRPr="00D34C3E" w:rsidRDefault="00BA23AE" w:rsidP="006E36C3">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אין</w:t>
            </w:r>
          </w:p>
        </w:tc>
        <w:tc>
          <w:tcPr>
            <w:tcW w:w="602" w:type="pct"/>
            <w:shd w:val="clear" w:color="auto" w:fill="auto"/>
            <w:noWrap/>
            <w:vAlign w:val="bottom"/>
            <w:hideMark/>
          </w:tcPr>
          <w:p w14:paraId="22EBFF50" w14:textId="77777777" w:rsidR="00BA23AE" w:rsidRPr="00D34C3E" w:rsidRDefault="00BA23AE" w:rsidP="006E36C3">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לא</w:t>
            </w:r>
          </w:p>
        </w:tc>
        <w:tc>
          <w:tcPr>
            <w:tcW w:w="604" w:type="pct"/>
            <w:shd w:val="clear" w:color="auto" w:fill="auto"/>
            <w:noWrap/>
            <w:vAlign w:val="bottom"/>
            <w:hideMark/>
          </w:tcPr>
          <w:p w14:paraId="52AE58A2" w14:textId="77777777" w:rsidR="00BA23AE" w:rsidRPr="00D34C3E" w:rsidRDefault="00BA23AE" w:rsidP="006E36C3">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99" w:type="pct"/>
            <w:vMerge/>
            <w:tcBorders>
              <w:right w:val="single" w:sz="4" w:space="0" w:color="auto"/>
            </w:tcBorders>
            <w:shd w:val="clear" w:color="auto" w:fill="C6D9F1"/>
            <w:vAlign w:val="bottom"/>
          </w:tcPr>
          <w:p w14:paraId="058B1E04" w14:textId="77777777" w:rsidR="00BA23AE" w:rsidRPr="008641A1" w:rsidRDefault="00BA23AE" w:rsidP="00465562">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p>
        </w:tc>
      </w:tr>
      <w:tr w:rsidR="00ED04DA" w:rsidRPr="008641A1" w14:paraId="7BF0A925" w14:textId="77777777" w:rsidTr="007E6FD1">
        <w:tblPrEx>
          <w:tblBorders>
            <w:top w:val="single" w:sz="12" w:space="0" w:color="auto"/>
            <w:left w:val="single" w:sz="12" w:space="0" w:color="auto"/>
            <w:bottom w:val="single" w:sz="12" w:space="0" w:color="auto"/>
            <w:right w:val="single" w:sz="12" w:space="0" w:color="auto"/>
            <w:insideH w:val="single" w:sz="4" w:space="0" w:color="666666" w:themeColor="text1" w:themeTint="99"/>
            <w:insideV w:val="single" w:sz="4" w:space="0" w:color="666666" w:themeColor="text1" w:themeTint="99"/>
          </w:tblBorders>
        </w:tblPrEx>
        <w:trPr>
          <w:gridBefore w:val="1"/>
          <w:wBefore w:w="7" w:type="pct"/>
          <w:trHeight w:val="20"/>
          <w:jc w:val="center"/>
        </w:trPr>
        <w:tc>
          <w:tcPr>
            <w:cnfStyle w:val="001000000000" w:firstRow="0" w:lastRow="0" w:firstColumn="1" w:lastColumn="0" w:oddVBand="0" w:evenVBand="0" w:oddHBand="0" w:evenHBand="0" w:firstRowFirstColumn="0" w:firstRowLastColumn="0" w:lastRowFirstColumn="0" w:lastRowLastColumn="0"/>
            <w:tcW w:w="429" w:type="pct"/>
            <w:tcBorders>
              <w:top w:val="single" w:sz="4" w:space="0" w:color="auto"/>
              <w:left w:val="single" w:sz="4" w:space="0" w:color="auto"/>
              <w:bottom w:val="single" w:sz="4" w:space="0" w:color="auto"/>
            </w:tcBorders>
            <w:shd w:val="clear" w:color="auto" w:fill="auto"/>
            <w:vAlign w:val="bottom"/>
          </w:tcPr>
          <w:p w14:paraId="57DBFB15" w14:textId="77777777" w:rsidR="00BA23AE" w:rsidRPr="00D34C3E" w:rsidRDefault="00BA23AE" w:rsidP="00AD4267">
            <w:pPr>
              <w:pStyle w:val="B"/>
              <w:rPr>
                <w:i w:val="0"/>
                <w:iCs w:val="0"/>
                <w:sz w:val="17"/>
                <w:szCs w:val="17"/>
                <w:rtl/>
              </w:rPr>
            </w:pPr>
            <w:r w:rsidRPr="00D34C3E">
              <w:rPr>
                <w:rFonts w:hint="cs"/>
                <w:i w:val="0"/>
                <w:iCs w:val="0"/>
                <w:sz w:val="17"/>
                <w:szCs w:val="17"/>
                <w:rtl/>
              </w:rPr>
              <w:t>14</w:t>
            </w:r>
          </w:p>
        </w:tc>
        <w:tc>
          <w:tcPr>
            <w:tcW w:w="1899" w:type="pct"/>
            <w:gridSpan w:val="2"/>
            <w:shd w:val="clear" w:color="auto" w:fill="auto"/>
            <w:vAlign w:val="bottom"/>
            <w:hideMark/>
          </w:tcPr>
          <w:p w14:paraId="2D3C3D74" w14:textId="77777777" w:rsidR="00BA23AE" w:rsidRPr="00D34C3E" w:rsidRDefault="00BA23AE" w:rsidP="006E36C3">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איסור המשך עיסוק הקשור בעבירה</w:t>
            </w:r>
          </w:p>
        </w:tc>
        <w:tc>
          <w:tcPr>
            <w:tcW w:w="860" w:type="pct"/>
            <w:shd w:val="clear" w:color="auto" w:fill="auto"/>
            <w:noWrap/>
            <w:vAlign w:val="bottom"/>
            <w:hideMark/>
          </w:tcPr>
          <w:p w14:paraId="7B0E6966" w14:textId="77777777" w:rsidR="00BA23AE" w:rsidRPr="00D34C3E" w:rsidRDefault="00BA23AE" w:rsidP="006E36C3">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אין</w:t>
            </w:r>
          </w:p>
        </w:tc>
        <w:tc>
          <w:tcPr>
            <w:tcW w:w="602" w:type="pct"/>
            <w:shd w:val="clear" w:color="auto" w:fill="auto"/>
            <w:noWrap/>
            <w:vAlign w:val="bottom"/>
            <w:hideMark/>
          </w:tcPr>
          <w:p w14:paraId="72EE5B39" w14:textId="77777777" w:rsidR="00BA23AE" w:rsidRPr="00D34C3E" w:rsidRDefault="00BA23AE" w:rsidP="006E36C3">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לא</w:t>
            </w:r>
          </w:p>
        </w:tc>
        <w:tc>
          <w:tcPr>
            <w:tcW w:w="604" w:type="pct"/>
            <w:shd w:val="clear" w:color="auto" w:fill="auto"/>
            <w:noWrap/>
            <w:vAlign w:val="bottom"/>
            <w:hideMark/>
          </w:tcPr>
          <w:p w14:paraId="3D2E8C93" w14:textId="77777777" w:rsidR="00BA23AE" w:rsidRPr="00D34C3E" w:rsidRDefault="00BA23AE" w:rsidP="006E36C3">
            <w:pPr>
              <w:pStyle w:val="R"/>
              <w:cnfStyle w:val="000000000000" w:firstRow="0" w:lastRow="0" w:firstColumn="0" w:lastColumn="0" w:oddVBand="0" w:evenVBand="0" w:oddHBand="0"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99" w:type="pct"/>
            <w:vMerge/>
            <w:tcBorders>
              <w:right w:val="single" w:sz="4" w:space="0" w:color="auto"/>
            </w:tcBorders>
            <w:shd w:val="clear" w:color="auto" w:fill="C6D9F1"/>
            <w:vAlign w:val="bottom"/>
          </w:tcPr>
          <w:p w14:paraId="3DD3A869" w14:textId="77777777" w:rsidR="00BA23AE" w:rsidRPr="008641A1" w:rsidRDefault="00BA23AE" w:rsidP="00465562">
            <w:pPr>
              <w:spacing w:line="26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p>
        </w:tc>
      </w:tr>
      <w:tr w:rsidR="00ED04DA" w:rsidRPr="008641A1" w14:paraId="17F3CF88" w14:textId="77777777" w:rsidTr="007E6FD1">
        <w:tblPrEx>
          <w:tblBorders>
            <w:top w:val="single" w:sz="12" w:space="0" w:color="auto"/>
            <w:left w:val="single" w:sz="12" w:space="0" w:color="auto"/>
            <w:bottom w:val="single" w:sz="12" w:space="0" w:color="auto"/>
            <w:right w:val="single" w:sz="12" w:space="0" w:color="auto"/>
            <w:insideH w:val="single" w:sz="4" w:space="0" w:color="666666" w:themeColor="text1" w:themeTint="99"/>
            <w:insideV w:val="single" w:sz="4" w:space="0" w:color="666666" w:themeColor="text1" w:themeTint="99"/>
          </w:tblBorders>
        </w:tblPrEx>
        <w:trPr>
          <w:gridBefore w:val="1"/>
          <w:cnfStyle w:val="000000100000" w:firstRow="0" w:lastRow="0" w:firstColumn="0" w:lastColumn="0" w:oddVBand="0" w:evenVBand="0" w:oddHBand="1" w:evenHBand="0" w:firstRowFirstColumn="0" w:firstRowLastColumn="0" w:lastRowFirstColumn="0" w:lastRowLastColumn="0"/>
          <w:wBefore w:w="7" w:type="pct"/>
          <w:trHeight w:val="20"/>
          <w:jc w:val="center"/>
        </w:trPr>
        <w:tc>
          <w:tcPr>
            <w:cnfStyle w:val="001000000000" w:firstRow="0" w:lastRow="0" w:firstColumn="1" w:lastColumn="0" w:oddVBand="0" w:evenVBand="0" w:oddHBand="0" w:evenHBand="0" w:firstRowFirstColumn="0" w:firstRowLastColumn="0" w:lastRowFirstColumn="0" w:lastRowLastColumn="0"/>
            <w:tcW w:w="429" w:type="pct"/>
            <w:tcBorders>
              <w:top w:val="single" w:sz="4" w:space="0" w:color="auto"/>
              <w:left w:val="single" w:sz="4" w:space="0" w:color="auto"/>
              <w:bottom w:val="single" w:sz="4" w:space="0" w:color="auto"/>
            </w:tcBorders>
            <w:shd w:val="clear" w:color="auto" w:fill="auto"/>
            <w:vAlign w:val="bottom"/>
          </w:tcPr>
          <w:p w14:paraId="5A95EAF3" w14:textId="77777777" w:rsidR="00BA23AE" w:rsidRPr="00D34C3E" w:rsidRDefault="00BA23AE" w:rsidP="00AD4267">
            <w:pPr>
              <w:pStyle w:val="B"/>
              <w:rPr>
                <w:i w:val="0"/>
                <w:iCs w:val="0"/>
                <w:sz w:val="17"/>
                <w:szCs w:val="17"/>
                <w:rtl/>
              </w:rPr>
            </w:pPr>
            <w:r w:rsidRPr="00D34C3E">
              <w:rPr>
                <w:rFonts w:hint="cs"/>
                <w:i w:val="0"/>
                <w:iCs w:val="0"/>
                <w:sz w:val="17"/>
                <w:szCs w:val="17"/>
                <w:rtl/>
              </w:rPr>
              <w:t>15</w:t>
            </w:r>
          </w:p>
        </w:tc>
        <w:tc>
          <w:tcPr>
            <w:tcW w:w="1899" w:type="pct"/>
            <w:gridSpan w:val="2"/>
            <w:tcBorders>
              <w:bottom w:val="single" w:sz="4" w:space="0" w:color="auto"/>
            </w:tcBorders>
            <w:shd w:val="clear" w:color="auto" w:fill="auto"/>
            <w:vAlign w:val="bottom"/>
            <w:hideMark/>
          </w:tcPr>
          <w:p w14:paraId="44634584" w14:textId="77777777" w:rsidR="00BA23AE" w:rsidRPr="00D34C3E" w:rsidRDefault="00BA23AE" w:rsidP="006E36C3">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ביצוע בדיקה רפואית בהסכמת החשוד</w:t>
            </w:r>
          </w:p>
        </w:tc>
        <w:tc>
          <w:tcPr>
            <w:tcW w:w="860" w:type="pct"/>
            <w:tcBorders>
              <w:bottom w:val="single" w:sz="4" w:space="0" w:color="auto"/>
            </w:tcBorders>
            <w:shd w:val="clear" w:color="auto" w:fill="auto"/>
            <w:noWrap/>
            <w:vAlign w:val="bottom"/>
            <w:hideMark/>
          </w:tcPr>
          <w:p w14:paraId="2F6EBF9B" w14:textId="77777777" w:rsidR="00BA23AE" w:rsidRPr="00D34C3E" w:rsidRDefault="00BA23AE" w:rsidP="006E36C3">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אין</w:t>
            </w:r>
          </w:p>
        </w:tc>
        <w:tc>
          <w:tcPr>
            <w:tcW w:w="602" w:type="pct"/>
            <w:tcBorders>
              <w:bottom w:val="single" w:sz="4" w:space="0" w:color="auto"/>
            </w:tcBorders>
            <w:shd w:val="clear" w:color="auto" w:fill="auto"/>
            <w:noWrap/>
            <w:vAlign w:val="bottom"/>
            <w:hideMark/>
          </w:tcPr>
          <w:p w14:paraId="46B9714E" w14:textId="77777777" w:rsidR="00BA23AE" w:rsidRPr="00D34C3E" w:rsidRDefault="00BA23AE" w:rsidP="006E36C3">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לא</w:t>
            </w:r>
          </w:p>
        </w:tc>
        <w:tc>
          <w:tcPr>
            <w:tcW w:w="604" w:type="pct"/>
            <w:tcBorders>
              <w:bottom w:val="single" w:sz="4" w:space="0" w:color="auto"/>
            </w:tcBorders>
            <w:shd w:val="clear" w:color="auto" w:fill="auto"/>
            <w:noWrap/>
            <w:vAlign w:val="bottom"/>
            <w:hideMark/>
          </w:tcPr>
          <w:p w14:paraId="533C8890" w14:textId="77777777" w:rsidR="00BA23AE" w:rsidRPr="00D34C3E" w:rsidRDefault="00BA23AE" w:rsidP="006E36C3">
            <w:pPr>
              <w:pStyle w:val="R"/>
              <w:cnfStyle w:val="000000100000" w:firstRow="0" w:lastRow="0" w:firstColumn="0" w:lastColumn="0" w:oddVBand="0" w:evenVBand="0" w:oddHBand="1" w:evenHBand="0" w:firstRowFirstColumn="0" w:firstRowLastColumn="0" w:lastRowFirstColumn="0" w:lastRowLastColumn="0"/>
              <w:rPr>
                <w:rFonts w:eastAsia="Times New Roman"/>
                <w:sz w:val="17"/>
                <w:szCs w:val="17"/>
                <w:rtl/>
              </w:rPr>
            </w:pPr>
            <w:r w:rsidRPr="00D34C3E">
              <w:rPr>
                <w:rFonts w:eastAsia="Times New Roman"/>
                <w:sz w:val="17"/>
                <w:szCs w:val="17"/>
                <w:rtl/>
              </w:rPr>
              <w:t>כן</w:t>
            </w:r>
          </w:p>
        </w:tc>
        <w:tc>
          <w:tcPr>
            <w:tcW w:w="599" w:type="pct"/>
            <w:vMerge/>
            <w:tcBorders>
              <w:bottom w:val="single" w:sz="4" w:space="0" w:color="auto"/>
              <w:right w:val="single" w:sz="4" w:space="0" w:color="auto"/>
            </w:tcBorders>
            <w:shd w:val="clear" w:color="auto" w:fill="C6D9F1"/>
            <w:vAlign w:val="bottom"/>
          </w:tcPr>
          <w:p w14:paraId="544FE43D" w14:textId="77777777" w:rsidR="00BA23AE" w:rsidRPr="008641A1" w:rsidRDefault="00BA23AE" w:rsidP="00465562">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p>
        </w:tc>
      </w:tr>
    </w:tbl>
    <w:p w14:paraId="7F6D3FF0" w14:textId="4D5BA83A" w:rsidR="00BA23AE" w:rsidRDefault="00BA23AE" w:rsidP="006B0630">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sidRPr="00F13DA5">
        <w:rPr>
          <w:rFonts w:hint="eastAsia"/>
          <w:rtl/>
        </w:rPr>
        <w:t>חוק</w:t>
      </w:r>
      <w:r w:rsidRPr="00F13DA5">
        <w:rPr>
          <w:rtl/>
        </w:rPr>
        <w:t xml:space="preserve"> </w:t>
      </w:r>
      <w:r w:rsidRPr="00F13DA5">
        <w:rPr>
          <w:rFonts w:hint="eastAsia"/>
          <w:rtl/>
        </w:rPr>
        <w:t>המעצרים</w:t>
      </w:r>
      <w:r w:rsidRPr="00F13DA5">
        <w:rPr>
          <w:rtl/>
        </w:rPr>
        <w:t xml:space="preserve">, </w:t>
      </w:r>
      <w:r w:rsidRPr="00F13DA5">
        <w:rPr>
          <w:rFonts w:hint="eastAsia"/>
          <w:rtl/>
        </w:rPr>
        <w:t>בעיבוד</w:t>
      </w:r>
      <w:r w:rsidRPr="00F13DA5">
        <w:rPr>
          <w:rtl/>
        </w:rPr>
        <w:t xml:space="preserve"> </w:t>
      </w:r>
      <w:r w:rsidRPr="00F13DA5">
        <w:rPr>
          <w:rFonts w:hint="eastAsia"/>
          <w:rtl/>
        </w:rPr>
        <w:t>משרד</w:t>
      </w:r>
      <w:r w:rsidRPr="00F13DA5">
        <w:rPr>
          <w:rtl/>
        </w:rPr>
        <w:t xml:space="preserve"> </w:t>
      </w:r>
      <w:r w:rsidRPr="00F13DA5">
        <w:rPr>
          <w:rFonts w:hint="eastAsia"/>
          <w:rtl/>
        </w:rPr>
        <w:t>מבקר</w:t>
      </w:r>
      <w:r w:rsidRPr="00F13DA5">
        <w:rPr>
          <w:rtl/>
        </w:rPr>
        <w:t xml:space="preserve"> </w:t>
      </w:r>
      <w:r w:rsidRPr="00F13DA5">
        <w:rPr>
          <w:rFonts w:hint="eastAsia"/>
          <w:rtl/>
        </w:rPr>
        <w:t>המדינה</w:t>
      </w:r>
      <w:r w:rsidRPr="00F13DA5">
        <w:rPr>
          <w:rtl/>
        </w:rPr>
        <w:t>.</w:t>
      </w:r>
    </w:p>
    <w:p w14:paraId="7329FEE8" w14:textId="06FC3E93" w:rsidR="00BA23AE" w:rsidRPr="00F13DA5" w:rsidRDefault="00BA23AE" w:rsidP="006B0630">
      <w:pPr>
        <w:pStyle w:val="414"/>
        <w:rPr>
          <w:rtl/>
        </w:rPr>
      </w:pPr>
      <w:r w:rsidRPr="00F13DA5">
        <w:rPr>
          <w:rFonts w:hint="cs"/>
          <w:rtl/>
        </w:rPr>
        <w:t xml:space="preserve">השימוש בסמכות הקצין הממונה לשחרור בתנאים </w:t>
      </w:r>
    </w:p>
    <w:p w14:paraId="7F1EBF3D" w14:textId="77777777" w:rsidR="00BA23AE" w:rsidRPr="00F13DA5" w:rsidRDefault="00BA23AE" w:rsidP="006B0630">
      <w:pPr>
        <w:pStyle w:val="100"/>
        <w:rPr>
          <w:rtl/>
        </w:rPr>
      </w:pPr>
      <w:r w:rsidRPr="00F13DA5">
        <w:rPr>
          <w:rFonts w:hint="cs"/>
          <w:rtl/>
        </w:rPr>
        <w:t xml:space="preserve">לפי פקודת מטא"ר, יש להביא את העצור לפני שופט על מנת לקבל החלטה בנוגע לתנאי שחרורו ממעצר, אם נדרש לשחרר אותו בתנאים שאינם בסמכות הקצין הממונה, או אם העצור סירב לתנאים שבסמכות הקצין הממונה. </w:t>
      </w:r>
    </w:p>
    <w:p w14:paraId="3E45F0E0" w14:textId="77777777" w:rsidR="00BA23AE" w:rsidRPr="00F13DA5" w:rsidRDefault="00BA23AE" w:rsidP="006B0630">
      <w:pPr>
        <w:pStyle w:val="100"/>
      </w:pPr>
      <w:r w:rsidRPr="00F13DA5">
        <w:rPr>
          <w:rFonts w:hint="cs"/>
          <w:rtl/>
        </w:rPr>
        <w:t xml:space="preserve">לפי נתוני המשטרה, </w:t>
      </w:r>
      <w:r w:rsidRPr="00F13DA5">
        <w:rPr>
          <w:rtl/>
        </w:rPr>
        <w:t xml:space="preserve">בשנים </w:t>
      </w:r>
      <w:r w:rsidRPr="00F13DA5">
        <w:rPr>
          <w:rFonts w:hint="cs"/>
          <w:rtl/>
        </w:rPr>
        <w:t>2016 - 2018</w:t>
      </w:r>
      <w:r w:rsidRPr="00F13DA5">
        <w:rPr>
          <w:rtl/>
        </w:rPr>
        <w:t xml:space="preserve"> שוחררו עצורים על ידי קצין ממונה </w:t>
      </w:r>
      <w:r w:rsidRPr="00F13DA5">
        <w:rPr>
          <w:rFonts w:hint="cs"/>
          <w:rtl/>
        </w:rPr>
        <w:t xml:space="preserve">בכ-46,000 </w:t>
      </w:r>
      <w:r w:rsidRPr="00F13DA5">
        <w:rPr>
          <w:rtl/>
        </w:rPr>
        <w:t>מעצרים</w:t>
      </w:r>
      <w:r>
        <w:rPr>
          <w:rFonts w:hint="cs"/>
          <w:rtl/>
        </w:rPr>
        <w:t>,</w:t>
      </w:r>
      <w:r w:rsidRPr="00F13DA5">
        <w:rPr>
          <w:rtl/>
        </w:rPr>
        <w:t xml:space="preserve"> </w:t>
      </w:r>
      <w:r>
        <w:rPr>
          <w:rFonts w:hint="cs"/>
          <w:rtl/>
        </w:rPr>
        <w:t>ו</w:t>
      </w:r>
      <w:r w:rsidRPr="00F13DA5">
        <w:rPr>
          <w:rtl/>
        </w:rPr>
        <w:t xml:space="preserve">מתוכם </w:t>
      </w:r>
      <w:r w:rsidRPr="00F13DA5">
        <w:rPr>
          <w:rFonts w:hint="cs"/>
          <w:rtl/>
        </w:rPr>
        <w:t>בכ-20,000</w:t>
      </w:r>
      <w:r w:rsidRPr="00F13DA5">
        <w:rPr>
          <w:rtl/>
        </w:rPr>
        <w:t xml:space="preserve"> מעצרים (42%) שוחרר העצור בתנאים. כמו כן, באותה התקופה שוחררו על ידי בית ה</w:t>
      </w:r>
      <w:r w:rsidRPr="00F13DA5">
        <w:rPr>
          <w:rFonts w:hint="cs"/>
          <w:rtl/>
        </w:rPr>
        <w:t>מ</w:t>
      </w:r>
      <w:r w:rsidRPr="00F13DA5">
        <w:rPr>
          <w:rtl/>
        </w:rPr>
        <w:t xml:space="preserve">שפט עצורים </w:t>
      </w:r>
      <w:r w:rsidRPr="00F13DA5">
        <w:rPr>
          <w:rFonts w:hint="cs"/>
          <w:rtl/>
        </w:rPr>
        <w:t>בכ-85,000</w:t>
      </w:r>
      <w:r w:rsidRPr="00F13DA5">
        <w:rPr>
          <w:rtl/>
        </w:rPr>
        <w:t xml:space="preserve"> מעצרים</w:t>
      </w:r>
      <w:r w:rsidRPr="00F13DA5">
        <w:rPr>
          <w:rFonts w:hint="cs"/>
          <w:rtl/>
        </w:rPr>
        <w:t>,</w:t>
      </w:r>
      <w:r w:rsidRPr="00F13DA5">
        <w:rPr>
          <w:rtl/>
        </w:rPr>
        <w:t xml:space="preserve"> </w:t>
      </w:r>
      <w:r w:rsidRPr="00F13DA5">
        <w:rPr>
          <w:rFonts w:hint="cs"/>
          <w:rtl/>
        </w:rPr>
        <w:t>ו</w:t>
      </w:r>
      <w:r w:rsidRPr="00F13DA5">
        <w:rPr>
          <w:rtl/>
        </w:rPr>
        <w:t xml:space="preserve">מתוכם </w:t>
      </w:r>
      <w:r w:rsidRPr="00F13DA5">
        <w:rPr>
          <w:rFonts w:hint="cs"/>
          <w:rtl/>
        </w:rPr>
        <w:t xml:space="preserve">בכ-34,000 </w:t>
      </w:r>
      <w:r w:rsidRPr="00F13DA5">
        <w:rPr>
          <w:rtl/>
        </w:rPr>
        <w:t>מעצרים (39%) שוחרר העצור בתנאים</w:t>
      </w:r>
      <w:r w:rsidRPr="00F13DA5">
        <w:rPr>
          <w:rFonts w:hint="cs"/>
          <w:rtl/>
        </w:rPr>
        <w:t xml:space="preserve">. </w:t>
      </w:r>
    </w:p>
    <w:p w14:paraId="59C119DA" w14:textId="2C5AA818" w:rsidR="00BA23AE" w:rsidRDefault="00BA23AE" w:rsidP="006B0630">
      <w:pPr>
        <w:pStyle w:val="100"/>
        <w:rPr>
          <w:rtl/>
        </w:rPr>
      </w:pPr>
      <w:r w:rsidRPr="00F13DA5">
        <w:rPr>
          <w:rFonts w:hint="cs"/>
          <w:rtl/>
        </w:rPr>
        <w:t xml:space="preserve">במהלך השנים טענו הסנגוריה הציבורית והנהלת בתי המשפט </w:t>
      </w:r>
      <w:r>
        <w:rPr>
          <w:rFonts w:hint="cs"/>
          <w:rtl/>
        </w:rPr>
        <w:t>ש</w:t>
      </w:r>
      <w:r w:rsidRPr="00F13DA5">
        <w:rPr>
          <w:rFonts w:hint="cs"/>
          <w:rtl/>
        </w:rPr>
        <w:t xml:space="preserve">המשטרה אינה עושה שימוש מספק בסמכויותיה לשחרור עצורים בתנאים בתחנת המשטרה חלף הבאתם לבית המשפט. </w:t>
      </w:r>
      <w:r w:rsidRPr="00F13DA5">
        <w:rPr>
          <w:rtl/>
        </w:rPr>
        <w:t xml:space="preserve">הגורמים המעורבים </w:t>
      </w:r>
      <w:r w:rsidRPr="00F13DA5">
        <w:rPr>
          <w:rFonts w:hint="cs"/>
          <w:rtl/>
        </w:rPr>
        <w:t>מסכימים שחשוב לצמצם</w:t>
      </w:r>
      <w:r w:rsidRPr="00F13DA5">
        <w:rPr>
          <w:rtl/>
        </w:rPr>
        <w:t xml:space="preserve"> </w:t>
      </w:r>
      <w:r w:rsidRPr="00F13DA5">
        <w:rPr>
          <w:rFonts w:hint="cs"/>
          <w:rtl/>
        </w:rPr>
        <w:t>את</w:t>
      </w:r>
      <w:r w:rsidRPr="00F13DA5">
        <w:rPr>
          <w:rtl/>
        </w:rPr>
        <w:t xml:space="preserve"> </w:t>
      </w:r>
      <w:r w:rsidRPr="00F13DA5">
        <w:rPr>
          <w:rFonts w:hint="cs"/>
          <w:rtl/>
        </w:rPr>
        <w:t xml:space="preserve">מספר </w:t>
      </w:r>
      <w:r w:rsidRPr="00F13DA5">
        <w:rPr>
          <w:rtl/>
        </w:rPr>
        <w:t xml:space="preserve">המעצרים ומשכם </w:t>
      </w:r>
      <w:r w:rsidRPr="00F13DA5">
        <w:rPr>
          <w:rFonts w:hint="cs"/>
          <w:rtl/>
        </w:rPr>
        <w:t>וש</w:t>
      </w:r>
      <w:r w:rsidRPr="00F13DA5">
        <w:rPr>
          <w:rtl/>
        </w:rPr>
        <w:t xml:space="preserve">על המשטרה להקפיד על מיצוי סמכויות קציני המשטרה לשחרר בערובה בתחנות המשטרה. </w:t>
      </w:r>
      <w:r w:rsidRPr="00F13DA5">
        <w:rPr>
          <w:rFonts w:hint="cs"/>
          <w:rtl/>
        </w:rPr>
        <w:t xml:space="preserve">עם זאת, הטעם לתופעה שנוי במחלוקת בין הצדדים. </w:t>
      </w:r>
      <w:r w:rsidRPr="00F13DA5">
        <w:rPr>
          <w:rtl/>
        </w:rPr>
        <w:t>מטבע הדברים, אי</w:t>
      </w:r>
      <w:r w:rsidRPr="00F13DA5">
        <w:rPr>
          <w:rFonts w:hint="cs"/>
          <w:rtl/>
        </w:rPr>
        <w:t>-</w:t>
      </w:r>
      <w:r w:rsidRPr="00F13DA5">
        <w:rPr>
          <w:rtl/>
        </w:rPr>
        <w:t>קבלת ההחלטה בתחנת המשטרה גורמת להארכת משך מעצרו של העצור עד לשחרורו בתנאים.</w:t>
      </w:r>
    </w:p>
    <w:p w14:paraId="6C6F910A" w14:textId="75E523AB" w:rsidR="00BA23AE" w:rsidRPr="00F13DA5" w:rsidRDefault="00BA23AE" w:rsidP="008A0C03">
      <w:pPr>
        <w:pStyle w:val="a1"/>
        <w:numPr>
          <w:ilvl w:val="0"/>
          <w:numId w:val="23"/>
        </w:numPr>
        <w:rPr>
          <w:rtl/>
        </w:rPr>
      </w:pPr>
      <w:r w:rsidRPr="00F13DA5">
        <w:rPr>
          <w:rFonts w:hint="cs"/>
          <w:rtl/>
        </w:rPr>
        <w:t xml:space="preserve">החל בספטמבר 2008 התקיימו דיונים ותכתובות בין המשנה ליועץ המשפטי לממשלה (פלילי) (להלן - המשנה ליועמ"ש), הנהלת בתי המשפט, הסנגוריה הציבורית ומשטרת ישראל בנושא היקף השימוש בסמכות המשטרה לשחרר עצורים בתנאים. כבר באותה שנה סבר המשנה ליועמ"ש דאז כי החזקת עצור רק כדי להביאו לבית משפט אף שניתן היה לשחררו קודם לכן היא מצב לא-ראוי. </w:t>
      </w:r>
    </w:p>
    <w:p w14:paraId="478C1881" w14:textId="77777777" w:rsidR="00BA23AE" w:rsidRPr="00F13DA5" w:rsidRDefault="00BA23AE" w:rsidP="00547C0F">
      <w:pPr>
        <w:pStyle w:val="af3"/>
        <w:rPr>
          <w:rtl/>
        </w:rPr>
      </w:pPr>
      <w:r w:rsidRPr="00F13DA5">
        <w:rPr>
          <w:rFonts w:hint="cs"/>
          <w:rtl/>
        </w:rPr>
        <w:t xml:space="preserve">משנת 2009 החלה הסנגוריה הציבורית לפנות בנושא זה למפכ"ל המשטרה ולגורמים נוספים. לטענתה, לא נעשה די שימוש בסמכות הקצין הממונה לשחרר עצורים בתנאים חלף הבאתם לבית המשפט. הפניות נתמכו בעשרות החלטות שיפוטיות ביקורתיות מהשנים </w:t>
      </w:r>
      <w:r w:rsidRPr="00F13DA5">
        <w:rPr>
          <w:rFonts w:hint="cs"/>
          <w:rtl/>
        </w:rPr>
        <w:lastRenderedPageBreak/>
        <w:t xml:space="preserve">2011 - 2018 שאספה הסנגוריה הציבורית. עמדות אלו עלו גם בפגישות עבודה של דרגי השטח. </w:t>
      </w:r>
    </w:p>
    <w:p w14:paraId="4182A09F" w14:textId="77777777" w:rsidR="00BA23AE" w:rsidRPr="00F13DA5" w:rsidRDefault="00BA23AE" w:rsidP="00547C0F">
      <w:pPr>
        <w:pStyle w:val="af3"/>
        <w:rPr>
          <w:rtl/>
        </w:rPr>
      </w:pPr>
      <w:r w:rsidRPr="00F13DA5">
        <w:rPr>
          <w:rFonts w:hint="cs"/>
          <w:rtl/>
        </w:rPr>
        <w:t xml:space="preserve">בשנת 2014 הצטרף מנהל בתי המשפט לעמדה זו וציין כי לרוב כשמובא עצור על ידי המשטרה לשחרור בבית המשפט, היא סבורה שאין תכלית להמשך מעצרו, ובכל זאת וחרף הסמכות הנתונה לה לשחררו היא מביאה אותו לבית המשפט. מנהל בתי המשפט ציין שהתראות ביחס לתופעה עלו כבר בשנת 2011, ואולם לא חל שיפור בנושא. </w:t>
      </w:r>
    </w:p>
    <w:p w14:paraId="27059371" w14:textId="77777777" w:rsidR="00BA23AE" w:rsidRPr="00F13DA5" w:rsidRDefault="00BA23AE" w:rsidP="00547C0F">
      <w:pPr>
        <w:pStyle w:val="af3"/>
        <w:rPr>
          <w:rtl/>
        </w:rPr>
      </w:pPr>
      <w:r w:rsidRPr="00F13DA5">
        <w:rPr>
          <w:rFonts w:hint="cs"/>
          <w:rtl/>
        </w:rPr>
        <w:t xml:space="preserve">המפכ"ל סבר כי מקור הקושי נעוץ בסמכויות השחרור המוגבלות המוקנות בחוק לקצין הממונה. החל באוקטובר 2016 התקיימו דיונים בין נציגי המשטרה למשרד המשפטים בדבר הצעה </w:t>
      </w:r>
      <w:r>
        <w:rPr>
          <w:rFonts w:hint="cs"/>
          <w:rtl/>
        </w:rPr>
        <w:t>להרחיב את</w:t>
      </w:r>
      <w:r w:rsidRPr="00F13DA5">
        <w:rPr>
          <w:rFonts w:hint="cs"/>
          <w:rtl/>
        </w:rPr>
        <w:t xml:space="preserve"> סמכויות הקצין. בין היתר, המשטרה ביקשה שלא להתנות את סמכות הקצין הממונה בהסכמת העצור וכן להאריך את משך התקופה המרבי </w:t>
      </w:r>
      <w:r>
        <w:rPr>
          <w:rFonts w:hint="cs"/>
          <w:rtl/>
        </w:rPr>
        <w:t>ש</w:t>
      </w:r>
      <w:r w:rsidRPr="00F13DA5">
        <w:rPr>
          <w:rFonts w:hint="cs"/>
          <w:rtl/>
        </w:rPr>
        <w:t xml:space="preserve">הקצין רשאי להטיל. </w:t>
      </w:r>
    </w:p>
    <w:p w14:paraId="4A791EF6" w14:textId="77777777" w:rsidR="00BA23AE" w:rsidRPr="00F13DA5" w:rsidRDefault="00BA23AE" w:rsidP="00547C0F">
      <w:pPr>
        <w:pStyle w:val="a1"/>
      </w:pPr>
      <w:r w:rsidRPr="00F13DA5">
        <w:rPr>
          <w:rFonts w:hint="cs"/>
          <w:rtl/>
        </w:rPr>
        <w:t>החל בשנת 2014 דרשו הסנגוריה הציבורית ומשרד המשפטים שמשטרת ישראל תאסוף נתונים מסודרים על אודות הפעלת הסמכויות, מספר הבקשות שמוגשות לבית המשפט לשחרור חשודים בתנאים וסוג העילות המונעות שחרור מוקדם בתחנת המשטרה. זאת בין היתר על מנת שניתן יהיה לקבל תמונה מלאה על הצורך להרחיב את סמכויות הקצין הממונה.</w:t>
      </w:r>
    </w:p>
    <w:p w14:paraId="25EB50A4" w14:textId="77777777" w:rsidR="00BA23AE" w:rsidRPr="00F13DA5" w:rsidRDefault="00BA23AE" w:rsidP="00547C0F">
      <w:pPr>
        <w:pStyle w:val="af3"/>
        <w:rPr>
          <w:rtl/>
        </w:rPr>
      </w:pPr>
      <w:r w:rsidRPr="00F13DA5">
        <w:rPr>
          <w:rFonts w:hint="cs"/>
          <w:rtl/>
        </w:rPr>
        <w:t>בשנת 2015 העיר משרד מבקר המדינה כי המשטרה לא אספה נתונים על היקף השימוש בסמכות קצין ממונה לשחרר עצורים בתחנה, לא בחנה אם עשתה שימוש מיטבי בהליך זה, ומה שיעור השחרורים בערובה מתוך כלל המעצרים שבהם אפשר היה לשחרר את העצורים בתחנות המשטרה</w:t>
      </w:r>
      <w:r w:rsidRPr="00F13DA5">
        <w:rPr>
          <w:rStyle w:val="FootnoteReference"/>
          <w:rtl/>
        </w:rPr>
        <w:footnoteReference w:id="47"/>
      </w:r>
      <w:r w:rsidRPr="00F13DA5">
        <w:rPr>
          <w:rFonts w:hint="cs"/>
          <w:rtl/>
        </w:rPr>
        <w:t xml:space="preserve">. </w:t>
      </w:r>
    </w:p>
    <w:p w14:paraId="31CFD06C" w14:textId="741B7CAC" w:rsidR="00BA23AE" w:rsidRDefault="00BA23AE" w:rsidP="00547C0F">
      <w:pPr>
        <w:pStyle w:val="af3"/>
        <w:rPr>
          <w:rtl/>
        </w:rPr>
      </w:pPr>
      <w:r w:rsidRPr="00F13DA5">
        <w:rPr>
          <w:rFonts w:hint="cs"/>
          <w:rtl/>
        </w:rPr>
        <w:t>בשנת 2017 השיבה המשטרה ל</w:t>
      </w:r>
      <w:r>
        <w:rPr>
          <w:rFonts w:hint="cs"/>
          <w:rtl/>
        </w:rPr>
        <w:t xml:space="preserve">דרישת </w:t>
      </w:r>
      <w:r w:rsidRPr="00F13DA5">
        <w:rPr>
          <w:rFonts w:hint="cs"/>
          <w:rtl/>
        </w:rPr>
        <w:t xml:space="preserve">משרד המשפטים שאין במערכות הממוחשבות שלה נתונים קונקרטיים לעניין שחרור בתנאים מגבילים. </w:t>
      </w:r>
    </w:p>
    <w:p w14:paraId="78709054" w14:textId="77777777" w:rsidR="00BA23AE" w:rsidRPr="00F13DA5" w:rsidRDefault="00BA23AE" w:rsidP="00763CCF">
      <w:pPr>
        <w:pStyle w:val="af3"/>
        <w:rPr>
          <w:rtl/>
        </w:rPr>
      </w:pPr>
      <w:r w:rsidRPr="00F13DA5">
        <w:rPr>
          <w:rFonts w:hint="cs"/>
          <w:rtl/>
        </w:rPr>
        <w:t xml:space="preserve">המשטרה השיבה בתגובתה </w:t>
      </w:r>
      <w:r>
        <w:rPr>
          <w:rFonts w:hint="cs"/>
          <w:rtl/>
        </w:rPr>
        <w:t xml:space="preserve">למשרד מבקר המדינה </w:t>
      </w:r>
      <w:r w:rsidRPr="00F13DA5">
        <w:rPr>
          <w:rFonts w:hint="cs"/>
          <w:rtl/>
        </w:rPr>
        <w:t>מינואר 2020 כי אכן היה קושי להציג למשרד המשפטים נתונים לגבי שחרור בערובה כיוון שהתהליך אינו ממוחשב</w:t>
      </w:r>
      <w:r>
        <w:rPr>
          <w:rFonts w:hint="cs"/>
          <w:rtl/>
        </w:rPr>
        <w:t>,</w:t>
      </w:r>
      <w:r w:rsidRPr="00F13DA5">
        <w:rPr>
          <w:rFonts w:hint="cs"/>
          <w:rtl/>
        </w:rPr>
        <w:t xml:space="preserve"> וכי היא פועלת כדי למחשב את כל התהליך </w:t>
      </w:r>
      <w:r>
        <w:rPr>
          <w:rFonts w:hint="cs"/>
          <w:rtl/>
        </w:rPr>
        <w:t>באופן</w:t>
      </w:r>
      <w:r w:rsidRPr="00F13DA5">
        <w:rPr>
          <w:rFonts w:hint="cs"/>
          <w:rtl/>
        </w:rPr>
        <w:t xml:space="preserve"> שניתן יהיה לספק נתונים אלה. עוד היא סבורה, כי איסוף הנתונים בנושא נדרש להיות </w:t>
      </w:r>
      <w:r>
        <w:rPr>
          <w:rFonts w:hint="cs"/>
          <w:rtl/>
        </w:rPr>
        <w:t>"</w:t>
      </w:r>
      <w:r w:rsidRPr="00F13DA5">
        <w:rPr>
          <w:rFonts w:hint="cs"/>
          <w:rtl/>
        </w:rPr>
        <w:t>נחלת</w:t>
      </w:r>
      <w:r>
        <w:rPr>
          <w:rFonts w:hint="cs"/>
          <w:rtl/>
        </w:rPr>
        <w:t xml:space="preserve"> כלל ה</w:t>
      </w:r>
      <w:r w:rsidRPr="00F13DA5">
        <w:rPr>
          <w:rFonts w:hint="cs"/>
          <w:rtl/>
        </w:rPr>
        <w:t>גופים</w:t>
      </w:r>
      <w:r>
        <w:rPr>
          <w:rFonts w:hint="cs"/>
          <w:rtl/>
        </w:rPr>
        <w:t>"</w:t>
      </w:r>
      <w:r w:rsidRPr="00F13DA5">
        <w:rPr>
          <w:rFonts w:hint="cs"/>
          <w:rtl/>
        </w:rPr>
        <w:t xml:space="preserve">. חרף המחסור בנתונים, המשטרה מסרה כי היא מעודדת ופועלת להרחיב את מגמת השחרור על ידי קצין ממונה בתחנת המשטרה ועורכת בקרות בנושא. כמו כן, היא מקווה שיינתן פתרון למגבלות החלות על סמכות השחרור של המשטרה במסגרת הוועדה הציבורית בנושא. </w:t>
      </w:r>
    </w:p>
    <w:p w14:paraId="3CD5C219" w14:textId="77777777" w:rsidR="00BA23AE" w:rsidRPr="00F13DA5" w:rsidRDefault="00BA23AE" w:rsidP="00763CCF">
      <w:pPr>
        <w:pStyle w:val="af4"/>
        <w:rPr>
          <w:rtl/>
        </w:rPr>
      </w:pPr>
      <w:r w:rsidRPr="00F13DA5">
        <w:rPr>
          <w:rFonts w:hint="cs"/>
          <w:rtl/>
        </w:rPr>
        <w:lastRenderedPageBreak/>
        <w:t>זה כעשור שבה ועולה הטענה מצד הנהלת בתי המשפט והסנגוריה הציבורית כי משטרת ישראל אינה עושה די שימוש בסמכויותיה לשחרר עצורים בתנאים בתחנת המשטרה, אלא מביאה אותם לבית המשפט שלא לצורך. מנגד טוענת המשטרה כי הדבר נובע מהסמכויות המוגבלות של הקצין הממונה</w:t>
      </w:r>
      <w:r>
        <w:rPr>
          <w:rFonts w:hint="cs"/>
          <w:rtl/>
        </w:rPr>
        <w:t>,</w:t>
      </w:r>
      <w:r w:rsidRPr="00F13DA5">
        <w:rPr>
          <w:rFonts w:hint="cs"/>
          <w:rtl/>
        </w:rPr>
        <w:t xml:space="preserve"> ויש אפוא להרחיבן. חרף העובדה כי המשטרה נדרשה לספק נתונים עוד בשנת 2014</w:t>
      </w:r>
      <w:r>
        <w:rPr>
          <w:rFonts w:hint="cs"/>
          <w:rtl/>
        </w:rPr>
        <w:t xml:space="preserve"> כדי ליישב מחלוקות אלו</w:t>
      </w:r>
      <w:r w:rsidRPr="00F13DA5">
        <w:rPr>
          <w:rFonts w:hint="cs"/>
          <w:rtl/>
        </w:rPr>
        <w:t>, אין בידיה נתונים בנושא</w:t>
      </w:r>
      <w:r>
        <w:rPr>
          <w:rFonts w:hint="cs"/>
          <w:rtl/>
        </w:rPr>
        <w:t>.</w:t>
      </w:r>
      <w:r w:rsidRPr="00F13DA5">
        <w:rPr>
          <w:rFonts w:hint="cs"/>
          <w:rtl/>
        </w:rPr>
        <w:t xml:space="preserve"> בהיעדר נתונים </w:t>
      </w:r>
      <w:r>
        <w:rPr>
          <w:rFonts w:hint="cs"/>
          <w:rtl/>
        </w:rPr>
        <w:t xml:space="preserve">על </w:t>
      </w:r>
      <w:r w:rsidRPr="00F13DA5">
        <w:rPr>
          <w:rFonts w:hint="cs"/>
          <w:rtl/>
        </w:rPr>
        <w:t>היקף השימוש בסמכות לשחרור עצור לחלופת מעצר</w:t>
      </w:r>
      <w:r w:rsidRPr="00F13DA5">
        <w:rPr>
          <w:rFonts w:hint="eastAsia"/>
          <w:rtl/>
        </w:rPr>
        <w:t xml:space="preserve"> </w:t>
      </w:r>
      <w:r>
        <w:rPr>
          <w:rFonts w:hint="cs"/>
          <w:rtl/>
        </w:rPr>
        <w:t xml:space="preserve">ואילו </w:t>
      </w:r>
      <w:r w:rsidRPr="00F13DA5">
        <w:rPr>
          <w:rFonts w:hint="cs"/>
          <w:rtl/>
        </w:rPr>
        <w:t xml:space="preserve">תנאים הוצגו לעצור - </w:t>
      </w:r>
      <w:r w:rsidRPr="00F13DA5">
        <w:rPr>
          <w:rFonts w:hint="eastAsia"/>
          <w:rtl/>
        </w:rPr>
        <w:t>משלב</w:t>
      </w:r>
      <w:r w:rsidRPr="00F13DA5">
        <w:rPr>
          <w:rtl/>
        </w:rPr>
        <w:t xml:space="preserve"> </w:t>
      </w:r>
      <w:r w:rsidRPr="00F13DA5">
        <w:rPr>
          <w:rFonts w:hint="eastAsia"/>
          <w:rtl/>
        </w:rPr>
        <w:t>החלטת</w:t>
      </w:r>
      <w:r w:rsidRPr="00F13DA5">
        <w:rPr>
          <w:rtl/>
        </w:rPr>
        <w:t xml:space="preserve"> </w:t>
      </w:r>
      <w:r w:rsidRPr="00F13DA5">
        <w:rPr>
          <w:rFonts w:hint="eastAsia"/>
          <w:rtl/>
        </w:rPr>
        <w:t>הקצין</w:t>
      </w:r>
      <w:r w:rsidRPr="00F13DA5">
        <w:rPr>
          <w:rtl/>
        </w:rPr>
        <w:t xml:space="preserve"> </w:t>
      </w:r>
      <w:r w:rsidRPr="00F13DA5">
        <w:rPr>
          <w:rFonts w:hint="eastAsia"/>
          <w:rtl/>
        </w:rPr>
        <w:t>הממונה</w:t>
      </w:r>
      <w:r w:rsidRPr="00F13DA5">
        <w:rPr>
          <w:rtl/>
        </w:rPr>
        <w:t xml:space="preserve">, </w:t>
      </w:r>
      <w:r w:rsidRPr="00F13DA5">
        <w:rPr>
          <w:rFonts w:hint="cs"/>
          <w:rtl/>
        </w:rPr>
        <w:t>דרך</w:t>
      </w:r>
      <w:r w:rsidRPr="00F13DA5">
        <w:rPr>
          <w:rtl/>
        </w:rPr>
        <w:t xml:space="preserve"> </w:t>
      </w:r>
      <w:r w:rsidRPr="00F13DA5">
        <w:rPr>
          <w:rFonts w:hint="eastAsia"/>
          <w:rtl/>
        </w:rPr>
        <w:t>הגשת</w:t>
      </w:r>
      <w:r w:rsidRPr="00F13DA5">
        <w:rPr>
          <w:rtl/>
        </w:rPr>
        <w:t xml:space="preserve"> </w:t>
      </w:r>
      <w:r w:rsidRPr="00F13DA5">
        <w:rPr>
          <w:rFonts w:hint="eastAsia"/>
          <w:rtl/>
        </w:rPr>
        <w:t>בקשה</w:t>
      </w:r>
      <w:r w:rsidRPr="00F13DA5">
        <w:rPr>
          <w:rtl/>
        </w:rPr>
        <w:t xml:space="preserve"> </w:t>
      </w:r>
      <w:r w:rsidRPr="00F13DA5">
        <w:rPr>
          <w:rFonts w:hint="eastAsia"/>
          <w:rtl/>
        </w:rPr>
        <w:t>במזכירות</w:t>
      </w:r>
      <w:r w:rsidRPr="00F13DA5">
        <w:rPr>
          <w:rtl/>
        </w:rPr>
        <w:t xml:space="preserve"> </w:t>
      </w:r>
      <w:r w:rsidRPr="00F13DA5">
        <w:rPr>
          <w:rFonts w:hint="eastAsia"/>
          <w:rtl/>
        </w:rPr>
        <w:t>בית</w:t>
      </w:r>
      <w:r w:rsidRPr="00F13DA5">
        <w:rPr>
          <w:rtl/>
        </w:rPr>
        <w:t xml:space="preserve"> </w:t>
      </w:r>
      <w:r w:rsidRPr="00F13DA5">
        <w:rPr>
          <w:rFonts w:hint="eastAsia"/>
          <w:rtl/>
        </w:rPr>
        <w:t>המשפט</w:t>
      </w:r>
      <w:r w:rsidRPr="00F13DA5">
        <w:rPr>
          <w:rtl/>
        </w:rPr>
        <w:t xml:space="preserve"> </w:t>
      </w:r>
      <w:r w:rsidRPr="00F13DA5">
        <w:rPr>
          <w:rFonts w:hint="eastAsia"/>
          <w:rtl/>
        </w:rPr>
        <w:t>ועד</w:t>
      </w:r>
      <w:r w:rsidRPr="00F13DA5">
        <w:rPr>
          <w:rtl/>
        </w:rPr>
        <w:t xml:space="preserve"> </w:t>
      </w:r>
      <w:r w:rsidRPr="00F13DA5">
        <w:rPr>
          <w:rFonts w:hint="eastAsia"/>
          <w:rtl/>
        </w:rPr>
        <w:t>לתנאים</w:t>
      </w:r>
      <w:r w:rsidRPr="00F13DA5">
        <w:rPr>
          <w:rtl/>
        </w:rPr>
        <w:t xml:space="preserve"> </w:t>
      </w:r>
      <w:r w:rsidRPr="00F13DA5">
        <w:rPr>
          <w:rFonts w:hint="eastAsia"/>
          <w:rtl/>
        </w:rPr>
        <w:t>שנקבעו</w:t>
      </w:r>
      <w:r w:rsidRPr="00F13DA5">
        <w:rPr>
          <w:rtl/>
        </w:rPr>
        <w:t xml:space="preserve"> </w:t>
      </w:r>
      <w:r w:rsidRPr="00F13DA5">
        <w:rPr>
          <w:rFonts w:hint="eastAsia"/>
          <w:rtl/>
        </w:rPr>
        <w:t>בבית</w:t>
      </w:r>
      <w:r w:rsidRPr="00F13DA5">
        <w:rPr>
          <w:rtl/>
        </w:rPr>
        <w:t xml:space="preserve"> </w:t>
      </w:r>
      <w:r w:rsidRPr="00F13DA5">
        <w:rPr>
          <w:rFonts w:hint="eastAsia"/>
          <w:rtl/>
        </w:rPr>
        <w:t>המשפט</w:t>
      </w:r>
      <w:r>
        <w:rPr>
          <w:rFonts w:hint="cs"/>
          <w:rtl/>
        </w:rPr>
        <w:t xml:space="preserve"> -</w:t>
      </w:r>
      <w:r w:rsidRPr="00F13DA5">
        <w:rPr>
          <w:rFonts w:hint="cs"/>
          <w:rtl/>
        </w:rPr>
        <w:t xml:space="preserve"> קיים קושי לברר את תמונת המצב המלאה. </w:t>
      </w:r>
      <w:r>
        <w:rPr>
          <w:rFonts w:hint="cs"/>
          <w:rtl/>
        </w:rPr>
        <w:t xml:space="preserve">על המשטרה להשלים את איסוף הנתונים לשם בחינת נושא השחרור על ידי קצינים ממונים בתחנות. </w:t>
      </w:r>
    </w:p>
    <w:p w14:paraId="399470DF" w14:textId="77777777" w:rsidR="00BA23AE" w:rsidRPr="00F13DA5" w:rsidRDefault="00BA23AE" w:rsidP="00763CCF">
      <w:pPr>
        <w:pStyle w:val="414"/>
        <w:rPr>
          <w:rtl/>
        </w:rPr>
      </w:pPr>
      <w:r w:rsidRPr="00F13DA5">
        <w:rPr>
          <w:rFonts w:hint="cs"/>
          <w:rtl/>
        </w:rPr>
        <w:t>מחסור ב</w:t>
      </w:r>
      <w:r w:rsidRPr="00F13DA5">
        <w:rPr>
          <w:rtl/>
        </w:rPr>
        <w:t xml:space="preserve">נתונים </w:t>
      </w:r>
      <w:r w:rsidRPr="00F13DA5">
        <w:rPr>
          <w:rFonts w:hint="cs"/>
          <w:rtl/>
        </w:rPr>
        <w:t>ב</w:t>
      </w:r>
      <w:r w:rsidRPr="00F13DA5">
        <w:rPr>
          <w:rtl/>
        </w:rPr>
        <w:t>מערכות הממוחשבות</w:t>
      </w:r>
    </w:p>
    <w:p w14:paraId="34BAA798" w14:textId="77777777" w:rsidR="00BA23AE" w:rsidRPr="00F13DA5" w:rsidRDefault="00BA23AE" w:rsidP="00763CCF">
      <w:pPr>
        <w:pStyle w:val="af4"/>
        <w:rPr>
          <w:rtl/>
        </w:rPr>
      </w:pPr>
      <w:r w:rsidRPr="00F13DA5">
        <w:rPr>
          <w:rFonts w:hint="cs"/>
          <w:rtl/>
        </w:rPr>
        <w:t>אף לו ביקשה המשטרה לאסוף נתונים בנושא השימוש בסמכות קצין ממונה לשחרר עצור בתחנת המשטרה, בעת הזו</w:t>
      </w:r>
      <w:r w:rsidRPr="00F13DA5">
        <w:rPr>
          <w:rtl/>
        </w:rPr>
        <w:t xml:space="preserve"> אין בידיה כל אפשרות להחזיק בנתונים אלו, כפי שיפורט</w:t>
      </w:r>
      <w:r>
        <w:rPr>
          <w:rFonts w:hint="cs"/>
          <w:rtl/>
        </w:rPr>
        <w:t>:</w:t>
      </w:r>
      <w:r w:rsidRPr="00F13DA5">
        <w:rPr>
          <w:rtl/>
        </w:rPr>
        <w:t xml:space="preserve"> </w:t>
      </w:r>
    </w:p>
    <w:p w14:paraId="0B4C0951" w14:textId="77777777" w:rsidR="00BA23AE" w:rsidRPr="00F13DA5" w:rsidRDefault="00BA23AE" w:rsidP="008A0C03">
      <w:pPr>
        <w:pStyle w:val="a1"/>
        <w:numPr>
          <w:ilvl w:val="0"/>
          <w:numId w:val="24"/>
        </w:numPr>
      </w:pPr>
      <w:r w:rsidRPr="00F13DA5">
        <w:rPr>
          <w:rFonts w:hint="cs"/>
          <w:rtl/>
        </w:rPr>
        <w:t xml:space="preserve">בטופס החלטת הקצין הממונה אין מקום לפרט את תנאי השחרור ממעצר שביקש להציב הקצין הממונה </w:t>
      </w:r>
      <w:r>
        <w:rPr>
          <w:rFonts w:hint="cs"/>
          <w:rtl/>
        </w:rPr>
        <w:t>ל</w:t>
      </w:r>
      <w:r w:rsidRPr="00F13DA5">
        <w:rPr>
          <w:rFonts w:hint="cs"/>
          <w:rtl/>
        </w:rPr>
        <w:t>פני העצור ולאילו מן התנאים שהוצעו הסכים העצור או סירב.</w:t>
      </w:r>
      <w:r w:rsidRPr="00F13DA5">
        <w:rPr>
          <w:rtl/>
        </w:rPr>
        <w:t xml:space="preserve"> משכך, </w:t>
      </w:r>
      <w:r w:rsidRPr="00F13DA5">
        <w:rPr>
          <w:rFonts w:hint="cs"/>
          <w:rtl/>
        </w:rPr>
        <w:t xml:space="preserve">לא </w:t>
      </w:r>
      <w:r w:rsidRPr="00F13DA5">
        <w:rPr>
          <w:rtl/>
        </w:rPr>
        <w:t xml:space="preserve">ניתן לדעת אילו תנאי שחרור הוצעו לעצור ולהם הוא סירב באופן שחייב את הבאתו </w:t>
      </w:r>
      <w:r>
        <w:rPr>
          <w:rFonts w:hint="cs"/>
          <w:rtl/>
        </w:rPr>
        <w:t>ל</w:t>
      </w:r>
      <w:r w:rsidRPr="00F13DA5">
        <w:rPr>
          <w:rtl/>
        </w:rPr>
        <w:t>פני בית המשפט; לא ניתן לדעת אם תנאי השחרור שסבר הקצין הממונה שיש להטיל על העצור הם תנאים שאינם בסמכותו; ולא ניתן לדעת אם הקצין הממונה ביקש להטיל תנאים שבסמכותו אך לתקופות ארוכות יותר.</w:t>
      </w:r>
      <w:r w:rsidRPr="00F13DA5">
        <w:rPr>
          <w:rFonts w:hint="cs"/>
          <w:rtl/>
        </w:rPr>
        <w:t xml:space="preserve"> </w:t>
      </w:r>
      <w:r w:rsidRPr="00F13DA5">
        <w:rPr>
          <w:rtl/>
        </w:rPr>
        <w:t>נתונים אלו אינם נאספים ואינם נמצאים במערכת הממוחשבת שבידי המשטרה</w:t>
      </w:r>
      <w:r w:rsidRPr="00F13DA5">
        <w:rPr>
          <w:rFonts w:hint="cs"/>
          <w:rtl/>
        </w:rPr>
        <w:t>.</w:t>
      </w:r>
    </w:p>
    <w:p w14:paraId="5DA723B0" w14:textId="77777777" w:rsidR="00BA23AE" w:rsidRPr="00F13DA5" w:rsidRDefault="00BA23AE" w:rsidP="00763CCF">
      <w:pPr>
        <w:pStyle w:val="a1"/>
      </w:pPr>
      <w:r w:rsidRPr="00F13DA5">
        <w:rPr>
          <w:rFonts w:hint="cs"/>
          <w:rtl/>
        </w:rPr>
        <w:t xml:space="preserve">לעומת זאת, בבקשה להוצאת צו מעצר המוגשת לבית המשפט לצורך הדיון בהארכת מעצרו של העצור יש מקום לפרט על גבי הטופס כמה תנאי שחרור, באופן שניתן יהיה לשומרם במערכות הממוחשבות של המשטרה, ואילו את יתר תנאי השחרור ניתן להוסיף בכתב יד. בעניין כלל תנאי השחרור לא ניתן לציין אילו מהם בסמכות קצין ואילו בסמכותו של בית המשפט. </w:t>
      </w:r>
    </w:p>
    <w:p w14:paraId="58AC2907" w14:textId="77777777" w:rsidR="00BA23AE" w:rsidRPr="00F13DA5" w:rsidRDefault="00BA23AE" w:rsidP="00763CCF">
      <w:pPr>
        <w:pStyle w:val="100"/>
      </w:pPr>
      <w:r w:rsidRPr="00F13DA5">
        <w:rPr>
          <w:rFonts w:hint="cs"/>
          <w:rtl/>
        </w:rPr>
        <w:t>משטרת ישראל מסרה בתגובתה</w:t>
      </w:r>
      <w:r>
        <w:rPr>
          <w:rFonts w:hint="cs"/>
          <w:rtl/>
        </w:rPr>
        <w:t xml:space="preserve"> </w:t>
      </w:r>
      <w:r w:rsidRPr="00F13DA5">
        <w:rPr>
          <w:rFonts w:hint="cs"/>
          <w:rtl/>
        </w:rPr>
        <w:t>כי</w:t>
      </w:r>
      <w:r w:rsidRPr="00F13DA5">
        <w:rPr>
          <w:rtl/>
        </w:rPr>
        <w:t xml:space="preserve"> חטיבת החקירות </w:t>
      </w:r>
      <w:r w:rsidRPr="00F13DA5">
        <w:rPr>
          <w:rFonts w:hint="cs"/>
          <w:rtl/>
        </w:rPr>
        <w:t>תפעל</w:t>
      </w:r>
      <w:r w:rsidRPr="00F13DA5">
        <w:rPr>
          <w:rtl/>
        </w:rPr>
        <w:t xml:space="preserve"> להוסיף לטופס דוח קצין ממונה רשימת תנאים </w:t>
      </w:r>
      <w:r w:rsidRPr="00F13DA5">
        <w:rPr>
          <w:rFonts w:hint="eastAsia"/>
          <w:rtl/>
        </w:rPr>
        <w:t>לבחירה</w:t>
      </w:r>
      <w:r w:rsidRPr="00F13DA5">
        <w:rPr>
          <w:rtl/>
        </w:rPr>
        <w:t xml:space="preserve"> מרובה </w:t>
      </w:r>
      <w:r w:rsidRPr="00F13DA5">
        <w:rPr>
          <w:rFonts w:hint="eastAsia"/>
          <w:rtl/>
        </w:rPr>
        <w:t>וכן</w:t>
      </w:r>
      <w:r w:rsidRPr="00F13DA5">
        <w:rPr>
          <w:rtl/>
        </w:rPr>
        <w:t xml:space="preserve"> </w:t>
      </w:r>
      <w:r w:rsidRPr="00F13DA5">
        <w:rPr>
          <w:rFonts w:hint="eastAsia"/>
          <w:rtl/>
        </w:rPr>
        <w:t>שדות</w:t>
      </w:r>
      <w:r w:rsidRPr="00F13DA5">
        <w:rPr>
          <w:rtl/>
        </w:rPr>
        <w:t xml:space="preserve"> המפרטים את </w:t>
      </w:r>
      <w:r w:rsidRPr="00F13DA5">
        <w:rPr>
          <w:rFonts w:hint="eastAsia"/>
          <w:rtl/>
        </w:rPr>
        <w:t>משכו</w:t>
      </w:r>
      <w:r w:rsidRPr="00F13DA5">
        <w:rPr>
          <w:rtl/>
        </w:rPr>
        <w:t xml:space="preserve"> </w:t>
      </w:r>
      <w:r w:rsidRPr="00F13DA5">
        <w:rPr>
          <w:rFonts w:hint="eastAsia"/>
          <w:rtl/>
        </w:rPr>
        <w:t>של</w:t>
      </w:r>
      <w:r w:rsidRPr="00F13DA5">
        <w:rPr>
          <w:rtl/>
        </w:rPr>
        <w:t xml:space="preserve"> </w:t>
      </w:r>
      <w:r w:rsidRPr="00F13DA5">
        <w:rPr>
          <w:rFonts w:hint="eastAsia"/>
          <w:rtl/>
        </w:rPr>
        <w:t>כל</w:t>
      </w:r>
      <w:r w:rsidRPr="00F13DA5">
        <w:rPr>
          <w:rtl/>
        </w:rPr>
        <w:t xml:space="preserve"> </w:t>
      </w:r>
      <w:r w:rsidRPr="00F13DA5">
        <w:rPr>
          <w:rFonts w:hint="eastAsia"/>
          <w:rtl/>
        </w:rPr>
        <w:t>תנאי</w:t>
      </w:r>
      <w:r w:rsidRPr="00F13DA5">
        <w:rPr>
          <w:rtl/>
        </w:rPr>
        <w:t xml:space="preserve"> ואת הסכמתו או סירובו של העצור לכל </w:t>
      </w:r>
      <w:r w:rsidRPr="00F13DA5">
        <w:rPr>
          <w:rFonts w:hint="eastAsia"/>
          <w:rtl/>
        </w:rPr>
        <w:t>אחד</w:t>
      </w:r>
      <w:r w:rsidRPr="00F13DA5">
        <w:rPr>
          <w:rtl/>
        </w:rPr>
        <w:t xml:space="preserve"> </w:t>
      </w:r>
      <w:r w:rsidRPr="00F13DA5">
        <w:rPr>
          <w:rFonts w:hint="eastAsia"/>
          <w:rtl/>
        </w:rPr>
        <w:t>מהם</w:t>
      </w:r>
      <w:r w:rsidRPr="00F13DA5">
        <w:rPr>
          <w:rtl/>
        </w:rPr>
        <w:t xml:space="preserve">. </w:t>
      </w:r>
      <w:r w:rsidRPr="00F13DA5">
        <w:rPr>
          <w:rFonts w:hint="cs"/>
          <w:rtl/>
        </w:rPr>
        <w:t>כמו כן, בכוונתה להפריד בין בקשת מעצר לבין בקשת שחרור בתנאים המוגשת לבית המשפט. בקשת השחרור תוזן אף היא באופן מקוון ובמצב זה ניתן יהיה להבחין מה מהות בקשת המשטרה המוגשת לבית המשפט ו</w:t>
      </w:r>
      <w:r>
        <w:rPr>
          <w:rFonts w:hint="cs"/>
          <w:rtl/>
        </w:rPr>
        <w:t>מהם</w:t>
      </w:r>
      <w:r w:rsidRPr="00F13DA5">
        <w:rPr>
          <w:rFonts w:hint="cs"/>
          <w:rtl/>
        </w:rPr>
        <w:t xml:space="preserve"> תנאיה. עוד נמסר </w:t>
      </w:r>
      <w:r w:rsidRPr="00F13DA5">
        <w:rPr>
          <w:rFonts w:hint="eastAsia"/>
          <w:rtl/>
        </w:rPr>
        <w:t>כי</w:t>
      </w:r>
      <w:r w:rsidRPr="00F13DA5">
        <w:rPr>
          <w:rtl/>
        </w:rPr>
        <w:t xml:space="preserve"> חטיבת החקירות תשקול, יחד עם גורמי המקצוע, להוסיף לטופס בקשת הוצאת צו מעצר רשימת תנאים לבחירה מרובה וכן שדות המפרטים את משכו של כל תנאי</w:t>
      </w:r>
      <w:r w:rsidRPr="00F13DA5">
        <w:rPr>
          <w:rFonts w:hint="cs"/>
          <w:rtl/>
        </w:rPr>
        <w:t>.</w:t>
      </w:r>
      <w:r w:rsidRPr="00F13DA5">
        <w:rPr>
          <w:rtl/>
        </w:rPr>
        <w:t xml:space="preserve"> </w:t>
      </w:r>
    </w:p>
    <w:p w14:paraId="51A02A8C" w14:textId="77777777" w:rsidR="00BA23AE" w:rsidRPr="00F13DA5" w:rsidRDefault="00BA23AE" w:rsidP="00763CCF">
      <w:pPr>
        <w:pStyle w:val="100"/>
      </w:pPr>
      <w:r w:rsidRPr="00F13DA5">
        <w:rPr>
          <w:rFonts w:hint="cs"/>
          <w:rtl/>
        </w:rPr>
        <w:t xml:space="preserve">מבדיקת משרד מבקר המדינה עולה כי </w:t>
      </w:r>
      <w:r w:rsidRPr="00F13DA5">
        <w:rPr>
          <w:rFonts w:hint="eastAsia"/>
          <w:rtl/>
        </w:rPr>
        <w:t>יש</w:t>
      </w:r>
      <w:r w:rsidRPr="00F13DA5">
        <w:rPr>
          <w:rtl/>
        </w:rPr>
        <w:t xml:space="preserve"> </w:t>
      </w:r>
      <w:r w:rsidRPr="00F13DA5">
        <w:rPr>
          <w:rFonts w:hint="eastAsia"/>
          <w:rtl/>
        </w:rPr>
        <w:t>החלטות</w:t>
      </w:r>
      <w:r w:rsidRPr="00F13DA5">
        <w:rPr>
          <w:rtl/>
        </w:rPr>
        <w:t xml:space="preserve"> </w:t>
      </w:r>
      <w:r w:rsidRPr="00F13DA5">
        <w:rPr>
          <w:rFonts w:hint="eastAsia"/>
          <w:rtl/>
        </w:rPr>
        <w:t>שיפוטיות</w:t>
      </w:r>
      <w:r w:rsidRPr="00F13DA5">
        <w:rPr>
          <w:rtl/>
        </w:rPr>
        <w:t xml:space="preserve"> </w:t>
      </w:r>
      <w:r w:rsidRPr="00F13DA5">
        <w:rPr>
          <w:rFonts w:hint="cs"/>
          <w:rtl/>
        </w:rPr>
        <w:t>שאינן</w:t>
      </w:r>
      <w:r w:rsidRPr="00F13DA5">
        <w:rPr>
          <w:rtl/>
        </w:rPr>
        <w:t xml:space="preserve"> </w:t>
      </w:r>
      <w:r w:rsidRPr="00F13DA5">
        <w:rPr>
          <w:rFonts w:hint="eastAsia"/>
          <w:rtl/>
        </w:rPr>
        <w:t>מוזנות</w:t>
      </w:r>
      <w:r w:rsidRPr="00F13DA5">
        <w:rPr>
          <w:rtl/>
        </w:rPr>
        <w:t xml:space="preserve"> </w:t>
      </w:r>
      <w:r w:rsidRPr="00F13DA5">
        <w:rPr>
          <w:rFonts w:hint="eastAsia"/>
          <w:rtl/>
        </w:rPr>
        <w:t>למערכת</w:t>
      </w:r>
      <w:r w:rsidRPr="00F13DA5">
        <w:rPr>
          <w:rtl/>
        </w:rPr>
        <w:t xml:space="preserve"> </w:t>
      </w:r>
      <w:r w:rsidRPr="00F13DA5">
        <w:rPr>
          <w:rFonts w:hint="cs"/>
          <w:rtl/>
        </w:rPr>
        <w:t xml:space="preserve">הממוחשבת </w:t>
      </w:r>
      <w:r w:rsidRPr="00F13DA5">
        <w:rPr>
          <w:rtl/>
        </w:rPr>
        <w:t xml:space="preserve">במלואן. </w:t>
      </w:r>
      <w:r w:rsidRPr="00F13DA5">
        <w:rPr>
          <w:rFonts w:hint="eastAsia"/>
          <w:rtl/>
        </w:rPr>
        <w:t>כך</w:t>
      </w:r>
      <w:r w:rsidRPr="00F13DA5">
        <w:rPr>
          <w:rtl/>
        </w:rPr>
        <w:t xml:space="preserve"> למשל, מתוך </w:t>
      </w:r>
      <w:r w:rsidRPr="00F13DA5">
        <w:rPr>
          <w:rFonts w:hint="cs"/>
          <w:rtl/>
        </w:rPr>
        <w:t xml:space="preserve">כ-34,000 </w:t>
      </w:r>
      <w:r w:rsidRPr="00F13DA5">
        <w:rPr>
          <w:rtl/>
        </w:rPr>
        <w:t xml:space="preserve">מעצרים </w:t>
      </w:r>
      <w:r w:rsidRPr="00F13DA5">
        <w:rPr>
          <w:rFonts w:hint="cs"/>
          <w:rtl/>
        </w:rPr>
        <w:t>ש</w:t>
      </w:r>
      <w:r w:rsidRPr="00F13DA5">
        <w:rPr>
          <w:rtl/>
        </w:rPr>
        <w:t>בהם שוחרר העצור בתנאים על ידי בית המשפט, במשטר</w:t>
      </w:r>
      <w:r w:rsidRPr="00F13DA5">
        <w:rPr>
          <w:rFonts w:hint="cs"/>
          <w:rtl/>
        </w:rPr>
        <w:t>ה</w:t>
      </w:r>
      <w:r w:rsidRPr="00F13DA5">
        <w:rPr>
          <w:rtl/>
        </w:rPr>
        <w:t xml:space="preserve"> </w:t>
      </w:r>
      <w:r w:rsidRPr="00F13DA5">
        <w:rPr>
          <w:rFonts w:hint="eastAsia"/>
          <w:rtl/>
        </w:rPr>
        <w:t>לא</w:t>
      </w:r>
      <w:r w:rsidRPr="00F13DA5">
        <w:rPr>
          <w:rtl/>
        </w:rPr>
        <w:t xml:space="preserve"> הוזנו נתונים </w:t>
      </w:r>
      <w:r w:rsidRPr="00F13DA5">
        <w:rPr>
          <w:rFonts w:hint="cs"/>
          <w:rtl/>
        </w:rPr>
        <w:t>בעניין</w:t>
      </w:r>
      <w:r w:rsidRPr="00F13DA5">
        <w:rPr>
          <w:rtl/>
        </w:rPr>
        <w:t xml:space="preserve"> תנאי </w:t>
      </w:r>
      <w:r w:rsidRPr="00F13DA5">
        <w:rPr>
          <w:rFonts w:hint="eastAsia"/>
          <w:rtl/>
        </w:rPr>
        <w:t>השחרור</w:t>
      </w:r>
      <w:r w:rsidRPr="00F13DA5">
        <w:rPr>
          <w:rtl/>
        </w:rPr>
        <w:t xml:space="preserve"> </w:t>
      </w:r>
      <w:r w:rsidRPr="00F13DA5">
        <w:rPr>
          <w:rFonts w:hint="eastAsia"/>
          <w:rtl/>
        </w:rPr>
        <w:t>מהמעצר</w:t>
      </w:r>
      <w:r w:rsidRPr="00F13DA5">
        <w:rPr>
          <w:rtl/>
        </w:rPr>
        <w:t xml:space="preserve"> </w:t>
      </w:r>
      <w:r w:rsidRPr="00F13DA5">
        <w:rPr>
          <w:rFonts w:hint="eastAsia"/>
          <w:rtl/>
        </w:rPr>
        <w:t>ב</w:t>
      </w:r>
      <w:r w:rsidRPr="00F13DA5">
        <w:rPr>
          <w:rtl/>
        </w:rPr>
        <w:t xml:space="preserve">-4,002 </w:t>
      </w:r>
      <w:r w:rsidRPr="00F13DA5">
        <w:rPr>
          <w:rFonts w:hint="eastAsia"/>
          <w:rtl/>
        </w:rPr>
        <w:t>מקרים</w:t>
      </w:r>
      <w:r>
        <w:rPr>
          <w:rFonts w:hint="cs"/>
          <w:rtl/>
        </w:rPr>
        <w:t xml:space="preserve"> (כ-12%)</w:t>
      </w:r>
      <w:r w:rsidRPr="00F13DA5">
        <w:rPr>
          <w:rtl/>
        </w:rPr>
        <w:t xml:space="preserve">. </w:t>
      </w:r>
    </w:p>
    <w:p w14:paraId="27566695" w14:textId="77777777" w:rsidR="00BA23AE" w:rsidRPr="00F13DA5" w:rsidRDefault="00BA23AE" w:rsidP="00763CCF">
      <w:pPr>
        <w:pStyle w:val="af4"/>
        <w:rPr>
          <w:rtl/>
        </w:rPr>
      </w:pPr>
      <w:r w:rsidRPr="00F13DA5">
        <w:rPr>
          <w:rFonts w:hint="cs"/>
          <w:rtl/>
        </w:rPr>
        <w:lastRenderedPageBreak/>
        <w:t>תיעוד חלקי מונע מהמשטרה את האפשרות לבדוק באילו נסיבות הובא העצור לשחרור בתנאים בבית המשפט חלף שחרורו בידי הקצין הממונה. משכך, אין בידיה לבצע בקרה על אופן הפעלת שיקול הדעת של הקצין הממונה, והיא אינה יכולה להפיק לקחים לגבי הליך השחרור בתנאים ולטייב אותו. כמו כן, אין בידי המשטרה הכלים לבחון את טיב הבקשות המוגשות לבית המשפט, משום שאין בידיה הנתונים המלאים של כל תנאי השחרור המבוקשים בבקשה להוצאת צו מעצר ושל התנאים שקבע בית המשפט.</w:t>
      </w:r>
      <w:r w:rsidRPr="00F13DA5">
        <w:rPr>
          <w:rtl/>
        </w:rPr>
        <w:t xml:space="preserve"> </w:t>
      </w:r>
    </w:p>
    <w:p w14:paraId="71421F03" w14:textId="77777777" w:rsidR="00BA23AE" w:rsidRPr="00F13DA5" w:rsidRDefault="00BA23AE" w:rsidP="00763CCF">
      <w:pPr>
        <w:pStyle w:val="100"/>
        <w:rPr>
          <w:rtl/>
        </w:rPr>
      </w:pPr>
      <w:r w:rsidRPr="00F13DA5">
        <w:rPr>
          <w:rFonts w:hint="cs"/>
          <w:rtl/>
        </w:rPr>
        <w:t xml:space="preserve">בדיון שערך מפכ"ל המשטרה באוקטובר 2018 מנו גורמי המקצוע במשטרה את הנסיבות למעצרים בלתי מוצדקים. בין המלצותיהם למפכ"ל - לקבוע מדיניות בתחום לאחר מחקר. </w:t>
      </w:r>
    </w:p>
    <w:p w14:paraId="3E746D4A" w14:textId="77777777" w:rsidR="00BA23AE" w:rsidRPr="00F13DA5" w:rsidRDefault="00BA23AE" w:rsidP="00763CCF">
      <w:pPr>
        <w:pStyle w:val="af4"/>
        <w:rPr>
          <w:rtl/>
        </w:rPr>
      </w:pPr>
      <w:r w:rsidRPr="00F13DA5">
        <w:rPr>
          <w:rFonts w:hint="cs"/>
          <w:rtl/>
        </w:rPr>
        <w:t xml:space="preserve">על אף האמור, נראה כי המחסור בנתונים במערכות הממוחשבות מקשה לערוך מחקר ארצי מקיף בנושא </w:t>
      </w:r>
      <w:r>
        <w:rPr>
          <w:rFonts w:hint="cs"/>
          <w:rtl/>
        </w:rPr>
        <w:t>ה</w:t>
      </w:r>
      <w:r w:rsidRPr="00F13DA5">
        <w:rPr>
          <w:rFonts w:hint="cs"/>
          <w:rtl/>
        </w:rPr>
        <w:t xml:space="preserve">מעצרים </w:t>
      </w:r>
      <w:r>
        <w:rPr>
          <w:rFonts w:hint="cs"/>
          <w:rtl/>
        </w:rPr>
        <w:t>על מנת לבחון את</w:t>
      </w:r>
      <w:r w:rsidRPr="00F13DA5">
        <w:rPr>
          <w:rFonts w:hint="cs"/>
          <w:rtl/>
        </w:rPr>
        <w:t xml:space="preserve"> הליכי קבלת ההחלטות</w:t>
      </w:r>
      <w:r>
        <w:rPr>
          <w:rFonts w:hint="cs"/>
          <w:rtl/>
        </w:rPr>
        <w:t>, כגון:</w:t>
      </w:r>
      <w:r w:rsidRPr="00F13DA5">
        <w:rPr>
          <w:rFonts w:hint="cs"/>
          <w:rtl/>
        </w:rPr>
        <w:t xml:space="preserve"> </w:t>
      </w:r>
      <w:r>
        <w:rPr>
          <w:rFonts w:hint="cs"/>
          <w:rtl/>
        </w:rPr>
        <w:t>מה שיעור החלטות השחרור שמתקבלות על ידי קצין ממונה מכלל החלטות השחרור; מה תנאי השחרור שקבע קצין ממונה; ובמקרים בהם החלטת השחרור התקבלה על ידי בית המשפט - מה הפער בין התנאים שביקש להציב הקצין לבין התנאים שקבע בית המשפט.</w:t>
      </w:r>
    </w:p>
    <w:p w14:paraId="4E4C932F" w14:textId="77777777" w:rsidR="00BA23AE" w:rsidRPr="00F13DA5" w:rsidRDefault="00BA23AE" w:rsidP="00763CCF">
      <w:pPr>
        <w:pStyle w:val="af4"/>
        <w:rPr>
          <w:rtl/>
        </w:rPr>
      </w:pPr>
      <w:r>
        <w:rPr>
          <w:rFonts w:hint="cs"/>
          <w:rtl/>
        </w:rPr>
        <w:t xml:space="preserve">לשחרור עצורים כבר בתחנת המשטרה מבלי להביאם לדיון בבית המשפט יש יתרונות רבים - צמצום הפגיעה בזכויות העצור, הפחתת משאבים המוקצים להחזקתו והפחתת עומסים אצל הגורמים המעורבים. </w:t>
      </w:r>
      <w:r w:rsidRPr="00F13DA5">
        <w:rPr>
          <w:rFonts w:hint="cs"/>
          <w:rtl/>
        </w:rPr>
        <w:t>הפערים בתיעוד הנתונים מונעים מהמשטרה</w:t>
      </w:r>
      <w:r w:rsidRPr="00F13DA5">
        <w:rPr>
          <w:rtl/>
        </w:rPr>
        <w:t xml:space="preserve"> </w:t>
      </w:r>
      <w:r w:rsidRPr="00F13DA5">
        <w:rPr>
          <w:rFonts w:hint="eastAsia"/>
          <w:rtl/>
        </w:rPr>
        <w:t>לערוך</w:t>
      </w:r>
      <w:r w:rsidRPr="00F13DA5">
        <w:rPr>
          <w:rtl/>
        </w:rPr>
        <w:t xml:space="preserve"> </w:t>
      </w:r>
      <w:r w:rsidRPr="00F13DA5">
        <w:rPr>
          <w:rFonts w:hint="eastAsia"/>
          <w:rtl/>
        </w:rPr>
        <w:t>השוואה</w:t>
      </w:r>
      <w:r w:rsidRPr="00F13DA5">
        <w:rPr>
          <w:rtl/>
        </w:rPr>
        <w:t xml:space="preserve"> </w:t>
      </w:r>
      <w:r w:rsidRPr="00F13DA5">
        <w:rPr>
          <w:rFonts w:hint="eastAsia"/>
          <w:rtl/>
        </w:rPr>
        <w:t>מלאה</w:t>
      </w:r>
      <w:r w:rsidRPr="00F13DA5">
        <w:rPr>
          <w:rFonts w:hint="cs"/>
          <w:rtl/>
        </w:rPr>
        <w:t xml:space="preserve"> ברמה הארצית ובאופן שוטף</w:t>
      </w:r>
      <w:r w:rsidRPr="00F13DA5">
        <w:rPr>
          <w:rtl/>
        </w:rPr>
        <w:t xml:space="preserve"> </w:t>
      </w:r>
      <w:r w:rsidRPr="00F13DA5">
        <w:rPr>
          <w:rFonts w:hint="eastAsia"/>
          <w:rtl/>
        </w:rPr>
        <w:t>בין</w:t>
      </w:r>
      <w:r w:rsidRPr="00F13DA5">
        <w:rPr>
          <w:rFonts w:hint="cs"/>
          <w:rtl/>
        </w:rPr>
        <w:t xml:space="preserve"> החלטות הקצין הממונה להחלטות בית המשפט</w:t>
      </w:r>
      <w:r>
        <w:rPr>
          <w:rFonts w:hint="cs"/>
          <w:rtl/>
        </w:rPr>
        <w:t xml:space="preserve">. </w:t>
      </w:r>
      <w:r w:rsidRPr="00F13DA5">
        <w:rPr>
          <w:rFonts w:hint="eastAsia"/>
          <w:rtl/>
        </w:rPr>
        <w:t>כתוצאה</w:t>
      </w:r>
      <w:r w:rsidRPr="00F13DA5">
        <w:rPr>
          <w:rtl/>
        </w:rPr>
        <w:t xml:space="preserve"> </w:t>
      </w:r>
      <w:r w:rsidRPr="00F13DA5">
        <w:rPr>
          <w:rFonts w:hint="eastAsia"/>
          <w:rtl/>
        </w:rPr>
        <w:t>מכך</w:t>
      </w:r>
      <w:r w:rsidRPr="00F13DA5">
        <w:rPr>
          <w:rtl/>
        </w:rPr>
        <w:t xml:space="preserve">, </w:t>
      </w:r>
      <w:r w:rsidRPr="00F13DA5">
        <w:rPr>
          <w:rFonts w:hint="eastAsia"/>
          <w:rtl/>
        </w:rPr>
        <w:t>המשטרה</w:t>
      </w:r>
      <w:r w:rsidRPr="00F13DA5">
        <w:rPr>
          <w:rtl/>
        </w:rPr>
        <w:t xml:space="preserve"> </w:t>
      </w:r>
      <w:r w:rsidRPr="00F13DA5">
        <w:rPr>
          <w:rFonts w:hint="cs"/>
          <w:rtl/>
        </w:rPr>
        <w:t>אינה</w:t>
      </w:r>
      <w:r w:rsidRPr="00F13DA5">
        <w:rPr>
          <w:rtl/>
        </w:rPr>
        <w:t xml:space="preserve"> </w:t>
      </w:r>
      <w:r w:rsidRPr="00F13DA5">
        <w:rPr>
          <w:rFonts w:hint="eastAsia"/>
          <w:rtl/>
        </w:rPr>
        <w:t>יכולה</w:t>
      </w:r>
      <w:r w:rsidRPr="00F13DA5">
        <w:rPr>
          <w:rtl/>
        </w:rPr>
        <w:t xml:space="preserve"> </w:t>
      </w:r>
      <w:r w:rsidRPr="00F13DA5">
        <w:rPr>
          <w:rFonts w:hint="eastAsia"/>
          <w:rtl/>
        </w:rPr>
        <w:t>לאתר</w:t>
      </w:r>
      <w:r w:rsidRPr="00F13DA5">
        <w:rPr>
          <w:rtl/>
        </w:rPr>
        <w:t xml:space="preserve"> </w:t>
      </w:r>
      <w:r w:rsidRPr="00F13DA5">
        <w:rPr>
          <w:rFonts w:hint="eastAsia"/>
          <w:rtl/>
        </w:rPr>
        <w:t>את</w:t>
      </w:r>
      <w:r>
        <w:rPr>
          <w:rtl/>
        </w:rPr>
        <w:t xml:space="preserve"> </w:t>
      </w:r>
      <w:r w:rsidRPr="00F13DA5">
        <w:rPr>
          <w:rFonts w:hint="eastAsia"/>
          <w:rtl/>
        </w:rPr>
        <w:t>ההחלטות</w:t>
      </w:r>
      <w:r w:rsidRPr="00F13DA5">
        <w:rPr>
          <w:rtl/>
        </w:rPr>
        <w:t xml:space="preserve"> </w:t>
      </w:r>
      <w:r w:rsidRPr="00F13DA5">
        <w:rPr>
          <w:rFonts w:hint="cs"/>
          <w:rtl/>
        </w:rPr>
        <w:t>ש</w:t>
      </w:r>
      <w:r w:rsidRPr="00F13DA5">
        <w:rPr>
          <w:rFonts w:hint="eastAsia"/>
          <w:rtl/>
        </w:rPr>
        <w:t>בהן</w:t>
      </w:r>
      <w:r w:rsidRPr="00F13DA5">
        <w:rPr>
          <w:rtl/>
        </w:rPr>
        <w:t xml:space="preserve"> </w:t>
      </w:r>
      <w:r w:rsidRPr="00F13DA5">
        <w:rPr>
          <w:rFonts w:hint="eastAsia"/>
          <w:rtl/>
        </w:rPr>
        <w:t>נדרש</w:t>
      </w:r>
      <w:r w:rsidRPr="00F13DA5">
        <w:rPr>
          <w:rtl/>
        </w:rPr>
        <w:t xml:space="preserve"> </w:t>
      </w:r>
      <w:r w:rsidRPr="00F13DA5">
        <w:rPr>
          <w:rFonts w:hint="eastAsia"/>
          <w:rtl/>
        </w:rPr>
        <w:t>היה</w:t>
      </w:r>
      <w:r w:rsidRPr="00F13DA5">
        <w:rPr>
          <w:rtl/>
        </w:rPr>
        <w:t xml:space="preserve"> </w:t>
      </w:r>
      <w:r w:rsidRPr="00F13DA5">
        <w:rPr>
          <w:rFonts w:hint="eastAsia"/>
          <w:rtl/>
        </w:rPr>
        <w:t>לעשות</w:t>
      </w:r>
      <w:r w:rsidRPr="00F13DA5">
        <w:rPr>
          <w:rtl/>
        </w:rPr>
        <w:t xml:space="preserve"> </w:t>
      </w:r>
      <w:r w:rsidRPr="00F13DA5">
        <w:rPr>
          <w:rFonts w:hint="eastAsia"/>
          <w:rtl/>
        </w:rPr>
        <w:t>שימוש</w:t>
      </w:r>
      <w:r w:rsidRPr="00F13DA5">
        <w:rPr>
          <w:rtl/>
        </w:rPr>
        <w:t xml:space="preserve"> </w:t>
      </w:r>
      <w:r w:rsidRPr="00F13DA5">
        <w:rPr>
          <w:rFonts w:hint="eastAsia"/>
          <w:rtl/>
        </w:rPr>
        <w:t>בסמכות</w:t>
      </w:r>
      <w:r w:rsidRPr="00F13DA5">
        <w:rPr>
          <w:rtl/>
        </w:rPr>
        <w:t xml:space="preserve"> </w:t>
      </w:r>
      <w:r w:rsidRPr="00F13DA5">
        <w:rPr>
          <w:rFonts w:hint="eastAsia"/>
          <w:rtl/>
        </w:rPr>
        <w:t>קצין</w:t>
      </w:r>
      <w:r w:rsidRPr="00F13DA5">
        <w:rPr>
          <w:rtl/>
        </w:rPr>
        <w:t xml:space="preserve"> </w:t>
      </w:r>
      <w:r w:rsidRPr="00F13DA5">
        <w:rPr>
          <w:rFonts w:hint="eastAsia"/>
          <w:rtl/>
        </w:rPr>
        <w:t>ממונה</w:t>
      </w:r>
      <w:r w:rsidRPr="00F13DA5">
        <w:rPr>
          <w:rtl/>
        </w:rPr>
        <w:t xml:space="preserve"> </w:t>
      </w:r>
      <w:r w:rsidRPr="00F13DA5">
        <w:rPr>
          <w:rFonts w:hint="cs"/>
          <w:rtl/>
        </w:rPr>
        <w:t>והדבר</w:t>
      </w:r>
      <w:r w:rsidRPr="00F13DA5">
        <w:rPr>
          <w:rtl/>
        </w:rPr>
        <w:t xml:space="preserve"> </w:t>
      </w:r>
      <w:r w:rsidRPr="00F13DA5">
        <w:rPr>
          <w:rFonts w:hint="eastAsia"/>
          <w:rtl/>
        </w:rPr>
        <w:t>לא</w:t>
      </w:r>
      <w:r w:rsidRPr="00F13DA5">
        <w:rPr>
          <w:rtl/>
        </w:rPr>
        <w:t xml:space="preserve"> </w:t>
      </w:r>
      <w:r w:rsidRPr="00F13DA5">
        <w:rPr>
          <w:rFonts w:hint="eastAsia"/>
          <w:rtl/>
        </w:rPr>
        <w:t>נעשה</w:t>
      </w:r>
      <w:r w:rsidRPr="00F13DA5">
        <w:rPr>
          <w:rtl/>
        </w:rPr>
        <w:t>;</w:t>
      </w:r>
      <w:r w:rsidRPr="00F13DA5">
        <w:rPr>
          <w:rFonts w:hint="cs"/>
          <w:rtl/>
        </w:rPr>
        <w:t xml:space="preserve"> ולמפות את הנסיבות שהביאו </w:t>
      </w:r>
      <w:r>
        <w:rPr>
          <w:rFonts w:hint="cs"/>
          <w:rtl/>
        </w:rPr>
        <w:t>לכך</w:t>
      </w:r>
      <w:r w:rsidRPr="00F13DA5">
        <w:rPr>
          <w:rtl/>
        </w:rPr>
        <w:t xml:space="preserve">. </w:t>
      </w:r>
      <w:r w:rsidRPr="00F13DA5">
        <w:rPr>
          <w:rFonts w:hint="cs"/>
          <w:rtl/>
        </w:rPr>
        <w:t>היעדרם של נתונים אף משפיע על האפשרות שבית המשפט יפקח על פעילות המשטרה בנושא.</w:t>
      </w:r>
    </w:p>
    <w:p w14:paraId="16B6ECDC" w14:textId="77777777" w:rsidR="00BA23AE" w:rsidRPr="00F13DA5" w:rsidRDefault="00BA23AE" w:rsidP="00763CCF">
      <w:pPr>
        <w:pStyle w:val="100"/>
        <w:rPr>
          <w:rtl/>
        </w:rPr>
      </w:pPr>
      <w:r w:rsidRPr="00F13DA5">
        <w:rPr>
          <w:rFonts w:hint="eastAsia"/>
          <w:rtl/>
        </w:rPr>
        <w:t>לעמדת</w:t>
      </w:r>
      <w:r w:rsidRPr="00F13DA5">
        <w:rPr>
          <w:rtl/>
        </w:rPr>
        <w:t xml:space="preserve"> </w:t>
      </w:r>
      <w:r w:rsidRPr="00F13DA5">
        <w:rPr>
          <w:rFonts w:hint="eastAsia"/>
          <w:rtl/>
        </w:rPr>
        <w:t>המשטרה</w:t>
      </w:r>
      <w:r w:rsidRPr="00F13DA5">
        <w:rPr>
          <w:rFonts w:hint="cs"/>
          <w:rtl/>
        </w:rPr>
        <w:t xml:space="preserve"> בתשובתה</w:t>
      </w:r>
      <w:r w:rsidRPr="00F13DA5">
        <w:rPr>
          <w:rtl/>
        </w:rPr>
        <w:t>, קיים קושי לערוך את ההשוואה בין תנאי השחרור שהתבקשו לבין אלו שניתנו בהחלטת בית המשפט, משום שהחלטות בית המשפט אינן מועברות למשטרה באופן מקוון</w:t>
      </w:r>
      <w:r w:rsidRPr="00F13DA5">
        <w:rPr>
          <w:rFonts w:hint="cs"/>
          <w:rtl/>
        </w:rPr>
        <w:t xml:space="preserve"> (עוד בעניין זה</w:t>
      </w:r>
      <w:r>
        <w:rPr>
          <w:rFonts w:hint="cs"/>
          <w:rtl/>
        </w:rPr>
        <w:t>,</w:t>
      </w:r>
      <w:r w:rsidRPr="00F13DA5">
        <w:rPr>
          <w:rFonts w:hint="cs"/>
          <w:rtl/>
        </w:rPr>
        <w:t xml:space="preserve"> ראו בפרק על זמינות בתי המשפט במהלך השבוע). </w:t>
      </w:r>
    </w:p>
    <w:p w14:paraId="3BECF7D1" w14:textId="77777777" w:rsidR="00BA23AE" w:rsidRPr="00F13DA5" w:rsidRDefault="00BA23AE" w:rsidP="00763CCF">
      <w:pPr>
        <w:pStyle w:val="af4"/>
        <w:rPr>
          <w:rtl/>
        </w:rPr>
      </w:pPr>
      <w:r>
        <w:rPr>
          <w:rFonts w:hint="cs"/>
          <w:rtl/>
        </w:rPr>
        <w:t xml:space="preserve">משרד מבקר המדינה מציין כי הדבר מחדד את הצורך במערכת ממוחשבת אחידה ובהזנת רצף ההחלטות ותנאי השחרור שנקבעו בהן לשם צמצום הפגיעה בזכויות העצור וייעול המערכת. </w:t>
      </w:r>
    </w:p>
    <w:p w14:paraId="50293F94" w14:textId="77777777" w:rsidR="00BA23AE" w:rsidRPr="00F13DA5" w:rsidRDefault="00BA23AE" w:rsidP="00BC7E36">
      <w:pPr>
        <w:pStyle w:val="414"/>
        <w:rPr>
          <w:rtl/>
        </w:rPr>
      </w:pPr>
      <w:r w:rsidRPr="00F13DA5">
        <w:rPr>
          <w:rFonts w:hint="cs"/>
          <w:rtl/>
        </w:rPr>
        <w:t>אופן השימוש בסמכות המשטרה</w:t>
      </w:r>
    </w:p>
    <w:p w14:paraId="0DB35AA8" w14:textId="77777777" w:rsidR="00BA23AE" w:rsidRPr="00F13DA5" w:rsidRDefault="00BA23AE" w:rsidP="00BC7E36">
      <w:pPr>
        <w:pStyle w:val="100"/>
        <w:rPr>
          <w:b/>
          <w:bCs/>
          <w:rtl/>
        </w:rPr>
      </w:pPr>
      <w:r w:rsidRPr="00F13DA5">
        <w:rPr>
          <w:rFonts w:hint="cs"/>
          <w:rtl/>
        </w:rPr>
        <w:t>במהלך דיון בנובמבר 2015 אצל המשנה ליועמ"ש (פלילי) מסרה המשטרה כי תבחן מתווה נוסף לפעולה, שיגביר את השימוש בסמכויות הקצין הממונה לגבי שחרור בתנאים הנתונים בסמכות מקבילה-חלקית. על פי מתווה זה שהוצע על ידי הסנגוריה</w:t>
      </w:r>
      <w:r>
        <w:rPr>
          <w:rFonts w:hint="cs"/>
          <w:rtl/>
        </w:rPr>
        <w:t xml:space="preserve"> הציבורית</w:t>
      </w:r>
      <w:r w:rsidRPr="00F13DA5">
        <w:rPr>
          <w:rFonts w:hint="cs"/>
          <w:rtl/>
        </w:rPr>
        <w:t xml:space="preserve">, המשטרה תשחרר עצור בתחנת המשטרה לפי משך התנאי המצוי בסמכותה, ובמהלך תקופת התנאי תזמן את העצור </w:t>
      </w:r>
      <w:r w:rsidRPr="00F13DA5">
        <w:rPr>
          <w:rFonts w:hint="cs"/>
          <w:rtl/>
        </w:rPr>
        <w:lastRenderedPageBreak/>
        <w:t>לדיון המשך בבית המשפט לצורך הארכת תקופת התנאי בהתאם לסמכות בית המשפט (להלן - המתווה הנוסף).</w:t>
      </w:r>
    </w:p>
    <w:p w14:paraId="6B5D34C1" w14:textId="77777777" w:rsidR="00BA23AE" w:rsidRPr="00F13DA5" w:rsidRDefault="00BA23AE" w:rsidP="00BC7E36">
      <w:pPr>
        <w:pStyle w:val="100"/>
      </w:pPr>
      <w:r w:rsidRPr="00F13DA5">
        <w:rPr>
          <w:rFonts w:hint="cs"/>
          <w:rtl/>
        </w:rPr>
        <w:t>בחודש יולי 2017 התקיימה פגישה של נציגי המשטרה, נציגי פרקליטות המדינה והנהלת בתי המשפט ובה הועלתה סוגיית הבאת עצורים לבית המשפט חלף שחרורם בתחנת המשטרה. בעקבות פגישה זו הנחה ראש חטיבת החקירות באח"ם באוגוסט 2017 את קציני אח"ם המחוזיים כי יש להעדיף את שחרורם של העצורים בתחנת המשטרה על ידי קצין ממונה</w:t>
      </w:r>
      <w:r>
        <w:rPr>
          <w:rFonts w:hint="cs"/>
          <w:rtl/>
        </w:rPr>
        <w:t>. ראש החטיבה</w:t>
      </w:r>
      <w:r w:rsidRPr="00F13DA5">
        <w:rPr>
          <w:rFonts w:hint="cs"/>
          <w:rtl/>
        </w:rPr>
        <w:t xml:space="preserve"> הדגיש כי בכפוף לצורכי החקירה, ניתן להסתפק בתנאי שחרור שבסמכות הקצין הממונה, ובמידת הצורך ניתן לבקש </w:t>
      </w:r>
      <w:r>
        <w:rPr>
          <w:rFonts w:hint="cs"/>
          <w:rtl/>
        </w:rPr>
        <w:t>מבית המשפט להאריך את</w:t>
      </w:r>
      <w:r w:rsidRPr="00F13DA5">
        <w:rPr>
          <w:rFonts w:hint="cs"/>
          <w:rtl/>
        </w:rPr>
        <w:t xml:space="preserve"> התנאים. </w:t>
      </w:r>
    </w:p>
    <w:p w14:paraId="17CB5DBF" w14:textId="77777777" w:rsidR="00BA23AE" w:rsidRPr="00F13DA5" w:rsidRDefault="00BA23AE" w:rsidP="00BC7E36">
      <w:pPr>
        <w:pStyle w:val="100"/>
        <w:rPr>
          <w:rtl/>
        </w:rPr>
      </w:pPr>
      <w:r w:rsidRPr="00F13DA5">
        <w:rPr>
          <w:rFonts w:hint="cs"/>
          <w:rtl/>
        </w:rPr>
        <w:t>ביולי 2018 שב ופנה הסנגור הציבורי</w:t>
      </w:r>
      <w:r>
        <w:rPr>
          <w:rFonts w:hint="cs"/>
          <w:rtl/>
        </w:rPr>
        <w:t xml:space="preserve"> הארצי</w:t>
      </w:r>
      <w:r w:rsidRPr="00F13DA5">
        <w:rPr>
          <w:rFonts w:hint="cs"/>
          <w:rtl/>
        </w:rPr>
        <w:t xml:space="preserve"> וביקש שהמשטרה תפעל במתווה הנוסף. באוגוסט 2018 השיב עוזר המפכ"ל כי המשטרה לא תעשה שימוש במתווה הנוסף, משום שלאחר שחרורו של העצור בתחנה יהיה קושי לאתרו על מנת לזמנו להארכת התנאים בבית המשפט. בכך תסוכל האפשרות להאריך את תנאי המעצר, ומשכך, העצור ישוחרר בסופה של התקופה הראשונית שנקבעה על ידי הקצין הממונה ללא תנאים מגבילים. </w:t>
      </w:r>
    </w:p>
    <w:p w14:paraId="540A586B" w14:textId="77777777" w:rsidR="00BA23AE" w:rsidRPr="00F13DA5" w:rsidRDefault="00BA23AE" w:rsidP="00BC7E36">
      <w:pPr>
        <w:pStyle w:val="af4"/>
        <w:rPr>
          <w:rtl/>
        </w:rPr>
      </w:pPr>
      <w:r w:rsidRPr="00F13DA5">
        <w:rPr>
          <w:rFonts w:hint="cs"/>
          <w:rtl/>
        </w:rPr>
        <w:t xml:space="preserve">מוצע למשטרה כי תבחן את ההיתכנות של המתווה הנוסף והתאמתו, לכל הפחות, לחלק מאוכלוסיית העצורים בהתאם לקריטריונים שייקבעו על ידה, כגון עצורים ללא עבר פלילי בעבירות קלות. </w:t>
      </w:r>
    </w:p>
    <w:p w14:paraId="0526CB58" w14:textId="77777777" w:rsidR="00BA23AE" w:rsidRPr="00F13DA5" w:rsidRDefault="00BA23AE" w:rsidP="00BC7E36">
      <w:pPr>
        <w:pStyle w:val="100"/>
        <w:rPr>
          <w:rtl/>
        </w:rPr>
      </w:pPr>
      <w:r w:rsidRPr="00F13DA5">
        <w:rPr>
          <w:rFonts w:hint="cs"/>
          <w:rtl/>
        </w:rPr>
        <w:t>בתשובתה מסרה המשטרה כי המתווה הנוסף</w:t>
      </w:r>
      <w:r w:rsidRPr="00F13DA5">
        <w:rPr>
          <w:rtl/>
        </w:rPr>
        <w:t xml:space="preserve"> </w:t>
      </w:r>
      <w:r w:rsidRPr="00F13DA5">
        <w:rPr>
          <w:rFonts w:hint="eastAsia"/>
          <w:rtl/>
        </w:rPr>
        <w:t>אינו</w:t>
      </w:r>
      <w:r w:rsidRPr="00F13DA5">
        <w:rPr>
          <w:rtl/>
        </w:rPr>
        <w:t xml:space="preserve"> </w:t>
      </w:r>
      <w:r w:rsidRPr="00F13DA5">
        <w:rPr>
          <w:rFonts w:hint="eastAsia"/>
          <w:rtl/>
        </w:rPr>
        <w:t>מתאים</w:t>
      </w:r>
      <w:r w:rsidRPr="00F13DA5">
        <w:rPr>
          <w:rtl/>
        </w:rPr>
        <w:t xml:space="preserve"> </w:t>
      </w:r>
      <w:r w:rsidRPr="00F13DA5">
        <w:rPr>
          <w:rFonts w:hint="eastAsia"/>
          <w:rtl/>
        </w:rPr>
        <w:t>לכלל</w:t>
      </w:r>
      <w:r w:rsidRPr="00F13DA5">
        <w:rPr>
          <w:rtl/>
        </w:rPr>
        <w:t xml:space="preserve"> </w:t>
      </w:r>
      <w:r w:rsidRPr="00F13DA5">
        <w:rPr>
          <w:rFonts w:hint="eastAsia"/>
          <w:rtl/>
        </w:rPr>
        <w:t>העצורים</w:t>
      </w:r>
      <w:r w:rsidRPr="00F13DA5">
        <w:rPr>
          <w:rtl/>
        </w:rPr>
        <w:t xml:space="preserve"> </w:t>
      </w:r>
      <w:r w:rsidRPr="00F13DA5">
        <w:rPr>
          <w:rFonts w:hint="cs"/>
          <w:rtl/>
        </w:rPr>
        <w:t>ו</w:t>
      </w:r>
      <w:r w:rsidRPr="00F13DA5">
        <w:rPr>
          <w:rtl/>
        </w:rPr>
        <w:t xml:space="preserve">כבר </w:t>
      </w:r>
      <w:r w:rsidRPr="00F13DA5">
        <w:rPr>
          <w:rFonts w:hint="eastAsia"/>
          <w:rtl/>
        </w:rPr>
        <w:t>כ</w:t>
      </w:r>
      <w:r w:rsidRPr="00F13DA5">
        <w:rPr>
          <w:rtl/>
        </w:rPr>
        <w:t xml:space="preserve">יום, </w:t>
      </w:r>
      <w:r w:rsidRPr="00F13DA5">
        <w:rPr>
          <w:rFonts w:hint="cs"/>
          <w:rtl/>
        </w:rPr>
        <w:t xml:space="preserve">ככלל, </w:t>
      </w:r>
      <w:r w:rsidRPr="00F13DA5">
        <w:rPr>
          <w:rtl/>
        </w:rPr>
        <w:t>לא מתבקשים תנאים מכבידים שאינם בתחום סמכות הקצינים</w:t>
      </w:r>
      <w:r w:rsidRPr="008E3F98">
        <w:rPr>
          <w:rtl/>
        </w:rPr>
        <w:t xml:space="preserve"> </w:t>
      </w:r>
      <w:r w:rsidRPr="00F13DA5">
        <w:rPr>
          <w:rtl/>
        </w:rPr>
        <w:t>עבור עצורים בעבירות קלות וללא עבר פלילי</w:t>
      </w:r>
      <w:r w:rsidRPr="00F13DA5">
        <w:rPr>
          <w:rFonts w:hint="cs"/>
          <w:rtl/>
        </w:rPr>
        <w:t>. עוד הוסיפה כי מתווה זה אינו ישים, משום שאין אפשרות לוודא כי עצור ששוחרר בתנאים בתחנת המשטרה ידע על מועד הדיון ויתייצב לדיון, ולכן לא ניתן יהיה להאריך את תנאי השחרור בעניינו</w:t>
      </w:r>
      <w:r>
        <w:rPr>
          <w:rFonts w:hint="cs"/>
          <w:rtl/>
        </w:rPr>
        <w:t>,</w:t>
      </w:r>
      <w:r w:rsidRPr="00F13DA5">
        <w:rPr>
          <w:rFonts w:hint="cs"/>
          <w:rtl/>
        </w:rPr>
        <w:t xml:space="preserve"> ועל המשטרה תוטל החובה לאתר משוחררים אלו. </w:t>
      </w:r>
    </w:p>
    <w:p w14:paraId="7123EEB8" w14:textId="77777777" w:rsidR="00BA23AE" w:rsidRPr="00F13DA5" w:rsidRDefault="00BA23AE" w:rsidP="00BC7E36">
      <w:pPr>
        <w:pStyle w:val="af4"/>
        <w:rPr>
          <w:rtl/>
        </w:rPr>
      </w:pPr>
      <w:r>
        <w:rPr>
          <w:rFonts w:hint="cs"/>
          <w:rtl/>
        </w:rPr>
        <w:t>טענת</w:t>
      </w:r>
      <w:r w:rsidRPr="00F13DA5">
        <w:rPr>
          <w:rFonts w:hint="cs"/>
          <w:rtl/>
        </w:rPr>
        <w:t xml:space="preserve"> המשטרה</w:t>
      </w:r>
      <w:r>
        <w:rPr>
          <w:rFonts w:hint="cs"/>
          <w:rtl/>
        </w:rPr>
        <w:t xml:space="preserve"> כי קיים קושי באיתור עצורים ששוחררו בתחנת המשטרה יוצרת</w:t>
      </w:r>
      <w:r w:rsidRPr="00F13DA5">
        <w:rPr>
          <w:rFonts w:hint="cs"/>
          <w:rtl/>
        </w:rPr>
        <w:t xml:space="preserve"> </w:t>
      </w:r>
      <w:r>
        <w:rPr>
          <w:rFonts w:hint="cs"/>
          <w:rtl/>
        </w:rPr>
        <w:t xml:space="preserve">לכאורה </w:t>
      </w:r>
      <w:r w:rsidRPr="00F13DA5">
        <w:rPr>
          <w:rFonts w:hint="cs"/>
          <w:rtl/>
        </w:rPr>
        <w:t>הפרדה מלאכותית</w:t>
      </w:r>
      <w:r>
        <w:rPr>
          <w:rFonts w:hint="cs"/>
          <w:rtl/>
        </w:rPr>
        <w:t xml:space="preserve"> בין עצורים שהרי כל עצור ששוחרר ולא התייצב לדיון בעניינו, המשטרה תידרש לאתרו.</w:t>
      </w:r>
      <w:r w:rsidRPr="00F13DA5">
        <w:rPr>
          <w:rFonts w:hint="cs"/>
          <w:rtl/>
        </w:rPr>
        <w:t xml:space="preserve"> לפיכך, </w:t>
      </w:r>
      <w:r>
        <w:rPr>
          <w:rFonts w:hint="cs"/>
          <w:rtl/>
        </w:rPr>
        <w:t>מומלץ כי</w:t>
      </w:r>
      <w:r w:rsidRPr="00F13DA5">
        <w:rPr>
          <w:rFonts w:hint="cs"/>
          <w:rtl/>
        </w:rPr>
        <w:t xml:space="preserve"> </w:t>
      </w:r>
      <w:r>
        <w:rPr>
          <w:rFonts w:hint="cs"/>
          <w:rtl/>
        </w:rPr>
        <w:t>ת</w:t>
      </w:r>
      <w:r w:rsidRPr="00F13DA5">
        <w:rPr>
          <w:rFonts w:hint="cs"/>
          <w:rtl/>
        </w:rPr>
        <w:t xml:space="preserve">ערוך </w:t>
      </w:r>
      <w:r>
        <w:rPr>
          <w:rFonts w:hint="cs"/>
          <w:rtl/>
        </w:rPr>
        <w:t>בדיקה מקדמית (פיילוט)</w:t>
      </w:r>
      <w:r w:rsidRPr="00F13DA5">
        <w:rPr>
          <w:rFonts w:hint="cs"/>
          <w:rtl/>
        </w:rPr>
        <w:t xml:space="preserve"> בנושא</w:t>
      </w:r>
      <w:r>
        <w:rPr>
          <w:rFonts w:hint="cs"/>
          <w:rtl/>
        </w:rPr>
        <w:t>,</w:t>
      </w:r>
      <w:r w:rsidRPr="00F13DA5">
        <w:rPr>
          <w:rFonts w:hint="cs"/>
          <w:rtl/>
        </w:rPr>
        <w:t xml:space="preserve"> שילווה באיסוף נתונים ובניתוחם.</w:t>
      </w:r>
      <w:r>
        <w:rPr>
          <w:rFonts w:hint="cs"/>
          <w:rtl/>
        </w:rPr>
        <w:t xml:space="preserve"> </w:t>
      </w:r>
    </w:p>
    <w:p w14:paraId="6B02F4B1" w14:textId="77777777" w:rsidR="00BA23AE" w:rsidRPr="00F13DA5" w:rsidRDefault="00BA23AE" w:rsidP="00BC7E36">
      <w:pPr>
        <w:pStyle w:val="414"/>
        <w:rPr>
          <w:rtl/>
        </w:rPr>
      </w:pPr>
      <w:r w:rsidRPr="00F13DA5">
        <w:rPr>
          <w:rFonts w:hint="cs"/>
          <w:rtl/>
        </w:rPr>
        <w:t xml:space="preserve">היקף השימוש בסמכות </w:t>
      </w:r>
    </w:p>
    <w:p w14:paraId="1490974D" w14:textId="77777777" w:rsidR="00BA23AE" w:rsidRPr="00F13DA5" w:rsidRDefault="00BA23AE" w:rsidP="008A0C03">
      <w:pPr>
        <w:pStyle w:val="a1"/>
        <w:numPr>
          <w:ilvl w:val="0"/>
          <w:numId w:val="25"/>
        </w:numPr>
      </w:pPr>
      <w:r w:rsidRPr="00F13DA5">
        <w:rPr>
          <w:rFonts w:hint="cs"/>
          <w:rtl/>
        </w:rPr>
        <w:t xml:space="preserve">כאמור, בשנים 2016 - 2018 </w:t>
      </w:r>
      <w:r>
        <w:rPr>
          <w:rFonts w:hint="cs"/>
          <w:rtl/>
        </w:rPr>
        <w:t>ה</w:t>
      </w:r>
      <w:r w:rsidRPr="00F13DA5">
        <w:rPr>
          <w:rFonts w:hint="cs"/>
          <w:rtl/>
        </w:rPr>
        <w:t>תקבלו</w:t>
      </w:r>
      <w:r w:rsidRPr="00F13DA5">
        <w:rPr>
          <w:rtl/>
        </w:rPr>
        <w:t xml:space="preserve"> </w:t>
      </w:r>
      <w:r w:rsidRPr="00F13DA5">
        <w:rPr>
          <w:rFonts w:hint="cs"/>
          <w:rtl/>
        </w:rPr>
        <w:t>כ-34,000 החלטות שיפוטיות שבהן שוחרר העצור בתנאים.</w:t>
      </w:r>
      <w:r w:rsidRPr="00F13DA5">
        <w:rPr>
          <w:rtl/>
        </w:rPr>
        <w:t xml:space="preserve"> במשטרת ישראל הוזנו במערכות הממ</w:t>
      </w:r>
      <w:r w:rsidRPr="00F13DA5">
        <w:rPr>
          <w:rFonts w:hint="cs"/>
          <w:rtl/>
        </w:rPr>
        <w:t>ו</w:t>
      </w:r>
      <w:r w:rsidRPr="00F13DA5">
        <w:rPr>
          <w:rtl/>
        </w:rPr>
        <w:t xml:space="preserve">חשבות </w:t>
      </w:r>
      <w:r>
        <w:rPr>
          <w:rFonts w:hint="cs"/>
          <w:rtl/>
        </w:rPr>
        <w:t>שלה</w:t>
      </w:r>
      <w:r w:rsidRPr="00F13DA5">
        <w:rPr>
          <w:rtl/>
        </w:rPr>
        <w:t xml:space="preserve"> נתונים </w:t>
      </w:r>
      <w:r w:rsidRPr="00F13DA5">
        <w:rPr>
          <w:rFonts w:hint="cs"/>
          <w:rtl/>
        </w:rPr>
        <w:t xml:space="preserve">על </w:t>
      </w:r>
      <w:r w:rsidRPr="00F13DA5">
        <w:rPr>
          <w:rtl/>
        </w:rPr>
        <w:t>אודות תנאי ה</w:t>
      </w:r>
      <w:r w:rsidRPr="00F13DA5">
        <w:rPr>
          <w:rFonts w:hint="cs"/>
          <w:rtl/>
        </w:rPr>
        <w:t>שחרור</w:t>
      </w:r>
      <w:r w:rsidRPr="00F13DA5">
        <w:rPr>
          <w:rtl/>
        </w:rPr>
        <w:t xml:space="preserve"> </w:t>
      </w:r>
      <w:r w:rsidRPr="00F13DA5">
        <w:rPr>
          <w:rFonts w:hint="cs"/>
          <w:rtl/>
        </w:rPr>
        <w:t xml:space="preserve">בכ-30,000 </w:t>
      </w:r>
      <w:r w:rsidRPr="00F13DA5">
        <w:rPr>
          <w:rtl/>
        </w:rPr>
        <w:t>מעצרים</w:t>
      </w:r>
      <w:r w:rsidRPr="00F13DA5">
        <w:rPr>
          <w:rFonts w:hint="cs"/>
          <w:rtl/>
        </w:rPr>
        <w:t xml:space="preserve">. </w:t>
      </w:r>
    </w:p>
    <w:p w14:paraId="1CD024DD" w14:textId="77777777" w:rsidR="00BA23AE" w:rsidRPr="00F13DA5" w:rsidRDefault="00BA23AE" w:rsidP="00A42565">
      <w:pPr>
        <w:pStyle w:val="af3"/>
        <w:rPr>
          <w:rtl/>
        </w:rPr>
      </w:pPr>
      <w:r w:rsidRPr="00F13DA5">
        <w:rPr>
          <w:rtl/>
        </w:rPr>
        <w:t>ישנ</w:t>
      </w:r>
      <w:r w:rsidRPr="00F13DA5">
        <w:rPr>
          <w:rFonts w:hint="cs"/>
          <w:rtl/>
        </w:rPr>
        <w:t>ן</w:t>
      </w:r>
      <w:r w:rsidRPr="00F13DA5">
        <w:rPr>
          <w:rtl/>
        </w:rPr>
        <w:t xml:space="preserve"> </w:t>
      </w:r>
      <w:r w:rsidRPr="00F13DA5">
        <w:rPr>
          <w:rFonts w:hint="cs"/>
          <w:rtl/>
        </w:rPr>
        <w:t>שתי סיבות עיקריות</w:t>
      </w:r>
      <w:r w:rsidRPr="00F13DA5">
        <w:rPr>
          <w:rtl/>
        </w:rPr>
        <w:t xml:space="preserve"> </w:t>
      </w:r>
      <w:r w:rsidRPr="00F13DA5">
        <w:rPr>
          <w:rFonts w:hint="cs"/>
          <w:rtl/>
        </w:rPr>
        <w:t>ל</w:t>
      </w:r>
      <w:r w:rsidRPr="00F13DA5">
        <w:rPr>
          <w:rtl/>
        </w:rPr>
        <w:t xml:space="preserve">פערים במאגר הנתונים של המשטרה </w:t>
      </w:r>
      <w:r w:rsidRPr="00F13DA5">
        <w:rPr>
          <w:rFonts w:hint="cs"/>
          <w:rtl/>
        </w:rPr>
        <w:t xml:space="preserve">על </w:t>
      </w:r>
      <w:r w:rsidRPr="00F13DA5">
        <w:rPr>
          <w:rtl/>
        </w:rPr>
        <w:t>תנאי השחרור</w:t>
      </w:r>
      <w:r w:rsidRPr="00F13DA5">
        <w:rPr>
          <w:rFonts w:hint="cs"/>
          <w:rtl/>
        </w:rPr>
        <w:t>.</w:t>
      </w:r>
      <w:r w:rsidRPr="00F13DA5">
        <w:rPr>
          <w:rtl/>
        </w:rPr>
        <w:t xml:space="preserve"> האח</w:t>
      </w:r>
      <w:r w:rsidRPr="00F13DA5">
        <w:rPr>
          <w:rFonts w:hint="cs"/>
          <w:rtl/>
        </w:rPr>
        <w:t>ת</w:t>
      </w:r>
      <w:r w:rsidRPr="00F13DA5">
        <w:rPr>
          <w:rtl/>
        </w:rPr>
        <w:t xml:space="preserve"> נובע</w:t>
      </w:r>
      <w:r w:rsidRPr="00F13DA5">
        <w:rPr>
          <w:rFonts w:hint="cs"/>
          <w:rtl/>
        </w:rPr>
        <w:t>ת</w:t>
      </w:r>
      <w:r w:rsidRPr="00F13DA5">
        <w:rPr>
          <w:rtl/>
        </w:rPr>
        <w:t xml:space="preserve"> מפערים בהזנת נתוני תנאי השחרור על ידי השוטרים</w:t>
      </w:r>
      <w:r w:rsidRPr="00F13DA5">
        <w:rPr>
          <w:rFonts w:hint="cs"/>
          <w:rtl/>
        </w:rPr>
        <w:t>, מאחר</w:t>
      </w:r>
      <w:r w:rsidRPr="00F13DA5">
        <w:rPr>
          <w:rtl/>
        </w:rPr>
        <w:t xml:space="preserve"> </w:t>
      </w:r>
      <w:r w:rsidRPr="00F13DA5">
        <w:rPr>
          <w:rFonts w:hint="cs"/>
          <w:rtl/>
        </w:rPr>
        <w:t>ש</w:t>
      </w:r>
      <w:r w:rsidRPr="00F13DA5">
        <w:rPr>
          <w:rtl/>
        </w:rPr>
        <w:t xml:space="preserve">הוזנו תנאי שחרור מסוגים שונים </w:t>
      </w:r>
      <w:r w:rsidRPr="00F13DA5">
        <w:rPr>
          <w:rFonts w:hint="cs"/>
          <w:rtl/>
        </w:rPr>
        <w:t>ב</w:t>
      </w:r>
      <w:r w:rsidRPr="00F13DA5">
        <w:rPr>
          <w:rtl/>
        </w:rPr>
        <w:t>אותה קטגוריה. השני</w:t>
      </w:r>
      <w:r w:rsidRPr="00F13DA5">
        <w:rPr>
          <w:rFonts w:hint="cs"/>
          <w:rtl/>
        </w:rPr>
        <w:t>יה</w:t>
      </w:r>
      <w:r w:rsidRPr="00F13DA5">
        <w:rPr>
          <w:rtl/>
        </w:rPr>
        <w:t xml:space="preserve"> נובע</w:t>
      </w:r>
      <w:r w:rsidRPr="00F13DA5">
        <w:rPr>
          <w:rFonts w:hint="cs"/>
          <w:rtl/>
        </w:rPr>
        <w:t>ת</w:t>
      </w:r>
      <w:r w:rsidRPr="00F13DA5">
        <w:rPr>
          <w:rtl/>
        </w:rPr>
        <w:t xml:space="preserve"> מכך שחלק מסוגי התנאים המפורטים בחוק </w:t>
      </w:r>
      <w:r w:rsidRPr="00F13DA5">
        <w:rPr>
          <w:rtl/>
        </w:rPr>
        <w:lastRenderedPageBreak/>
        <w:t xml:space="preserve">המעצרים (כמפורט בלוח לעיל) </w:t>
      </w:r>
      <w:r w:rsidRPr="00F13DA5">
        <w:rPr>
          <w:rFonts w:hint="cs"/>
          <w:rtl/>
        </w:rPr>
        <w:t>אינם</w:t>
      </w:r>
      <w:r w:rsidRPr="00F13DA5">
        <w:rPr>
          <w:rtl/>
        </w:rPr>
        <w:t xml:space="preserve"> קיימים בקטגוריית סוג התנאי במערכת הממוחשבת, אלא מוזנים </w:t>
      </w:r>
      <w:r w:rsidRPr="00F13DA5">
        <w:rPr>
          <w:rFonts w:hint="cs"/>
          <w:rtl/>
        </w:rPr>
        <w:t>על פי</w:t>
      </w:r>
      <w:r w:rsidRPr="00F13DA5">
        <w:rPr>
          <w:rtl/>
        </w:rPr>
        <w:t xml:space="preserve"> הקטגוריה "אחר"</w:t>
      </w:r>
      <w:r w:rsidRPr="00F13DA5">
        <w:rPr>
          <w:rFonts w:hint="cs"/>
          <w:rtl/>
        </w:rPr>
        <w:t>.</w:t>
      </w:r>
    </w:p>
    <w:p w14:paraId="6D5C80F1" w14:textId="77777777" w:rsidR="00BA23AE" w:rsidRPr="00F13DA5" w:rsidRDefault="00BA23AE" w:rsidP="00A42565">
      <w:pPr>
        <w:pStyle w:val="ad"/>
        <w:rPr>
          <w:rtl/>
        </w:rPr>
      </w:pPr>
      <w:r w:rsidRPr="00F13DA5">
        <w:rPr>
          <w:rtl/>
        </w:rPr>
        <w:t>אי הזנ</w:t>
      </w:r>
      <w:r w:rsidRPr="00F13DA5">
        <w:rPr>
          <w:rFonts w:hint="eastAsia"/>
          <w:rtl/>
        </w:rPr>
        <w:t>ת</w:t>
      </w:r>
      <w:r w:rsidRPr="00F13DA5">
        <w:rPr>
          <w:rtl/>
        </w:rPr>
        <w:t xml:space="preserve"> נתונים </w:t>
      </w:r>
      <w:r w:rsidRPr="00F13DA5">
        <w:rPr>
          <w:rFonts w:hint="cs"/>
          <w:rtl/>
        </w:rPr>
        <w:t>על</w:t>
      </w:r>
      <w:r w:rsidRPr="00F13DA5">
        <w:rPr>
          <w:rtl/>
        </w:rPr>
        <w:t xml:space="preserve"> תנאי השחרור </w:t>
      </w:r>
      <w:r w:rsidRPr="00F13DA5">
        <w:rPr>
          <w:rFonts w:hint="eastAsia"/>
          <w:rtl/>
        </w:rPr>
        <w:t>של</w:t>
      </w:r>
      <w:r w:rsidRPr="00F13DA5">
        <w:rPr>
          <w:rtl/>
        </w:rPr>
        <w:t xml:space="preserve"> העצור </w:t>
      </w:r>
      <w:r w:rsidRPr="00F13DA5">
        <w:rPr>
          <w:rFonts w:hint="cs"/>
          <w:rtl/>
        </w:rPr>
        <w:t>אינה</w:t>
      </w:r>
      <w:r w:rsidRPr="00F13DA5">
        <w:rPr>
          <w:rtl/>
        </w:rPr>
        <w:t xml:space="preserve"> מאפשר</w:t>
      </w:r>
      <w:r w:rsidRPr="00F13DA5">
        <w:rPr>
          <w:rFonts w:hint="cs"/>
          <w:rtl/>
        </w:rPr>
        <w:t>ת</w:t>
      </w:r>
      <w:r w:rsidRPr="00F13DA5">
        <w:rPr>
          <w:rtl/>
        </w:rPr>
        <w:t xml:space="preserve"> </w:t>
      </w:r>
      <w:r w:rsidRPr="00F13DA5">
        <w:rPr>
          <w:rFonts w:hint="cs"/>
          <w:rtl/>
        </w:rPr>
        <w:t>למשטרה</w:t>
      </w:r>
      <w:r w:rsidRPr="00F13DA5">
        <w:rPr>
          <w:rtl/>
        </w:rPr>
        <w:t xml:space="preserve"> לבחון </w:t>
      </w:r>
      <w:r w:rsidRPr="00F13DA5">
        <w:rPr>
          <w:rFonts w:hint="cs"/>
          <w:rtl/>
        </w:rPr>
        <w:t>אם</w:t>
      </w:r>
      <w:r w:rsidRPr="00F13DA5">
        <w:rPr>
          <w:rtl/>
        </w:rPr>
        <w:t xml:space="preserve"> העצור </w:t>
      </w:r>
      <w:r w:rsidRPr="00F13DA5">
        <w:rPr>
          <w:rFonts w:hint="cs"/>
          <w:rtl/>
        </w:rPr>
        <w:t xml:space="preserve">עומד </w:t>
      </w:r>
      <w:r w:rsidRPr="00F13DA5">
        <w:rPr>
          <w:rtl/>
        </w:rPr>
        <w:t>בתנאי השחרור שהוצבו לו ולא</w:t>
      </w:r>
      <w:r w:rsidRPr="00F13DA5">
        <w:rPr>
          <w:rFonts w:hint="cs"/>
          <w:rtl/>
        </w:rPr>
        <w:t>ו</w:t>
      </w:r>
      <w:r w:rsidRPr="00F13DA5">
        <w:rPr>
          <w:rtl/>
        </w:rPr>
        <w:t>כפם. אי</w:t>
      </w:r>
      <w:r w:rsidRPr="00F13DA5">
        <w:rPr>
          <w:rFonts w:hint="cs"/>
          <w:rtl/>
        </w:rPr>
        <w:t>-</w:t>
      </w:r>
      <w:r w:rsidRPr="00F13DA5">
        <w:rPr>
          <w:rtl/>
        </w:rPr>
        <w:t>הפרדה בין תנאי השחרור לפי סוגם אף מקשה על המשטרה לבחון את טיב החלטות השחרור והאם תנאיהם היו מצויים בסמכות קצין.</w:t>
      </w:r>
    </w:p>
    <w:p w14:paraId="6B8FE7F7" w14:textId="77777777" w:rsidR="00BA23AE" w:rsidRPr="00F13DA5" w:rsidRDefault="00BA23AE" w:rsidP="00A42565">
      <w:pPr>
        <w:pStyle w:val="af3"/>
        <w:rPr>
          <w:rtl/>
        </w:rPr>
      </w:pPr>
      <w:r w:rsidRPr="00F13DA5">
        <w:rPr>
          <w:rFonts w:hint="cs"/>
          <w:rtl/>
        </w:rPr>
        <w:t>משטרת ישראל מסרה בתגובתה כי היא מנחה את רכזי החקירות להזין את תנאי השחרור למערכת הממוחשבת</w:t>
      </w:r>
      <w:r>
        <w:rPr>
          <w:rFonts w:hint="cs"/>
          <w:rtl/>
        </w:rPr>
        <w:t>,</w:t>
      </w:r>
      <w:r w:rsidRPr="00F13DA5">
        <w:rPr>
          <w:rFonts w:hint="cs"/>
          <w:rtl/>
        </w:rPr>
        <w:t xml:space="preserve"> וכי נושא זה ייבחן בת</w:t>
      </w:r>
      <w:r>
        <w:rPr>
          <w:rFonts w:hint="cs"/>
          <w:rtl/>
        </w:rPr>
        <w:t>ו</w:t>
      </w:r>
      <w:r w:rsidRPr="00F13DA5">
        <w:rPr>
          <w:rFonts w:hint="cs"/>
          <w:rtl/>
        </w:rPr>
        <w:t xml:space="preserve">כנית הביקורת לשנת 2020. </w:t>
      </w:r>
    </w:p>
    <w:p w14:paraId="716F4E80" w14:textId="77777777" w:rsidR="00BA23AE" w:rsidRPr="00F13DA5" w:rsidRDefault="00BA23AE" w:rsidP="00A42565">
      <w:pPr>
        <w:pStyle w:val="a1"/>
      </w:pPr>
      <w:r w:rsidRPr="00F13DA5">
        <w:rPr>
          <w:rFonts w:hint="eastAsia"/>
          <w:rtl/>
        </w:rPr>
        <w:t>להלן</w:t>
      </w:r>
      <w:r w:rsidRPr="00F13DA5">
        <w:rPr>
          <w:rtl/>
        </w:rPr>
        <w:t xml:space="preserve"> לוח המציג את תוצאות בדיקת</w:t>
      </w:r>
      <w:r w:rsidRPr="00F13DA5">
        <w:rPr>
          <w:rFonts w:hint="cs"/>
          <w:rtl/>
        </w:rPr>
        <w:t>ם של</w:t>
      </w:r>
      <w:r w:rsidRPr="00F13DA5">
        <w:rPr>
          <w:rtl/>
        </w:rPr>
        <w:t xml:space="preserve"> </w:t>
      </w:r>
      <w:r w:rsidRPr="00F13DA5">
        <w:rPr>
          <w:rFonts w:hint="cs"/>
          <w:rtl/>
        </w:rPr>
        <w:t xml:space="preserve">30,000 </w:t>
      </w:r>
      <w:r w:rsidRPr="00F13DA5">
        <w:rPr>
          <w:rtl/>
        </w:rPr>
        <w:t xml:space="preserve">מעצרים </w:t>
      </w:r>
      <w:r w:rsidRPr="00F13DA5">
        <w:rPr>
          <w:rFonts w:hint="eastAsia"/>
          <w:rtl/>
        </w:rPr>
        <w:t>על</w:t>
      </w:r>
      <w:r w:rsidRPr="00F13DA5">
        <w:rPr>
          <w:rtl/>
        </w:rPr>
        <w:t xml:space="preserve"> </w:t>
      </w:r>
      <w:r w:rsidRPr="00F13DA5">
        <w:rPr>
          <w:rFonts w:hint="cs"/>
          <w:rtl/>
        </w:rPr>
        <w:t>ידי</w:t>
      </w:r>
      <w:r w:rsidRPr="00F13DA5">
        <w:rPr>
          <w:rtl/>
        </w:rPr>
        <w:t xml:space="preserve"> </w:t>
      </w:r>
      <w:r w:rsidRPr="00F13DA5">
        <w:rPr>
          <w:rFonts w:hint="eastAsia"/>
          <w:rtl/>
        </w:rPr>
        <w:t>משרד</w:t>
      </w:r>
      <w:r w:rsidRPr="00F13DA5">
        <w:rPr>
          <w:rtl/>
        </w:rPr>
        <w:t xml:space="preserve"> </w:t>
      </w:r>
      <w:r w:rsidRPr="00F13DA5">
        <w:rPr>
          <w:rFonts w:hint="eastAsia"/>
          <w:rtl/>
        </w:rPr>
        <w:t>מבקר</w:t>
      </w:r>
      <w:r w:rsidRPr="00F13DA5">
        <w:rPr>
          <w:rtl/>
        </w:rPr>
        <w:t xml:space="preserve"> </w:t>
      </w:r>
      <w:r w:rsidRPr="00F13DA5">
        <w:rPr>
          <w:rFonts w:hint="eastAsia"/>
          <w:rtl/>
        </w:rPr>
        <w:t>המדינה</w:t>
      </w:r>
      <w:r w:rsidRPr="00F13DA5">
        <w:rPr>
          <w:rFonts w:hint="cs"/>
          <w:rtl/>
        </w:rPr>
        <w:t>. מדובר במעצרים בשנים 2016 - 2018</w:t>
      </w:r>
      <w:r>
        <w:rPr>
          <w:rFonts w:hint="cs"/>
          <w:rtl/>
        </w:rPr>
        <w:t>,</w:t>
      </w:r>
      <w:r w:rsidRPr="00F13DA5">
        <w:rPr>
          <w:rFonts w:hint="cs"/>
          <w:rtl/>
        </w:rPr>
        <w:t xml:space="preserve"> שבהם הוזנה במערכות הממוחשבות של המשטרה החלטה שיפוטית הכוללת פירוט של התנאים שבהם שוחרר העצור. במסגרת הבדיקה נבחן</w:t>
      </w:r>
      <w:r w:rsidRPr="00F13DA5">
        <w:rPr>
          <w:rtl/>
        </w:rPr>
        <w:t xml:space="preserve"> אם במבחן התוצאה החלטת בית המשפט לשחרר עצור בתנאים הייתה מצויה בסמכות קצין ממונה. </w:t>
      </w:r>
    </w:p>
    <w:p w14:paraId="28CF7FEF" w14:textId="77777777" w:rsidR="00BA23AE" w:rsidRPr="00A42565" w:rsidRDefault="00BA23AE" w:rsidP="00A42565">
      <w:pPr>
        <w:pStyle w:val="a9"/>
        <w:rPr>
          <w:b/>
          <w:bCs/>
          <w:rtl/>
        </w:rPr>
      </w:pPr>
      <w:r w:rsidRPr="00F13DA5">
        <w:rPr>
          <w:rFonts w:hint="cs"/>
          <w:rtl/>
        </w:rPr>
        <w:t xml:space="preserve">לוח </w:t>
      </w:r>
      <w:r>
        <w:rPr>
          <w:rFonts w:hint="cs"/>
          <w:rtl/>
        </w:rPr>
        <w:t>9</w:t>
      </w:r>
      <w:r w:rsidRPr="00F13DA5">
        <w:rPr>
          <w:rFonts w:hint="cs"/>
          <w:rtl/>
        </w:rPr>
        <w:t xml:space="preserve">: </w:t>
      </w:r>
      <w:r w:rsidRPr="00A42565">
        <w:rPr>
          <w:rFonts w:hint="cs"/>
          <w:b/>
          <w:bCs/>
          <w:rtl/>
        </w:rPr>
        <w:t>החלטות בית המשפט לשחרר עצור בתנאים המצויים בסמכות קצין ממונה, 2016 - 2018</w:t>
      </w:r>
    </w:p>
    <w:tbl>
      <w:tblPr>
        <w:tblStyle w:val="TableGrid"/>
        <w:bidiVisual/>
        <w:tblW w:w="0" w:type="auto"/>
        <w:tblInd w:w="340" w:type="dxa"/>
        <w:tblLook w:val="04A0" w:firstRow="1" w:lastRow="0" w:firstColumn="1" w:lastColumn="0" w:noHBand="0" w:noVBand="1"/>
      </w:tblPr>
      <w:tblGrid>
        <w:gridCol w:w="5897"/>
        <w:gridCol w:w="1973"/>
      </w:tblGrid>
      <w:tr w:rsidR="00BA23AE" w:rsidRPr="008641A1" w14:paraId="07DBD9B4" w14:textId="77777777" w:rsidTr="00A42565">
        <w:tc>
          <w:tcPr>
            <w:tcW w:w="5898" w:type="dxa"/>
            <w:shd w:val="clear" w:color="auto" w:fill="C6D9F1"/>
            <w:vAlign w:val="bottom"/>
          </w:tcPr>
          <w:p w14:paraId="3B6BBB9B" w14:textId="77777777" w:rsidR="00BA23AE" w:rsidRPr="00A42565" w:rsidRDefault="00BA23AE" w:rsidP="00A42565">
            <w:pPr>
              <w:pStyle w:val="af0"/>
              <w:rPr>
                <w:rtl/>
              </w:rPr>
            </w:pPr>
            <w:r w:rsidRPr="00A42565">
              <w:rPr>
                <w:rFonts w:hint="cs"/>
                <w:rtl/>
              </w:rPr>
              <w:t>התנאים המפורטים בהחלטה השיפוטית לשחרר עצור</w:t>
            </w:r>
          </w:p>
        </w:tc>
        <w:tc>
          <w:tcPr>
            <w:tcW w:w="1973" w:type="dxa"/>
            <w:shd w:val="clear" w:color="auto" w:fill="C6D9F1"/>
            <w:vAlign w:val="bottom"/>
          </w:tcPr>
          <w:p w14:paraId="2F090399" w14:textId="77777777" w:rsidR="00BA23AE" w:rsidRPr="00A42565" w:rsidRDefault="00BA23AE" w:rsidP="00A42565">
            <w:pPr>
              <w:pStyle w:val="af0"/>
              <w:rPr>
                <w:rtl/>
              </w:rPr>
            </w:pPr>
            <w:r w:rsidRPr="00A42565">
              <w:rPr>
                <w:rFonts w:hint="cs"/>
                <w:rtl/>
              </w:rPr>
              <w:t>שיעור</w:t>
            </w:r>
          </w:p>
        </w:tc>
      </w:tr>
      <w:tr w:rsidR="00BA23AE" w:rsidRPr="008641A1" w14:paraId="567936EF" w14:textId="77777777" w:rsidTr="00465562">
        <w:tc>
          <w:tcPr>
            <w:tcW w:w="5898" w:type="dxa"/>
            <w:shd w:val="clear" w:color="auto" w:fill="auto"/>
            <w:vAlign w:val="bottom"/>
          </w:tcPr>
          <w:p w14:paraId="183B8F0E" w14:textId="77777777" w:rsidR="00BA23AE" w:rsidRPr="008641A1" w:rsidRDefault="00BA23AE" w:rsidP="00A42565">
            <w:pPr>
              <w:pStyle w:val="R"/>
              <w:rPr>
                <w:rtl/>
              </w:rPr>
            </w:pPr>
            <w:r w:rsidRPr="008641A1">
              <w:rPr>
                <w:rFonts w:hint="eastAsia"/>
                <w:rtl/>
              </w:rPr>
              <w:t>כל</w:t>
            </w:r>
            <w:r w:rsidRPr="008641A1">
              <w:rPr>
                <w:rtl/>
              </w:rPr>
              <w:t xml:space="preserve"> התנאים </w:t>
            </w:r>
            <w:r w:rsidRPr="008641A1">
              <w:rPr>
                <w:rFonts w:hint="eastAsia"/>
                <w:rtl/>
              </w:rPr>
              <w:t>מצויים</w:t>
            </w:r>
            <w:r w:rsidRPr="008641A1">
              <w:rPr>
                <w:rtl/>
              </w:rPr>
              <w:t xml:space="preserve"> בסמכות מקבילה </w:t>
            </w:r>
            <w:r w:rsidRPr="008641A1">
              <w:rPr>
                <w:rFonts w:hint="eastAsia"/>
                <w:rtl/>
              </w:rPr>
              <w:t>של</w:t>
            </w:r>
            <w:r w:rsidRPr="008641A1">
              <w:rPr>
                <w:rtl/>
              </w:rPr>
              <w:t xml:space="preserve"> </w:t>
            </w:r>
            <w:r w:rsidRPr="008641A1">
              <w:rPr>
                <w:rFonts w:hint="eastAsia"/>
                <w:rtl/>
              </w:rPr>
              <w:t>הקצין</w:t>
            </w:r>
            <w:r w:rsidRPr="008641A1">
              <w:rPr>
                <w:rtl/>
              </w:rPr>
              <w:t xml:space="preserve"> </w:t>
            </w:r>
            <w:r w:rsidRPr="008641A1">
              <w:rPr>
                <w:rFonts w:hint="eastAsia"/>
                <w:rtl/>
              </w:rPr>
              <w:t>הממונה</w:t>
            </w:r>
          </w:p>
        </w:tc>
        <w:tc>
          <w:tcPr>
            <w:tcW w:w="1973" w:type="dxa"/>
            <w:shd w:val="clear" w:color="auto" w:fill="auto"/>
            <w:vAlign w:val="bottom"/>
          </w:tcPr>
          <w:p w14:paraId="3FEBDC8F" w14:textId="77777777" w:rsidR="00BA23AE" w:rsidRPr="00A42565" w:rsidRDefault="00BA23AE" w:rsidP="00A42565">
            <w:pPr>
              <w:pStyle w:val="B"/>
              <w:rPr>
                <w:szCs w:val="20"/>
                <w:rtl/>
              </w:rPr>
            </w:pPr>
            <w:r w:rsidRPr="00A42565">
              <w:rPr>
                <w:rFonts w:hint="cs"/>
                <w:szCs w:val="20"/>
                <w:rtl/>
              </w:rPr>
              <w:t>52%</w:t>
            </w:r>
          </w:p>
        </w:tc>
      </w:tr>
      <w:tr w:rsidR="00BA23AE" w:rsidRPr="008641A1" w14:paraId="69043710" w14:textId="77777777" w:rsidTr="00465562">
        <w:tc>
          <w:tcPr>
            <w:tcW w:w="5898" w:type="dxa"/>
            <w:shd w:val="clear" w:color="auto" w:fill="auto"/>
            <w:vAlign w:val="bottom"/>
          </w:tcPr>
          <w:p w14:paraId="033D58A1" w14:textId="77777777" w:rsidR="00BA23AE" w:rsidRPr="008641A1" w:rsidRDefault="00BA23AE" w:rsidP="00A42565">
            <w:pPr>
              <w:pStyle w:val="R"/>
              <w:rPr>
                <w:rtl/>
              </w:rPr>
            </w:pPr>
            <w:r w:rsidRPr="008641A1">
              <w:rPr>
                <w:rFonts w:hint="eastAsia"/>
                <w:rtl/>
              </w:rPr>
              <w:t>לפחות</w:t>
            </w:r>
            <w:r w:rsidRPr="008641A1">
              <w:rPr>
                <w:rtl/>
              </w:rPr>
              <w:t xml:space="preserve"> תנאי אחד </w:t>
            </w:r>
            <w:r w:rsidRPr="008641A1">
              <w:rPr>
                <w:rFonts w:hint="eastAsia"/>
                <w:rtl/>
              </w:rPr>
              <w:t>מצוי</w:t>
            </w:r>
            <w:r w:rsidRPr="008641A1">
              <w:rPr>
                <w:rtl/>
              </w:rPr>
              <w:t xml:space="preserve"> </w:t>
            </w:r>
            <w:r w:rsidRPr="008641A1">
              <w:rPr>
                <w:rFonts w:hint="eastAsia"/>
                <w:rtl/>
              </w:rPr>
              <w:t>בסמכות</w:t>
            </w:r>
            <w:r w:rsidRPr="008641A1">
              <w:rPr>
                <w:rtl/>
              </w:rPr>
              <w:t xml:space="preserve"> </w:t>
            </w:r>
            <w:r w:rsidRPr="008641A1">
              <w:rPr>
                <w:rFonts w:hint="eastAsia"/>
                <w:rtl/>
              </w:rPr>
              <w:t>מקבילה</w:t>
            </w:r>
            <w:r w:rsidRPr="008641A1">
              <w:rPr>
                <w:rFonts w:hint="cs"/>
                <w:rtl/>
              </w:rPr>
              <w:t>-</w:t>
            </w:r>
            <w:r w:rsidRPr="008641A1">
              <w:rPr>
                <w:rFonts w:hint="eastAsia"/>
                <w:rtl/>
              </w:rPr>
              <w:t>חלקית</w:t>
            </w:r>
            <w:r w:rsidRPr="008641A1">
              <w:rPr>
                <w:rStyle w:val="FootnoteReference"/>
                <w:sz w:val="22"/>
                <w:szCs w:val="22"/>
                <w:rtl/>
              </w:rPr>
              <w:footnoteReference w:id="48"/>
            </w:r>
            <w:r w:rsidRPr="008641A1">
              <w:rPr>
                <w:rtl/>
              </w:rPr>
              <w:t xml:space="preserve">, </w:t>
            </w:r>
            <w:r w:rsidRPr="008641A1">
              <w:rPr>
                <w:rFonts w:hint="cs"/>
                <w:rtl/>
              </w:rPr>
              <w:t>ו</w:t>
            </w:r>
            <w:r w:rsidRPr="008641A1">
              <w:rPr>
                <w:rFonts w:hint="eastAsia"/>
                <w:rtl/>
              </w:rPr>
              <w:t>שאר</w:t>
            </w:r>
            <w:r w:rsidRPr="008641A1">
              <w:rPr>
                <w:rtl/>
              </w:rPr>
              <w:t xml:space="preserve"> </w:t>
            </w:r>
            <w:r w:rsidRPr="008641A1">
              <w:rPr>
                <w:rFonts w:hint="eastAsia"/>
                <w:rtl/>
              </w:rPr>
              <w:t>התנאים</w:t>
            </w:r>
            <w:r w:rsidRPr="008641A1">
              <w:rPr>
                <w:rtl/>
              </w:rPr>
              <w:t xml:space="preserve"> </w:t>
            </w:r>
            <w:r w:rsidRPr="008641A1">
              <w:rPr>
                <w:rFonts w:hint="eastAsia"/>
                <w:rtl/>
              </w:rPr>
              <w:t>מצויים</w:t>
            </w:r>
            <w:r w:rsidRPr="008641A1">
              <w:rPr>
                <w:rtl/>
              </w:rPr>
              <w:t xml:space="preserve"> </w:t>
            </w:r>
            <w:r w:rsidRPr="008641A1">
              <w:rPr>
                <w:rFonts w:hint="eastAsia"/>
                <w:rtl/>
              </w:rPr>
              <w:t>בסמכות</w:t>
            </w:r>
            <w:r w:rsidRPr="008641A1">
              <w:rPr>
                <w:rtl/>
              </w:rPr>
              <w:t xml:space="preserve"> </w:t>
            </w:r>
            <w:r w:rsidRPr="008641A1">
              <w:rPr>
                <w:rFonts w:hint="eastAsia"/>
                <w:rtl/>
              </w:rPr>
              <w:t>מקבילה</w:t>
            </w:r>
            <w:r w:rsidRPr="008641A1">
              <w:rPr>
                <w:rtl/>
              </w:rPr>
              <w:t xml:space="preserve"> </w:t>
            </w:r>
            <w:r w:rsidRPr="008641A1">
              <w:rPr>
                <w:rFonts w:hint="eastAsia"/>
                <w:rtl/>
              </w:rPr>
              <w:t>של</w:t>
            </w:r>
            <w:r w:rsidRPr="008641A1">
              <w:rPr>
                <w:rtl/>
              </w:rPr>
              <w:t xml:space="preserve"> </w:t>
            </w:r>
            <w:r w:rsidRPr="008641A1">
              <w:rPr>
                <w:rFonts w:hint="eastAsia"/>
                <w:rtl/>
              </w:rPr>
              <w:t>הקצין</w:t>
            </w:r>
            <w:r w:rsidRPr="008641A1">
              <w:rPr>
                <w:rtl/>
              </w:rPr>
              <w:t xml:space="preserve"> </w:t>
            </w:r>
            <w:r w:rsidRPr="008641A1">
              <w:rPr>
                <w:rFonts w:hint="eastAsia"/>
                <w:rtl/>
              </w:rPr>
              <w:t>הממונה</w:t>
            </w:r>
            <w:r w:rsidRPr="008641A1">
              <w:rPr>
                <w:rtl/>
              </w:rPr>
              <w:t xml:space="preserve"> </w:t>
            </w:r>
          </w:p>
        </w:tc>
        <w:tc>
          <w:tcPr>
            <w:tcW w:w="1973" w:type="dxa"/>
            <w:shd w:val="clear" w:color="auto" w:fill="auto"/>
            <w:vAlign w:val="bottom"/>
          </w:tcPr>
          <w:p w14:paraId="637DB7E2" w14:textId="77777777" w:rsidR="00BA23AE" w:rsidRPr="00A42565" w:rsidRDefault="00BA23AE" w:rsidP="00A42565">
            <w:pPr>
              <w:pStyle w:val="B"/>
              <w:rPr>
                <w:szCs w:val="20"/>
                <w:rtl/>
              </w:rPr>
            </w:pPr>
            <w:r w:rsidRPr="00A42565">
              <w:rPr>
                <w:rFonts w:hint="cs"/>
                <w:szCs w:val="20"/>
                <w:rtl/>
              </w:rPr>
              <w:t>47%</w:t>
            </w:r>
          </w:p>
        </w:tc>
      </w:tr>
      <w:tr w:rsidR="00BA23AE" w:rsidRPr="008641A1" w14:paraId="6787B9E4" w14:textId="77777777" w:rsidTr="00465562">
        <w:tc>
          <w:tcPr>
            <w:tcW w:w="5898" w:type="dxa"/>
            <w:shd w:val="clear" w:color="auto" w:fill="auto"/>
            <w:vAlign w:val="bottom"/>
          </w:tcPr>
          <w:p w14:paraId="61C1491C" w14:textId="77777777" w:rsidR="00BA23AE" w:rsidRPr="008641A1" w:rsidRDefault="00BA23AE" w:rsidP="00A42565">
            <w:pPr>
              <w:pStyle w:val="R"/>
              <w:rPr>
                <w:rtl/>
              </w:rPr>
            </w:pPr>
            <w:r w:rsidRPr="008641A1">
              <w:rPr>
                <w:rFonts w:hint="eastAsia"/>
                <w:rtl/>
              </w:rPr>
              <w:t>לפחות</w:t>
            </w:r>
            <w:r w:rsidRPr="008641A1">
              <w:rPr>
                <w:rtl/>
              </w:rPr>
              <w:t xml:space="preserve"> </w:t>
            </w:r>
            <w:r w:rsidRPr="008641A1">
              <w:rPr>
                <w:rFonts w:hint="eastAsia"/>
                <w:rtl/>
              </w:rPr>
              <w:t>תנאי</w:t>
            </w:r>
            <w:r w:rsidRPr="008641A1">
              <w:rPr>
                <w:rtl/>
              </w:rPr>
              <w:t xml:space="preserve"> </w:t>
            </w:r>
            <w:r w:rsidRPr="008641A1">
              <w:rPr>
                <w:rFonts w:hint="eastAsia"/>
                <w:rtl/>
              </w:rPr>
              <w:t>אחד</w:t>
            </w:r>
            <w:r w:rsidRPr="008641A1">
              <w:rPr>
                <w:rtl/>
              </w:rPr>
              <w:t xml:space="preserve"> </w:t>
            </w:r>
            <w:r w:rsidRPr="008641A1">
              <w:rPr>
                <w:rFonts w:hint="eastAsia"/>
                <w:rtl/>
              </w:rPr>
              <w:t>מצוי</w:t>
            </w:r>
            <w:r w:rsidRPr="008641A1">
              <w:rPr>
                <w:rtl/>
              </w:rPr>
              <w:t xml:space="preserve"> </w:t>
            </w:r>
            <w:r w:rsidRPr="008641A1">
              <w:rPr>
                <w:rFonts w:hint="eastAsia"/>
                <w:rtl/>
              </w:rPr>
              <w:t>בסמכות</w:t>
            </w:r>
            <w:r w:rsidRPr="008641A1">
              <w:rPr>
                <w:rFonts w:hint="cs"/>
                <w:rtl/>
              </w:rPr>
              <w:t>ו</w:t>
            </w:r>
            <w:r w:rsidRPr="008641A1">
              <w:rPr>
                <w:rtl/>
              </w:rPr>
              <w:t xml:space="preserve"> </w:t>
            </w:r>
            <w:r w:rsidRPr="008641A1">
              <w:rPr>
                <w:rFonts w:hint="cs"/>
                <w:rtl/>
              </w:rPr>
              <w:t>ה</w:t>
            </w:r>
            <w:r w:rsidRPr="008641A1">
              <w:rPr>
                <w:rFonts w:hint="eastAsia"/>
                <w:rtl/>
              </w:rPr>
              <w:t>בלעדית</w:t>
            </w:r>
            <w:r w:rsidRPr="008641A1">
              <w:rPr>
                <w:rtl/>
              </w:rPr>
              <w:t xml:space="preserve"> </w:t>
            </w:r>
            <w:r w:rsidRPr="008641A1">
              <w:rPr>
                <w:rFonts w:hint="eastAsia"/>
                <w:rtl/>
              </w:rPr>
              <w:t>של</w:t>
            </w:r>
            <w:r w:rsidRPr="008641A1">
              <w:rPr>
                <w:rtl/>
              </w:rPr>
              <w:t xml:space="preserve"> </w:t>
            </w:r>
            <w:r w:rsidRPr="008641A1">
              <w:rPr>
                <w:rFonts w:hint="eastAsia"/>
                <w:rtl/>
              </w:rPr>
              <w:t>בית</w:t>
            </w:r>
            <w:r w:rsidRPr="008641A1">
              <w:rPr>
                <w:rtl/>
              </w:rPr>
              <w:t xml:space="preserve"> </w:t>
            </w:r>
            <w:r w:rsidRPr="008641A1">
              <w:rPr>
                <w:rFonts w:hint="eastAsia"/>
                <w:rtl/>
              </w:rPr>
              <w:t>המשפט</w:t>
            </w:r>
          </w:p>
        </w:tc>
        <w:tc>
          <w:tcPr>
            <w:tcW w:w="1973" w:type="dxa"/>
            <w:shd w:val="clear" w:color="auto" w:fill="auto"/>
            <w:vAlign w:val="bottom"/>
          </w:tcPr>
          <w:p w14:paraId="4F1EB161" w14:textId="77777777" w:rsidR="00BA23AE" w:rsidRPr="00A42565" w:rsidRDefault="00BA23AE" w:rsidP="00A42565">
            <w:pPr>
              <w:pStyle w:val="B"/>
              <w:rPr>
                <w:szCs w:val="20"/>
                <w:rtl/>
              </w:rPr>
            </w:pPr>
            <w:r w:rsidRPr="00A42565">
              <w:rPr>
                <w:rFonts w:hint="cs"/>
                <w:szCs w:val="20"/>
                <w:rtl/>
              </w:rPr>
              <w:t>פחות מ-1%</w:t>
            </w:r>
          </w:p>
        </w:tc>
      </w:tr>
    </w:tbl>
    <w:p w14:paraId="5CF34FFF" w14:textId="77777777" w:rsidR="00BA23AE" w:rsidRPr="00F13DA5" w:rsidRDefault="00BA23AE" w:rsidP="00777388">
      <w:pPr>
        <w:pStyle w:val="ab"/>
        <w:rPr>
          <w:rtl/>
        </w:rPr>
      </w:pPr>
      <w:r>
        <w:rPr>
          <w:rFonts w:hint="cs"/>
          <w:szCs w:val="20"/>
          <w:rtl/>
        </w:rPr>
        <w:t xml:space="preserve"> </w:t>
      </w:r>
      <w:r w:rsidRPr="00F13DA5">
        <w:rPr>
          <w:rFonts w:hint="eastAsia"/>
          <w:rtl/>
        </w:rPr>
        <w:t>על</w:t>
      </w:r>
      <w:r w:rsidRPr="00F13DA5">
        <w:rPr>
          <w:rtl/>
        </w:rPr>
        <w:t xml:space="preserve"> </w:t>
      </w:r>
      <w:r w:rsidRPr="00F13DA5">
        <w:rPr>
          <w:rFonts w:hint="eastAsia"/>
          <w:rtl/>
        </w:rPr>
        <w:t>פי</w:t>
      </w:r>
      <w:r w:rsidRPr="00F13DA5">
        <w:rPr>
          <w:rtl/>
        </w:rPr>
        <w:t xml:space="preserve"> </w:t>
      </w:r>
      <w:r w:rsidRPr="00F13DA5">
        <w:rPr>
          <w:rFonts w:hint="eastAsia"/>
          <w:rtl/>
        </w:rPr>
        <w:t>נתוני</w:t>
      </w:r>
      <w:r w:rsidRPr="00F13DA5">
        <w:rPr>
          <w:rtl/>
        </w:rPr>
        <w:t xml:space="preserve"> </w:t>
      </w:r>
      <w:r w:rsidRPr="00F13DA5">
        <w:rPr>
          <w:rFonts w:hint="eastAsia"/>
          <w:rtl/>
        </w:rPr>
        <w:t>משטרת</w:t>
      </w:r>
      <w:r w:rsidRPr="00F13DA5">
        <w:rPr>
          <w:rtl/>
        </w:rPr>
        <w:t xml:space="preserve"> </w:t>
      </w:r>
      <w:r w:rsidRPr="00F13DA5">
        <w:rPr>
          <w:rFonts w:hint="eastAsia"/>
          <w:rtl/>
        </w:rPr>
        <w:t>ישראל</w:t>
      </w:r>
      <w:r w:rsidRPr="00F13DA5">
        <w:rPr>
          <w:rtl/>
        </w:rPr>
        <w:t xml:space="preserve">, בעיבוד משרד </w:t>
      </w:r>
      <w:r w:rsidRPr="00F13DA5">
        <w:rPr>
          <w:rFonts w:hint="eastAsia"/>
          <w:rtl/>
        </w:rPr>
        <w:t>מבקר</w:t>
      </w:r>
      <w:r w:rsidRPr="00F13DA5">
        <w:rPr>
          <w:rtl/>
        </w:rPr>
        <w:t xml:space="preserve"> </w:t>
      </w:r>
      <w:r w:rsidRPr="00F13DA5">
        <w:rPr>
          <w:rFonts w:hint="eastAsia"/>
          <w:rtl/>
        </w:rPr>
        <w:t>המדינה</w:t>
      </w:r>
      <w:r w:rsidRPr="00F13DA5">
        <w:rPr>
          <w:rtl/>
        </w:rPr>
        <w:t>.</w:t>
      </w:r>
    </w:p>
    <w:p w14:paraId="7D50C040" w14:textId="1BF96C5F" w:rsidR="00BA23AE" w:rsidRPr="00F13DA5" w:rsidRDefault="00BA23AE" w:rsidP="00951EFA">
      <w:pPr>
        <w:pStyle w:val="100"/>
        <w:rPr>
          <w:rtl/>
        </w:rPr>
      </w:pPr>
    </w:p>
    <w:p w14:paraId="1DEC568E" w14:textId="77777777" w:rsidR="00BA23AE" w:rsidRPr="00F13DA5" w:rsidRDefault="00BA23AE" w:rsidP="00951EFA">
      <w:pPr>
        <w:pStyle w:val="ad"/>
        <w:rPr>
          <w:rtl/>
        </w:rPr>
      </w:pPr>
      <w:r w:rsidRPr="00F13DA5">
        <w:rPr>
          <w:rFonts w:hint="eastAsia"/>
          <w:rtl/>
        </w:rPr>
        <w:t>מן</w:t>
      </w:r>
      <w:r w:rsidRPr="00F13DA5">
        <w:rPr>
          <w:rtl/>
        </w:rPr>
        <w:t xml:space="preserve"> </w:t>
      </w:r>
      <w:r w:rsidRPr="00F13DA5">
        <w:rPr>
          <w:rFonts w:hint="eastAsia"/>
          <w:rtl/>
        </w:rPr>
        <w:t>הלוח</w:t>
      </w:r>
      <w:r w:rsidRPr="00F13DA5">
        <w:rPr>
          <w:rtl/>
        </w:rPr>
        <w:t xml:space="preserve"> </w:t>
      </w:r>
      <w:r w:rsidRPr="00F13DA5">
        <w:rPr>
          <w:rFonts w:hint="eastAsia"/>
          <w:rtl/>
        </w:rPr>
        <w:t>עולה</w:t>
      </w:r>
      <w:r w:rsidRPr="00F13DA5">
        <w:rPr>
          <w:rtl/>
        </w:rPr>
        <w:t xml:space="preserve"> </w:t>
      </w:r>
      <w:r w:rsidRPr="00F13DA5">
        <w:rPr>
          <w:rFonts w:hint="eastAsia"/>
          <w:rtl/>
        </w:rPr>
        <w:t>כי</w:t>
      </w:r>
      <w:r w:rsidRPr="00F13DA5">
        <w:rPr>
          <w:rtl/>
        </w:rPr>
        <w:t xml:space="preserve"> בכמחצית </w:t>
      </w:r>
      <w:r w:rsidRPr="00F13DA5">
        <w:rPr>
          <w:rFonts w:hint="cs"/>
          <w:rtl/>
        </w:rPr>
        <w:t>מ</w:t>
      </w:r>
      <w:r w:rsidRPr="00F13DA5">
        <w:rPr>
          <w:rtl/>
        </w:rPr>
        <w:t>החלט</w:t>
      </w:r>
      <w:r w:rsidRPr="00F13DA5">
        <w:rPr>
          <w:rFonts w:hint="cs"/>
          <w:rtl/>
        </w:rPr>
        <w:t>ו</w:t>
      </w:r>
      <w:r w:rsidRPr="00F13DA5">
        <w:rPr>
          <w:rtl/>
        </w:rPr>
        <w:t>ת</w:t>
      </w:r>
      <w:r w:rsidRPr="00F13DA5">
        <w:rPr>
          <w:rFonts w:hint="cs"/>
          <w:rtl/>
        </w:rPr>
        <w:t xml:space="preserve"> השחרור של</w:t>
      </w:r>
      <w:r w:rsidRPr="00F13DA5">
        <w:rPr>
          <w:rtl/>
        </w:rPr>
        <w:t xml:space="preserve"> בית המשפט </w:t>
      </w:r>
      <w:r w:rsidRPr="00F13DA5">
        <w:rPr>
          <w:rFonts w:hint="cs"/>
          <w:rtl/>
        </w:rPr>
        <w:t xml:space="preserve">הייתה ההחלטה </w:t>
      </w:r>
      <w:r w:rsidRPr="00F13DA5">
        <w:rPr>
          <w:rtl/>
        </w:rPr>
        <w:t xml:space="preserve">מצויה בסמכות מקבילה לסמכות </w:t>
      </w:r>
      <w:r w:rsidRPr="00F13DA5">
        <w:rPr>
          <w:rFonts w:hint="eastAsia"/>
          <w:rtl/>
        </w:rPr>
        <w:t>ה</w:t>
      </w:r>
      <w:r w:rsidRPr="00F13DA5">
        <w:rPr>
          <w:rtl/>
        </w:rPr>
        <w:t xml:space="preserve">קצין </w:t>
      </w:r>
      <w:r w:rsidRPr="00F13DA5">
        <w:rPr>
          <w:rFonts w:hint="cs"/>
          <w:rtl/>
        </w:rPr>
        <w:t>ה</w:t>
      </w:r>
      <w:r w:rsidRPr="00F13DA5">
        <w:rPr>
          <w:rtl/>
        </w:rPr>
        <w:t xml:space="preserve">ממונה. </w:t>
      </w:r>
      <w:r w:rsidRPr="00F13DA5">
        <w:rPr>
          <w:rFonts w:hint="eastAsia"/>
          <w:rtl/>
        </w:rPr>
        <w:t>בפחות</w:t>
      </w:r>
      <w:r w:rsidRPr="00F13DA5">
        <w:rPr>
          <w:rtl/>
        </w:rPr>
        <w:t xml:space="preserve"> מאחוז אחד מדובר בהחלטה שיפוטית שתנאיה לא </w:t>
      </w:r>
      <w:r w:rsidRPr="00F13DA5">
        <w:rPr>
          <w:rFonts w:hint="eastAsia"/>
          <w:rtl/>
        </w:rPr>
        <w:t>היו</w:t>
      </w:r>
      <w:r w:rsidRPr="00F13DA5">
        <w:rPr>
          <w:rtl/>
        </w:rPr>
        <w:t xml:space="preserve"> </w:t>
      </w:r>
      <w:r w:rsidRPr="00F13DA5">
        <w:rPr>
          <w:rFonts w:hint="eastAsia"/>
          <w:rtl/>
        </w:rPr>
        <w:t>מאפשרים</w:t>
      </w:r>
      <w:r w:rsidRPr="00F13DA5">
        <w:rPr>
          <w:rtl/>
        </w:rPr>
        <w:t xml:space="preserve"> </w:t>
      </w:r>
      <w:r w:rsidRPr="00F13DA5">
        <w:rPr>
          <w:rFonts w:hint="eastAsia"/>
          <w:rtl/>
        </w:rPr>
        <w:t>שחרור</w:t>
      </w:r>
      <w:r w:rsidRPr="00F13DA5">
        <w:rPr>
          <w:rtl/>
        </w:rPr>
        <w:t xml:space="preserve"> </w:t>
      </w:r>
      <w:r w:rsidRPr="00F13DA5">
        <w:rPr>
          <w:rFonts w:hint="eastAsia"/>
          <w:rtl/>
        </w:rPr>
        <w:t>בתחנה</w:t>
      </w:r>
      <w:r w:rsidRPr="00F13DA5">
        <w:rPr>
          <w:rtl/>
        </w:rPr>
        <w:t>. יתר החלט</w:t>
      </w:r>
      <w:r w:rsidRPr="00F13DA5">
        <w:rPr>
          <w:rFonts w:hint="cs"/>
          <w:rtl/>
        </w:rPr>
        <w:t>ו</w:t>
      </w:r>
      <w:r w:rsidRPr="00F13DA5">
        <w:rPr>
          <w:rtl/>
        </w:rPr>
        <w:t>ת השחרור כלל</w:t>
      </w:r>
      <w:r w:rsidRPr="00F13DA5">
        <w:rPr>
          <w:rFonts w:hint="cs"/>
          <w:rtl/>
        </w:rPr>
        <w:t>ו</w:t>
      </w:r>
      <w:r w:rsidRPr="00F13DA5">
        <w:rPr>
          <w:rtl/>
        </w:rPr>
        <w:t xml:space="preserve"> תנאי שחרור אחד לפחות שמצוי בסמכות מקבילה</w:t>
      </w:r>
      <w:r w:rsidRPr="00F13DA5">
        <w:rPr>
          <w:rFonts w:hint="cs"/>
          <w:rtl/>
        </w:rPr>
        <w:t>-</w:t>
      </w:r>
      <w:r w:rsidRPr="00F13DA5">
        <w:rPr>
          <w:rtl/>
        </w:rPr>
        <w:t>חלקית</w:t>
      </w:r>
      <w:r w:rsidRPr="00F13DA5">
        <w:rPr>
          <w:rFonts w:hint="cs"/>
          <w:rtl/>
        </w:rPr>
        <w:t>:</w:t>
      </w:r>
      <w:r w:rsidRPr="00F13DA5">
        <w:rPr>
          <w:rtl/>
        </w:rPr>
        <w:t xml:space="preserve"> </w:t>
      </w:r>
      <w:r w:rsidRPr="00F13DA5">
        <w:rPr>
          <w:rFonts w:hint="eastAsia"/>
          <w:rtl/>
        </w:rPr>
        <w:t>סוג</w:t>
      </w:r>
      <w:r w:rsidRPr="00F13DA5">
        <w:rPr>
          <w:rtl/>
        </w:rPr>
        <w:t xml:space="preserve"> </w:t>
      </w:r>
      <w:r w:rsidRPr="00F13DA5">
        <w:rPr>
          <w:rFonts w:hint="eastAsia"/>
          <w:rtl/>
        </w:rPr>
        <w:t>התנאי</w:t>
      </w:r>
      <w:r w:rsidRPr="00F13DA5">
        <w:rPr>
          <w:rtl/>
        </w:rPr>
        <w:t xml:space="preserve"> </w:t>
      </w:r>
      <w:r w:rsidRPr="00F13DA5">
        <w:rPr>
          <w:rFonts w:hint="eastAsia"/>
          <w:rtl/>
        </w:rPr>
        <w:t>מצוי</w:t>
      </w:r>
      <w:r w:rsidRPr="00F13DA5">
        <w:rPr>
          <w:rtl/>
        </w:rPr>
        <w:t xml:space="preserve"> </w:t>
      </w:r>
      <w:r w:rsidRPr="00F13DA5">
        <w:rPr>
          <w:rFonts w:hint="eastAsia"/>
          <w:rtl/>
        </w:rPr>
        <w:t>בסמכות</w:t>
      </w:r>
      <w:r w:rsidRPr="00F13DA5">
        <w:rPr>
          <w:rtl/>
        </w:rPr>
        <w:t xml:space="preserve"> </w:t>
      </w:r>
      <w:r w:rsidRPr="00F13DA5">
        <w:rPr>
          <w:rFonts w:hint="eastAsia"/>
          <w:rtl/>
        </w:rPr>
        <w:t>קצין</w:t>
      </w:r>
      <w:r w:rsidRPr="00F13DA5">
        <w:rPr>
          <w:rtl/>
        </w:rPr>
        <w:t xml:space="preserve"> </w:t>
      </w:r>
      <w:r w:rsidRPr="00F13DA5">
        <w:rPr>
          <w:rFonts w:hint="eastAsia"/>
          <w:rtl/>
        </w:rPr>
        <w:t>ממונה</w:t>
      </w:r>
      <w:r>
        <w:rPr>
          <w:rFonts w:hint="cs"/>
          <w:rtl/>
        </w:rPr>
        <w:t>,</w:t>
      </w:r>
      <w:r w:rsidRPr="00F13DA5">
        <w:rPr>
          <w:rtl/>
        </w:rPr>
        <w:t xml:space="preserve"> </w:t>
      </w:r>
      <w:r w:rsidRPr="00F13DA5">
        <w:rPr>
          <w:rFonts w:hint="eastAsia"/>
          <w:rtl/>
        </w:rPr>
        <w:t>אבל</w:t>
      </w:r>
      <w:r w:rsidRPr="00F13DA5">
        <w:rPr>
          <w:rtl/>
        </w:rPr>
        <w:t xml:space="preserve"> </w:t>
      </w:r>
      <w:r w:rsidRPr="00F13DA5">
        <w:rPr>
          <w:rFonts w:hint="eastAsia"/>
          <w:rtl/>
        </w:rPr>
        <w:t>תקופת</w:t>
      </w:r>
      <w:r w:rsidRPr="00F13DA5">
        <w:rPr>
          <w:rtl/>
        </w:rPr>
        <w:t xml:space="preserve"> </w:t>
      </w:r>
      <w:r w:rsidRPr="00F13DA5">
        <w:rPr>
          <w:rFonts w:hint="eastAsia"/>
          <w:rtl/>
        </w:rPr>
        <w:t>התנאי</w:t>
      </w:r>
      <w:r w:rsidRPr="00F13DA5">
        <w:rPr>
          <w:rtl/>
        </w:rPr>
        <w:t xml:space="preserve"> </w:t>
      </w:r>
      <w:r w:rsidRPr="00F13DA5">
        <w:rPr>
          <w:rFonts w:hint="eastAsia"/>
          <w:rtl/>
        </w:rPr>
        <w:t>ארוכה</w:t>
      </w:r>
      <w:r w:rsidRPr="00F13DA5">
        <w:rPr>
          <w:rtl/>
        </w:rPr>
        <w:t xml:space="preserve"> </w:t>
      </w:r>
      <w:r w:rsidRPr="00F13DA5">
        <w:rPr>
          <w:rFonts w:hint="eastAsia"/>
          <w:rtl/>
        </w:rPr>
        <w:t>מהתקופה</w:t>
      </w:r>
      <w:r w:rsidRPr="00F13DA5">
        <w:rPr>
          <w:rtl/>
        </w:rPr>
        <w:t xml:space="preserve"> </w:t>
      </w:r>
      <w:r w:rsidRPr="00F13DA5">
        <w:rPr>
          <w:rFonts w:hint="eastAsia"/>
          <w:rtl/>
        </w:rPr>
        <w:t>שקצין</w:t>
      </w:r>
      <w:r w:rsidRPr="00F13DA5">
        <w:rPr>
          <w:rtl/>
        </w:rPr>
        <w:t xml:space="preserve"> </w:t>
      </w:r>
      <w:r w:rsidRPr="00F13DA5">
        <w:rPr>
          <w:rFonts w:hint="eastAsia"/>
          <w:rtl/>
        </w:rPr>
        <w:t>רשאי</w:t>
      </w:r>
      <w:r w:rsidRPr="00F13DA5">
        <w:rPr>
          <w:rtl/>
        </w:rPr>
        <w:t xml:space="preserve"> </w:t>
      </w:r>
      <w:r w:rsidRPr="00F13DA5">
        <w:rPr>
          <w:rFonts w:hint="eastAsia"/>
          <w:rtl/>
        </w:rPr>
        <w:t>להורות</w:t>
      </w:r>
      <w:r w:rsidRPr="00F13DA5">
        <w:rPr>
          <w:rtl/>
        </w:rPr>
        <w:t xml:space="preserve"> </w:t>
      </w:r>
      <w:r w:rsidRPr="00F13DA5">
        <w:rPr>
          <w:rFonts w:hint="eastAsia"/>
          <w:rtl/>
        </w:rPr>
        <w:t>עליה</w:t>
      </w:r>
      <w:r w:rsidRPr="00F13DA5">
        <w:rPr>
          <w:rtl/>
        </w:rPr>
        <w:t xml:space="preserve">. </w:t>
      </w:r>
      <w:r w:rsidRPr="00F13DA5">
        <w:rPr>
          <w:rFonts w:hint="cs"/>
          <w:rtl/>
        </w:rPr>
        <w:t>בהחלטות</w:t>
      </w:r>
      <w:r w:rsidRPr="00F13DA5">
        <w:rPr>
          <w:rtl/>
        </w:rPr>
        <w:t xml:space="preserve"> מסוג זה </w:t>
      </w:r>
      <w:r w:rsidRPr="00F13DA5">
        <w:rPr>
          <w:rFonts w:hint="cs"/>
          <w:rtl/>
        </w:rPr>
        <w:t>ייתכן ש</w:t>
      </w:r>
      <w:r w:rsidRPr="00F13DA5">
        <w:rPr>
          <w:rtl/>
        </w:rPr>
        <w:t xml:space="preserve">ניתן היה לשחרר את העצור בתחנת המשטרה </w:t>
      </w:r>
      <w:r w:rsidRPr="00F13DA5">
        <w:rPr>
          <w:rFonts w:hint="cs"/>
          <w:rtl/>
        </w:rPr>
        <w:t>על פי</w:t>
      </w:r>
      <w:r w:rsidRPr="00F13DA5">
        <w:rPr>
          <w:rtl/>
        </w:rPr>
        <w:t xml:space="preserve"> </w:t>
      </w:r>
      <w:r w:rsidRPr="00F13DA5">
        <w:rPr>
          <w:rFonts w:hint="cs"/>
          <w:rtl/>
        </w:rPr>
        <w:t>ה</w:t>
      </w:r>
      <w:r w:rsidRPr="00F13DA5">
        <w:rPr>
          <w:rtl/>
        </w:rPr>
        <w:t xml:space="preserve">מתווה הנוסף </w:t>
      </w:r>
      <w:r w:rsidRPr="00F13DA5">
        <w:rPr>
          <w:rFonts w:hint="eastAsia"/>
          <w:rtl/>
        </w:rPr>
        <w:t>שהציעה</w:t>
      </w:r>
      <w:r w:rsidRPr="00F13DA5">
        <w:rPr>
          <w:rtl/>
        </w:rPr>
        <w:t xml:space="preserve"> הסנגוריה הציבורית - שחרור בתנאי שמצוי בסמכות הקצין והארכת התנאי לתקופה שמעבר לסמכות הקצין בבית המשפט ובשלב מאוחר יותר.</w:t>
      </w:r>
    </w:p>
    <w:p w14:paraId="2937C423" w14:textId="77777777" w:rsidR="00BA23AE" w:rsidRPr="00F13DA5" w:rsidRDefault="00BA23AE" w:rsidP="00951EFA">
      <w:pPr>
        <w:pStyle w:val="af3"/>
        <w:rPr>
          <w:rtl/>
        </w:rPr>
      </w:pPr>
      <w:r w:rsidRPr="00F13DA5">
        <w:rPr>
          <w:rFonts w:hint="cs"/>
          <w:rtl/>
        </w:rPr>
        <w:lastRenderedPageBreak/>
        <w:t xml:space="preserve">המשטרה מסרה בתגובתה כי הבקשה המוגשת לבית המשפט אינה מחויבת להיות בהלימה להחלטה המתקבלת על ידי בית המשפט וכי מספר המשוחררים על ידי בית משפט בתנאים שקצין משטרה יכול היה להשיתם </w:t>
      </w:r>
      <w:r w:rsidRPr="00F13DA5">
        <w:rPr>
          <w:rFonts w:hint="eastAsia"/>
          <w:rtl/>
        </w:rPr>
        <w:t>אינם</w:t>
      </w:r>
      <w:r w:rsidRPr="00F13DA5">
        <w:rPr>
          <w:rtl/>
        </w:rPr>
        <w:t xml:space="preserve"> </w:t>
      </w:r>
      <w:r w:rsidRPr="00F13DA5">
        <w:rPr>
          <w:rFonts w:hint="eastAsia"/>
          <w:rtl/>
        </w:rPr>
        <w:t>מלמדים</w:t>
      </w:r>
      <w:r w:rsidRPr="00F13DA5">
        <w:rPr>
          <w:rtl/>
        </w:rPr>
        <w:t xml:space="preserve"> </w:t>
      </w:r>
      <w:r w:rsidRPr="00F13DA5">
        <w:rPr>
          <w:rFonts w:hint="eastAsia"/>
          <w:rtl/>
        </w:rPr>
        <w:t>כי</w:t>
      </w:r>
      <w:r w:rsidRPr="00F13DA5">
        <w:rPr>
          <w:rtl/>
        </w:rPr>
        <w:t xml:space="preserve"> </w:t>
      </w:r>
      <w:r w:rsidRPr="00F13DA5">
        <w:rPr>
          <w:rFonts w:hint="eastAsia"/>
          <w:rtl/>
        </w:rPr>
        <w:t>אלה</w:t>
      </w:r>
      <w:r w:rsidRPr="00F13DA5">
        <w:rPr>
          <w:rtl/>
        </w:rPr>
        <w:t xml:space="preserve"> </w:t>
      </w:r>
      <w:r w:rsidRPr="00F13DA5">
        <w:rPr>
          <w:rFonts w:hint="eastAsia"/>
          <w:rtl/>
        </w:rPr>
        <w:t>התנאים</w:t>
      </w:r>
      <w:r w:rsidRPr="00F13DA5">
        <w:rPr>
          <w:rtl/>
        </w:rPr>
        <w:t xml:space="preserve"> </w:t>
      </w:r>
      <w:r>
        <w:rPr>
          <w:rFonts w:hint="cs"/>
          <w:rtl/>
        </w:rPr>
        <w:t>ש</w:t>
      </w:r>
      <w:r w:rsidRPr="00F13DA5">
        <w:rPr>
          <w:rFonts w:hint="eastAsia"/>
          <w:rtl/>
        </w:rPr>
        <w:t>ביקשה</w:t>
      </w:r>
      <w:r w:rsidRPr="00F13DA5">
        <w:rPr>
          <w:rtl/>
        </w:rPr>
        <w:t xml:space="preserve"> </w:t>
      </w:r>
      <w:r w:rsidRPr="00F13DA5">
        <w:rPr>
          <w:rFonts w:hint="eastAsia"/>
          <w:rtl/>
        </w:rPr>
        <w:t>המשטרה</w:t>
      </w:r>
      <w:r w:rsidRPr="00F13DA5">
        <w:rPr>
          <w:rFonts w:hint="cs"/>
          <w:rtl/>
        </w:rPr>
        <w:t xml:space="preserve">. ייתכן בהחלט, ואף סביר, כי המשטרה ביקשה תנאים מחמירים יותר או אף הארכת מעצר ובית המשפט הסתפק בתנאים שמלכתחילה מוסמך היה קצין לבקשם. </w:t>
      </w:r>
    </w:p>
    <w:p w14:paraId="61B9982D" w14:textId="77777777" w:rsidR="00BA23AE" w:rsidRPr="00F13DA5" w:rsidRDefault="00BA23AE" w:rsidP="00951EFA">
      <w:pPr>
        <w:pStyle w:val="af4"/>
        <w:rPr>
          <w:rtl/>
        </w:rPr>
      </w:pPr>
      <w:r w:rsidRPr="00F13DA5">
        <w:rPr>
          <w:rFonts w:hint="cs"/>
          <w:rtl/>
        </w:rPr>
        <w:t>בהיעדר נתונים בנושא</w:t>
      </w:r>
      <w:r>
        <w:rPr>
          <w:rFonts w:hint="cs"/>
          <w:rtl/>
        </w:rPr>
        <w:t>, המשטרה לא יכולה לבסס את עמדתה</w:t>
      </w:r>
      <w:r w:rsidRPr="00F13DA5">
        <w:rPr>
          <w:rFonts w:hint="cs"/>
          <w:rtl/>
        </w:rPr>
        <w:t xml:space="preserve">. אף לו ניתן היה לעשות זאת, שיעור השחרורים ממעצר על ידי בית המשפט בתנאים המצויים בסמכות מקבילה לזו של הקצין הממונה </w:t>
      </w:r>
      <w:r>
        <w:rPr>
          <w:rFonts w:hint="cs"/>
          <w:rtl/>
        </w:rPr>
        <w:t>מחייב בדיקה משמעותית</w:t>
      </w:r>
      <w:r w:rsidRPr="00F13DA5">
        <w:rPr>
          <w:rFonts w:hint="cs"/>
          <w:rtl/>
        </w:rPr>
        <w:t xml:space="preserve">. </w:t>
      </w:r>
      <w:r w:rsidRPr="00F13DA5">
        <w:rPr>
          <w:rFonts w:hint="eastAsia"/>
          <w:rtl/>
        </w:rPr>
        <w:t>רק</w:t>
      </w:r>
      <w:r w:rsidRPr="00F13DA5">
        <w:rPr>
          <w:rtl/>
        </w:rPr>
        <w:t xml:space="preserve"> </w:t>
      </w:r>
      <w:r w:rsidRPr="00F13DA5">
        <w:rPr>
          <w:rFonts w:hint="eastAsia"/>
          <w:rtl/>
        </w:rPr>
        <w:t>כך</w:t>
      </w:r>
      <w:r w:rsidRPr="00F13DA5">
        <w:rPr>
          <w:rtl/>
        </w:rPr>
        <w:t xml:space="preserve"> תוכל המשטרה לדעת </w:t>
      </w:r>
      <w:r w:rsidRPr="00F13DA5">
        <w:rPr>
          <w:rFonts w:hint="cs"/>
          <w:rtl/>
        </w:rPr>
        <w:t>אם יש</w:t>
      </w:r>
      <w:r w:rsidRPr="00F13DA5">
        <w:rPr>
          <w:rtl/>
        </w:rPr>
        <w:t xml:space="preserve"> פער משמעותי בין תנאים מחמירים המתבקשים על ידי המשטרה לבין החלטת בית המשפט ומהו המענה שעליה לתת -</w:t>
      </w:r>
      <w:r>
        <w:rPr>
          <w:rtl/>
        </w:rPr>
        <w:t xml:space="preserve"> </w:t>
      </w:r>
      <w:r w:rsidRPr="00F13DA5">
        <w:rPr>
          <w:rFonts w:hint="cs"/>
          <w:rtl/>
        </w:rPr>
        <w:t xml:space="preserve">יישום רוח הפסיקה והטמעתה בהחלטות הקצין הממונה בשטח או </w:t>
      </w:r>
      <w:r>
        <w:rPr>
          <w:rFonts w:hint="cs"/>
          <w:rtl/>
        </w:rPr>
        <w:t>הגשת ערעורים שיביאו לשינוי רוח הפסיקה, כמקובל</w:t>
      </w:r>
      <w:r w:rsidRPr="00F13DA5">
        <w:rPr>
          <w:rtl/>
        </w:rPr>
        <w:t>.</w:t>
      </w:r>
      <w:r w:rsidRPr="00F13DA5">
        <w:rPr>
          <w:rFonts w:hint="cs"/>
          <w:rtl/>
        </w:rPr>
        <w:t xml:space="preserve"> </w:t>
      </w:r>
    </w:p>
    <w:p w14:paraId="01A713A1" w14:textId="77777777" w:rsidR="00BA23AE" w:rsidRPr="00F13DA5" w:rsidRDefault="00BA23AE" w:rsidP="00951EFA">
      <w:pPr>
        <w:pStyle w:val="af4"/>
        <w:rPr>
          <w:rtl/>
        </w:rPr>
      </w:pPr>
      <w:r w:rsidRPr="00F13DA5">
        <w:rPr>
          <w:rFonts w:hint="cs"/>
          <w:rtl/>
        </w:rPr>
        <w:t>על המשטרה</w:t>
      </w:r>
      <w:r w:rsidRPr="00F13DA5">
        <w:rPr>
          <w:rtl/>
        </w:rPr>
        <w:t xml:space="preserve"> לבדוק את המעצרים </w:t>
      </w:r>
      <w:r w:rsidRPr="00F13DA5">
        <w:rPr>
          <w:rFonts w:hint="cs"/>
          <w:rtl/>
        </w:rPr>
        <w:t>ש</w:t>
      </w:r>
      <w:r w:rsidRPr="00F13DA5">
        <w:rPr>
          <w:rtl/>
        </w:rPr>
        <w:t xml:space="preserve">בהם החלטת השחרור, על כלל תנאיה, מצויה בסמכות </w:t>
      </w:r>
      <w:r w:rsidRPr="00F13DA5">
        <w:rPr>
          <w:rFonts w:hint="cs"/>
          <w:rtl/>
        </w:rPr>
        <w:t>מקבילה לזו של ה</w:t>
      </w:r>
      <w:r w:rsidRPr="00F13DA5">
        <w:rPr>
          <w:rtl/>
        </w:rPr>
        <w:t xml:space="preserve">קצין </w:t>
      </w:r>
      <w:r w:rsidRPr="00F13DA5">
        <w:rPr>
          <w:rFonts w:hint="cs"/>
          <w:rtl/>
        </w:rPr>
        <w:t>ה</w:t>
      </w:r>
      <w:r w:rsidRPr="00F13DA5">
        <w:rPr>
          <w:rtl/>
        </w:rPr>
        <w:t xml:space="preserve">ממונה. </w:t>
      </w:r>
      <w:r w:rsidRPr="00F13DA5">
        <w:rPr>
          <w:rFonts w:hint="cs"/>
          <w:rtl/>
        </w:rPr>
        <w:t>כך</w:t>
      </w:r>
      <w:r w:rsidRPr="00F13DA5">
        <w:rPr>
          <w:rtl/>
        </w:rPr>
        <w:t xml:space="preserve">, </w:t>
      </w:r>
      <w:r w:rsidRPr="00F13DA5">
        <w:rPr>
          <w:rFonts w:hint="cs"/>
          <w:rtl/>
        </w:rPr>
        <w:t xml:space="preserve">היא </w:t>
      </w:r>
      <w:r w:rsidRPr="00F13DA5">
        <w:rPr>
          <w:rtl/>
        </w:rPr>
        <w:t>תוכל לבחון</w:t>
      </w:r>
      <w:r w:rsidRPr="00F13DA5">
        <w:rPr>
          <w:rFonts w:hint="cs"/>
          <w:rtl/>
        </w:rPr>
        <w:t xml:space="preserve"> את</w:t>
      </w:r>
      <w:r w:rsidRPr="00F13DA5">
        <w:rPr>
          <w:rtl/>
        </w:rPr>
        <w:t xml:space="preserve"> </w:t>
      </w:r>
      <w:r w:rsidRPr="00F13DA5">
        <w:rPr>
          <w:rFonts w:hint="cs"/>
          <w:rtl/>
        </w:rPr>
        <w:t xml:space="preserve">מהות </w:t>
      </w:r>
      <w:r w:rsidRPr="00F13DA5">
        <w:rPr>
          <w:rtl/>
        </w:rPr>
        <w:t xml:space="preserve">הפער </w:t>
      </w:r>
      <w:r w:rsidRPr="00F13DA5">
        <w:rPr>
          <w:rFonts w:hint="cs"/>
          <w:rtl/>
        </w:rPr>
        <w:t>ש</w:t>
      </w:r>
      <w:r w:rsidRPr="00F13DA5">
        <w:rPr>
          <w:rtl/>
        </w:rPr>
        <w:t>בין בקש</w:t>
      </w:r>
      <w:r w:rsidRPr="00F13DA5">
        <w:rPr>
          <w:rFonts w:hint="cs"/>
          <w:rtl/>
        </w:rPr>
        <w:t>ו</w:t>
      </w:r>
      <w:r w:rsidRPr="00F13DA5">
        <w:rPr>
          <w:rtl/>
        </w:rPr>
        <w:t>ת</w:t>
      </w:r>
      <w:r w:rsidRPr="00F13DA5">
        <w:rPr>
          <w:rFonts w:hint="cs"/>
          <w:rtl/>
        </w:rPr>
        <w:t>יה</w:t>
      </w:r>
      <w:r w:rsidRPr="00F13DA5">
        <w:rPr>
          <w:rtl/>
        </w:rPr>
        <w:t xml:space="preserve"> </w:t>
      </w:r>
      <w:r w:rsidRPr="00F13DA5">
        <w:rPr>
          <w:rFonts w:hint="cs"/>
          <w:rtl/>
        </w:rPr>
        <w:t>ובין</w:t>
      </w:r>
      <w:r w:rsidRPr="00F13DA5">
        <w:rPr>
          <w:rtl/>
        </w:rPr>
        <w:t xml:space="preserve"> החלט</w:t>
      </w:r>
      <w:r w:rsidRPr="00F13DA5">
        <w:rPr>
          <w:rFonts w:hint="cs"/>
          <w:rtl/>
        </w:rPr>
        <w:t>ו</w:t>
      </w:r>
      <w:r w:rsidRPr="00F13DA5">
        <w:rPr>
          <w:rtl/>
        </w:rPr>
        <w:t>ת בית המשפט</w:t>
      </w:r>
      <w:r w:rsidRPr="00F13DA5">
        <w:rPr>
          <w:rFonts w:hint="cs"/>
          <w:rtl/>
        </w:rPr>
        <w:t>, לרבות, כשהן התקבלו חרף התנגדותה.</w:t>
      </w:r>
      <w:r>
        <w:rPr>
          <w:rFonts w:hint="cs"/>
          <w:rtl/>
        </w:rPr>
        <w:t xml:space="preserve"> </w:t>
      </w:r>
    </w:p>
    <w:p w14:paraId="43808BBA" w14:textId="77777777" w:rsidR="00BA23AE" w:rsidRPr="00F13DA5" w:rsidRDefault="00BA23AE" w:rsidP="00951EFA">
      <w:pPr>
        <w:pStyle w:val="316"/>
        <w:rPr>
          <w:rtl/>
        </w:rPr>
      </w:pPr>
      <w:bookmarkStart w:id="18" w:name="_Toc6326478"/>
      <w:bookmarkStart w:id="19" w:name="_Toc23159662"/>
      <w:bookmarkStart w:id="20" w:name="_Toc23160160"/>
      <w:bookmarkStart w:id="21" w:name="_Toc24624825"/>
      <w:bookmarkStart w:id="22" w:name="_Toc23159663"/>
      <w:bookmarkStart w:id="23" w:name="_Toc23160161"/>
      <w:bookmarkStart w:id="24" w:name="_Toc24624826"/>
      <w:r w:rsidRPr="00F13DA5">
        <w:rPr>
          <w:rFonts w:hint="cs"/>
          <w:rtl/>
        </w:rPr>
        <w:t>הפקדת ערובה והחזרתה</w:t>
      </w:r>
    </w:p>
    <w:p w14:paraId="21A30B00" w14:textId="0F9C72A7" w:rsidR="00BA23AE" w:rsidRPr="00F13DA5" w:rsidRDefault="00BA23AE" w:rsidP="007F53B3">
      <w:pPr>
        <w:pStyle w:val="100"/>
        <w:rPr>
          <w:rtl/>
        </w:rPr>
      </w:pPr>
      <w:r w:rsidRPr="007F53B3">
        <w:rPr>
          <w:rFonts w:hint="cs"/>
          <w:rtl/>
        </w:rPr>
        <w:t>לפי חוק המעצרים ופקודת מטא"ר, קצין ממונה ובית המשפט מוסמכים להטיל ערובה על עצור שטרם הוגש נגדו כתב אישום ולהתנות את שחרורו ממעצר בתנאים נוספים. ערובה יכולה</w:t>
      </w:r>
      <w:r w:rsidR="007F53B3">
        <w:rPr>
          <w:rFonts w:hint="cs"/>
          <w:rtl/>
        </w:rPr>
        <w:t xml:space="preserve"> </w:t>
      </w:r>
      <w:r w:rsidRPr="00F13DA5">
        <w:rPr>
          <w:rFonts w:hint="cs"/>
          <w:rtl/>
        </w:rPr>
        <w:t>להיות</w:t>
      </w:r>
      <w:r w:rsidR="007F53B3">
        <w:rPr>
          <w:rFonts w:hint="cs"/>
          <w:rtl/>
        </w:rPr>
        <w:t xml:space="preserve"> </w:t>
      </w:r>
      <w:r w:rsidRPr="00F13DA5">
        <w:rPr>
          <w:rFonts w:hint="cs"/>
          <w:rtl/>
        </w:rPr>
        <w:t>עירבון כספי</w:t>
      </w:r>
      <w:r w:rsidRPr="00F13DA5">
        <w:rPr>
          <w:vertAlign w:val="superscript"/>
          <w:rtl/>
        </w:rPr>
        <w:footnoteReference w:id="49"/>
      </w:r>
      <w:r w:rsidRPr="00F13DA5">
        <w:rPr>
          <w:rFonts w:hint="cs"/>
          <w:rtl/>
        </w:rPr>
        <w:t xml:space="preserve"> או ערבות עצמית</w:t>
      </w:r>
      <w:r w:rsidRPr="00F13DA5">
        <w:rPr>
          <w:vertAlign w:val="superscript"/>
          <w:rtl/>
        </w:rPr>
        <w:footnoteReference w:id="50"/>
      </w:r>
      <w:r w:rsidRPr="00F13DA5">
        <w:rPr>
          <w:rFonts w:hint="cs"/>
          <w:rtl/>
        </w:rPr>
        <w:t xml:space="preserve">. על הקצין הממונה להעדיף את שחרור העצור בתנאים אם בכך ניתן להשיג את מטרת המעצר, </w:t>
      </w:r>
      <w:r>
        <w:rPr>
          <w:rFonts w:hint="cs"/>
          <w:rtl/>
        </w:rPr>
        <w:t>שכן</w:t>
      </w:r>
      <w:r w:rsidRPr="00F13DA5">
        <w:rPr>
          <w:rFonts w:hint="cs"/>
          <w:rtl/>
        </w:rPr>
        <w:t xml:space="preserve"> הערובה מסייעת להבטיח התייצבות לחקירה או למשפט ולמנוע שיבוש הליכים אלו. </w:t>
      </w:r>
    </w:p>
    <w:p w14:paraId="5330AD49" w14:textId="77777777" w:rsidR="00BA23AE" w:rsidRPr="00F13DA5" w:rsidRDefault="00BA23AE" w:rsidP="007F53B3">
      <w:pPr>
        <w:pStyle w:val="100"/>
        <w:rPr>
          <w:rtl/>
        </w:rPr>
      </w:pPr>
      <w:r w:rsidRPr="00F13DA5">
        <w:rPr>
          <w:rFonts w:hint="cs"/>
          <w:rtl/>
        </w:rPr>
        <w:t xml:space="preserve">הכלל הוא כי תוקפם של הערובה ותנאי השחרור מתבטל בתוך 180 יום אם לא הוגש כתב אישום נגד החשוד בפרק זמן זה, אך בית המשפט מוסמך להאריך את תקופת הערובה ואת תנאי השחרור בתנאים הקבועים בחוק. </w:t>
      </w:r>
    </w:p>
    <w:p w14:paraId="51D38DC1" w14:textId="77777777" w:rsidR="00BA23AE" w:rsidRPr="00F13DA5" w:rsidRDefault="00BA23AE" w:rsidP="007F53B3">
      <w:pPr>
        <w:pStyle w:val="100"/>
        <w:rPr>
          <w:rtl/>
        </w:rPr>
      </w:pPr>
      <w:r w:rsidRPr="00F13DA5">
        <w:rPr>
          <w:rFonts w:hint="cs"/>
          <w:rtl/>
        </w:rPr>
        <w:t xml:space="preserve">אם קצין ממונה הורה על שחרור ממעצר בתנאים של הפקדת ערובה, יופקדו הכספים בתחנת המשטרה, והאחריות להשיב את כספי הערובה מוטלת על המשטרה. אם בית המשפט </w:t>
      </w:r>
      <w:r>
        <w:rPr>
          <w:rFonts w:hint="cs"/>
          <w:rtl/>
        </w:rPr>
        <w:t>הוא ש</w:t>
      </w:r>
      <w:r w:rsidRPr="00F13DA5">
        <w:rPr>
          <w:rFonts w:hint="cs"/>
          <w:rtl/>
        </w:rPr>
        <w:t xml:space="preserve">הורה על הפקדת הערובה, יופקדו הכספים בבית המשפט, והאחריות להשיב את הכספים מוטלת על מערכת בתי המשפט (להלן - כספי </w:t>
      </w:r>
      <w:r>
        <w:rPr>
          <w:rFonts w:hint="cs"/>
          <w:rtl/>
        </w:rPr>
        <w:t>ה</w:t>
      </w:r>
      <w:r w:rsidRPr="00F13DA5">
        <w:rPr>
          <w:rFonts w:hint="cs"/>
          <w:rtl/>
        </w:rPr>
        <w:t xml:space="preserve">פיקדונות). </w:t>
      </w:r>
    </w:p>
    <w:p w14:paraId="4CAC5560" w14:textId="77777777" w:rsidR="00BA23AE" w:rsidRPr="00F13DA5" w:rsidRDefault="00BA23AE" w:rsidP="007F53B3">
      <w:pPr>
        <w:pStyle w:val="af4"/>
        <w:rPr>
          <w:rtl/>
        </w:rPr>
      </w:pPr>
      <w:r w:rsidRPr="00F13DA5">
        <w:rPr>
          <w:rFonts w:hint="cs"/>
          <w:rtl/>
        </w:rPr>
        <w:lastRenderedPageBreak/>
        <w:t xml:space="preserve">הביקורת העלתה </w:t>
      </w:r>
      <w:r>
        <w:rPr>
          <w:rFonts w:hint="cs"/>
          <w:rtl/>
        </w:rPr>
        <w:t xml:space="preserve">כי </w:t>
      </w:r>
      <w:r w:rsidRPr="00F13DA5">
        <w:rPr>
          <w:rFonts w:hint="cs"/>
          <w:rtl/>
        </w:rPr>
        <w:t xml:space="preserve">פעמים רבות עולים קשיים לאתר את הזכאים להחזר כספי הפיקדונות בשל סיבות שונות, ובהן היעדר פרטים מזהים או פרטי התקשרות מהימנים. </w:t>
      </w:r>
      <w:r>
        <w:rPr>
          <w:rFonts w:hint="cs"/>
          <w:rtl/>
        </w:rPr>
        <w:t xml:space="preserve">כמו כן עלה, </w:t>
      </w:r>
      <w:r w:rsidRPr="00F13DA5">
        <w:rPr>
          <w:rFonts w:hint="cs"/>
          <w:rtl/>
        </w:rPr>
        <w:t>כי המשטרה והנהלת בתי המשפט פועלות בדרכים שונות בכל הנוגע להחזר כספי הפיקדונות ולהתמודדות עם הקושי לאתר את הזכאים, כפי שיפורט להלן:</w:t>
      </w:r>
    </w:p>
    <w:p w14:paraId="571631E3" w14:textId="77777777" w:rsidR="00BA23AE" w:rsidRPr="00F13DA5" w:rsidRDefault="00BA23AE" w:rsidP="007F53B3">
      <w:pPr>
        <w:pStyle w:val="414"/>
        <w:rPr>
          <w:rtl/>
        </w:rPr>
      </w:pPr>
      <w:r w:rsidRPr="00F13DA5">
        <w:rPr>
          <w:rFonts w:hint="cs"/>
          <w:rtl/>
        </w:rPr>
        <w:t>הפקדת ערובה במשטרה</w:t>
      </w:r>
      <w:r w:rsidRPr="00596CD9">
        <w:rPr>
          <w:rFonts w:hint="cs"/>
          <w:rtl/>
        </w:rPr>
        <w:t xml:space="preserve"> </w:t>
      </w:r>
      <w:r w:rsidRPr="00F13DA5">
        <w:rPr>
          <w:rFonts w:hint="cs"/>
          <w:rtl/>
        </w:rPr>
        <w:t>והחזרתה</w:t>
      </w:r>
    </w:p>
    <w:p w14:paraId="411FC758" w14:textId="77777777" w:rsidR="00BA23AE" w:rsidRPr="00F13DA5" w:rsidRDefault="00BA23AE" w:rsidP="007F53B3">
      <w:pPr>
        <w:pStyle w:val="100"/>
        <w:rPr>
          <w:rtl/>
        </w:rPr>
      </w:pPr>
      <w:r w:rsidRPr="00F13DA5">
        <w:rPr>
          <w:rFonts w:hint="cs"/>
          <w:rtl/>
        </w:rPr>
        <w:t>הפקדת כספים לצורך שחרור בערובה מתאפשרת בכל שעות היממה באמצעות מתקני</w:t>
      </w:r>
      <w:r>
        <w:rPr>
          <w:rFonts w:hint="cs"/>
          <w:rtl/>
        </w:rPr>
        <w:t>ם מסוג</w:t>
      </w:r>
      <w:r w:rsidRPr="00F13DA5">
        <w:rPr>
          <w:rFonts w:hint="cs"/>
          <w:rtl/>
        </w:rPr>
        <w:t xml:space="preserve"> "בנקט", שהותקנו החל בשנת 2014 בכל תחנות המשטרה. כמו כן, ניתן לבצע את התשלום באמצעות העברה בנקאית באינטרנט באתר שירות התשלומים הממשלתי או בתשלום במזומן בבנק הדואר. </w:t>
      </w:r>
    </w:p>
    <w:p w14:paraId="63482A30" w14:textId="77777777" w:rsidR="00BA23AE" w:rsidRPr="00F13DA5" w:rsidRDefault="00BA23AE" w:rsidP="007F53B3">
      <w:pPr>
        <w:pStyle w:val="100"/>
        <w:rPr>
          <w:rtl/>
        </w:rPr>
      </w:pPr>
      <w:r w:rsidRPr="00F13DA5">
        <w:rPr>
          <w:rFonts w:hint="cs"/>
          <w:rtl/>
        </w:rPr>
        <w:t>בעת הפקדת כספי הערובה נשמרים במשטרה פרטי</w:t>
      </w:r>
      <w:r>
        <w:rPr>
          <w:rFonts w:hint="cs"/>
          <w:rtl/>
        </w:rPr>
        <w:t>ו של</w:t>
      </w:r>
      <w:r w:rsidRPr="00F13DA5">
        <w:rPr>
          <w:rFonts w:hint="cs"/>
          <w:rtl/>
        </w:rPr>
        <w:t xml:space="preserve"> מפקיד הכספים בפועל (</w:t>
      </w:r>
      <w:r>
        <w:rPr>
          <w:rFonts w:hint="cs"/>
          <w:rtl/>
        </w:rPr>
        <w:t xml:space="preserve">מספר </w:t>
      </w:r>
      <w:r w:rsidRPr="00F13DA5">
        <w:rPr>
          <w:rFonts w:hint="cs"/>
          <w:rtl/>
        </w:rPr>
        <w:t xml:space="preserve">תעודת </w:t>
      </w:r>
      <w:r>
        <w:rPr>
          <w:rFonts w:hint="cs"/>
          <w:rtl/>
        </w:rPr>
        <w:t>ה</w:t>
      </w:r>
      <w:r w:rsidRPr="00F13DA5">
        <w:rPr>
          <w:rFonts w:hint="cs"/>
          <w:rtl/>
        </w:rPr>
        <w:t xml:space="preserve">זהות ומספר </w:t>
      </w:r>
      <w:r>
        <w:rPr>
          <w:rFonts w:hint="cs"/>
          <w:rtl/>
        </w:rPr>
        <w:t>הטלפון ה</w:t>
      </w:r>
      <w:r w:rsidRPr="00F13DA5">
        <w:rPr>
          <w:rFonts w:hint="cs"/>
          <w:rtl/>
        </w:rPr>
        <w:t>סלולרי, ככל שישנו)</w:t>
      </w:r>
      <w:r>
        <w:rPr>
          <w:rFonts w:hint="cs"/>
          <w:rtl/>
        </w:rPr>
        <w:t>,</w:t>
      </w:r>
      <w:r w:rsidRPr="00F13DA5">
        <w:rPr>
          <w:rFonts w:hint="cs"/>
          <w:rtl/>
        </w:rPr>
        <w:t xml:space="preserve"> ולאו דווקא של העצור שנקבעו לגביו התנאים לשחרור בערובה. יצוין כי הכספים שמורים כפיקדונות בספרי הנהלת החשבונות של אגף החשב הכללי במשרד האוצר, האמון גם על שמירת ערך הכסף</w:t>
      </w:r>
      <w:r w:rsidRPr="00F13DA5">
        <w:rPr>
          <w:rStyle w:val="FootnoteReference"/>
          <w:rtl/>
        </w:rPr>
        <w:footnoteReference w:id="51"/>
      </w:r>
      <w:r w:rsidRPr="00F13DA5">
        <w:rPr>
          <w:rFonts w:hint="cs"/>
          <w:rtl/>
        </w:rPr>
        <w:t>. בחלוף 180 יום</w:t>
      </w:r>
      <w:r>
        <w:rPr>
          <w:rFonts w:hint="cs"/>
          <w:rtl/>
        </w:rPr>
        <w:t>,</w:t>
      </w:r>
      <w:r w:rsidRPr="00F13DA5">
        <w:rPr>
          <w:rFonts w:hint="cs"/>
          <w:rtl/>
        </w:rPr>
        <w:t xml:space="preserve"> ובהתקיים התנאים הקבועים בחוק, מעבירה המשטרה באופן יזום מסרון (הודעת </w:t>
      </w:r>
      <w:r w:rsidRPr="00F13DA5">
        <w:rPr>
          <w:rFonts w:hint="cs"/>
        </w:rPr>
        <w:t>SMS</w:t>
      </w:r>
      <w:r w:rsidRPr="00F13DA5">
        <w:rPr>
          <w:rFonts w:hint="cs"/>
          <w:rtl/>
        </w:rPr>
        <w:t>) למפקיד הערובה על הכספים שהוא זכאי להם, והשבתם בפועל נעשית בבנק הדואר, בכפוף להצגת תעודת זהות. יצוין שבירורים על הזכאות להשבת הכספים נעשים באמצעות אתר מקוון</w:t>
      </w:r>
      <w:r w:rsidRPr="00F13DA5">
        <w:rPr>
          <w:vertAlign w:val="superscript"/>
          <w:rtl/>
        </w:rPr>
        <w:footnoteReference w:id="52"/>
      </w:r>
      <w:r w:rsidRPr="00F13DA5">
        <w:rPr>
          <w:rFonts w:hint="cs"/>
          <w:rtl/>
        </w:rPr>
        <w:t>.</w:t>
      </w:r>
    </w:p>
    <w:p w14:paraId="7C6FE5AB" w14:textId="77777777" w:rsidR="00BA23AE" w:rsidRPr="00F13DA5" w:rsidRDefault="00BA23AE" w:rsidP="007F53B3">
      <w:pPr>
        <w:pStyle w:val="af4"/>
        <w:rPr>
          <w:rtl/>
        </w:rPr>
      </w:pPr>
      <w:r w:rsidRPr="00F13DA5">
        <w:rPr>
          <w:rFonts w:hint="cs"/>
          <w:rtl/>
        </w:rPr>
        <w:t xml:space="preserve">נמצא כי במשטרה צבורים כספי ערובה בסך </w:t>
      </w:r>
      <w:r>
        <w:rPr>
          <w:rFonts w:hint="cs"/>
          <w:rtl/>
        </w:rPr>
        <w:t>כ-7.87 מיליון</w:t>
      </w:r>
      <w:r w:rsidRPr="00F13DA5">
        <w:rPr>
          <w:rFonts w:hint="cs"/>
          <w:rtl/>
        </w:rPr>
        <w:t xml:space="preserve"> ש"ח שהופקדו בהליכי מעצרים וטרם הושבו לזכאים. להלן בלוח התפלגות מספר התיקים והסכומים בשנים 2014 - 2018:</w:t>
      </w:r>
    </w:p>
    <w:p w14:paraId="5CFB83D9" w14:textId="77777777" w:rsidR="00BA23AE" w:rsidRPr="007F53B3" w:rsidRDefault="00BA23AE" w:rsidP="007F53B3">
      <w:pPr>
        <w:pStyle w:val="a9"/>
        <w:rPr>
          <w:b/>
          <w:bCs/>
          <w:rtl/>
        </w:rPr>
      </w:pPr>
      <w:r w:rsidRPr="00F13DA5">
        <w:rPr>
          <w:rFonts w:hint="cs"/>
          <w:rtl/>
        </w:rPr>
        <w:lastRenderedPageBreak/>
        <w:t xml:space="preserve">לוח </w:t>
      </w:r>
      <w:r>
        <w:rPr>
          <w:rFonts w:hint="cs"/>
          <w:rtl/>
        </w:rPr>
        <w:t>10</w:t>
      </w:r>
      <w:r w:rsidRPr="00F13DA5">
        <w:rPr>
          <w:rFonts w:hint="cs"/>
          <w:rtl/>
        </w:rPr>
        <w:t xml:space="preserve">: </w:t>
      </w:r>
      <w:r w:rsidRPr="007F53B3">
        <w:rPr>
          <w:rFonts w:hint="cs"/>
          <w:b/>
          <w:bCs/>
          <w:rtl/>
        </w:rPr>
        <w:t>הפקדות ערובה במשטרת ישראל והחזרים, 2014 - 2018</w:t>
      </w:r>
      <w:r w:rsidRPr="00F13DA5">
        <w:rPr>
          <w:rFonts w:hint="cs"/>
          <w:rtl/>
        </w:rPr>
        <w:t xml:space="preserve"> </w:t>
      </w:r>
    </w:p>
    <w:tbl>
      <w:tblPr>
        <w:tblpPr w:leftFromText="180" w:rightFromText="180" w:vertAnchor="text" w:horzAnchor="margin" w:tblpXSpec="center" w:tblpY="-28"/>
        <w:bidiVisual/>
        <w:tblW w:w="8786" w:type="dxa"/>
        <w:tblLook w:val="04A0" w:firstRow="1" w:lastRow="0" w:firstColumn="1" w:lastColumn="0" w:noHBand="0" w:noVBand="1"/>
      </w:tblPr>
      <w:tblGrid>
        <w:gridCol w:w="843"/>
        <w:gridCol w:w="992"/>
        <w:gridCol w:w="992"/>
        <w:gridCol w:w="962"/>
        <w:gridCol w:w="933"/>
        <w:gridCol w:w="1006"/>
        <w:gridCol w:w="1098"/>
        <w:gridCol w:w="948"/>
        <w:gridCol w:w="1012"/>
      </w:tblGrid>
      <w:tr w:rsidR="002B6FB4" w:rsidRPr="008641A1" w14:paraId="69C98831" w14:textId="77777777" w:rsidTr="00094702">
        <w:trPr>
          <w:trHeight w:val="239"/>
        </w:trPr>
        <w:tc>
          <w:tcPr>
            <w:tcW w:w="843" w:type="dxa"/>
            <w:vMerge w:val="restart"/>
            <w:tcBorders>
              <w:top w:val="nil"/>
              <w:left w:val="nil"/>
              <w:bottom w:val="single" w:sz="8" w:space="0" w:color="000000"/>
              <w:right w:val="single" w:sz="8" w:space="0" w:color="auto"/>
            </w:tcBorders>
            <w:shd w:val="clear" w:color="auto" w:fill="auto"/>
            <w:noWrap/>
            <w:vAlign w:val="bottom"/>
            <w:hideMark/>
          </w:tcPr>
          <w:p w14:paraId="73D17E08" w14:textId="77777777" w:rsidR="002B6FB4" w:rsidRPr="002B6FB4" w:rsidRDefault="002B6FB4" w:rsidP="002B6FB4">
            <w:pPr>
              <w:bidi w:val="0"/>
              <w:spacing w:line="269" w:lineRule="auto"/>
              <w:jc w:val="center"/>
              <w:rPr>
                <w:rFonts w:ascii="Arial" w:eastAsia="Times New Roman" w:hAnsi="Arial"/>
                <w:color w:val="000000"/>
                <w:sz w:val="18"/>
                <w:szCs w:val="18"/>
              </w:rPr>
            </w:pPr>
          </w:p>
        </w:tc>
        <w:tc>
          <w:tcPr>
            <w:tcW w:w="2946" w:type="dxa"/>
            <w:gridSpan w:val="3"/>
            <w:tcBorders>
              <w:top w:val="single" w:sz="8" w:space="0" w:color="auto"/>
              <w:left w:val="single" w:sz="8" w:space="0" w:color="auto"/>
              <w:bottom w:val="single" w:sz="4" w:space="0" w:color="auto"/>
              <w:right w:val="single" w:sz="8" w:space="0" w:color="000000"/>
            </w:tcBorders>
            <w:shd w:val="clear" w:color="auto" w:fill="C6D9F1"/>
            <w:noWrap/>
            <w:vAlign w:val="bottom"/>
            <w:hideMark/>
          </w:tcPr>
          <w:p w14:paraId="46DCF091" w14:textId="77777777" w:rsidR="002B6FB4" w:rsidRPr="002B6FB4" w:rsidRDefault="002B6FB4" w:rsidP="002B6FB4">
            <w:pPr>
              <w:pStyle w:val="af0"/>
              <w:rPr>
                <w:rFonts w:eastAsia="Times New Roman"/>
                <w:sz w:val="18"/>
                <w:szCs w:val="18"/>
              </w:rPr>
            </w:pPr>
            <w:r w:rsidRPr="002B6FB4">
              <w:rPr>
                <w:rFonts w:eastAsia="Times New Roman"/>
                <w:sz w:val="18"/>
                <w:szCs w:val="18"/>
                <w:rtl/>
              </w:rPr>
              <w:t xml:space="preserve">מספר </w:t>
            </w:r>
            <w:r w:rsidRPr="002B6FB4">
              <w:rPr>
                <w:rFonts w:eastAsia="Times New Roman" w:hint="cs"/>
                <w:sz w:val="18"/>
                <w:szCs w:val="18"/>
                <w:rtl/>
              </w:rPr>
              <w:t>ה</w:t>
            </w:r>
            <w:r w:rsidRPr="002B6FB4">
              <w:rPr>
                <w:rFonts w:eastAsia="Times New Roman"/>
                <w:sz w:val="18"/>
                <w:szCs w:val="18"/>
                <w:rtl/>
              </w:rPr>
              <w:t>תיקים</w:t>
            </w:r>
          </w:p>
        </w:tc>
        <w:tc>
          <w:tcPr>
            <w:tcW w:w="4997" w:type="dxa"/>
            <w:gridSpan w:val="5"/>
            <w:tcBorders>
              <w:top w:val="single" w:sz="8" w:space="0" w:color="auto"/>
              <w:left w:val="single" w:sz="8" w:space="0" w:color="auto"/>
              <w:bottom w:val="single" w:sz="4" w:space="0" w:color="auto"/>
              <w:right w:val="single" w:sz="8" w:space="0" w:color="000000"/>
            </w:tcBorders>
            <w:shd w:val="clear" w:color="auto" w:fill="C6D9F1"/>
            <w:noWrap/>
            <w:vAlign w:val="bottom"/>
            <w:hideMark/>
          </w:tcPr>
          <w:p w14:paraId="2505C7AA" w14:textId="77777777" w:rsidR="002B6FB4" w:rsidRPr="002B6FB4" w:rsidRDefault="002B6FB4" w:rsidP="002B6FB4">
            <w:pPr>
              <w:pStyle w:val="af0"/>
              <w:rPr>
                <w:rFonts w:eastAsia="Times New Roman"/>
                <w:sz w:val="18"/>
                <w:szCs w:val="18"/>
                <w:rtl/>
              </w:rPr>
            </w:pPr>
            <w:r w:rsidRPr="002B6FB4">
              <w:rPr>
                <w:rFonts w:eastAsia="Times New Roman"/>
                <w:sz w:val="18"/>
                <w:szCs w:val="18"/>
                <w:rtl/>
              </w:rPr>
              <w:t>סכומים</w:t>
            </w:r>
            <w:r w:rsidRPr="002B6FB4">
              <w:rPr>
                <w:rFonts w:eastAsia="Times New Roman" w:hint="cs"/>
                <w:sz w:val="18"/>
                <w:szCs w:val="18"/>
                <w:rtl/>
              </w:rPr>
              <w:t xml:space="preserve"> (במיליוני ש"ח)</w:t>
            </w:r>
            <w:r w:rsidRPr="002B6FB4">
              <w:rPr>
                <w:rStyle w:val="FootnoteReference"/>
                <w:rFonts w:ascii="Arial" w:eastAsia="Times New Roman" w:hAnsi="Arial"/>
                <w:b w:val="0"/>
                <w:bCs w:val="0"/>
                <w:color w:val="000000"/>
                <w:sz w:val="18"/>
                <w:szCs w:val="18"/>
                <w:rtl/>
              </w:rPr>
              <w:footnoteReference w:id="53"/>
            </w:r>
          </w:p>
        </w:tc>
      </w:tr>
      <w:tr w:rsidR="002B6FB4" w:rsidRPr="008641A1" w14:paraId="09AB7D6B" w14:textId="77777777" w:rsidTr="00094702">
        <w:trPr>
          <w:trHeight w:val="251"/>
        </w:trPr>
        <w:tc>
          <w:tcPr>
            <w:tcW w:w="843" w:type="dxa"/>
            <w:vMerge/>
            <w:tcBorders>
              <w:top w:val="nil"/>
              <w:left w:val="nil"/>
              <w:bottom w:val="single" w:sz="8" w:space="0" w:color="000000"/>
              <w:right w:val="single" w:sz="8" w:space="0" w:color="auto"/>
            </w:tcBorders>
            <w:shd w:val="clear" w:color="auto" w:fill="auto"/>
            <w:vAlign w:val="bottom"/>
            <w:hideMark/>
          </w:tcPr>
          <w:p w14:paraId="737AABEB" w14:textId="77777777" w:rsidR="002B6FB4" w:rsidRPr="002B6FB4" w:rsidRDefault="002B6FB4" w:rsidP="002B6FB4">
            <w:pPr>
              <w:spacing w:line="269" w:lineRule="auto"/>
              <w:jc w:val="left"/>
              <w:rPr>
                <w:rFonts w:ascii="Arial" w:eastAsia="Times New Roman" w:hAnsi="Arial"/>
                <w:color w:val="000000"/>
                <w:sz w:val="18"/>
                <w:szCs w:val="18"/>
              </w:rPr>
            </w:pPr>
          </w:p>
        </w:tc>
        <w:tc>
          <w:tcPr>
            <w:tcW w:w="992" w:type="dxa"/>
            <w:tcBorders>
              <w:top w:val="nil"/>
              <w:left w:val="single" w:sz="8" w:space="0" w:color="auto"/>
              <w:bottom w:val="nil"/>
              <w:right w:val="single" w:sz="4" w:space="0" w:color="auto"/>
            </w:tcBorders>
            <w:shd w:val="clear" w:color="auto" w:fill="C6D9F1"/>
            <w:noWrap/>
            <w:vAlign w:val="bottom"/>
            <w:hideMark/>
          </w:tcPr>
          <w:p w14:paraId="44225AB2" w14:textId="77777777" w:rsidR="002B6FB4" w:rsidRPr="002B6FB4" w:rsidRDefault="002B6FB4" w:rsidP="002B6FB4">
            <w:pPr>
              <w:pStyle w:val="af0"/>
              <w:rPr>
                <w:sz w:val="18"/>
                <w:szCs w:val="18"/>
                <w:rtl/>
              </w:rPr>
            </w:pPr>
            <w:r w:rsidRPr="002B6FB4">
              <w:rPr>
                <w:sz w:val="18"/>
                <w:szCs w:val="18"/>
                <w:rtl/>
              </w:rPr>
              <w:t>הפקדות</w:t>
            </w:r>
          </w:p>
        </w:tc>
        <w:tc>
          <w:tcPr>
            <w:tcW w:w="992" w:type="dxa"/>
            <w:tcBorders>
              <w:top w:val="nil"/>
              <w:left w:val="single" w:sz="4" w:space="0" w:color="auto"/>
              <w:bottom w:val="nil"/>
              <w:right w:val="single" w:sz="4" w:space="0" w:color="auto"/>
            </w:tcBorders>
            <w:shd w:val="clear" w:color="auto" w:fill="C6D9F1"/>
            <w:noWrap/>
            <w:vAlign w:val="bottom"/>
            <w:hideMark/>
          </w:tcPr>
          <w:p w14:paraId="74FE301C" w14:textId="77777777" w:rsidR="002B6FB4" w:rsidRPr="002B6FB4" w:rsidRDefault="002B6FB4" w:rsidP="002B6FB4">
            <w:pPr>
              <w:pStyle w:val="af0"/>
              <w:rPr>
                <w:sz w:val="18"/>
                <w:szCs w:val="18"/>
                <w:rtl/>
              </w:rPr>
            </w:pPr>
            <w:r w:rsidRPr="002B6FB4">
              <w:rPr>
                <w:sz w:val="18"/>
                <w:szCs w:val="18"/>
                <w:rtl/>
              </w:rPr>
              <w:t>החזרים</w:t>
            </w:r>
          </w:p>
        </w:tc>
        <w:tc>
          <w:tcPr>
            <w:tcW w:w="962" w:type="dxa"/>
            <w:tcBorders>
              <w:top w:val="nil"/>
              <w:left w:val="single" w:sz="4" w:space="0" w:color="auto"/>
              <w:bottom w:val="nil"/>
              <w:right w:val="single" w:sz="8" w:space="0" w:color="auto"/>
            </w:tcBorders>
            <w:shd w:val="clear" w:color="auto" w:fill="C6D9F1"/>
            <w:noWrap/>
            <w:vAlign w:val="bottom"/>
            <w:hideMark/>
          </w:tcPr>
          <w:p w14:paraId="56888D05" w14:textId="77777777" w:rsidR="002B6FB4" w:rsidRPr="002B6FB4" w:rsidRDefault="002B6FB4" w:rsidP="002B6FB4">
            <w:pPr>
              <w:pStyle w:val="af0"/>
              <w:rPr>
                <w:sz w:val="18"/>
                <w:szCs w:val="18"/>
                <w:rtl/>
              </w:rPr>
            </w:pPr>
            <w:r w:rsidRPr="002B6FB4">
              <w:rPr>
                <w:sz w:val="18"/>
                <w:szCs w:val="18"/>
                <w:rtl/>
              </w:rPr>
              <w:t>שיעור ההחזר ממספר התיקים</w:t>
            </w:r>
          </w:p>
        </w:tc>
        <w:tc>
          <w:tcPr>
            <w:tcW w:w="933" w:type="dxa"/>
            <w:tcBorders>
              <w:top w:val="nil"/>
              <w:left w:val="single" w:sz="8" w:space="0" w:color="auto"/>
              <w:bottom w:val="nil"/>
              <w:right w:val="single" w:sz="4" w:space="0" w:color="auto"/>
            </w:tcBorders>
            <w:shd w:val="clear" w:color="auto" w:fill="C6D9F1"/>
            <w:noWrap/>
            <w:vAlign w:val="bottom"/>
            <w:hideMark/>
          </w:tcPr>
          <w:p w14:paraId="4F96D38E" w14:textId="77777777" w:rsidR="002B6FB4" w:rsidRPr="002B6FB4" w:rsidRDefault="002B6FB4" w:rsidP="002B6FB4">
            <w:pPr>
              <w:pStyle w:val="af0"/>
              <w:rPr>
                <w:sz w:val="18"/>
                <w:szCs w:val="18"/>
                <w:rtl/>
              </w:rPr>
            </w:pPr>
            <w:r w:rsidRPr="002B6FB4">
              <w:rPr>
                <w:sz w:val="18"/>
                <w:szCs w:val="18"/>
                <w:rtl/>
              </w:rPr>
              <w:t>הפקדות</w:t>
            </w:r>
          </w:p>
        </w:tc>
        <w:tc>
          <w:tcPr>
            <w:tcW w:w="1006" w:type="dxa"/>
            <w:tcBorders>
              <w:top w:val="nil"/>
              <w:left w:val="single" w:sz="4" w:space="0" w:color="auto"/>
              <w:bottom w:val="nil"/>
              <w:right w:val="single" w:sz="4" w:space="0" w:color="auto"/>
            </w:tcBorders>
            <w:shd w:val="clear" w:color="auto" w:fill="C6D9F1"/>
            <w:noWrap/>
            <w:vAlign w:val="bottom"/>
            <w:hideMark/>
          </w:tcPr>
          <w:p w14:paraId="683EC726" w14:textId="77777777" w:rsidR="002B6FB4" w:rsidRPr="002B6FB4" w:rsidRDefault="002B6FB4" w:rsidP="002B6FB4">
            <w:pPr>
              <w:pStyle w:val="af0"/>
              <w:rPr>
                <w:sz w:val="18"/>
                <w:szCs w:val="18"/>
                <w:rtl/>
              </w:rPr>
            </w:pPr>
            <w:r w:rsidRPr="002B6FB4">
              <w:rPr>
                <w:sz w:val="18"/>
                <w:szCs w:val="18"/>
                <w:rtl/>
              </w:rPr>
              <w:t>החזרים שנדרש להשיב*</w:t>
            </w:r>
          </w:p>
        </w:tc>
        <w:tc>
          <w:tcPr>
            <w:tcW w:w="1098" w:type="dxa"/>
            <w:tcBorders>
              <w:top w:val="nil"/>
              <w:left w:val="single" w:sz="4" w:space="0" w:color="auto"/>
              <w:bottom w:val="nil"/>
              <w:right w:val="single" w:sz="4" w:space="0" w:color="auto"/>
            </w:tcBorders>
            <w:shd w:val="clear" w:color="auto" w:fill="C6D9F1"/>
            <w:noWrap/>
            <w:vAlign w:val="bottom"/>
            <w:hideMark/>
          </w:tcPr>
          <w:p w14:paraId="4B6AF178" w14:textId="77777777" w:rsidR="002B6FB4" w:rsidRPr="002B6FB4" w:rsidRDefault="002B6FB4" w:rsidP="002B6FB4">
            <w:pPr>
              <w:pStyle w:val="af0"/>
              <w:rPr>
                <w:sz w:val="18"/>
                <w:szCs w:val="18"/>
                <w:rtl/>
              </w:rPr>
            </w:pPr>
            <w:r w:rsidRPr="002B6FB4">
              <w:rPr>
                <w:sz w:val="18"/>
                <w:szCs w:val="18"/>
                <w:rtl/>
              </w:rPr>
              <w:t>החזרים שלא נמשכו**</w:t>
            </w:r>
          </w:p>
        </w:tc>
        <w:tc>
          <w:tcPr>
            <w:tcW w:w="948" w:type="dxa"/>
            <w:tcBorders>
              <w:top w:val="nil"/>
              <w:left w:val="single" w:sz="4" w:space="0" w:color="auto"/>
              <w:bottom w:val="nil"/>
              <w:right w:val="single" w:sz="4" w:space="0" w:color="auto"/>
            </w:tcBorders>
            <w:shd w:val="clear" w:color="auto" w:fill="C6D9F1"/>
            <w:noWrap/>
            <w:vAlign w:val="bottom"/>
            <w:hideMark/>
          </w:tcPr>
          <w:p w14:paraId="60BE5B50" w14:textId="77777777" w:rsidR="002B6FB4" w:rsidRPr="002B6FB4" w:rsidRDefault="002B6FB4" w:rsidP="002B6FB4">
            <w:pPr>
              <w:pStyle w:val="af0"/>
              <w:rPr>
                <w:sz w:val="18"/>
                <w:szCs w:val="18"/>
                <w:rtl/>
              </w:rPr>
            </w:pPr>
            <w:r w:rsidRPr="002B6FB4">
              <w:rPr>
                <w:sz w:val="18"/>
                <w:szCs w:val="18"/>
                <w:rtl/>
              </w:rPr>
              <w:t>החזרים נטו***</w:t>
            </w:r>
          </w:p>
        </w:tc>
        <w:tc>
          <w:tcPr>
            <w:tcW w:w="1012" w:type="dxa"/>
            <w:tcBorders>
              <w:top w:val="nil"/>
              <w:left w:val="single" w:sz="4" w:space="0" w:color="auto"/>
              <w:bottom w:val="nil"/>
              <w:right w:val="single" w:sz="8" w:space="0" w:color="auto"/>
            </w:tcBorders>
            <w:shd w:val="clear" w:color="auto" w:fill="C6D9F1"/>
            <w:noWrap/>
            <w:vAlign w:val="bottom"/>
            <w:hideMark/>
          </w:tcPr>
          <w:p w14:paraId="01C1FA49" w14:textId="77777777" w:rsidR="002B6FB4" w:rsidRPr="002B6FB4" w:rsidRDefault="002B6FB4" w:rsidP="002B6FB4">
            <w:pPr>
              <w:pStyle w:val="af0"/>
              <w:rPr>
                <w:sz w:val="18"/>
                <w:szCs w:val="18"/>
                <w:rtl/>
              </w:rPr>
            </w:pPr>
            <w:r w:rsidRPr="002B6FB4">
              <w:rPr>
                <w:sz w:val="18"/>
                <w:szCs w:val="18"/>
                <w:rtl/>
              </w:rPr>
              <w:t>שיעור ההחזר מסכומי ההחזרים</w:t>
            </w:r>
          </w:p>
        </w:tc>
      </w:tr>
      <w:tr w:rsidR="002B6FB4" w:rsidRPr="008641A1" w14:paraId="482C3750" w14:textId="77777777" w:rsidTr="00094702">
        <w:trPr>
          <w:trHeight w:val="251"/>
        </w:trPr>
        <w:tc>
          <w:tcPr>
            <w:tcW w:w="843" w:type="dxa"/>
            <w:tcBorders>
              <w:top w:val="nil"/>
              <w:left w:val="single" w:sz="8" w:space="0" w:color="auto"/>
              <w:bottom w:val="single" w:sz="4" w:space="0" w:color="auto"/>
              <w:right w:val="nil"/>
            </w:tcBorders>
            <w:shd w:val="clear" w:color="auto" w:fill="auto"/>
            <w:noWrap/>
            <w:vAlign w:val="bottom"/>
            <w:hideMark/>
          </w:tcPr>
          <w:p w14:paraId="12F71C83" w14:textId="77777777" w:rsidR="002B6FB4" w:rsidRPr="002B6FB4" w:rsidRDefault="002B6FB4" w:rsidP="002B6FB4">
            <w:pPr>
              <w:pStyle w:val="B"/>
              <w:rPr>
                <w:sz w:val="18"/>
                <w:szCs w:val="18"/>
                <w:rtl/>
              </w:rPr>
            </w:pPr>
            <w:r w:rsidRPr="002B6FB4">
              <w:rPr>
                <w:sz w:val="18"/>
                <w:szCs w:val="18"/>
                <w:rtl/>
              </w:rPr>
              <w:t>2014</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0D7F42" w14:textId="77777777" w:rsidR="002B6FB4" w:rsidRPr="002B6FB4" w:rsidRDefault="002B6FB4" w:rsidP="002B6FB4">
            <w:pPr>
              <w:pStyle w:val="R"/>
              <w:rPr>
                <w:sz w:val="18"/>
                <w:szCs w:val="18"/>
              </w:rPr>
            </w:pPr>
            <w:r w:rsidRPr="002B6FB4">
              <w:rPr>
                <w:sz w:val="18"/>
                <w:szCs w:val="18"/>
              </w:rPr>
              <w:t>7,721</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9D7E1F9" w14:textId="77777777" w:rsidR="002B6FB4" w:rsidRPr="002B6FB4" w:rsidRDefault="002B6FB4" w:rsidP="002B6FB4">
            <w:pPr>
              <w:pStyle w:val="R"/>
              <w:rPr>
                <w:sz w:val="18"/>
                <w:szCs w:val="18"/>
              </w:rPr>
            </w:pPr>
            <w:r w:rsidRPr="002B6FB4">
              <w:rPr>
                <w:sz w:val="18"/>
                <w:szCs w:val="18"/>
              </w:rPr>
              <w:t>3,743</w:t>
            </w:r>
          </w:p>
        </w:tc>
        <w:tc>
          <w:tcPr>
            <w:tcW w:w="962"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A051197" w14:textId="77777777" w:rsidR="002B6FB4" w:rsidRPr="002B6FB4" w:rsidRDefault="002B6FB4" w:rsidP="002B6FB4">
            <w:pPr>
              <w:pStyle w:val="R"/>
              <w:rPr>
                <w:sz w:val="18"/>
                <w:szCs w:val="18"/>
              </w:rPr>
            </w:pPr>
            <w:r w:rsidRPr="002B6FB4">
              <w:rPr>
                <w:sz w:val="18"/>
                <w:szCs w:val="18"/>
              </w:rPr>
              <w:t>48%</w:t>
            </w:r>
          </w:p>
        </w:tc>
        <w:tc>
          <w:tcPr>
            <w:tcW w:w="9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F80C750" w14:textId="77777777" w:rsidR="002B6FB4" w:rsidRPr="002B6FB4" w:rsidRDefault="002B6FB4" w:rsidP="002B6FB4">
            <w:pPr>
              <w:pStyle w:val="R"/>
              <w:rPr>
                <w:sz w:val="18"/>
                <w:szCs w:val="18"/>
              </w:rPr>
            </w:pPr>
            <w:r w:rsidRPr="002B6FB4">
              <w:rPr>
                <w:sz w:val="18"/>
                <w:szCs w:val="18"/>
              </w:rPr>
              <w:t>9.05</w:t>
            </w:r>
          </w:p>
        </w:tc>
        <w:tc>
          <w:tcPr>
            <w:tcW w:w="10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A6B32C2" w14:textId="77777777" w:rsidR="002B6FB4" w:rsidRPr="002B6FB4" w:rsidRDefault="002B6FB4" w:rsidP="002B6FB4">
            <w:pPr>
              <w:pStyle w:val="R"/>
              <w:rPr>
                <w:sz w:val="18"/>
                <w:szCs w:val="18"/>
              </w:rPr>
            </w:pPr>
            <w:r w:rsidRPr="002B6FB4">
              <w:rPr>
                <w:sz w:val="18"/>
                <w:szCs w:val="18"/>
              </w:rPr>
              <w:t>4.53</w:t>
            </w:r>
          </w:p>
        </w:tc>
        <w:tc>
          <w:tcPr>
            <w:tcW w:w="10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872F7E" w14:textId="77777777" w:rsidR="002B6FB4" w:rsidRPr="002B6FB4" w:rsidRDefault="002B6FB4" w:rsidP="002B6FB4">
            <w:pPr>
              <w:pStyle w:val="R"/>
              <w:rPr>
                <w:sz w:val="18"/>
                <w:szCs w:val="18"/>
              </w:rPr>
            </w:pPr>
            <w:r w:rsidRPr="002B6FB4">
              <w:rPr>
                <w:sz w:val="18"/>
                <w:szCs w:val="18"/>
              </w:rPr>
              <w:t>1.12</w:t>
            </w:r>
          </w:p>
        </w:tc>
        <w:tc>
          <w:tcPr>
            <w:tcW w:w="94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635C7A5" w14:textId="77777777" w:rsidR="002B6FB4" w:rsidRPr="002B6FB4" w:rsidRDefault="002B6FB4" w:rsidP="002B6FB4">
            <w:pPr>
              <w:pStyle w:val="R"/>
              <w:rPr>
                <w:sz w:val="18"/>
                <w:szCs w:val="18"/>
              </w:rPr>
            </w:pPr>
            <w:r w:rsidRPr="002B6FB4">
              <w:rPr>
                <w:sz w:val="18"/>
                <w:szCs w:val="18"/>
              </w:rPr>
              <w:t>3.41</w:t>
            </w:r>
          </w:p>
        </w:tc>
        <w:tc>
          <w:tcPr>
            <w:tcW w:w="1012"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838DABC" w14:textId="77777777" w:rsidR="002B6FB4" w:rsidRPr="002B6FB4" w:rsidRDefault="002B6FB4" w:rsidP="002B6FB4">
            <w:pPr>
              <w:pStyle w:val="R"/>
              <w:rPr>
                <w:sz w:val="18"/>
                <w:szCs w:val="18"/>
              </w:rPr>
            </w:pPr>
            <w:r w:rsidRPr="002B6FB4">
              <w:rPr>
                <w:sz w:val="18"/>
                <w:szCs w:val="18"/>
              </w:rPr>
              <w:t>75%</w:t>
            </w:r>
          </w:p>
        </w:tc>
      </w:tr>
      <w:tr w:rsidR="002B6FB4" w:rsidRPr="008641A1" w14:paraId="15B77748" w14:textId="77777777" w:rsidTr="00094702">
        <w:trPr>
          <w:trHeight w:val="251"/>
        </w:trPr>
        <w:tc>
          <w:tcPr>
            <w:tcW w:w="843" w:type="dxa"/>
            <w:tcBorders>
              <w:top w:val="nil"/>
              <w:left w:val="single" w:sz="8" w:space="0" w:color="auto"/>
              <w:bottom w:val="single" w:sz="4" w:space="0" w:color="auto"/>
              <w:right w:val="nil"/>
            </w:tcBorders>
            <w:shd w:val="clear" w:color="auto" w:fill="auto"/>
            <w:noWrap/>
            <w:vAlign w:val="bottom"/>
            <w:hideMark/>
          </w:tcPr>
          <w:p w14:paraId="6352C9CF" w14:textId="77777777" w:rsidR="002B6FB4" w:rsidRPr="002B6FB4" w:rsidRDefault="002B6FB4" w:rsidP="002B6FB4">
            <w:pPr>
              <w:pStyle w:val="B"/>
              <w:rPr>
                <w:sz w:val="18"/>
                <w:szCs w:val="18"/>
              </w:rPr>
            </w:pPr>
            <w:r w:rsidRPr="002B6FB4">
              <w:rPr>
                <w:sz w:val="18"/>
                <w:szCs w:val="18"/>
                <w:rtl/>
              </w:rPr>
              <w:t>2015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A14EA8E" w14:textId="77777777" w:rsidR="002B6FB4" w:rsidRPr="002B6FB4" w:rsidRDefault="002B6FB4" w:rsidP="002B6FB4">
            <w:pPr>
              <w:pStyle w:val="R"/>
              <w:rPr>
                <w:sz w:val="18"/>
                <w:szCs w:val="18"/>
              </w:rPr>
            </w:pPr>
            <w:r w:rsidRPr="002B6FB4">
              <w:rPr>
                <w:sz w:val="18"/>
                <w:szCs w:val="18"/>
              </w:rPr>
              <w:t>6,527</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F773A0E" w14:textId="77777777" w:rsidR="002B6FB4" w:rsidRPr="002B6FB4" w:rsidRDefault="002B6FB4" w:rsidP="002B6FB4">
            <w:pPr>
              <w:pStyle w:val="R"/>
              <w:rPr>
                <w:sz w:val="18"/>
                <w:szCs w:val="18"/>
              </w:rPr>
            </w:pPr>
            <w:r w:rsidRPr="002B6FB4">
              <w:rPr>
                <w:sz w:val="18"/>
                <w:szCs w:val="18"/>
              </w:rPr>
              <w:t>5,379</w:t>
            </w:r>
          </w:p>
        </w:tc>
        <w:tc>
          <w:tcPr>
            <w:tcW w:w="962" w:type="dxa"/>
            <w:tcBorders>
              <w:top w:val="nil"/>
              <w:left w:val="single" w:sz="4" w:space="0" w:color="auto"/>
              <w:bottom w:val="single" w:sz="4" w:space="0" w:color="auto"/>
              <w:right w:val="single" w:sz="8" w:space="0" w:color="auto"/>
            </w:tcBorders>
            <w:shd w:val="clear" w:color="auto" w:fill="auto"/>
            <w:noWrap/>
            <w:vAlign w:val="bottom"/>
            <w:hideMark/>
          </w:tcPr>
          <w:p w14:paraId="6BFAF749" w14:textId="77777777" w:rsidR="002B6FB4" w:rsidRPr="002B6FB4" w:rsidRDefault="002B6FB4" w:rsidP="002B6FB4">
            <w:pPr>
              <w:pStyle w:val="R"/>
              <w:rPr>
                <w:sz w:val="18"/>
                <w:szCs w:val="18"/>
              </w:rPr>
            </w:pPr>
            <w:r w:rsidRPr="002B6FB4">
              <w:rPr>
                <w:sz w:val="18"/>
                <w:szCs w:val="18"/>
              </w:rPr>
              <w:t>82%</w:t>
            </w:r>
          </w:p>
        </w:tc>
        <w:tc>
          <w:tcPr>
            <w:tcW w:w="9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5EDA14F" w14:textId="77777777" w:rsidR="002B6FB4" w:rsidRPr="002B6FB4" w:rsidRDefault="002B6FB4" w:rsidP="002B6FB4">
            <w:pPr>
              <w:pStyle w:val="R"/>
              <w:rPr>
                <w:sz w:val="18"/>
                <w:szCs w:val="18"/>
              </w:rPr>
            </w:pPr>
            <w:r w:rsidRPr="002B6FB4">
              <w:rPr>
                <w:sz w:val="18"/>
                <w:szCs w:val="18"/>
              </w:rPr>
              <w:t>8.34</w:t>
            </w:r>
          </w:p>
        </w:tc>
        <w:tc>
          <w:tcPr>
            <w:tcW w:w="10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8521BDB" w14:textId="77777777" w:rsidR="002B6FB4" w:rsidRPr="002B6FB4" w:rsidRDefault="002B6FB4" w:rsidP="002B6FB4">
            <w:pPr>
              <w:pStyle w:val="R"/>
              <w:rPr>
                <w:sz w:val="18"/>
                <w:szCs w:val="18"/>
              </w:rPr>
            </w:pPr>
            <w:r w:rsidRPr="002B6FB4">
              <w:rPr>
                <w:sz w:val="18"/>
                <w:szCs w:val="18"/>
              </w:rPr>
              <w:t>6.37</w:t>
            </w:r>
          </w:p>
        </w:tc>
        <w:tc>
          <w:tcPr>
            <w:tcW w:w="10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037753" w14:textId="77777777" w:rsidR="002B6FB4" w:rsidRPr="002B6FB4" w:rsidRDefault="002B6FB4" w:rsidP="002B6FB4">
            <w:pPr>
              <w:pStyle w:val="R"/>
              <w:rPr>
                <w:sz w:val="18"/>
                <w:szCs w:val="18"/>
              </w:rPr>
            </w:pPr>
            <w:r w:rsidRPr="002B6FB4">
              <w:rPr>
                <w:sz w:val="18"/>
                <w:szCs w:val="18"/>
              </w:rPr>
              <w:t>1.41</w:t>
            </w:r>
          </w:p>
        </w:tc>
        <w:tc>
          <w:tcPr>
            <w:tcW w:w="94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D059207" w14:textId="77777777" w:rsidR="002B6FB4" w:rsidRPr="002B6FB4" w:rsidRDefault="002B6FB4" w:rsidP="002B6FB4">
            <w:pPr>
              <w:pStyle w:val="R"/>
              <w:rPr>
                <w:sz w:val="18"/>
                <w:szCs w:val="18"/>
              </w:rPr>
            </w:pPr>
            <w:r w:rsidRPr="002B6FB4">
              <w:rPr>
                <w:sz w:val="18"/>
                <w:szCs w:val="18"/>
              </w:rPr>
              <w:t>4.95</w:t>
            </w:r>
          </w:p>
        </w:tc>
        <w:tc>
          <w:tcPr>
            <w:tcW w:w="1012" w:type="dxa"/>
            <w:tcBorders>
              <w:top w:val="nil"/>
              <w:left w:val="single" w:sz="4" w:space="0" w:color="auto"/>
              <w:bottom w:val="single" w:sz="4" w:space="0" w:color="auto"/>
              <w:right w:val="single" w:sz="8" w:space="0" w:color="auto"/>
            </w:tcBorders>
            <w:shd w:val="clear" w:color="auto" w:fill="auto"/>
            <w:noWrap/>
            <w:vAlign w:val="bottom"/>
            <w:hideMark/>
          </w:tcPr>
          <w:p w14:paraId="39BFFF71" w14:textId="77777777" w:rsidR="002B6FB4" w:rsidRPr="002B6FB4" w:rsidRDefault="002B6FB4" w:rsidP="002B6FB4">
            <w:pPr>
              <w:pStyle w:val="R"/>
              <w:rPr>
                <w:sz w:val="18"/>
                <w:szCs w:val="18"/>
              </w:rPr>
            </w:pPr>
            <w:r w:rsidRPr="002B6FB4">
              <w:rPr>
                <w:sz w:val="18"/>
                <w:szCs w:val="18"/>
              </w:rPr>
              <w:t>78%</w:t>
            </w:r>
          </w:p>
        </w:tc>
      </w:tr>
      <w:tr w:rsidR="002B6FB4" w:rsidRPr="008641A1" w14:paraId="3224D070" w14:textId="77777777" w:rsidTr="00094702">
        <w:trPr>
          <w:trHeight w:val="251"/>
        </w:trPr>
        <w:tc>
          <w:tcPr>
            <w:tcW w:w="843" w:type="dxa"/>
            <w:tcBorders>
              <w:top w:val="nil"/>
              <w:left w:val="single" w:sz="8" w:space="0" w:color="auto"/>
              <w:bottom w:val="single" w:sz="4" w:space="0" w:color="auto"/>
              <w:right w:val="nil"/>
            </w:tcBorders>
            <w:shd w:val="clear" w:color="auto" w:fill="auto"/>
            <w:noWrap/>
            <w:vAlign w:val="bottom"/>
            <w:hideMark/>
          </w:tcPr>
          <w:p w14:paraId="3A67C7D8" w14:textId="77777777" w:rsidR="002B6FB4" w:rsidRPr="002B6FB4" w:rsidRDefault="002B6FB4" w:rsidP="002B6FB4">
            <w:pPr>
              <w:pStyle w:val="B"/>
              <w:rPr>
                <w:sz w:val="18"/>
                <w:szCs w:val="18"/>
              </w:rPr>
            </w:pPr>
            <w:r w:rsidRPr="002B6FB4">
              <w:rPr>
                <w:sz w:val="18"/>
                <w:szCs w:val="18"/>
                <w:rtl/>
              </w:rPr>
              <w:t>2016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A6A7645" w14:textId="77777777" w:rsidR="002B6FB4" w:rsidRPr="002B6FB4" w:rsidRDefault="002B6FB4" w:rsidP="002B6FB4">
            <w:pPr>
              <w:pStyle w:val="R"/>
              <w:rPr>
                <w:sz w:val="18"/>
                <w:szCs w:val="18"/>
              </w:rPr>
            </w:pPr>
            <w:r w:rsidRPr="002B6FB4">
              <w:rPr>
                <w:sz w:val="18"/>
                <w:szCs w:val="18"/>
              </w:rPr>
              <w:t>5,037</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14815E0" w14:textId="77777777" w:rsidR="002B6FB4" w:rsidRPr="002B6FB4" w:rsidRDefault="002B6FB4" w:rsidP="002B6FB4">
            <w:pPr>
              <w:pStyle w:val="R"/>
              <w:rPr>
                <w:sz w:val="18"/>
                <w:szCs w:val="18"/>
              </w:rPr>
            </w:pPr>
            <w:r w:rsidRPr="002B6FB4">
              <w:rPr>
                <w:sz w:val="18"/>
                <w:szCs w:val="18"/>
              </w:rPr>
              <w:t>4,618</w:t>
            </w:r>
          </w:p>
        </w:tc>
        <w:tc>
          <w:tcPr>
            <w:tcW w:w="962" w:type="dxa"/>
            <w:tcBorders>
              <w:top w:val="nil"/>
              <w:left w:val="single" w:sz="4" w:space="0" w:color="auto"/>
              <w:bottom w:val="single" w:sz="4" w:space="0" w:color="auto"/>
              <w:right w:val="single" w:sz="8" w:space="0" w:color="auto"/>
            </w:tcBorders>
            <w:shd w:val="clear" w:color="auto" w:fill="auto"/>
            <w:noWrap/>
            <w:vAlign w:val="bottom"/>
            <w:hideMark/>
          </w:tcPr>
          <w:p w14:paraId="657BFFEC" w14:textId="77777777" w:rsidR="002B6FB4" w:rsidRPr="002B6FB4" w:rsidRDefault="002B6FB4" w:rsidP="002B6FB4">
            <w:pPr>
              <w:pStyle w:val="R"/>
              <w:rPr>
                <w:sz w:val="18"/>
                <w:szCs w:val="18"/>
              </w:rPr>
            </w:pPr>
            <w:r w:rsidRPr="002B6FB4">
              <w:rPr>
                <w:sz w:val="18"/>
                <w:szCs w:val="18"/>
              </w:rPr>
              <w:t>92%</w:t>
            </w:r>
          </w:p>
        </w:tc>
        <w:tc>
          <w:tcPr>
            <w:tcW w:w="9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1600DC" w14:textId="77777777" w:rsidR="002B6FB4" w:rsidRPr="002B6FB4" w:rsidRDefault="002B6FB4" w:rsidP="002B6FB4">
            <w:pPr>
              <w:pStyle w:val="R"/>
              <w:rPr>
                <w:sz w:val="18"/>
                <w:szCs w:val="18"/>
              </w:rPr>
            </w:pPr>
            <w:r w:rsidRPr="002B6FB4">
              <w:rPr>
                <w:sz w:val="18"/>
                <w:szCs w:val="18"/>
              </w:rPr>
              <w:t>6.57</w:t>
            </w:r>
          </w:p>
        </w:tc>
        <w:tc>
          <w:tcPr>
            <w:tcW w:w="10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42BE8FE" w14:textId="77777777" w:rsidR="002B6FB4" w:rsidRPr="002B6FB4" w:rsidRDefault="002B6FB4" w:rsidP="002B6FB4">
            <w:pPr>
              <w:pStyle w:val="R"/>
              <w:rPr>
                <w:sz w:val="18"/>
                <w:szCs w:val="18"/>
              </w:rPr>
            </w:pPr>
            <w:r w:rsidRPr="002B6FB4">
              <w:rPr>
                <w:sz w:val="18"/>
                <w:szCs w:val="18"/>
              </w:rPr>
              <w:t>6.32</w:t>
            </w:r>
          </w:p>
        </w:tc>
        <w:tc>
          <w:tcPr>
            <w:tcW w:w="10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3960F6C" w14:textId="77777777" w:rsidR="002B6FB4" w:rsidRPr="002B6FB4" w:rsidRDefault="002B6FB4" w:rsidP="002B6FB4">
            <w:pPr>
              <w:pStyle w:val="R"/>
              <w:rPr>
                <w:sz w:val="18"/>
                <w:szCs w:val="18"/>
              </w:rPr>
            </w:pPr>
            <w:r w:rsidRPr="002B6FB4">
              <w:rPr>
                <w:sz w:val="18"/>
                <w:szCs w:val="18"/>
              </w:rPr>
              <w:t>2.52</w:t>
            </w:r>
          </w:p>
        </w:tc>
        <w:tc>
          <w:tcPr>
            <w:tcW w:w="94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DA7015" w14:textId="77777777" w:rsidR="002B6FB4" w:rsidRPr="002B6FB4" w:rsidRDefault="002B6FB4" w:rsidP="002B6FB4">
            <w:pPr>
              <w:pStyle w:val="R"/>
              <w:rPr>
                <w:sz w:val="18"/>
                <w:szCs w:val="18"/>
              </w:rPr>
            </w:pPr>
            <w:r w:rsidRPr="002B6FB4">
              <w:rPr>
                <w:sz w:val="18"/>
                <w:szCs w:val="18"/>
              </w:rPr>
              <w:t>3.80</w:t>
            </w:r>
          </w:p>
        </w:tc>
        <w:tc>
          <w:tcPr>
            <w:tcW w:w="1012" w:type="dxa"/>
            <w:tcBorders>
              <w:top w:val="nil"/>
              <w:left w:val="single" w:sz="4" w:space="0" w:color="auto"/>
              <w:bottom w:val="single" w:sz="4" w:space="0" w:color="auto"/>
              <w:right w:val="single" w:sz="8" w:space="0" w:color="auto"/>
            </w:tcBorders>
            <w:shd w:val="clear" w:color="auto" w:fill="auto"/>
            <w:noWrap/>
            <w:vAlign w:val="bottom"/>
            <w:hideMark/>
          </w:tcPr>
          <w:p w14:paraId="4D0ACB44" w14:textId="77777777" w:rsidR="002B6FB4" w:rsidRPr="002B6FB4" w:rsidRDefault="002B6FB4" w:rsidP="002B6FB4">
            <w:pPr>
              <w:pStyle w:val="R"/>
              <w:rPr>
                <w:sz w:val="18"/>
                <w:szCs w:val="18"/>
              </w:rPr>
            </w:pPr>
            <w:r w:rsidRPr="002B6FB4">
              <w:rPr>
                <w:sz w:val="18"/>
                <w:szCs w:val="18"/>
              </w:rPr>
              <w:t>60%</w:t>
            </w:r>
          </w:p>
        </w:tc>
      </w:tr>
      <w:tr w:rsidR="002B6FB4" w:rsidRPr="008641A1" w14:paraId="7704E269" w14:textId="77777777" w:rsidTr="00094702">
        <w:trPr>
          <w:trHeight w:val="251"/>
        </w:trPr>
        <w:tc>
          <w:tcPr>
            <w:tcW w:w="843" w:type="dxa"/>
            <w:tcBorders>
              <w:top w:val="nil"/>
              <w:left w:val="single" w:sz="8" w:space="0" w:color="auto"/>
              <w:bottom w:val="single" w:sz="4" w:space="0" w:color="auto"/>
              <w:right w:val="nil"/>
            </w:tcBorders>
            <w:shd w:val="clear" w:color="auto" w:fill="auto"/>
            <w:noWrap/>
            <w:vAlign w:val="bottom"/>
            <w:hideMark/>
          </w:tcPr>
          <w:p w14:paraId="495D1F45" w14:textId="77777777" w:rsidR="002B6FB4" w:rsidRPr="002B6FB4" w:rsidRDefault="002B6FB4" w:rsidP="002B6FB4">
            <w:pPr>
              <w:pStyle w:val="B"/>
              <w:rPr>
                <w:sz w:val="18"/>
                <w:szCs w:val="18"/>
              </w:rPr>
            </w:pPr>
            <w:r w:rsidRPr="002B6FB4">
              <w:rPr>
                <w:sz w:val="18"/>
                <w:szCs w:val="18"/>
                <w:rtl/>
              </w:rPr>
              <w:t>2017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48577F4" w14:textId="77777777" w:rsidR="002B6FB4" w:rsidRPr="002B6FB4" w:rsidRDefault="002B6FB4" w:rsidP="002B6FB4">
            <w:pPr>
              <w:pStyle w:val="R"/>
              <w:rPr>
                <w:sz w:val="18"/>
                <w:szCs w:val="18"/>
              </w:rPr>
            </w:pPr>
            <w:r w:rsidRPr="002B6FB4">
              <w:rPr>
                <w:sz w:val="18"/>
                <w:szCs w:val="18"/>
              </w:rPr>
              <w:t>4,014</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F5795F8" w14:textId="77777777" w:rsidR="002B6FB4" w:rsidRPr="002B6FB4" w:rsidRDefault="002B6FB4" w:rsidP="002B6FB4">
            <w:pPr>
              <w:pStyle w:val="R"/>
              <w:rPr>
                <w:sz w:val="18"/>
                <w:szCs w:val="18"/>
              </w:rPr>
            </w:pPr>
            <w:r w:rsidRPr="002B6FB4">
              <w:rPr>
                <w:sz w:val="18"/>
                <w:szCs w:val="18"/>
              </w:rPr>
              <w:t>3,922</w:t>
            </w:r>
          </w:p>
        </w:tc>
        <w:tc>
          <w:tcPr>
            <w:tcW w:w="962" w:type="dxa"/>
            <w:tcBorders>
              <w:top w:val="nil"/>
              <w:left w:val="single" w:sz="4" w:space="0" w:color="auto"/>
              <w:bottom w:val="single" w:sz="4" w:space="0" w:color="auto"/>
              <w:right w:val="single" w:sz="8" w:space="0" w:color="auto"/>
            </w:tcBorders>
            <w:shd w:val="clear" w:color="auto" w:fill="auto"/>
            <w:noWrap/>
            <w:vAlign w:val="bottom"/>
            <w:hideMark/>
          </w:tcPr>
          <w:p w14:paraId="3E212C20" w14:textId="77777777" w:rsidR="002B6FB4" w:rsidRPr="002B6FB4" w:rsidRDefault="002B6FB4" w:rsidP="002B6FB4">
            <w:pPr>
              <w:pStyle w:val="R"/>
              <w:rPr>
                <w:sz w:val="18"/>
                <w:szCs w:val="18"/>
              </w:rPr>
            </w:pPr>
            <w:r w:rsidRPr="002B6FB4">
              <w:rPr>
                <w:sz w:val="18"/>
                <w:szCs w:val="18"/>
              </w:rPr>
              <w:t>98%</w:t>
            </w:r>
          </w:p>
        </w:tc>
        <w:tc>
          <w:tcPr>
            <w:tcW w:w="9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A6AA15" w14:textId="77777777" w:rsidR="002B6FB4" w:rsidRPr="002B6FB4" w:rsidRDefault="002B6FB4" w:rsidP="002B6FB4">
            <w:pPr>
              <w:pStyle w:val="R"/>
              <w:rPr>
                <w:sz w:val="18"/>
                <w:szCs w:val="18"/>
              </w:rPr>
            </w:pPr>
            <w:r w:rsidRPr="002B6FB4">
              <w:rPr>
                <w:sz w:val="18"/>
                <w:szCs w:val="18"/>
              </w:rPr>
              <w:t>6.34</w:t>
            </w:r>
          </w:p>
        </w:tc>
        <w:tc>
          <w:tcPr>
            <w:tcW w:w="10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9D7B508" w14:textId="77777777" w:rsidR="002B6FB4" w:rsidRPr="002B6FB4" w:rsidRDefault="002B6FB4" w:rsidP="002B6FB4">
            <w:pPr>
              <w:pStyle w:val="R"/>
              <w:rPr>
                <w:sz w:val="18"/>
                <w:szCs w:val="18"/>
              </w:rPr>
            </w:pPr>
            <w:r w:rsidRPr="002B6FB4">
              <w:rPr>
                <w:sz w:val="18"/>
                <w:szCs w:val="18"/>
              </w:rPr>
              <w:t>5.66</w:t>
            </w:r>
          </w:p>
        </w:tc>
        <w:tc>
          <w:tcPr>
            <w:tcW w:w="10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348BFBC" w14:textId="77777777" w:rsidR="002B6FB4" w:rsidRPr="002B6FB4" w:rsidRDefault="002B6FB4" w:rsidP="002B6FB4">
            <w:pPr>
              <w:pStyle w:val="R"/>
              <w:rPr>
                <w:sz w:val="18"/>
                <w:szCs w:val="18"/>
              </w:rPr>
            </w:pPr>
            <w:r w:rsidRPr="002B6FB4">
              <w:rPr>
                <w:sz w:val="18"/>
                <w:szCs w:val="18"/>
              </w:rPr>
              <w:t>1.69</w:t>
            </w:r>
          </w:p>
        </w:tc>
        <w:tc>
          <w:tcPr>
            <w:tcW w:w="94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8F0623F" w14:textId="77777777" w:rsidR="002B6FB4" w:rsidRPr="002B6FB4" w:rsidRDefault="002B6FB4" w:rsidP="002B6FB4">
            <w:pPr>
              <w:pStyle w:val="R"/>
              <w:rPr>
                <w:sz w:val="18"/>
                <w:szCs w:val="18"/>
              </w:rPr>
            </w:pPr>
            <w:r w:rsidRPr="002B6FB4">
              <w:rPr>
                <w:sz w:val="18"/>
                <w:szCs w:val="18"/>
              </w:rPr>
              <w:t>3.97</w:t>
            </w:r>
          </w:p>
        </w:tc>
        <w:tc>
          <w:tcPr>
            <w:tcW w:w="1012" w:type="dxa"/>
            <w:tcBorders>
              <w:top w:val="nil"/>
              <w:left w:val="single" w:sz="4" w:space="0" w:color="auto"/>
              <w:bottom w:val="single" w:sz="4" w:space="0" w:color="auto"/>
              <w:right w:val="single" w:sz="8" w:space="0" w:color="auto"/>
            </w:tcBorders>
            <w:shd w:val="clear" w:color="auto" w:fill="auto"/>
            <w:noWrap/>
            <w:vAlign w:val="bottom"/>
            <w:hideMark/>
          </w:tcPr>
          <w:p w14:paraId="28F5C149" w14:textId="77777777" w:rsidR="002B6FB4" w:rsidRPr="002B6FB4" w:rsidRDefault="002B6FB4" w:rsidP="002B6FB4">
            <w:pPr>
              <w:pStyle w:val="R"/>
              <w:rPr>
                <w:sz w:val="18"/>
                <w:szCs w:val="18"/>
              </w:rPr>
            </w:pPr>
            <w:r w:rsidRPr="002B6FB4">
              <w:rPr>
                <w:sz w:val="18"/>
                <w:szCs w:val="18"/>
              </w:rPr>
              <w:t>70%</w:t>
            </w:r>
          </w:p>
        </w:tc>
      </w:tr>
      <w:tr w:rsidR="002B6FB4" w:rsidRPr="008641A1" w14:paraId="5CA5912A" w14:textId="77777777" w:rsidTr="00094702">
        <w:trPr>
          <w:trHeight w:val="251"/>
        </w:trPr>
        <w:tc>
          <w:tcPr>
            <w:tcW w:w="843" w:type="dxa"/>
            <w:tcBorders>
              <w:top w:val="nil"/>
              <w:left w:val="single" w:sz="8" w:space="0" w:color="auto"/>
              <w:bottom w:val="nil"/>
              <w:right w:val="nil"/>
            </w:tcBorders>
            <w:shd w:val="clear" w:color="auto" w:fill="auto"/>
            <w:noWrap/>
            <w:vAlign w:val="bottom"/>
            <w:hideMark/>
          </w:tcPr>
          <w:p w14:paraId="116ECEA2" w14:textId="77777777" w:rsidR="002B6FB4" w:rsidRPr="002B6FB4" w:rsidRDefault="002B6FB4" w:rsidP="002B6FB4">
            <w:pPr>
              <w:pStyle w:val="B"/>
              <w:rPr>
                <w:sz w:val="18"/>
                <w:szCs w:val="18"/>
                <w:rtl/>
              </w:rPr>
            </w:pPr>
            <w:r w:rsidRPr="002B6FB4">
              <w:rPr>
                <w:sz w:val="18"/>
                <w:szCs w:val="18"/>
                <w:rtl/>
              </w:rPr>
              <w:t>2018</w:t>
            </w:r>
          </w:p>
        </w:tc>
        <w:tc>
          <w:tcPr>
            <w:tcW w:w="992" w:type="dxa"/>
            <w:tcBorders>
              <w:top w:val="nil"/>
              <w:left w:val="single" w:sz="8" w:space="0" w:color="auto"/>
              <w:bottom w:val="nil"/>
              <w:right w:val="single" w:sz="4" w:space="0" w:color="auto"/>
            </w:tcBorders>
            <w:shd w:val="clear" w:color="auto" w:fill="auto"/>
            <w:noWrap/>
            <w:vAlign w:val="bottom"/>
            <w:hideMark/>
          </w:tcPr>
          <w:p w14:paraId="62F9D353" w14:textId="77777777" w:rsidR="002B6FB4" w:rsidRPr="002B6FB4" w:rsidRDefault="002B6FB4" w:rsidP="002B6FB4">
            <w:pPr>
              <w:pStyle w:val="R"/>
              <w:rPr>
                <w:sz w:val="18"/>
                <w:szCs w:val="18"/>
              </w:rPr>
            </w:pPr>
            <w:r w:rsidRPr="002B6FB4">
              <w:rPr>
                <w:sz w:val="18"/>
                <w:szCs w:val="18"/>
              </w:rPr>
              <w:t>3,087</w:t>
            </w:r>
          </w:p>
        </w:tc>
        <w:tc>
          <w:tcPr>
            <w:tcW w:w="992" w:type="dxa"/>
            <w:tcBorders>
              <w:top w:val="nil"/>
              <w:left w:val="single" w:sz="4" w:space="0" w:color="auto"/>
              <w:bottom w:val="nil"/>
              <w:right w:val="single" w:sz="4" w:space="0" w:color="auto"/>
            </w:tcBorders>
            <w:shd w:val="clear" w:color="auto" w:fill="auto"/>
            <w:noWrap/>
            <w:vAlign w:val="bottom"/>
            <w:hideMark/>
          </w:tcPr>
          <w:p w14:paraId="252CF304" w14:textId="77777777" w:rsidR="002B6FB4" w:rsidRPr="002B6FB4" w:rsidRDefault="002B6FB4" w:rsidP="002B6FB4">
            <w:pPr>
              <w:pStyle w:val="R"/>
              <w:rPr>
                <w:sz w:val="18"/>
                <w:szCs w:val="18"/>
              </w:rPr>
            </w:pPr>
            <w:r w:rsidRPr="002B6FB4">
              <w:rPr>
                <w:sz w:val="18"/>
                <w:szCs w:val="18"/>
              </w:rPr>
              <w:t>2,807</w:t>
            </w:r>
          </w:p>
        </w:tc>
        <w:tc>
          <w:tcPr>
            <w:tcW w:w="962" w:type="dxa"/>
            <w:tcBorders>
              <w:top w:val="nil"/>
              <w:left w:val="single" w:sz="4" w:space="0" w:color="auto"/>
              <w:bottom w:val="nil"/>
              <w:right w:val="single" w:sz="8" w:space="0" w:color="auto"/>
            </w:tcBorders>
            <w:shd w:val="clear" w:color="auto" w:fill="auto"/>
            <w:noWrap/>
            <w:vAlign w:val="bottom"/>
            <w:hideMark/>
          </w:tcPr>
          <w:p w14:paraId="4873AE74" w14:textId="77777777" w:rsidR="002B6FB4" w:rsidRPr="002B6FB4" w:rsidRDefault="002B6FB4" w:rsidP="002B6FB4">
            <w:pPr>
              <w:pStyle w:val="R"/>
              <w:rPr>
                <w:sz w:val="18"/>
                <w:szCs w:val="18"/>
              </w:rPr>
            </w:pPr>
            <w:r w:rsidRPr="002B6FB4">
              <w:rPr>
                <w:sz w:val="18"/>
                <w:szCs w:val="18"/>
              </w:rPr>
              <w:t>91%</w:t>
            </w:r>
          </w:p>
        </w:tc>
        <w:tc>
          <w:tcPr>
            <w:tcW w:w="9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8F8755B" w14:textId="77777777" w:rsidR="002B6FB4" w:rsidRPr="002B6FB4" w:rsidRDefault="002B6FB4" w:rsidP="002B6FB4">
            <w:pPr>
              <w:pStyle w:val="R"/>
              <w:rPr>
                <w:sz w:val="18"/>
                <w:szCs w:val="18"/>
              </w:rPr>
            </w:pPr>
            <w:r w:rsidRPr="002B6FB4">
              <w:rPr>
                <w:sz w:val="18"/>
                <w:szCs w:val="18"/>
              </w:rPr>
              <w:t>5.09</w:t>
            </w:r>
          </w:p>
        </w:tc>
        <w:tc>
          <w:tcPr>
            <w:tcW w:w="10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EBAD60A" w14:textId="77777777" w:rsidR="002B6FB4" w:rsidRPr="002B6FB4" w:rsidRDefault="002B6FB4" w:rsidP="002B6FB4">
            <w:pPr>
              <w:pStyle w:val="R"/>
              <w:rPr>
                <w:sz w:val="18"/>
                <w:szCs w:val="18"/>
              </w:rPr>
            </w:pPr>
            <w:r w:rsidRPr="002B6FB4">
              <w:rPr>
                <w:sz w:val="18"/>
                <w:szCs w:val="18"/>
              </w:rPr>
              <w:t>5.13</w:t>
            </w:r>
          </w:p>
        </w:tc>
        <w:tc>
          <w:tcPr>
            <w:tcW w:w="10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0B1F707" w14:textId="77777777" w:rsidR="002B6FB4" w:rsidRPr="002B6FB4" w:rsidRDefault="002B6FB4" w:rsidP="002B6FB4">
            <w:pPr>
              <w:pStyle w:val="R"/>
              <w:rPr>
                <w:sz w:val="18"/>
                <w:szCs w:val="18"/>
              </w:rPr>
            </w:pPr>
            <w:r w:rsidRPr="002B6FB4">
              <w:rPr>
                <w:sz w:val="18"/>
                <w:szCs w:val="18"/>
              </w:rPr>
              <w:t>1.13</w:t>
            </w:r>
          </w:p>
        </w:tc>
        <w:tc>
          <w:tcPr>
            <w:tcW w:w="94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65EA6A1" w14:textId="77777777" w:rsidR="002B6FB4" w:rsidRPr="002B6FB4" w:rsidRDefault="002B6FB4" w:rsidP="002B6FB4">
            <w:pPr>
              <w:pStyle w:val="R"/>
              <w:rPr>
                <w:sz w:val="18"/>
                <w:szCs w:val="18"/>
              </w:rPr>
            </w:pPr>
            <w:r w:rsidRPr="002B6FB4">
              <w:rPr>
                <w:sz w:val="18"/>
                <w:szCs w:val="18"/>
              </w:rPr>
              <w:t>4.00</w:t>
            </w:r>
          </w:p>
        </w:tc>
        <w:tc>
          <w:tcPr>
            <w:tcW w:w="1012" w:type="dxa"/>
            <w:tcBorders>
              <w:top w:val="nil"/>
              <w:left w:val="single" w:sz="4" w:space="0" w:color="auto"/>
              <w:bottom w:val="nil"/>
              <w:right w:val="single" w:sz="8" w:space="0" w:color="auto"/>
            </w:tcBorders>
            <w:shd w:val="clear" w:color="auto" w:fill="auto"/>
            <w:noWrap/>
            <w:vAlign w:val="bottom"/>
            <w:hideMark/>
          </w:tcPr>
          <w:p w14:paraId="682B3538" w14:textId="77777777" w:rsidR="002B6FB4" w:rsidRPr="002B6FB4" w:rsidRDefault="002B6FB4" w:rsidP="002B6FB4">
            <w:pPr>
              <w:pStyle w:val="R"/>
              <w:rPr>
                <w:sz w:val="18"/>
                <w:szCs w:val="18"/>
              </w:rPr>
            </w:pPr>
            <w:r w:rsidRPr="002B6FB4">
              <w:rPr>
                <w:sz w:val="18"/>
                <w:szCs w:val="18"/>
              </w:rPr>
              <w:t>78%</w:t>
            </w:r>
          </w:p>
        </w:tc>
      </w:tr>
      <w:tr w:rsidR="002B6FB4" w:rsidRPr="008641A1" w14:paraId="61D79988" w14:textId="77777777" w:rsidTr="00094702">
        <w:trPr>
          <w:trHeight w:val="263"/>
        </w:trPr>
        <w:tc>
          <w:tcPr>
            <w:tcW w:w="843" w:type="dxa"/>
            <w:tcBorders>
              <w:top w:val="single" w:sz="8" w:space="0" w:color="auto"/>
              <w:left w:val="single" w:sz="8" w:space="0" w:color="auto"/>
              <w:bottom w:val="single" w:sz="8" w:space="0" w:color="auto"/>
              <w:right w:val="nil"/>
            </w:tcBorders>
            <w:shd w:val="clear" w:color="auto" w:fill="auto"/>
            <w:noWrap/>
            <w:vAlign w:val="bottom"/>
            <w:hideMark/>
          </w:tcPr>
          <w:p w14:paraId="56BEE0B5" w14:textId="77777777" w:rsidR="002B6FB4" w:rsidRPr="002B6FB4" w:rsidRDefault="002B6FB4" w:rsidP="002B6FB4">
            <w:pPr>
              <w:pStyle w:val="B"/>
              <w:rPr>
                <w:sz w:val="18"/>
                <w:szCs w:val="18"/>
              </w:rPr>
            </w:pPr>
            <w:r w:rsidRPr="002B6FB4">
              <w:rPr>
                <w:sz w:val="18"/>
                <w:szCs w:val="18"/>
                <w:rtl/>
              </w:rPr>
              <w:t>סה"כ</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3BF6188" w14:textId="77777777" w:rsidR="002B6FB4" w:rsidRPr="002B6FB4" w:rsidRDefault="002B6FB4" w:rsidP="002B6FB4">
            <w:pPr>
              <w:pStyle w:val="B"/>
              <w:rPr>
                <w:sz w:val="18"/>
                <w:szCs w:val="18"/>
                <w:rtl/>
              </w:rPr>
            </w:pPr>
            <w:r w:rsidRPr="002B6FB4">
              <w:rPr>
                <w:sz w:val="18"/>
                <w:szCs w:val="18"/>
              </w:rPr>
              <w:t>26,386</w:t>
            </w:r>
          </w:p>
        </w:tc>
        <w:tc>
          <w:tcPr>
            <w:tcW w:w="99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00DA02F" w14:textId="77777777" w:rsidR="002B6FB4" w:rsidRPr="002B6FB4" w:rsidRDefault="002B6FB4" w:rsidP="002B6FB4">
            <w:pPr>
              <w:pStyle w:val="B"/>
              <w:rPr>
                <w:sz w:val="18"/>
                <w:szCs w:val="18"/>
              </w:rPr>
            </w:pPr>
            <w:r w:rsidRPr="002B6FB4">
              <w:rPr>
                <w:sz w:val="18"/>
                <w:szCs w:val="18"/>
              </w:rPr>
              <w:t>20,469</w:t>
            </w:r>
          </w:p>
        </w:tc>
        <w:tc>
          <w:tcPr>
            <w:tcW w:w="962"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75C6F5A0" w14:textId="77777777" w:rsidR="002B6FB4" w:rsidRPr="002B6FB4" w:rsidRDefault="002B6FB4" w:rsidP="002B6FB4">
            <w:pPr>
              <w:pStyle w:val="R"/>
              <w:rPr>
                <w:sz w:val="18"/>
                <w:szCs w:val="18"/>
              </w:rPr>
            </w:pPr>
            <w:r w:rsidRPr="002B6FB4">
              <w:rPr>
                <w:sz w:val="18"/>
                <w:szCs w:val="18"/>
              </w:rPr>
              <w:t>78%</w:t>
            </w:r>
          </w:p>
        </w:tc>
        <w:tc>
          <w:tcPr>
            <w:tcW w:w="9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CC9F10F" w14:textId="77777777" w:rsidR="002B6FB4" w:rsidRPr="002B6FB4" w:rsidRDefault="002B6FB4" w:rsidP="002B6FB4">
            <w:pPr>
              <w:pStyle w:val="R"/>
              <w:rPr>
                <w:sz w:val="18"/>
                <w:szCs w:val="18"/>
              </w:rPr>
            </w:pPr>
            <w:r w:rsidRPr="002B6FB4">
              <w:rPr>
                <w:sz w:val="18"/>
                <w:szCs w:val="18"/>
              </w:rPr>
              <w:t>35.39</w:t>
            </w:r>
          </w:p>
        </w:tc>
        <w:tc>
          <w:tcPr>
            <w:tcW w:w="10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31C90F" w14:textId="77777777" w:rsidR="002B6FB4" w:rsidRPr="002B6FB4" w:rsidRDefault="002B6FB4" w:rsidP="002B6FB4">
            <w:pPr>
              <w:pStyle w:val="R"/>
              <w:rPr>
                <w:sz w:val="18"/>
                <w:szCs w:val="18"/>
              </w:rPr>
            </w:pPr>
            <w:r w:rsidRPr="002B6FB4">
              <w:rPr>
                <w:sz w:val="18"/>
                <w:szCs w:val="18"/>
              </w:rPr>
              <w:t>28.01</w:t>
            </w:r>
          </w:p>
        </w:tc>
        <w:tc>
          <w:tcPr>
            <w:tcW w:w="10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2FAFAA0" w14:textId="77777777" w:rsidR="002B6FB4" w:rsidRPr="002B6FB4" w:rsidRDefault="002B6FB4" w:rsidP="002B6FB4">
            <w:pPr>
              <w:pStyle w:val="R"/>
              <w:rPr>
                <w:sz w:val="18"/>
                <w:szCs w:val="18"/>
              </w:rPr>
            </w:pPr>
            <w:r w:rsidRPr="002B6FB4">
              <w:rPr>
                <w:sz w:val="18"/>
                <w:szCs w:val="18"/>
              </w:rPr>
              <w:t>7.87</w:t>
            </w:r>
          </w:p>
        </w:tc>
        <w:tc>
          <w:tcPr>
            <w:tcW w:w="94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6D8C1C" w14:textId="77777777" w:rsidR="002B6FB4" w:rsidRPr="002B6FB4" w:rsidRDefault="002B6FB4" w:rsidP="002B6FB4">
            <w:pPr>
              <w:pStyle w:val="R"/>
              <w:rPr>
                <w:sz w:val="18"/>
                <w:szCs w:val="18"/>
              </w:rPr>
            </w:pPr>
            <w:r w:rsidRPr="002B6FB4">
              <w:rPr>
                <w:sz w:val="18"/>
                <w:szCs w:val="18"/>
              </w:rPr>
              <w:t>20.14</w:t>
            </w:r>
          </w:p>
        </w:tc>
        <w:tc>
          <w:tcPr>
            <w:tcW w:w="1012"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12A51306" w14:textId="77777777" w:rsidR="002B6FB4" w:rsidRPr="002B6FB4" w:rsidRDefault="002B6FB4" w:rsidP="002B6FB4">
            <w:pPr>
              <w:pStyle w:val="B"/>
              <w:rPr>
                <w:sz w:val="18"/>
                <w:szCs w:val="18"/>
              </w:rPr>
            </w:pPr>
            <w:r w:rsidRPr="002B6FB4">
              <w:rPr>
                <w:sz w:val="18"/>
                <w:szCs w:val="18"/>
              </w:rPr>
              <w:t>72%</w:t>
            </w:r>
          </w:p>
        </w:tc>
      </w:tr>
      <w:tr w:rsidR="002B6FB4" w:rsidRPr="008641A1" w14:paraId="7D5DC8AA" w14:textId="77777777" w:rsidTr="00094702">
        <w:trPr>
          <w:trHeight w:val="263"/>
        </w:trPr>
        <w:tc>
          <w:tcPr>
            <w:tcW w:w="843" w:type="dxa"/>
            <w:tcBorders>
              <w:top w:val="nil"/>
              <w:left w:val="single" w:sz="8" w:space="0" w:color="auto"/>
              <w:bottom w:val="single" w:sz="8" w:space="0" w:color="auto"/>
              <w:right w:val="nil"/>
            </w:tcBorders>
            <w:shd w:val="clear" w:color="auto" w:fill="auto"/>
            <w:noWrap/>
            <w:vAlign w:val="bottom"/>
            <w:hideMark/>
          </w:tcPr>
          <w:p w14:paraId="2729D3C5" w14:textId="77777777" w:rsidR="002B6FB4" w:rsidRPr="002B6FB4" w:rsidRDefault="002B6FB4" w:rsidP="002B6FB4">
            <w:pPr>
              <w:pStyle w:val="B"/>
              <w:rPr>
                <w:sz w:val="18"/>
                <w:szCs w:val="18"/>
                <w:rtl/>
              </w:rPr>
            </w:pPr>
            <w:r w:rsidRPr="002B6FB4">
              <w:rPr>
                <w:sz w:val="18"/>
                <w:szCs w:val="18"/>
                <w:rtl/>
              </w:rPr>
              <w:t>שיעור השינוי בשנים</w:t>
            </w:r>
          </w:p>
          <w:p w14:paraId="0AADEC7C" w14:textId="77777777" w:rsidR="002B6FB4" w:rsidRPr="002B6FB4" w:rsidRDefault="002B6FB4" w:rsidP="002B6FB4">
            <w:pPr>
              <w:pStyle w:val="B"/>
              <w:rPr>
                <w:sz w:val="18"/>
                <w:szCs w:val="18"/>
              </w:rPr>
            </w:pPr>
            <w:r w:rsidRPr="002B6FB4">
              <w:rPr>
                <w:sz w:val="18"/>
                <w:szCs w:val="18"/>
                <w:rtl/>
              </w:rPr>
              <w:t xml:space="preserve"> 2014</w:t>
            </w:r>
            <w:r w:rsidRPr="002B6FB4">
              <w:rPr>
                <w:rFonts w:hint="cs"/>
                <w:sz w:val="18"/>
                <w:szCs w:val="18"/>
                <w:rtl/>
              </w:rPr>
              <w:t xml:space="preserve"> </w:t>
            </w:r>
            <w:r w:rsidRPr="002B6FB4">
              <w:rPr>
                <w:sz w:val="18"/>
                <w:szCs w:val="18"/>
                <w:rtl/>
              </w:rPr>
              <w:t>-</w:t>
            </w:r>
            <w:r w:rsidRPr="002B6FB4">
              <w:rPr>
                <w:rFonts w:hint="cs"/>
                <w:sz w:val="18"/>
                <w:szCs w:val="18"/>
                <w:rtl/>
              </w:rPr>
              <w:t xml:space="preserve"> </w:t>
            </w:r>
            <w:r w:rsidRPr="002B6FB4">
              <w:rPr>
                <w:sz w:val="18"/>
                <w:szCs w:val="18"/>
                <w:rtl/>
              </w:rPr>
              <w:t>2018</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4D560233" w14:textId="77777777" w:rsidR="002B6FB4" w:rsidRPr="002B6FB4" w:rsidRDefault="002B6FB4" w:rsidP="002B6FB4">
            <w:pPr>
              <w:pStyle w:val="R"/>
              <w:rPr>
                <w:color w:val="FF0000"/>
                <w:sz w:val="18"/>
                <w:szCs w:val="18"/>
              </w:rPr>
            </w:pPr>
            <w:r w:rsidRPr="002B6FB4">
              <w:rPr>
                <w:color w:val="FF0000"/>
                <w:sz w:val="18"/>
                <w:szCs w:val="18"/>
              </w:rPr>
              <w:t>60%</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14:paraId="779F3E5C" w14:textId="77777777" w:rsidR="002B6FB4" w:rsidRPr="002B6FB4" w:rsidRDefault="002B6FB4" w:rsidP="002B6FB4">
            <w:pPr>
              <w:pStyle w:val="R"/>
              <w:rPr>
                <w:sz w:val="18"/>
                <w:szCs w:val="18"/>
              </w:rPr>
            </w:pPr>
            <w:r w:rsidRPr="002B6FB4">
              <w:rPr>
                <w:sz w:val="18"/>
                <w:szCs w:val="18"/>
              </w:rPr>
              <w:t>-</w:t>
            </w:r>
          </w:p>
        </w:tc>
        <w:tc>
          <w:tcPr>
            <w:tcW w:w="962" w:type="dxa"/>
            <w:tcBorders>
              <w:top w:val="nil"/>
              <w:left w:val="single" w:sz="4" w:space="0" w:color="auto"/>
              <w:bottom w:val="single" w:sz="8" w:space="0" w:color="auto"/>
              <w:right w:val="single" w:sz="8" w:space="0" w:color="auto"/>
            </w:tcBorders>
            <w:shd w:val="clear" w:color="auto" w:fill="auto"/>
            <w:noWrap/>
            <w:vAlign w:val="bottom"/>
            <w:hideMark/>
          </w:tcPr>
          <w:p w14:paraId="3328357A" w14:textId="77777777" w:rsidR="002B6FB4" w:rsidRPr="002B6FB4" w:rsidRDefault="002B6FB4" w:rsidP="002B6FB4">
            <w:pPr>
              <w:pStyle w:val="R"/>
              <w:rPr>
                <w:color w:val="00B050"/>
                <w:sz w:val="18"/>
                <w:szCs w:val="18"/>
              </w:rPr>
            </w:pPr>
            <w:r w:rsidRPr="002B6FB4">
              <w:rPr>
                <w:color w:val="00B050"/>
                <w:sz w:val="18"/>
                <w:szCs w:val="18"/>
              </w:rPr>
              <w:t>88%</w:t>
            </w:r>
          </w:p>
        </w:tc>
        <w:tc>
          <w:tcPr>
            <w:tcW w:w="933" w:type="dxa"/>
            <w:tcBorders>
              <w:top w:val="nil"/>
              <w:left w:val="single" w:sz="8" w:space="0" w:color="auto"/>
              <w:bottom w:val="single" w:sz="8" w:space="0" w:color="auto"/>
              <w:right w:val="single" w:sz="4" w:space="0" w:color="auto"/>
            </w:tcBorders>
            <w:shd w:val="clear" w:color="auto" w:fill="auto"/>
            <w:noWrap/>
            <w:vAlign w:val="bottom"/>
            <w:hideMark/>
          </w:tcPr>
          <w:p w14:paraId="28984C15" w14:textId="77777777" w:rsidR="002B6FB4" w:rsidRPr="002B6FB4" w:rsidRDefault="002B6FB4" w:rsidP="002B6FB4">
            <w:pPr>
              <w:pStyle w:val="R"/>
              <w:rPr>
                <w:color w:val="FF0000"/>
                <w:sz w:val="18"/>
                <w:szCs w:val="18"/>
              </w:rPr>
            </w:pPr>
            <w:r w:rsidRPr="002B6FB4">
              <w:rPr>
                <w:color w:val="FF0000"/>
                <w:sz w:val="18"/>
                <w:szCs w:val="18"/>
              </w:rPr>
              <w:t>44%</w:t>
            </w:r>
          </w:p>
        </w:tc>
        <w:tc>
          <w:tcPr>
            <w:tcW w:w="10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AB9565" w14:textId="77777777" w:rsidR="002B6FB4" w:rsidRPr="002B6FB4" w:rsidRDefault="002B6FB4" w:rsidP="002B6FB4">
            <w:pPr>
              <w:pStyle w:val="R"/>
              <w:rPr>
                <w:sz w:val="18"/>
                <w:szCs w:val="18"/>
              </w:rPr>
            </w:pPr>
            <w:r w:rsidRPr="002B6FB4">
              <w:rPr>
                <w:sz w:val="18"/>
                <w:szCs w:val="18"/>
              </w:rPr>
              <w:t>-</w:t>
            </w:r>
          </w:p>
        </w:tc>
        <w:tc>
          <w:tcPr>
            <w:tcW w:w="10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28F46BD" w14:textId="77777777" w:rsidR="002B6FB4" w:rsidRPr="002B6FB4" w:rsidRDefault="002B6FB4" w:rsidP="002B6FB4">
            <w:pPr>
              <w:pStyle w:val="R"/>
              <w:rPr>
                <w:sz w:val="18"/>
                <w:szCs w:val="18"/>
              </w:rPr>
            </w:pPr>
            <w:r w:rsidRPr="002B6FB4">
              <w:rPr>
                <w:sz w:val="18"/>
                <w:szCs w:val="18"/>
              </w:rPr>
              <w:t>-</w:t>
            </w:r>
          </w:p>
        </w:tc>
        <w:tc>
          <w:tcPr>
            <w:tcW w:w="948" w:type="dxa"/>
            <w:tcBorders>
              <w:top w:val="nil"/>
              <w:left w:val="single" w:sz="4" w:space="0" w:color="auto"/>
              <w:bottom w:val="single" w:sz="8" w:space="0" w:color="auto"/>
              <w:right w:val="single" w:sz="4" w:space="0" w:color="auto"/>
            </w:tcBorders>
            <w:shd w:val="clear" w:color="auto" w:fill="auto"/>
            <w:noWrap/>
            <w:vAlign w:val="bottom"/>
            <w:hideMark/>
          </w:tcPr>
          <w:p w14:paraId="5D99B506" w14:textId="77777777" w:rsidR="002B6FB4" w:rsidRPr="002B6FB4" w:rsidRDefault="002B6FB4" w:rsidP="002B6FB4">
            <w:pPr>
              <w:pStyle w:val="R"/>
              <w:rPr>
                <w:color w:val="00B050"/>
                <w:sz w:val="18"/>
                <w:szCs w:val="18"/>
              </w:rPr>
            </w:pPr>
            <w:r w:rsidRPr="002B6FB4">
              <w:rPr>
                <w:color w:val="00B050"/>
                <w:sz w:val="18"/>
                <w:szCs w:val="18"/>
              </w:rPr>
              <w:t>17%</w:t>
            </w:r>
          </w:p>
        </w:tc>
        <w:tc>
          <w:tcPr>
            <w:tcW w:w="1012" w:type="dxa"/>
            <w:tcBorders>
              <w:top w:val="nil"/>
              <w:left w:val="single" w:sz="4" w:space="0" w:color="auto"/>
              <w:bottom w:val="single" w:sz="8" w:space="0" w:color="auto"/>
              <w:right w:val="single" w:sz="8" w:space="0" w:color="auto"/>
            </w:tcBorders>
            <w:shd w:val="clear" w:color="auto" w:fill="auto"/>
            <w:noWrap/>
            <w:vAlign w:val="bottom"/>
            <w:hideMark/>
          </w:tcPr>
          <w:p w14:paraId="6CC28463" w14:textId="77777777" w:rsidR="002B6FB4" w:rsidRPr="002B6FB4" w:rsidRDefault="002B6FB4" w:rsidP="002B6FB4">
            <w:pPr>
              <w:pStyle w:val="R"/>
              <w:rPr>
                <w:color w:val="00B050"/>
                <w:sz w:val="18"/>
                <w:szCs w:val="18"/>
              </w:rPr>
            </w:pPr>
            <w:r w:rsidRPr="002B6FB4">
              <w:rPr>
                <w:color w:val="00B050"/>
                <w:sz w:val="18"/>
                <w:szCs w:val="18"/>
              </w:rPr>
              <w:t>4%</w:t>
            </w:r>
          </w:p>
        </w:tc>
      </w:tr>
    </w:tbl>
    <w:p w14:paraId="48095E50" w14:textId="77777777" w:rsidR="00BA23AE" w:rsidRPr="00F13DA5" w:rsidRDefault="00BA23AE" w:rsidP="005A504A">
      <w:pPr>
        <w:pStyle w:val="ab"/>
        <w:rPr>
          <w:rtl/>
        </w:rPr>
      </w:pPr>
      <w:r w:rsidRPr="00F13DA5">
        <w:rPr>
          <w:rFonts w:hint="eastAsia"/>
          <w:rtl/>
        </w:rPr>
        <w:t>על</w:t>
      </w:r>
      <w:r w:rsidRPr="00F13DA5">
        <w:rPr>
          <w:rtl/>
        </w:rPr>
        <w:t xml:space="preserve"> </w:t>
      </w:r>
      <w:r w:rsidRPr="00F13DA5">
        <w:rPr>
          <w:rFonts w:hint="eastAsia"/>
          <w:rtl/>
        </w:rPr>
        <w:t>פי</w:t>
      </w:r>
      <w:r w:rsidRPr="00F13DA5">
        <w:rPr>
          <w:rtl/>
        </w:rPr>
        <w:t xml:space="preserve"> </w:t>
      </w:r>
      <w:r w:rsidRPr="00F13DA5">
        <w:rPr>
          <w:rFonts w:hint="eastAsia"/>
          <w:rtl/>
        </w:rPr>
        <w:t>נתוני</w:t>
      </w:r>
      <w:r w:rsidRPr="00F13DA5">
        <w:rPr>
          <w:rtl/>
        </w:rPr>
        <w:t xml:space="preserve"> </w:t>
      </w:r>
      <w:r w:rsidRPr="00F13DA5">
        <w:rPr>
          <w:rFonts w:hint="eastAsia"/>
          <w:rtl/>
        </w:rPr>
        <w:t>מדור</w:t>
      </w:r>
      <w:r w:rsidRPr="00F13DA5">
        <w:rPr>
          <w:rtl/>
        </w:rPr>
        <w:t xml:space="preserve"> הכנסות, </w:t>
      </w:r>
      <w:r w:rsidRPr="00F13DA5">
        <w:rPr>
          <w:rFonts w:hint="eastAsia"/>
          <w:rtl/>
        </w:rPr>
        <w:t>חשבות</w:t>
      </w:r>
      <w:r w:rsidRPr="00F13DA5">
        <w:rPr>
          <w:rtl/>
        </w:rPr>
        <w:t xml:space="preserve"> המשטרה. </w:t>
      </w:r>
    </w:p>
    <w:p w14:paraId="2A73F556" w14:textId="77777777" w:rsidR="00BA23AE" w:rsidRPr="00F13DA5" w:rsidRDefault="00BA23AE" w:rsidP="00961DAF">
      <w:pPr>
        <w:pStyle w:val="ab"/>
        <w:spacing w:after="0" w:line="240" w:lineRule="exact"/>
        <w:jc w:val="left"/>
        <w:rPr>
          <w:rtl/>
        </w:rPr>
      </w:pPr>
      <w:r w:rsidRPr="00F13DA5">
        <w:rPr>
          <w:rFonts w:hint="eastAsia"/>
          <w:color w:val="FF0000"/>
          <w:rtl/>
        </w:rPr>
        <w:t>אדום</w:t>
      </w:r>
      <w:r w:rsidRPr="00F13DA5">
        <w:rPr>
          <w:rtl/>
        </w:rPr>
        <w:t xml:space="preserve"> - ירידה</w:t>
      </w:r>
    </w:p>
    <w:p w14:paraId="3D97A8A7" w14:textId="77777777" w:rsidR="00BA23AE" w:rsidRPr="00F13DA5" w:rsidRDefault="00BA23AE" w:rsidP="00961DAF">
      <w:pPr>
        <w:pStyle w:val="ab"/>
        <w:spacing w:before="0" w:after="0" w:line="240" w:lineRule="exact"/>
        <w:jc w:val="left"/>
        <w:rPr>
          <w:rtl/>
        </w:rPr>
      </w:pPr>
      <w:r w:rsidRPr="00F13DA5">
        <w:rPr>
          <w:rFonts w:hint="eastAsia"/>
          <w:color w:val="00B050"/>
          <w:rtl/>
        </w:rPr>
        <w:t>ירוק</w:t>
      </w:r>
      <w:r w:rsidRPr="00F13DA5">
        <w:rPr>
          <w:color w:val="00B050"/>
          <w:rtl/>
        </w:rPr>
        <w:t xml:space="preserve"> </w:t>
      </w:r>
      <w:r w:rsidRPr="00F13DA5">
        <w:rPr>
          <w:rtl/>
        </w:rPr>
        <w:t xml:space="preserve">- </w:t>
      </w:r>
      <w:r w:rsidRPr="00F13DA5">
        <w:rPr>
          <w:rFonts w:hint="eastAsia"/>
          <w:rtl/>
        </w:rPr>
        <w:t>עלייה</w:t>
      </w:r>
    </w:p>
    <w:p w14:paraId="7E2DE249" w14:textId="1094E374" w:rsidR="00BA23AE" w:rsidRPr="00D83354" w:rsidRDefault="00BA23AE" w:rsidP="00961DAF">
      <w:pPr>
        <w:pStyle w:val="aff2"/>
        <w:spacing w:after="0" w:line="240" w:lineRule="exact"/>
        <w:rPr>
          <w:rtl/>
        </w:rPr>
      </w:pPr>
      <w:r w:rsidRPr="00D83354">
        <w:rPr>
          <w:rtl/>
        </w:rPr>
        <w:t>*</w:t>
      </w:r>
      <w:r w:rsidRPr="00D83354">
        <w:rPr>
          <w:rFonts w:hint="cs"/>
          <w:rtl/>
        </w:rPr>
        <w:t xml:space="preserve"> </w:t>
      </w:r>
      <w:r w:rsidR="00D83354">
        <w:rPr>
          <w:rtl/>
        </w:rPr>
        <w:tab/>
      </w:r>
      <w:r w:rsidRPr="00D83354">
        <w:rPr>
          <w:rtl/>
        </w:rPr>
        <w:t xml:space="preserve">סכומים שאושרו להחזר והועברו לבנק הדואר בצירוף הודעה למוטבים. </w:t>
      </w:r>
    </w:p>
    <w:p w14:paraId="414EFFA2" w14:textId="3AE68FFD" w:rsidR="00BA23AE" w:rsidRPr="00D83354" w:rsidRDefault="00BA23AE" w:rsidP="00961DAF">
      <w:pPr>
        <w:pStyle w:val="aff2"/>
        <w:spacing w:after="0" w:line="240" w:lineRule="exact"/>
        <w:rPr>
          <w:rtl/>
        </w:rPr>
      </w:pPr>
      <w:r w:rsidRPr="00D83354">
        <w:rPr>
          <w:rtl/>
        </w:rPr>
        <w:t>**</w:t>
      </w:r>
      <w:r w:rsidRPr="00D83354">
        <w:rPr>
          <w:rFonts w:hint="cs"/>
          <w:rtl/>
        </w:rPr>
        <w:t xml:space="preserve"> </w:t>
      </w:r>
      <w:r w:rsidR="00D83354">
        <w:rPr>
          <w:rtl/>
        </w:rPr>
        <w:tab/>
      </w:r>
      <w:r w:rsidRPr="00D83354">
        <w:rPr>
          <w:rtl/>
        </w:rPr>
        <w:t xml:space="preserve">סכומים שלא נמשכו על ידי הזכאים מבנק הדואר ועבר זמן ההמתנה עבורם (180 יום). </w:t>
      </w:r>
    </w:p>
    <w:p w14:paraId="0EB1C019" w14:textId="1B52333D" w:rsidR="00BA23AE" w:rsidRDefault="00BA23AE" w:rsidP="002B6FB4">
      <w:pPr>
        <w:pStyle w:val="aff2"/>
        <w:rPr>
          <w:rtl/>
        </w:rPr>
      </w:pPr>
      <w:r w:rsidRPr="00D83354">
        <w:rPr>
          <w:rtl/>
        </w:rPr>
        <w:t>***</w:t>
      </w:r>
      <w:r w:rsidRPr="00D83354">
        <w:rPr>
          <w:rFonts w:hint="cs"/>
          <w:rtl/>
        </w:rPr>
        <w:t xml:space="preserve"> </w:t>
      </w:r>
      <w:r w:rsidR="002B6FB4">
        <w:rPr>
          <w:rtl/>
        </w:rPr>
        <w:tab/>
      </w:r>
      <w:r w:rsidRPr="00D83354">
        <w:rPr>
          <w:rtl/>
        </w:rPr>
        <w:t>הפער</w:t>
      </w:r>
      <w:r w:rsidRPr="00F13DA5">
        <w:rPr>
          <w:rtl/>
        </w:rPr>
        <w:t xml:space="preserve"> בין </w:t>
      </w:r>
      <w:r w:rsidRPr="00F13DA5">
        <w:rPr>
          <w:rFonts w:hint="eastAsia"/>
          <w:rtl/>
        </w:rPr>
        <w:t>ההחזרים</w:t>
      </w:r>
      <w:r w:rsidRPr="00F13DA5">
        <w:rPr>
          <w:rtl/>
        </w:rPr>
        <w:t xml:space="preserve"> </w:t>
      </w:r>
      <w:r w:rsidRPr="00F13DA5">
        <w:rPr>
          <w:rFonts w:hint="eastAsia"/>
          <w:rtl/>
        </w:rPr>
        <w:t>שנדרש</w:t>
      </w:r>
      <w:r w:rsidRPr="00F13DA5">
        <w:rPr>
          <w:rtl/>
        </w:rPr>
        <w:t xml:space="preserve"> </w:t>
      </w:r>
      <w:r w:rsidRPr="00F13DA5">
        <w:rPr>
          <w:rFonts w:hint="eastAsia"/>
          <w:rtl/>
        </w:rPr>
        <w:t>להשיב</w:t>
      </w:r>
      <w:r w:rsidRPr="00F13DA5">
        <w:rPr>
          <w:rtl/>
        </w:rPr>
        <w:t xml:space="preserve"> </w:t>
      </w:r>
      <w:r w:rsidRPr="00F13DA5">
        <w:rPr>
          <w:rFonts w:hint="cs"/>
          <w:rtl/>
        </w:rPr>
        <w:t>ל</w:t>
      </w:r>
      <w:r w:rsidRPr="00F13DA5">
        <w:rPr>
          <w:rFonts w:hint="eastAsia"/>
          <w:rtl/>
        </w:rPr>
        <w:t>החזרים</w:t>
      </w:r>
      <w:r w:rsidRPr="00F13DA5">
        <w:rPr>
          <w:rtl/>
        </w:rPr>
        <w:t xml:space="preserve"> שלא נמשכו. </w:t>
      </w:r>
    </w:p>
    <w:p w14:paraId="3B847BB5" w14:textId="77777777" w:rsidR="00094702" w:rsidRPr="00F13DA5" w:rsidRDefault="00094702" w:rsidP="002B6FB4">
      <w:pPr>
        <w:pStyle w:val="aff2"/>
        <w:rPr>
          <w:rtl/>
        </w:rPr>
      </w:pPr>
    </w:p>
    <w:p w14:paraId="65BC0518" w14:textId="38C83D37" w:rsidR="00BA23AE" w:rsidRPr="00F13DA5" w:rsidRDefault="00BA23AE" w:rsidP="00F8143C">
      <w:pPr>
        <w:pStyle w:val="af4"/>
        <w:rPr>
          <w:rtl/>
        </w:rPr>
      </w:pPr>
      <w:r w:rsidRPr="00F13DA5">
        <w:rPr>
          <w:rFonts w:hint="eastAsia"/>
          <w:rtl/>
        </w:rPr>
        <w:t>מהלוח</w:t>
      </w:r>
      <w:r w:rsidRPr="00F13DA5">
        <w:rPr>
          <w:rtl/>
        </w:rPr>
        <w:t xml:space="preserve"> </w:t>
      </w:r>
      <w:r w:rsidRPr="00F13DA5">
        <w:rPr>
          <w:rFonts w:hint="cs"/>
          <w:rtl/>
        </w:rPr>
        <w:t xml:space="preserve">עולה כי </w:t>
      </w:r>
      <w:r>
        <w:rPr>
          <w:rFonts w:hint="cs"/>
          <w:rtl/>
        </w:rPr>
        <w:t xml:space="preserve">בין שנת 2014 לשנת 2018 השתנה </w:t>
      </w:r>
      <w:r w:rsidRPr="00F13DA5">
        <w:rPr>
          <w:rFonts w:hint="cs"/>
          <w:rtl/>
        </w:rPr>
        <w:t xml:space="preserve">משמעותית שיעור התיקים </w:t>
      </w:r>
      <w:r w:rsidRPr="00F13DA5">
        <w:rPr>
          <w:rtl/>
        </w:rPr>
        <w:t xml:space="preserve">שהושבו בהם כספים </w:t>
      </w:r>
      <w:r>
        <w:rPr>
          <w:rFonts w:hint="cs"/>
          <w:rtl/>
        </w:rPr>
        <w:t>ועמד על</w:t>
      </w:r>
      <w:r w:rsidRPr="00F13DA5">
        <w:rPr>
          <w:rFonts w:hint="cs"/>
          <w:rtl/>
        </w:rPr>
        <w:t xml:space="preserve"> 88%</w:t>
      </w:r>
      <w:r w:rsidRPr="00F13DA5">
        <w:rPr>
          <w:rtl/>
        </w:rPr>
        <w:t xml:space="preserve">. </w:t>
      </w:r>
      <w:r w:rsidRPr="00F13DA5">
        <w:rPr>
          <w:rFonts w:hint="cs"/>
          <w:rtl/>
        </w:rPr>
        <w:t xml:space="preserve">גם </w:t>
      </w:r>
      <w:r>
        <w:rPr>
          <w:rFonts w:hint="cs"/>
          <w:rtl/>
        </w:rPr>
        <w:t>ב</w:t>
      </w:r>
      <w:r w:rsidRPr="00F13DA5">
        <w:rPr>
          <w:rFonts w:hint="cs"/>
          <w:rtl/>
        </w:rPr>
        <w:t>סכומים שהוחזרו לזכאים חלה עלייה מסוימת (17% בגובה הסכומים ו-4% בשיעורם). כלומר, חל שיפור ביכולת ההחזר של הכספים לאורך השנים 2014 - 2018. ואולם, נראה ש</w:t>
      </w:r>
      <w:r w:rsidRPr="00F13DA5">
        <w:rPr>
          <w:rtl/>
        </w:rPr>
        <w:t xml:space="preserve">קיימת </w:t>
      </w:r>
      <w:r w:rsidRPr="00F13DA5">
        <w:rPr>
          <w:rFonts w:hint="eastAsia"/>
          <w:rtl/>
        </w:rPr>
        <w:t>מגמה</w:t>
      </w:r>
      <w:r w:rsidRPr="00F13DA5">
        <w:rPr>
          <w:rtl/>
        </w:rPr>
        <w:t xml:space="preserve"> </w:t>
      </w:r>
      <w:r w:rsidRPr="00F13DA5">
        <w:rPr>
          <w:rFonts w:hint="eastAsia"/>
          <w:rtl/>
        </w:rPr>
        <w:t>ברורה</w:t>
      </w:r>
      <w:r w:rsidRPr="00F13DA5">
        <w:rPr>
          <w:rtl/>
        </w:rPr>
        <w:t xml:space="preserve"> </w:t>
      </w:r>
      <w:r w:rsidRPr="00F13DA5">
        <w:rPr>
          <w:rFonts w:hint="eastAsia"/>
          <w:rtl/>
        </w:rPr>
        <w:t>של</w:t>
      </w:r>
      <w:r w:rsidRPr="00F13DA5">
        <w:rPr>
          <w:rtl/>
        </w:rPr>
        <w:t xml:space="preserve"> </w:t>
      </w:r>
      <w:r w:rsidRPr="00F13DA5">
        <w:rPr>
          <w:rFonts w:hint="eastAsia"/>
          <w:rtl/>
        </w:rPr>
        <w:t>ירידה</w:t>
      </w:r>
      <w:r w:rsidRPr="00F13DA5">
        <w:rPr>
          <w:rtl/>
        </w:rPr>
        <w:t xml:space="preserve"> </w:t>
      </w:r>
      <w:r w:rsidRPr="00F13DA5">
        <w:rPr>
          <w:rFonts w:hint="eastAsia"/>
          <w:rtl/>
        </w:rPr>
        <w:t>במספר</w:t>
      </w:r>
      <w:r w:rsidRPr="00F13DA5">
        <w:rPr>
          <w:rtl/>
        </w:rPr>
        <w:t xml:space="preserve"> </w:t>
      </w:r>
      <w:r w:rsidRPr="00F13DA5">
        <w:rPr>
          <w:rFonts w:hint="eastAsia"/>
          <w:rtl/>
        </w:rPr>
        <w:t>התיקים</w:t>
      </w:r>
      <w:r w:rsidRPr="00F13DA5">
        <w:rPr>
          <w:rtl/>
        </w:rPr>
        <w:t xml:space="preserve"> </w:t>
      </w:r>
      <w:r w:rsidRPr="00F13DA5">
        <w:rPr>
          <w:rFonts w:hint="cs"/>
          <w:rtl/>
        </w:rPr>
        <w:t>ש</w:t>
      </w:r>
      <w:r w:rsidRPr="00F13DA5">
        <w:rPr>
          <w:rFonts w:hint="eastAsia"/>
          <w:rtl/>
        </w:rPr>
        <w:t>בהם</w:t>
      </w:r>
      <w:r w:rsidRPr="00F13DA5">
        <w:rPr>
          <w:rtl/>
        </w:rPr>
        <w:t xml:space="preserve"> </w:t>
      </w:r>
      <w:r w:rsidRPr="00F13DA5">
        <w:rPr>
          <w:rFonts w:hint="eastAsia"/>
          <w:rtl/>
        </w:rPr>
        <w:t>התקבלו</w:t>
      </w:r>
      <w:r w:rsidRPr="00F13DA5">
        <w:rPr>
          <w:rtl/>
        </w:rPr>
        <w:t xml:space="preserve"> </w:t>
      </w:r>
      <w:r w:rsidRPr="00F13DA5">
        <w:rPr>
          <w:rFonts w:hint="eastAsia"/>
          <w:rtl/>
        </w:rPr>
        <w:t>הפקדות</w:t>
      </w:r>
      <w:r w:rsidRPr="00F13DA5">
        <w:rPr>
          <w:rtl/>
        </w:rPr>
        <w:t xml:space="preserve"> </w:t>
      </w:r>
      <w:r w:rsidRPr="00F13DA5">
        <w:rPr>
          <w:rFonts w:hint="eastAsia"/>
          <w:rtl/>
        </w:rPr>
        <w:t>של</w:t>
      </w:r>
      <w:r w:rsidRPr="00F13DA5">
        <w:rPr>
          <w:rtl/>
        </w:rPr>
        <w:t xml:space="preserve"> </w:t>
      </w:r>
      <w:r w:rsidRPr="00F13DA5">
        <w:rPr>
          <w:rFonts w:hint="eastAsia"/>
          <w:rtl/>
        </w:rPr>
        <w:t>כספי</w:t>
      </w:r>
      <w:r w:rsidRPr="00F13DA5">
        <w:rPr>
          <w:rtl/>
        </w:rPr>
        <w:t xml:space="preserve"> </w:t>
      </w:r>
      <w:r w:rsidRPr="00F13DA5">
        <w:rPr>
          <w:rFonts w:hint="eastAsia"/>
          <w:rtl/>
        </w:rPr>
        <w:t>ערובה</w:t>
      </w:r>
      <w:r w:rsidRPr="00F13DA5">
        <w:rPr>
          <w:rtl/>
        </w:rPr>
        <w:t xml:space="preserve"> במשטרה (</w:t>
      </w:r>
      <w:r w:rsidRPr="00F13DA5">
        <w:rPr>
          <w:rFonts w:hint="cs"/>
          <w:rtl/>
        </w:rPr>
        <w:t>60%</w:t>
      </w:r>
      <w:r w:rsidRPr="00F13DA5">
        <w:rPr>
          <w:rtl/>
        </w:rPr>
        <w:t xml:space="preserve">) </w:t>
      </w:r>
      <w:r w:rsidRPr="00F13DA5">
        <w:rPr>
          <w:rFonts w:hint="eastAsia"/>
          <w:rtl/>
        </w:rPr>
        <w:t>וירידה</w:t>
      </w:r>
      <w:r w:rsidRPr="00F13DA5">
        <w:rPr>
          <w:rtl/>
        </w:rPr>
        <w:t xml:space="preserve"> </w:t>
      </w:r>
      <w:r w:rsidRPr="00F13DA5">
        <w:rPr>
          <w:rFonts w:hint="eastAsia"/>
          <w:rtl/>
        </w:rPr>
        <w:t>בשיעור</w:t>
      </w:r>
      <w:r w:rsidRPr="00F13DA5">
        <w:rPr>
          <w:rtl/>
        </w:rPr>
        <w:t xml:space="preserve"> הסכומים שהופקדו (כ-44%).</w:t>
      </w:r>
    </w:p>
    <w:p w14:paraId="4DA8E77D" w14:textId="1251A1C5" w:rsidR="00BA23AE" w:rsidRPr="00F13DA5" w:rsidRDefault="00BA23AE" w:rsidP="00F8143C">
      <w:pPr>
        <w:pStyle w:val="100"/>
        <w:rPr>
          <w:rtl/>
        </w:rPr>
      </w:pPr>
      <w:r w:rsidRPr="00F13DA5">
        <w:rPr>
          <w:rFonts w:hint="cs"/>
          <w:rtl/>
        </w:rPr>
        <w:t>המשטרה ציינה בתשובתה כי השימוש בהפקדות ערובה כספית מהווה נטל על מערך החקירות</w:t>
      </w:r>
      <w:r>
        <w:rPr>
          <w:rFonts w:hint="cs"/>
          <w:rtl/>
        </w:rPr>
        <w:t>,</w:t>
      </w:r>
      <w:r w:rsidRPr="00F13DA5">
        <w:rPr>
          <w:rFonts w:hint="cs"/>
          <w:rtl/>
        </w:rPr>
        <w:t xml:space="preserve"> ולפיכך ממעטות היחידות לעשות שימוש בכלי זה. בתשובתה פירטה סיבות</w:t>
      </w:r>
      <w:r>
        <w:rPr>
          <w:rFonts w:hint="cs"/>
          <w:rtl/>
        </w:rPr>
        <w:t xml:space="preserve"> אחדות</w:t>
      </w:r>
      <w:r w:rsidRPr="00F13DA5">
        <w:rPr>
          <w:rFonts w:hint="cs"/>
          <w:rtl/>
        </w:rPr>
        <w:t xml:space="preserve"> הנוגעות להיבטים </w:t>
      </w:r>
      <w:r>
        <w:rPr>
          <w:rFonts w:hint="cs"/>
          <w:rtl/>
        </w:rPr>
        <w:t>ה</w:t>
      </w:r>
      <w:r w:rsidRPr="00F13DA5">
        <w:rPr>
          <w:rFonts w:hint="cs"/>
          <w:rtl/>
        </w:rPr>
        <w:t xml:space="preserve">טכניים של ההליך: הליך ההפקדה מסורבל, עמדות הבנקט </w:t>
      </w:r>
      <w:r>
        <w:rPr>
          <w:rFonts w:hint="cs"/>
          <w:rtl/>
        </w:rPr>
        <w:t>אינן</w:t>
      </w:r>
      <w:r w:rsidRPr="00F13DA5">
        <w:rPr>
          <w:rFonts w:hint="cs"/>
          <w:rtl/>
        </w:rPr>
        <w:t xml:space="preserve"> עובדות תמיד ולא ניתן לשלוח חשוד לבצע הפקדה במקום אחר, קשיים בממשקי התקשורת בין הדואר והמשטרה </w:t>
      </w:r>
      <w:r w:rsidRPr="00F13DA5">
        <w:rPr>
          <w:rFonts w:hint="cs"/>
          <w:rtl/>
        </w:rPr>
        <w:lastRenderedPageBreak/>
        <w:t>ואופי האוכלוסייה לע</w:t>
      </w:r>
      <w:r>
        <w:rPr>
          <w:rFonts w:hint="cs"/>
          <w:rtl/>
        </w:rPr>
        <w:t>י</w:t>
      </w:r>
      <w:r w:rsidRPr="00F13DA5">
        <w:rPr>
          <w:rFonts w:hint="cs"/>
          <w:rtl/>
        </w:rPr>
        <w:t xml:space="preserve">תים, שאינה נושאת כרטיס אשראי. בין ההיבטים המהותיים </w:t>
      </w:r>
      <w:r>
        <w:rPr>
          <w:rFonts w:hint="cs"/>
          <w:rtl/>
        </w:rPr>
        <w:t xml:space="preserve">- </w:t>
      </w:r>
      <w:r w:rsidRPr="00F13DA5">
        <w:rPr>
          <w:rFonts w:hint="cs"/>
          <w:rtl/>
        </w:rPr>
        <w:t>סכומי ערובה כספית נמוכים אינם מהווים הרתעה כלפי החשוד</w:t>
      </w:r>
      <w:r>
        <w:rPr>
          <w:rFonts w:hint="cs"/>
          <w:rtl/>
        </w:rPr>
        <w:t>,</w:t>
      </w:r>
      <w:r w:rsidRPr="00F13DA5">
        <w:rPr>
          <w:rFonts w:hint="cs"/>
          <w:rtl/>
        </w:rPr>
        <w:t xml:space="preserve"> ובתי המשפט אינם ממהרים לחלט הפקדות. לסיכום טענה כי במציאות העמוסה של מערך החקירות</w:t>
      </w:r>
      <w:r>
        <w:rPr>
          <w:rFonts w:hint="cs"/>
          <w:rtl/>
        </w:rPr>
        <w:t>,</w:t>
      </w:r>
      <w:r w:rsidRPr="00F13DA5">
        <w:rPr>
          <w:rFonts w:hint="cs"/>
          <w:rtl/>
        </w:rPr>
        <w:t xml:space="preserve"> ההליך הקיים מקשה ומעמיס, ולכן לא נעשה בו שימוש רחב. ככל שהליך ההפקדה יהיה פשוט לביצוע וככל שיחולטו הערבויות - הליך זה ירתיע וייעשה בו שימוש נרחב יותר.</w:t>
      </w:r>
      <w:r>
        <w:rPr>
          <w:rFonts w:hint="cs"/>
          <w:rtl/>
        </w:rPr>
        <w:t xml:space="preserve"> </w:t>
      </w:r>
    </w:p>
    <w:p w14:paraId="2D42CCFD" w14:textId="77777777" w:rsidR="00BA23AE" w:rsidRPr="00F13DA5" w:rsidRDefault="00BA23AE" w:rsidP="00F8143C">
      <w:pPr>
        <w:pStyle w:val="af4"/>
        <w:rPr>
          <w:rtl/>
        </w:rPr>
      </w:pPr>
      <w:r w:rsidRPr="00F13DA5">
        <w:rPr>
          <w:rFonts w:hint="cs"/>
          <w:rtl/>
        </w:rPr>
        <w:t>הנתונים מעידים על מידה הולכת ופוחתת של שימוש קצינים בסמכותם לשחרור בערובה</w:t>
      </w:r>
      <w:r>
        <w:rPr>
          <w:rFonts w:hint="cs"/>
          <w:rtl/>
        </w:rPr>
        <w:t>,</w:t>
      </w:r>
      <w:r w:rsidRPr="00F13DA5">
        <w:rPr>
          <w:rFonts w:hint="cs"/>
          <w:rtl/>
        </w:rPr>
        <w:t xml:space="preserve"> והחסמים המצויים ביסודם, כפי שפורטו בתשובת המשטרה, מחייבים בחינה מעמיקה של המשטרה.</w:t>
      </w:r>
      <w:r>
        <w:rPr>
          <w:rFonts w:hint="cs"/>
          <w:rtl/>
        </w:rPr>
        <w:t xml:space="preserve"> משרד מבקר המדינה מעיר, כי</w:t>
      </w:r>
      <w:r w:rsidRPr="00F13DA5">
        <w:rPr>
          <w:rFonts w:hint="cs"/>
          <w:rtl/>
        </w:rPr>
        <w:t xml:space="preserve"> הסמכות לשחרר בערובה היא חלופה חוקית למעצר ונועדה לתת מענה </w:t>
      </w:r>
      <w:r>
        <w:rPr>
          <w:rFonts w:hint="cs"/>
          <w:rtl/>
        </w:rPr>
        <w:t>כש</w:t>
      </w:r>
      <w:r w:rsidRPr="00F13DA5">
        <w:rPr>
          <w:rFonts w:hint="cs"/>
          <w:rtl/>
        </w:rPr>
        <w:t xml:space="preserve">ניתן לוותר על שהות במעצר, </w:t>
      </w:r>
      <w:r>
        <w:rPr>
          <w:rFonts w:hint="cs"/>
          <w:rtl/>
        </w:rPr>
        <w:t>על מנת לה</w:t>
      </w:r>
      <w:r w:rsidRPr="00F13DA5">
        <w:rPr>
          <w:rFonts w:hint="cs"/>
          <w:rtl/>
        </w:rPr>
        <w:t xml:space="preserve">בטיח התייצבות לחקירה או למשפט </w:t>
      </w:r>
      <w:r>
        <w:rPr>
          <w:rFonts w:hint="cs"/>
          <w:rtl/>
        </w:rPr>
        <w:t>ולמנוע את</w:t>
      </w:r>
      <w:r w:rsidRPr="00F13DA5">
        <w:rPr>
          <w:rFonts w:hint="cs"/>
          <w:rtl/>
        </w:rPr>
        <w:t xml:space="preserve"> שיבוש ההליכים. עומס עבודה </w:t>
      </w:r>
      <w:r>
        <w:rPr>
          <w:rFonts w:hint="cs"/>
          <w:rtl/>
        </w:rPr>
        <w:t xml:space="preserve">אינו </w:t>
      </w:r>
      <w:r w:rsidRPr="00F13DA5">
        <w:rPr>
          <w:rFonts w:hint="cs"/>
          <w:rtl/>
        </w:rPr>
        <w:t>עומד בחשיבות</w:t>
      </w:r>
      <w:r>
        <w:rPr>
          <w:rFonts w:hint="cs"/>
          <w:rtl/>
        </w:rPr>
        <w:t>ו</w:t>
      </w:r>
      <w:r w:rsidRPr="00F13DA5">
        <w:rPr>
          <w:rFonts w:hint="cs"/>
          <w:rtl/>
        </w:rPr>
        <w:t xml:space="preserve"> מול זכותו של עצור לחירות </w:t>
      </w:r>
      <w:r>
        <w:rPr>
          <w:rFonts w:hint="cs"/>
          <w:rtl/>
        </w:rPr>
        <w:t>כאשר</w:t>
      </w:r>
      <w:r w:rsidRPr="00F13DA5">
        <w:rPr>
          <w:rFonts w:hint="cs"/>
          <w:rtl/>
        </w:rPr>
        <w:t xml:space="preserve"> אין הצדקה להחזיקו במעצר. על המשטרה לבחון פתרונות אפשריים </w:t>
      </w:r>
      <w:r>
        <w:rPr>
          <w:rFonts w:hint="cs"/>
          <w:rtl/>
        </w:rPr>
        <w:t>שי</w:t>
      </w:r>
      <w:r w:rsidRPr="00F13DA5">
        <w:rPr>
          <w:rFonts w:hint="cs"/>
          <w:rtl/>
        </w:rPr>
        <w:t xml:space="preserve">יתנו מענה לחסמים הטכניים והמהותיים המפורטים לעיל, </w:t>
      </w:r>
      <w:r>
        <w:rPr>
          <w:rFonts w:hint="cs"/>
          <w:rtl/>
        </w:rPr>
        <w:t>ו</w:t>
      </w:r>
      <w:r w:rsidRPr="00F13DA5">
        <w:rPr>
          <w:rFonts w:hint="cs"/>
          <w:rtl/>
        </w:rPr>
        <w:t>יבטיח</w:t>
      </w:r>
      <w:r>
        <w:rPr>
          <w:rFonts w:hint="cs"/>
          <w:rtl/>
        </w:rPr>
        <w:t>ו</w:t>
      </w:r>
      <w:r w:rsidRPr="00F13DA5">
        <w:rPr>
          <w:rFonts w:hint="cs"/>
          <w:rtl/>
        </w:rPr>
        <w:t xml:space="preserve"> שהשימוש בסמכות קצינים לשחרר בערובה יושפע משיקולים מקצועיים ולא ייפגע בשל עומס </w:t>
      </w:r>
      <w:r>
        <w:rPr>
          <w:rFonts w:hint="cs"/>
          <w:rtl/>
        </w:rPr>
        <w:t>ב</w:t>
      </w:r>
      <w:r w:rsidRPr="00F13DA5">
        <w:rPr>
          <w:rFonts w:hint="cs"/>
          <w:rtl/>
        </w:rPr>
        <w:t>עבודה או סיבות טכניות אחרות.</w:t>
      </w:r>
      <w:r>
        <w:rPr>
          <w:rFonts w:hint="cs"/>
          <w:rtl/>
        </w:rPr>
        <w:t xml:space="preserve"> </w:t>
      </w:r>
    </w:p>
    <w:p w14:paraId="125E68A7" w14:textId="77777777" w:rsidR="00BA23AE" w:rsidRPr="00F13DA5" w:rsidRDefault="00BA23AE" w:rsidP="00F11F70">
      <w:pPr>
        <w:pStyle w:val="414"/>
        <w:rPr>
          <w:rtl/>
        </w:rPr>
      </w:pPr>
      <w:r w:rsidRPr="00F13DA5">
        <w:rPr>
          <w:rFonts w:hint="cs"/>
          <w:rtl/>
        </w:rPr>
        <w:t>הפקדת ערובה בבתי המשפט</w:t>
      </w:r>
    </w:p>
    <w:p w14:paraId="472B240C" w14:textId="77777777" w:rsidR="00BA23AE" w:rsidRPr="00F13DA5" w:rsidRDefault="00BA23AE" w:rsidP="00F11F70">
      <w:pPr>
        <w:pStyle w:val="100"/>
        <w:rPr>
          <w:rtl/>
        </w:rPr>
      </w:pPr>
      <w:r w:rsidRPr="00F13DA5">
        <w:rPr>
          <w:rFonts w:hint="cs"/>
          <w:rtl/>
        </w:rPr>
        <w:t>לפי נוהלי חטיבת המזכירויות בהנהלת בתי המשפט, הפקדת כספי ערובה מתאפשרת באמצעות שובר</w:t>
      </w:r>
      <w:r w:rsidRPr="00F13DA5">
        <w:rPr>
          <w:vertAlign w:val="superscript"/>
          <w:rtl/>
        </w:rPr>
        <w:footnoteReference w:id="54"/>
      </w:r>
      <w:r w:rsidRPr="00F13DA5">
        <w:rPr>
          <w:rFonts w:hint="cs"/>
          <w:rtl/>
        </w:rPr>
        <w:t xml:space="preserve"> המופק במזכירות בית המשפט ויכולה להיעשות </w:t>
      </w:r>
      <w:r>
        <w:rPr>
          <w:rFonts w:hint="cs"/>
          <w:rtl/>
        </w:rPr>
        <w:t>ב</w:t>
      </w:r>
      <w:r w:rsidRPr="00F13DA5">
        <w:rPr>
          <w:rFonts w:hint="cs"/>
          <w:rtl/>
        </w:rPr>
        <w:t>אמצעי תשלום</w:t>
      </w:r>
      <w:r>
        <w:rPr>
          <w:rFonts w:hint="cs"/>
          <w:rtl/>
        </w:rPr>
        <w:t xml:space="preserve"> אחדים</w:t>
      </w:r>
      <w:r w:rsidRPr="00F13DA5">
        <w:rPr>
          <w:rFonts w:hint="cs"/>
          <w:rtl/>
        </w:rPr>
        <w:t>: במזומן בבנק הדואר, באשראי, בהעברה בנקאית או בהמחאה של עו"ד וכן באמצעות אתר הרשות השופטת, מרכז המידע הטלפוני או יישומון ייעודי</w:t>
      </w:r>
      <w:r w:rsidRPr="00F13DA5">
        <w:rPr>
          <w:rStyle w:val="FootnoteReference"/>
          <w:rtl/>
        </w:rPr>
        <w:footnoteReference w:id="55"/>
      </w:r>
      <w:r w:rsidRPr="00F13DA5">
        <w:rPr>
          <w:rFonts w:hint="cs"/>
          <w:rtl/>
        </w:rPr>
        <w:t xml:space="preserve">. כאשר הופקדה ערובה בבית המשפט וניתנה החלטה שיפוטית על השבתה, או בחלוף 180 יום בהתקיים התנאים הקבועים בחוק, על מערכת בתי המשפט להשיבה לזכאים. </w:t>
      </w:r>
    </w:p>
    <w:p w14:paraId="30F15A0C" w14:textId="77777777" w:rsidR="00BA23AE" w:rsidRPr="00F13DA5" w:rsidRDefault="00BA23AE" w:rsidP="00F11F70">
      <w:pPr>
        <w:pStyle w:val="100"/>
        <w:rPr>
          <w:rtl/>
        </w:rPr>
      </w:pPr>
      <w:r w:rsidRPr="00F13DA5">
        <w:rPr>
          <w:rFonts w:hint="cs"/>
          <w:rtl/>
        </w:rPr>
        <w:t xml:space="preserve">בשונה מן המשטרה ועל פי חוות דעת משפטית, הנהלת בתי המשפט פועלת להשבת הכספים לאדם שנקבעו לגביו התנאים לשחרור בערובה (העצור) ולא למפקיד הכספים בפועל. כלומר, השבת הכספים בצירוף ריבית נעשית בדרך של העברה בנקאית לחשבון העצור בלבד. </w:t>
      </w:r>
    </w:p>
    <w:p w14:paraId="5DE87A9D" w14:textId="77777777" w:rsidR="00BA23AE" w:rsidRPr="00F13DA5" w:rsidRDefault="00BA23AE" w:rsidP="00F11F70">
      <w:pPr>
        <w:pStyle w:val="100"/>
        <w:rPr>
          <w:rtl/>
        </w:rPr>
      </w:pPr>
      <w:r w:rsidRPr="00F13DA5">
        <w:rPr>
          <w:rFonts w:hint="cs"/>
          <w:rtl/>
        </w:rPr>
        <w:t>בעת הפקדת כספי הפיקדונות לא נשמרים פרטי מפקיד הכספים. אומנם בכתב הערובה נדרש האדם למלא את פרטיו האישיים, אך אין זו חובה. כתוצאה מכך, פעמים רבות עולים קשיים במזכירויות בתי המשפט לאתר את הזכאים, ומשכך</w:t>
      </w:r>
      <w:r>
        <w:rPr>
          <w:rFonts w:hint="cs"/>
          <w:rtl/>
        </w:rPr>
        <w:t>,</w:t>
      </w:r>
      <w:r w:rsidRPr="00F13DA5">
        <w:rPr>
          <w:rFonts w:hint="cs"/>
          <w:rtl/>
        </w:rPr>
        <w:t xml:space="preserve"> החזר הכספים אינו יכול להתבצע באופן יזום</w:t>
      </w:r>
      <w:r>
        <w:rPr>
          <w:rFonts w:hint="cs"/>
          <w:rtl/>
        </w:rPr>
        <w:t>,</w:t>
      </w:r>
      <w:r w:rsidRPr="00F13DA5">
        <w:rPr>
          <w:rFonts w:hint="cs"/>
          <w:rtl/>
        </w:rPr>
        <w:t xml:space="preserve"> אלא אך על סמך בקשה של הזכאי. הקשיים </w:t>
      </w:r>
      <w:r>
        <w:rPr>
          <w:rFonts w:hint="cs"/>
          <w:rtl/>
        </w:rPr>
        <w:t>עולים</w:t>
      </w:r>
      <w:r w:rsidRPr="00F13DA5">
        <w:rPr>
          <w:rFonts w:hint="cs"/>
          <w:rtl/>
        </w:rPr>
        <w:t xml:space="preserve"> בעיקר </w:t>
      </w:r>
      <w:r>
        <w:rPr>
          <w:rFonts w:hint="cs"/>
          <w:rtl/>
        </w:rPr>
        <w:t xml:space="preserve">אם </w:t>
      </w:r>
      <w:r w:rsidRPr="00F13DA5">
        <w:rPr>
          <w:rFonts w:hint="cs"/>
          <w:rtl/>
        </w:rPr>
        <w:t xml:space="preserve">פרטי הזיהוי הנדרשים לא הומצאו במלואם, למשל אם למפקידים חסרה תעודת זהות, או שהוזן להם מספר זהות בלתי-תקין, או שלא קיימים לגביהם פרטי חשבון הבנק, פרטי </w:t>
      </w:r>
      <w:r>
        <w:rPr>
          <w:rFonts w:hint="cs"/>
          <w:rtl/>
        </w:rPr>
        <w:t>ה</w:t>
      </w:r>
      <w:r w:rsidRPr="00F13DA5">
        <w:rPr>
          <w:rFonts w:hint="cs"/>
          <w:rtl/>
        </w:rPr>
        <w:t>התקשרות או פרטי זיהוי כלשהם</w:t>
      </w:r>
      <w:r w:rsidRPr="00F13DA5">
        <w:rPr>
          <w:vertAlign w:val="superscript"/>
          <w:rtl/>
        </w:rPr>
        <w:footnoteReference w:id="56"/>
      </w:r>
      <w:r w:rsidRPr="00F13DA5">
        <w:rPr>
          <w:rFonts w:hint="cs"/>
          <w:rtl/>
        </w:rPr>
        <w:t xml:space="preserve">. </w:t>
      </w:r>
    </w:p>
    <w:p w14:paraId="42F9B921" w14:textId="77777777" w:rsidR="00BA23AE" w:rsidRPr="00F13DA5" w:rsidRDefault="00BA23AE" w:rsidP="00F11F70">
      <w:pPr>
        <w:pStyle w:val="af4"/>
        <w:rPr>
          <w:rtl/>
        </w:rPr>
      </w:pPr>
      <w:r w:rsidRPr="00F13DA5">
        <w:rPr>
          <w:rFonts w:hint="cs"/>
          <w:rtl/>
        </w:rPr>
        <w:lastRenderedPageBreak/>
        <w:t xml:space="preserve">במערכת בתי המשפט הצטברו לאורך השנים סכומי כסף גבוהים שהופקדו בהליכים שונים וטרם הושבו לזכאים, בהם גם בהליכי מעצרים. באוגוסט 2019 היו בבתי המשפט </w:t>
      </w:r>
      <w:r>
        <w:rPr>
          <w:rFonts w:hint="cs"/>
          <w:rtl/>
        </w:rPr>
        <w:t>כ-312 מיליון</w:t>
      </w:r>
      <w:r w:rsidRPr="00F13DA5">
        <w:rPr>
          <w:rFonts w:hint="cs"/>
          <w:rtl/>
        </w:rPr>
        <w:t xml:space="preserve"> ש"ח</w:t>
      </w:r>
      <w:r w:rsidRPr="00F13DA5">
        <w:rPr>
          <w:vertAlign w:val="superscript"/>
          <w:rtl/>
        </w:rPr>
        <w:footnoteReference w:id="57"/>
      </w:r>
      <w:r w:rsidRPr="00F13DA5">
        <w:rPr>
          <w:rFonts w:hint="cs"/>
          <w:rtl/>
        </w:rPr>
        <w:t>, מהם</w:t>
      </w:r>
      <w:r>
        <w:rPr>
          <w:rFonts w:hint="cs"/>
          <w:rtl/>
        </w:rPr>
        <w:t xml:space="preserve"> כ-148 מיליון</w:t>
      </w:r>
      <w:r w:rsidRPr="00F13DA5">
        <w:rPr>
          <w:rFonts w:hint="cs"/>
          <w:rtl/>
        </w:rPr>
        <w:t xml:space="preserve"> ש"ח (47%) שהופקדו ב-42,855 תיקי מעצרים</w:t>
      </w:r>
      <w:r w:rsidRPr="00F13DA5">
        <w:rPr>
          <w:vertAlign w:val="superscript"/>
          <w:rtl/>
        </w:rPr>
        <w:footnoteReference w:id="58"/>
      </w:r>
      <w:r w:rsidRPr="00F13DA5">
        <w:rPr>
          <w:rFonts w:hint="cs"/>
          <w:rtl/>
        </w:rPr>
        <w:t xml:space="preserve"> וטרם הושבו לזכאים. </w:t>
      </w:r>
    </w:p>
    <w:p w14:paraId="11FBF934" w14:textId="03D1A043" w:rsidR="00BA23AE" w:rsidRDefault="00BA23AE" w:rsidP="00F11F70">
      <w:pPr>
        <w:pStyle w:val="100"/>
        <w:rPr>
          <w:rtl/>
        </w:rPr>
      </w:pPr>
      <w:r w:rsidRPr="00F13DA5">
        <w:rPr>
          <w:rFonts w:hint="cs"/>
          <w:rtl/>
        </w:rPr>
        <w:t xml:space="preserve">הנהלת בתי המשפט מקיימת מעקב אחר נושא "החזר פיקדונות בתיקים סגורים" באמצעות דוח אקסל, הכולל עשרות אלפי שורות של פרטי הפיקדונות שהצטברו בקופות בתי המשפט. דוח זה מופץ לעיתים מזומנות למזכירויות לטיפול ולאיתור זכאים, ומשמש את הנהלת בתי המשפט לצורכי מעקב ובקרה. </w:t>
      </w:r>
      <w:r w:rsidRPr="00F13DA5">
        <w:rPr>
          <w:rFonts w:hint="eastAsia"/>
          <w:rtl/>
        </w:rPr>
        <w:t>בלוח</w:t>
      </w:r>
      <w:r w:rsidRPr="00F13DA5">
        <w:rPr>
          <w:rtl/>
        </w:rPr>
        <w:t xml:space="preserve"> </w:t>
      </w:r>
      <w:r w:rsidRPr="00F13DA5">
        <w:rPr>
          <w:rFonts w:hint="eastAsia"/>
          <w:rtl/>
        </w:rPr>
        <w:t>להלן</w:t>
      </w:r>
      <w:r w:rsidRPr="00F13DA5">
        <w:rPr>
          <w:rtl/>
        </w:rPr>
        <w:t xml:space="preserve"> </w:t>
      </w:r>
      <w:r w:rsidRPr="00F13DA5">
        <w:rPr>
          <w:rFonts w:hint="cs"/>
          <w:rtl/>
        </w:rPr>
        <w:t>נתונים על מספר התיקים והסכומים השנתיים שהופקדו לאורך השנים 2014 - 2018 בתיקי מעצרים</w:t>
      </w:r>
      <w:r w:rsidRPr="00F13DA5">
        <w:rPr>
          <w:rtl/>
        </w:rPr>
        <w:t>:</w:t>
      </w:r>
    </w:p>
    <w:p w14:paraId="3363540E" w14:textId="72C68887" w:rsidR="00BA23AE" w:rsidRPr="002B6FB4" w:rsidRDefault="00BA23AE" w:rsidP="002B6FB4">
      <w:pPr>
        <w:pStyle w:val="a9"/>
        <w:bidi w:val="0"/>
        <w:rPr>
          <w:b/>
          <w:bCs/>
          <w:rtl/>
        </w:rPr>
      </w:pPr>
      <w:r w:rsidRPr="00F13DA5">
        <w:rPr>
          <w:rFonts w:hint="eastAsia"/>
          <w:rtl/>
        </w:rPr>
        <w:t>לוח</w:t>
      </w:r>
      <w:r w:rsidRPr="00F13DA5">
        <w:rPr>
          <w:rtl/>
        </w:rPr>
        <w:t xml:space="preserve"> </w:t>
      </w:r>
      <w:r w:rsidRPr="00F13DA5">
        <w:rPr>
          <w:rFonts w:hint="cs"/>
          <w:rtl/>
        </w:rPr>
        <w:t>1</w:t>
      </w:r>
      <w:r>
        <w:rPr>
          <w:rFonts w:hint="cs"/>
          <w:rtl/>
        </w:rPr>
        <w:t>1</w:t>
      </w:r>
      <w:r w:rsidRPr="00F13DA5">
        <w:rPr>
          <w:rtl/>
        </w:rPr>
        <w:t>:</w:t>
      </w:r>
      <w:r w:rsidRPr="00F13DA5">
        <w:rPr>
          <w:rFonts w:hint="cs"/>
          <w:rtl/>
        </w:rPr>
        <w:t xml:space="preserve"> </w:t>
      </w:r>
      <w:r w:rsidRPr="002B6FB4">
        <w:rPr>
          <w:rFonts w:hint="cs"/>
          <w:b/>
          <w:bCs/>
          <w:rtl/>
        </w:rPr>
        <w:t>החזר פיקדונות - מספר התיקים והסכומים שהופקדו והוחזרו בכל שנה,</w:t>
      </w:r>
      <w:r w:rsidR="00B507E9" w:rsidRPr="002B6FB4">
        <w:rPr>
          <w:b/>
          <w:bCs/>
          <w:rtl/>
        </w:rPr>
        <w:br/>
      </w:r>
      <w:r w:rsidRPr="002B6FB4">
        <w:rPr>
          <w:rFonts w:hint="cs"/>
          <w:b/>
          <w:bCs/>
          <w:rtl/>
        </w:rPr>
        <w:t xml:space="preserve">2014 - 2018 </w:t>
      </w:r>
    </w:p>
    <w:tbl>
      <w:tblPr>
        <w:bidiVisual/>
        <w:tblW w:w="8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662"/>
        <w:gridCol w:w="1746"/>
        <w:gridCol w:w="2272"/>
        <w:gridCol w:w="1644"/>
      </w:tblGrid>
      <w:tr w:rsidR="00BA23AE" w:rsidRPr="00F13DA5" w14:paraId="0EB26A1B" w14:textId="77777777" w:rsidTr="00B507E9">
        <w:trPr>
          <w:trHeight w:val="285"/>
        </w:trPr>
        <w:tc>
          <w:tcPr>
            <w:tcW w:w="910" w:type="dxa"/>
            <w:vMerge w:val="restart"/>
            <w:shd w:val="clear" w:color="auto" w:fill="C6D9F1"/>
            <w:noWrap/>
            <w:vAlign w:val="center"/>
            <w:hideMark/>
          </w:tcPr>
          <w:p w14:paraId="049C7E46" w14:textId="77777777" w:rsidR="00BA23AE" w:rsidRPr="00B507E9" w:rsidRDefault="00BA23AE" w:rsidP="00B507E9">
            <w:pPr>
              <w:pStyle w:val="af0"/>
            </w:pPr>
          </w:p>
        </w:tc>
        <w:tc>
          <w:tcPr>
            <w:tcW w:w="3408" w:type="dxa"/>
            <w:gridSpan w:val="2"/>
            <w:shd w:val="clear" w:color="auto" w:fill="C6D9F1"/>
            <w:noWrap/>
            <w:hideMark/>
          </w:tcPr>
          <w:p w14:paraId="02A4E71A" w14:textId="77777777" w:rsidR="00BA23AE" w:rsidRPr="00B507E9" w:rsidRDefault="00BA23AE" w:rsidP="00B507E9">
            <w:pPr>
              <w:pStyle w:val="af0"/>
            </w:pPr>
            <w:r w:rsidRPr="00B507E9">
              <w:rPr>
                <w:rtl/>
              </w:rPr>
              <w:t xml:space="preserve">מספר </w:t>
            </w:r>
            <w:r w:rsidRPr="00B507E9">
              <w:rPr>
                <w:rFonts w:hint="cs"/>
                <w:rtl/>
              </w:rPr>
              <w:t>ה</w:t>
            </w:r>
            <w:r w:rsidRPr="00B507E9">
              <w:rPr>
                <w:rtl/>
              </w:rPr>
              <w:t>תיקים</w:t>
            </w:r>
          </w:p>
        </w:tc>
        <w:tc>
          <w:tcPr>
            <w:tcW w:w="3916" w:type="dxa"/>
            <w:gridSpan w:val="2"/>
            <w:shd w:val="clear" w:color="auto" w:fill="C6D9F1"/>
            <w:noWrap/>
            <w:hideMark/>
          </w:tcPr>
          <w:p w14:paraId="0B426F3F" w14:textId="77777777" w:rsidR="00BA23AE" w:rsidRPr="00B507E9" w:rsidRDefault="00BA23AE" w:rsidP="00B507E9">
            <w:pPr>
              <w:pStyle w:val="af0"/>
              <w:rPr>
                <w:rtl/>
              </w:rPr>
            </w:pPr>
            <w:r w:rsidRPr="00B507E9">
              <w:rPr>
                <w:rtl/>
              </w:rPr>
              <w:t>סכומים</w:t>
            </w:r>
          </w:p>
        </w:tc>
      </w:tr>
      <w:tr w:rsidR="00BA23AE" w:rsidRPr="00F13DA5" w14:paraId="6E441BEC" w14:textId="77777777" w:rsidTr="00B507E9">
        <w:trPr>
          <w:trHeight w:val="285"/>
        </w:trPr>
        <w:tc>
          <w:tcPr>
            <w:tcW w:w="910" w:type="dxa"/>
            <w:vMerge/>
            <w:shd w:val="clear" w:color="auto" w:fill="C6D9F1"/>
            <w:vAlign w:val="center"/>
            <w:hideMark/>
          </w:tcPr>
          <w:p w14:paraId="6D9D4A57" w14:textId="77777777" w:rsidR="00BA23AE" w:rsidRPr="00B507E9" w:rsidRDefault="00BA23AE" w:rsidP="00B507E9">
            <w:pPr>
              <w:pStyle w:val="af0"/>
            </w:pPr>
          </w:p>
        </w:tc>
        <w:tc>
          <w:tcPr>
            <w:tcW w:w="1662" w:type="dxa"/>
            <w:shd w:val="clear" w:color="auto" w:fill="C6D9F1"/>
            <w:noWrap/>
            <w:hideMark/>
          </w:tcPr>
          <w:p w14:paraId="4639D392" w14:textId="77777777" w:rsidR="00BA23AE" w:rsidRPr="00B507E9" w:rsidRDefault="00BA23AE" w:rsidP="00B507E9">
            <w:pPr>
              <w:pStyle w:val="af0"/>
              <w:rPr>
                <w:rtl/>
              </w:rPr>
            </w:pPr>
            <w:r w:rsidRPr="00B507E9">
              <w:rPr>
                <w:rtl/>
              </w:rPr>
              <w:t>הפקדות</w:t>
            </w:r>
          </w:p>
        </w:tc>
        <w:tc>
          <w:tcPr>
            <w:tcW w:w="1746" w:type="dxa"/>
            <w:shd w:val="clear" w:color="auto" w:fill="C6D9F1"/>
            <w:noWrap/>
            <w:hideMark/>
          </w:tcPr>
          <w:p w14:paraId="33764FBF" w14:textId="77777777" w:rsidR="00BA23AE" w:rsidRPr="00B507E9" w:rsidRDefault="00BA23AE" w:rsidP="00B507E9">
            <w:pPr>
              <w:pStyle w:val="af0"/>
              <w:rPr>
                <w:rtl/>
              </w:rPr>
            </w:pPr>
            <w:r w:rsidRPr="00B507E9">
              <w:rPr>
                <w:rtl/>
              </w:rPr>
              <w:t>החזרים</w:t>
            </w:r>
          </w:p>
        </w:tc>
        <w:tc>
          <w:tcPr>
            <w:tcW w:w="2272" w:type="dxa"/>
            <w:shd w:val="clear" w:color="auto" w:fill="C6D9F1"/>
            <w:noWrap/>
            <w:hideMark/>
          </w:tcPr>
          <w:p w14:paraId="5CDE25B5" w14:textId="77777777" w:rsidR="00BA23AE" w:rsidRPr="00B507E9" w:rsidRDefault="00BA23AE" w:rsidP="00B507E9">
            <w:pPr>
              <w:pStyle w:val="af0"/>
              <w:rPr>
                <w:rtl/>
              </w:rPr>
            </w:pPr>
            <w:r w:rsidRPr="00B507E9">
              <w:rPr>
                <w:rtl/>
              </w:rPr>
              <w:t>הפקדות</w:t>
            </w:r>
          </w:p>
        </w:tc>
        <w:tc>
          <w:tcPr>
            <w:tcW w:w="1644" w:type="dxa"/>
            <w:shd w:val="clear" w:color="auto" w:fill="C6D9F1"/>
            <w:noWrap/>
            <w:hideMark/>
          </w:tcPr>
          <w:p w14:paraId="515969FE" w14:textId="77777777" w:rsidR="00BA23AE" w:rsidRPr="00B507E9" w:rsidRDefault="00BA23AE" w:rsidP="00B507E9">
            <w:pPr>
              <w:pStyle w:val="af0"/>
              <w:rPr>
                <w:rtl/>
              </w:rPr>
            </w:pPr>
            <w:r w:rsidRPr="00B507E9">
              <w:rPr>
                <w:rtl/>
              </w:rPr>
              <w:t>החזרים</w:t>
            </w:r>
          </w:p>
        </w:tc>
      </w:tr>
      <w:tr w:rsidR="00BA23AE" w:rsidRPr="00F13DA5" w14:paraId="704E43DB" w14:textId="77777777" w:rsidTr="00465562">
        <w:trPr>
          <w:trHeight w:val="257"/>
        </w:trPr>
        <w:tc>
          <w:tcPr>
            <w:tcW w:w="910" w:type="dxa"/>
            <w:noWrap/>
            <w:vAlign w:val="center"/>
            <w:hideMark/>
          </w:tcPr>
          <w:p w14:paraId="45F02718" w14:textId="77777777" w:rsidR="00BA23AE" w:rsidRPr="00B507E9" w:rsidRDefault="00BA23AE" w:rsidP="00B507E9">
            <w:pPr>
              <w:pStyle w:val="B"/>
              <w:rPr>
                <w:szCs w:val="20"/>
                <w:rtl/>
              </w:rPr>
            </w:pPr>
            <w:r w:rsidRPr="00B507E9">
              <w:rPr>
                <w:rFonts w:hint="cs"/>
                <w:szCs w:val="20"/>
                <w:rtl/>
              </w:rPr>
              <w:t>2014</w:t>
            </w:r>
          </w:p>
        </w:tc>
        <w:tc>
          <w:tcPr>
            <w:tcW w:w="1662" w:type="dxa"/>
            <w:noWrap/>
            <w:hideMark/>
          </w:tcPr>
          <w:p w14:paraId="29188F06" w14:textId="77777777" w:rsidR="00BA23AE" w:rsidRPr="00B507E9" w:rsidRDefault="00BA23AE" w:rsidP="00B507E9">
            <w:pPr>
              <w:pStyle w:val="R"/>
              <w:rPr>
                <w:rtl/>
              </w:rPr>
            </w:pPr>
            <w:r w:rsidRPr="00B507E9">
              <w:t>18,334</w:t>
            </w:r>
          </w:p>
        </w:tc>
        <w:tc>
          <w:tcPr>
            <w:tcW w:w="1746" w:type="dxa"/>
            <w:noWrap/>
            <w:hideMark/>
          </w:tcPr>
          <w:p w14:paraId="2E33A1B6" w14:textId="77777777" w:rsidR="00BA23AE" w:rsidRPr="00B507E9" w:rsidRDefault="00BA23AE" w:rsidP="00B507E9">
            <w:pPr>
              <w:pStyle w:val="R"/>
            </w:pPr>
            <w:r w:rsidRPr="00B507E9">
              <w:t>15,398</w:t>
            </w:r>
          </w:p>
        </w:tc>
        <w:tc>
          <w:tcPr>
            <w:tcW w:w="2272" w:type="dxa"/>
            <w:noWrap/>
            <w:hideMark/>
          </w:tcPr>
          <w:p w14:paraId="0DCF965E" w14:textId="77777777" w:rsidR="00BA23AE" w:rsidRPr="00B507E9" w:rsidRDefault="00BA23AE" w:rsidP="00B507E9">
            <w:pPr>
              <w:pStyle w:val="R"/>
            </w:pPr>
            <w:r w:rsidRPr="00B507E9">
              <w:t>72,305,023</w:t>
            </w:r>
          </w:p>
        </w:tc>
        <w:tc>
          <w:tcPr>
            <w:tcW w:w="1644" w:type="dxa"/>
            <w:noWrap/>
            <w:hideMark/>
          </w:tcPr>
          <w:p w14:paraId="6FC8400E" w14:textId="77777777" w:rsidR="00BA23AE" w:rsidRPr="00B507E9" w:rsidRDefault="00BA23AE" w:rsidP="00B507E9">
            <w:pPr>
              <w:pStyle w:val="R"/>
            </w:pPr>
            <w:r w:rsidRPr="00B507E9">
              <w:t>67,698,410</w:t>
            </w:r>
          </w:p>
        </w:tc>
      </w:tr>
      <w:tr w:rsidR="00BA23AE" w:rsidRPr="00F13DA5" w14:paraId="75504E92" w14:textId="77777777" w:rsidTr="00465562">
        <w:trPr>
          <w:trHeight w:val="285"/>
        </w:trPr>
        <w:tc>
          <w:tcPr>
            <w:tcW w:w="910" w:type="dxa"/>
            <w:noWrap/>
            <w:vAlign w:val="center"/>
            <w:hideMark/>
          </w:tcPr>
          <w:p w14:paraId="058E229F" w14:textId="77777777" w:rsidR="00BA23AE" w:rsidRPr="00B507E9" w:rsidRDefault="00BA23AE" w:rsidP="00B507E9">
            <w:pPr>
              <w:pStyle w:val="B"/>
              <w:rPr>
                <w:szCs w:val="20"/>
                <w:rtl/>
              </w:rPr>
            </w:pPr>
            <w:r w:rsidRPr="00B507E9">
              <w:rPr>
                <w:rFonts w:hint="cs"/>
                <w:szCs w:val="20"/>
                <w:rtl/>
              </w:rPr>
              <w:t>2015</w:t>
            </w:r>
          </w:p>
        </w:tc>
        <w:tc>
          <w:tcPr>
            <w:tcW w:w="1662" w:type="dxa"/>
            <w:noWrap/>
            <w:hideMark/>
          </w:tcPr>
          <w:p w14:paraId="38D2DD31" w14:textId="77777777" w:rsidR="00BA23AE" w:rsidRPr="00B507E9" w:rsidRDefault="00BA23AE" w:rsidP="00B507E9">
            <w:pPr>
              <w:pStyle w:val="R"/>
            </w:pPr>
            <w:r w:rsidRPr="00B507E9">
              <w:t>19,146</w:t>
            </w:r>
          </w:p>
        </w:tc>
        <w:tc>
          <w:tcPr>
            <w:tcW w:w="1746" w:type="dxa"/>
            <w:noWrap/>
            <w:hideMark/>
          </w:tcPr>
          <w:p w14:paraId="0C7C79D2" w14:textId="77777777" w:rsidR="00BA23AE" w:rsidRPr="00B507E9" w:rsidRDefault="00BA23AE" w:rsidP="00B507E9">
            <w:pPr>
              <w:pStyle w:val="R"/>
            </w:pPr>
            <w:r w:rsidRPr="00B507E9">
              <w:t>15,718</w:t>
            </w:r>
          </w:p>
        </w:tc>
        <w:tc>
          <w:tcPr>
            <w:tcW w:w="2272" w:type="dxa"/>
            <w:noWrap/>
            <w:hideMark/>
          </w:tcPr>
          <w:p w14:paraId="1E5A18AD" w14:textId="77777777" w:rsidR="00BA23AE" w:rsidRPr="00B507E9" w:rsidRDefault="00BA23AE" w:rsidP="00B507E9">
            <w:pPr>
              <w:pStyle w:val="R"/>
            </w:pPr>
            <w:r w:rsidRPr="00B507E9">
              <w:t>78,479,545</w:t>
            </w:r>
          </w:p>
        </w:tc>
        <w:tc>
          <w:tcPr>
            <w:tcW w:w="1644" w:type="dxa"/>
            <w:noWrap/>
            <w:hideMark/>
          </w:tcPr>
          <w:p w14:paraId="01715ED9" w14:textId="77777777" w:rsidR="00BA23AE" w:rsidRPr="00B507E9" w:rsidRDefault="00BA23AE" w:rsidP="00B507E9">
            <w:pPr>
              <w:pStyle w:val="R"/>
            </w:pPr>
            <w:r w:rsidRPr="00B507E9">
              <w:t>68,079,087</w:t>
            </w:r>
          </w:p>
        </w:tc>
      </w:tr>
      <w:tr w:rsidR="00BA23AE" w:rsidRPr="00F13DA5" w14:paraId="66135C7F" w14:textId="77777777" w:rsidTr="00465562">
        <w:trPr>
          <w:trHeight w:val="285"/>
        </w:trPr>
        <w:tc>
          <w:tcPr>
            <w:tcW w:w="910" w:type="dxa"/>
            <w:noWrap/>
            <w:vAlign w:val="center"/>
            <w:hideMark/>
          </w:tcPr>
          <w:p w14:paraId="24E32988" w14:textId="77777777" w:rsidR="00BA23AE" w:rsidRPr="00B507E9" w:rsidRDefault="00BA23AE" w:rsidP="00B507E9">
            <w:pPr>
              <w:pStyle w:val="B"/>
              <w:rPr>
                <w:szCs w:val="20"/>
                <w:rtl/>
              </w:rPr>
            </w:pPr>
            <w:r w:rsidRPr="00B507E9">
              <w:rPr>
                <w:rFonts w:hint="cs"/>
                <w:szCs w:val="20"/>
                <w:rtl/>
              </w:rPr>
              <w:t>2016</w:t>
            </w:r>
          </w:p>
        </w:tc>
        <w:tc>
          <w:tcPr>
            <w:tcW w:w="1662" w:type="dxa"/>
            <w:noWrap/>
            <w:hideMark/>
          </w:tcPr>
          <w:p w14:paraId="39BD1A67" w14:textId="77777777" w:rsidR="00BA23AE" w:rsidRPr="00B507E9" w:rsidRDefault="00BA23AE" w:rsidP="00B507E9">
            <w:pPr>
              <w:pStyle w:val="R"/>
            </w:pPr>
            <w:r w:rsidRPr="00B507E9">
              <w:t>19,635</w:t>
            </w:r>
          </w:p>
        </w:tc>
        <w:tc>
          <w:tcPr>
            <w:tcW w:w="1746" w:type="dxa"/>
            <w:noWrap/>
            <w:hideMark/>
          </w:tcPr>
          <w:p w14:paraId="26AAACA6" w14:textId="77777777" w:rsidR="00BA23AE" w:rsidRPr="00B507E9" w:rsidRDefault="00BA23AE" w:rsidP="00B507E9">
            <w:pPr>
              <w:pStyle w:val="R"/>
            </w:pPr>
            <w:r w:rsidRPr="00B507E9">
              <w:t>18,124</w:t>
            </w:r>
          </w:p>
        </w:tc>
        <w:tc>
          <w:tcPr>
            <w:tcW w:w="2272" w:type="dxa"/>
            <w:noWrap/>
            <w:hideMark/>
          </w:tcPr>
          <w:p w14:paraId="7CAE1DDD" w14:textId="77777777" w:rsidR="00BA23AE" w:rsidRPr="00B507E9" w:rsidRDefault="00BA23AE" w:rsidP="00B507E9">
            <w:pPr>
              <w:pStyle w:val="R"/>
            </w:pPr>
            <w:r w:rsidRPr="00B507E9">
              <w:t>84,410,528</w:t>
            </w:r>
          </w:p>
        </w:tc>
        <w:tc>
          <w:tcPr>
            <w:tcW w:w="1644" w:type="dxa"/>
            <w:noWrap/>
            <w:hideMark/>
          </w:tcPr>
          <w:p w14:paraId="3EBCA504" w14:textId="77777777" w:rsidR="00BA23AE" w:rsidRPr="00B507E9" w:rsidRDefault="00BA23AE" w:rsidP="00B507E9">
            <w:pPr>
              <w:pStyle w:val="R"/>
            </w:pPr>
            <w:r w:rsidRPr="00B507E9">
              <w:t>73,282,713</w:t>
            </w:r>
          </w:p>
        </w:tc>
      </w:tr>
      <w:tr w:rsidR="00BA23AE" w:rsidRPr="00F13DA5" w14:paraId="43BDB382" w14:textId="77777777" w:rsidTr="00465562">
        <w:trPr>
          <w:trHeight w:val="285"/>
        </w:trPr>
        <w:tc>
          <w:tcPr>
            <w:tcW w:w="910" w:type="dxa"/>
            <w:noWrap/>
            <w:vAlign w:val="center"/>
            <w:hideMark/>
          </w:tcPr>
          <w:p w14:paraId="0FD0705F" w14:textId="77777777" w:rsidR="00BA23AE" w:rsidRPr="00B507E9" w:rsidRDefault="00BA23AE" w:rsidP="00B507E9">
            <w:pPr>
              <w:pStyle w:val="B"/>
              <w:rPr>
                <w:szCs w:val="20"/>
                <w:rtl/>
              </w:rPr>
            </w:pPr>
            <w:r w:rsidRPr="00B507E9">
              <w:rPr>
                <w:rFonts w:hint="cs"/>
                <w:szCs w:val="20"/>
                <w:rtl/>
              </w:rPr>
              <w:t>2017</w:t>
            </w:r>
          </w:p>
        </w:tc>
        <w:tc>
          <w:tcPr>
            <w:tcW w:w="1662" w:type="dxa"/>
            <w:noWrap/>
            <w:hideMark/>
          </w:tcPr>
          <w:p w14:paraId="4A73A622" w14:textId="77777777" w:rsidR="00BA23AE" w:rsidRPr="00B507E9" w:rsidRDefault="00BA23AE" w:rsidP="00B507E9">
            <w:pPr>
              <w:pStyle w:val="R"/>
            </w:pPr>
            <w:r w:rsidRPr="00B507E9">
              <w:t>19,833</w:t>
            </w:r>
          </w:p>
        </w:tc>
        <w:tc>
          <w:tcPr>
            <w:tcW w:w="1746" w:type="dxa"/>
            <w:noWrap/>
            <w:hideMark/>
          </w:tcPr>
          <w:p w14:paraId="51B933FA" w14:textId="77777777" w:rsidR="00BA23AE" w:rsidRPr="00B507E9" w:rsidRDefault="00BA23AE" w:rsidP="00B507E9">
            <w:pPr>
              <w:pStyle w:val="R"/>
            </w:pPr>
            <w:r w:rsidRPr="00B507E9">
              <w:t>20,865</w:t>
            </w:r>
          </w:p>
        </w:tc>
        <w:tc>
          <w:tcPr>
            <w:tcW w:w="2272" w:type="dxa"/>
            <w:noWrap/>
            <w:hideMark/>
          </w:tcPr>
          <w:p w14:paraId="490BDE8D" w14:textId="77777777" w:rsidR="00BA23AE" w:rsidRPr="00B507E9" w:rsidRDefault="00BA23AE" w:rsidP="00B507E9">
            <w:pPr>
              <w:pStyle w:val="R"/>
            </w:pPr>
            <w:r w:rsidRPr="00B507E9">
              <w:t>83,272,538</w:t>
            </w:r>
          </w:p>
        </w:tc>
        <w:tc>
          <w:tcPr>
            <w:tcW w:w="1644" w:type="dxa"/>
            <w:noWrap/>
            <w:hideMark/>
          </w:tcPr>
          <w:p w14:paraId="6765B42B" w14:textId="77777777" w:rsidR="00BA23AE" w:rsidRPr="00B507E9" w:rsidRDefault="00BA23AE" w:rsidP="00B507E9">
            <w:pPr>
              <w:pStyle w:val="R"/>
            </w:pPr>
            <w:r w:rsidRPr="00B507E9">
              <w:t>83,928,009</w:t>
            </w:r>
          </w:p>
        </w:tc>
      </w:tr>
      <w:tr w:rsidR="00BA23AE" w:rsidRPr="00F13DA5" w14:paraId="0E97931D" w14:textId="77777777" w:rsidTr="00465562">
        <w:trPr>
          <w:trHeight w:val="285"/>
        </w:trPr>
        <w:tc>
          <w:tcPr>
            <w:tcW w:w="910" w:type="dxa"/>
            <w:noWrap/>
            <w:vAlign w:val="center"/>
            <w:hideMark/>
          </w:tcPr>
          <w:p w14:paraId="5F9C4C8E" w14:textId="77777777" w:rsidR="00BA23AE" w:rsidRPr="00B507E9" w:rsidRDefault="00BA23AE" w:rsidP="00B507E9">
            <w:pPr>
              <w:pStyle w:val="B"/>
              <w:rPr>
                <w:szCs w:val="20"/>
                <w:rtl/>
              </w:rPr>
            </w:pPr>
            <w:r w:rsidRPr="00B507E9">
              <w:rPr>
                <w:rFonts w:hint="cs"/>
                <w:szCs w:val="20"/>
                <w:rtl/>
              </w:rPr>
              <w:t>2018</w:t>
            </w:r>
          </w:p>
        </w:tc>
        <w:tc>
          <w:tcPr>
            <w:tcW w:w="1662" w:type="dxa"/>
            <w:noWrap/>
            <w:hideMark/>
          </w:tcPr>
          <w:p w14:paraId="0A31C49F" w14:textId="77777777" w:rsidR="00BA23AE" w:rsidRPr="00B507E9" w:rsidRDefault="00BA23AE" w:rsidP="00B507E9">
            <w:pPr>
              <w:pStyle w:val="R"/>
            </w:pPr>
            <w:r w:rsidRPr="00B507E9">
              <w:t>18,406</w:t>
            </w:r>
          </w:p>
        </w:tc>
        <w:tc>
          <w:tcPr>
            <w:tcW w:w="1746" w:type="dxa"/>
            <w:noWrap/>
            <w:hideMark/>
          </w:tcPr>
          <w:p w14:paraId="3250C3DB" w14:textId="77777777" w:rsidR="00BA23AE" w:rsidRPr="00B507E9" w:rsidRDefault="00BA23AE" w:rsidP="00B507E9">
            <w:pPr>
              <w:pStyle w:val="R"/>
            </w:pPr>
            <w:r w:rsidRPr="00B507E9">
              <w:t>26,854</w:t>
            </w:r>
          </w:p>
        </w:tc>
        <w:tc>
          <w:tcPr>
            <w:tcW w:w="2272" w:type="dxa"/>
            <w:noWrap/>
            <w:hideMark/>
          </w:tcPr>
          <w:p w14:paraId="5F7675F5" w14:textId="77777777" w:rsidR="00BA23AE" w:rsidRPr="00B507E9" w:rsidRDefault="00BA23AE" w:rsidP="00B507E9">
            <w:pPr>
              <w:pStyle w:val="R"/>
            </w:pPr>
            <w:r w:rsidRPr="00B507E9">
              <w:t>69,662,805</w:t>
            </w:r>
          </w:p>
        </w:tc>
        <w:tc>
          <w:tcPr>
            <w:tcW w:w="1644" w:type="dxa"/>
            <w:noWrap/>
            <w:hideMark/>
          </w:tcPr>
          <w:p w14:paraId="5E982A31" w14:textId="77777777" w:rsidR="00BA23AE" w:rsidRPr="00B507E9" w:rsidRDefault="00BA23AE" w:rsidP="00B507E9">
            <w:pPr>
              <w:pStyle w:val="R"/>
            </w:pPr>
            <w:r w:rsidRPr="00B507E9">
              <w:t>83,322,997</w:t>
            </w:r>
          </w:p>
        </w:tc>
      </w:tr>
    </w:tbl>
    <w:p w14:paraId="67F375EE" w14:textId="77777777" w:rsidR="00BA23AE" w:rsidRPr="00F13DA5" w:rsidRDefault="00BA23AE" w:rsidP="000B1C94">
      <w:pPr>
        <w:pStyle w:val="ab"/>
        <w:rPr>
          <w:rtl/>
        </w:rPr>
      </w:pPr>
      <w:r w:rsidRPr="00F13DA5">
        <w:rPr>
          <w:rFonts w:hint="cs"/>
          <w:rtl/>
        </w:rPr>
        <w:t>על פי נתוני</w:t>
      </w:r>
      <w:r w:rsidRPr="00F13DA5">
        <w:rPr>
          <w:rtl/>
        </w:rPr>
        <w:t xml:space="preserve"> הנהלת בתי המשפט</w:t>
      </w:r>
      <w:r>
        <w:rPr>
          <w:rFonts w:hint="cs"/>
          <w:rtl/>
        </w:rPr>
        <w:t>, בעיבוד משרד מבקר המדינה</w:t>
      </w:r>
      <w:r w:rsidRPr="00F13DA5">
        <w:rPr>
          <w:rtl/>
        </w:rPr>
        <w:t>.</w:t>
      </w:r>
    </w:p>
    <w:p w14:paraId="020026B9" w14:textId="215ADD9B" w:rsidR="00BA23AE" w:rsidRPr="00F13DA5" w:rsidRDefault="00BA23AE" w:rsidP="00E65567">
      <w:pPr>
        <w:pStyle w:val="100"/>
        <w:rPr>
          <w:rtl/>
        </w:rPr>
      </w:pPr>
    </w:p>
    <w:p w14:paraId="5ADA32F7" w14:textId="77777777" w:rsidR="00BA23AE" w:rsidRPr="00F13DA5" w:rsidRDefault="00BA23AE" w:rsidP="00E65567">
      <w:pPr>
        <w:pStyle w:val="100"/>
        <w:rPr>
          <w:rtl/>
        </w:rPr>
      </w:pPr>
      <w:r w:rsidRPr="00F13DA5">
        <w:rPr>
          <w:rFonts w:hint="eastAsia"/>
          <w:rtl/>
        </w:rPr>
        <w:t>מהלוח</w:t>
      </w:r>
      <w:r w:rsidRPr="00F13DA5">
        <w:rPr>
          <w:rtl/>
        </w:rPr>
        <w:t xml:space="preserve"> </w:t>
      </w:r>
      <w:r w:rsidRPr="00F13DA5">
        <w:rPr>
          <w:rFonts w:hint="eastAsia"/>
          <w:rtl/>
        </w:rPr>
        <w:t>עולה</w:t>
      </w:r>
      <w:r w:rsidRPr="00F13DA5">
        <w:rPr>
          <w:rtl/>
        </w:rPr>
        <w:t xml:space="preserve"> </w:t>
      </w:r>
      <w:r w:rsidRPr="00F13DA5">
        <w:rPr>
          <w:rFonts w:hint="eastAsia"/>
          <w:rtl/>
        </w:rPr>
        <w:t>כי</w:t>
      </w:r>
      <w:r w:rsidRPr="00F13DA5">
        <w:rPr>
          <w:rtl/>
        </w:rPr>
        <w:t xml:space="preserve"> </w:t>
      </w:r>
      <w:r w:rsidRPr="00F13DA5">
        <w:rPr>
          <w:rFonts w:hint="eastAsia"/>
          <w:rtl/>
        </w:rPr>
        <w:t>החל</w:t>
      </w:r>
      <w:r w:rsidRPr="00F13DA5">
        <w:rPr>
          <w:rtl/>
        </w:rPr>
        <w:t xml:space="preserve"> </w:t>
      </w:r>
      <w:r w:rsidRPr="00F13DA5">
        <w:rPr>
          <w:rFonts w:hint="eastAsia"/>
          <w:rtl/>
        </w:rPr>
        <w:t>בינואר</w:t>
      </w:r>
      <w:r w:rsidRPr="00F13DA5">
        <w:rPr>
          <w:rtl/>
        </w:rPr>
        <w:t xml:space="preserve"> 2014 </w:t>
      </w:r>
      <w:r w:rsidRPr="00F13DA5">
        <w:rPr>
          <w:rFonts w:hint="eastAsia"/>
          <w:rtl/>
        </w:rPr>
        <w:t>ועד</w:t>
      </w:r>
      <w:r w:rsidRPr="00F13DA5">
        <w:rPr>
          <w:rtl/>
        </w:rPr>
        <w:t xml:space="preserve"> </w:t>
      </w:r>
      <w:r w:rsidRPr="00F13DA5">
        <w:rPr>
          <w:rFonts w:hint="eastAsia"/>
          <w:rtl/>
        </w:rPr>
        <w:t>סוף</w:t>
      </w:r>
      <w:r w:rsidRPr="00F13DA5">
        <w:rPr>
          <w:rtl/>
        </w:rPr>
        <w:t xml:space="preserve"> </w:t>
      </w:r>
      <w:r w:rsidRPr="00F13DA5">
        <w:rPr>
          <w:rFonts w:hint="eastAsia"/>
          <w:rtl/>
        </w:rPr>
        <w:t>דצמבר</w:t>
      </w:r>
      <w:r w:rsidRPr="00F13DA5">
        <w:rPr>
          <w:rtl/>
        </w:rPr>
        <w:t xml:space="preserve"> 2018 </w:t>
      </w:r>
      <w:r w:rsidRPr="00F13DA5">
        <w:rPr>
          <w:rFonts w:hint="eastAsia"/>
          <w:rtl/>
        </w:rPr>
        <w:t>היה</w:t>
      </w:r>
      <w:r w:rsidRPr="00F13DA5">
        <w:rPr>
          <w:rtl/>
        </w:rPr>
        <w:t xml:space="preserve"> </w:t>
      </w:r>
      <w:r w:rsidRPr="00F13DA5">
        <w:rPr>
          <w:rFonts w:hint="eastAsia"/>
          <w:rtl/>
        </w:rPr>
        <w:t>מספר</w:t>
      </w:r>
      <w:r w:rsidRPr="00F13DA5">
        <w:rPr>
          <w:rtl/>
        </w:rPr>
        <w:t xml:space="preserve"> </w:t>
      </w:r>
      <w:r w:rsidRPr="00F13DA5">
        <w:rPr>
          <w:rFonts w:hint="eastAsia"/>
          <w:rtl/>
        </w:rPr>
        <w:t>התיקים</w:t>
      </w:r>
      <w:r w:rsidRPr="00F13DA5">
        <w:rPr>
          <w:rtl/>
        </w:rPr>
        <w:t xml:space="preserve"> </w:t>
      </w:r>
      <w:r w:rsidRPr="00F13DA5">
        <w:rPr>
          <w:rFonts w:hint="cs"/>
          <w:rtl/>
        </w:rPr>
        <w:t>ש</w:t>
      </w:r>
      <w:r w:rsidRPr="00F13DA5">
        <w:rPr>
          <w:rFonts w:hint="eastAsia"/>
          <w:rtl/>
        </w:rPr>
        <w:t>בהם</w:t>
      </w:r>
      <w:r w:rsidRPr="00F13DA5">
        <w:rPr>
          <w:rtl/>
        </w:rPr>
        <w:t xml:space="preserve"> </w:t>
      </w:r>
      <w:r w:rsidRPr="00F13DA5">
        <w:rPr>
          <w:rFonts w:hint="eastAsia"/>
          <w:rtl/>
        </w:rPr>
        <w:t>הופקדו</w:t>
      </w:r>
      <w:r w:rsidRPr="00F13DA5">
        <w:rPr>
          <w:rtl/>
        </w:rPr>
        <w:t xml:space="preserve"> </w:t>
      </w:r>
      <w:r w:rsidRPr="00F13DA5">
        <w:rPr>
          <w:rFonts w:hint="eastAsia"/>
          <w:rtl/>
        </w:rPr>
        <w:t>כספים</w:t>
      </w:r>
      <w:r w:rsidRPr="00F13DA5">
        <w:rPr>
          <w:rtl/>
        </w:rPr>
        <w:t xml:space="preserve"> </w:t>
      </w:r>
      <w:r w:rsidRPr="00F13DA5">
        <w:rPr>
          <w:rFonts w:hint="eastAsia"/>
          <w:rtl/>
        </w:rPr>
        <w:t>קבוע</w:t>
      </w:r>
      <w:r w:rsidRPr="00F13DA5">
        <w:rPr>
          <w:rtl/>
        </w:rPr>
        <w:t xml:space="preserve"> </w:t>
      </w:r>
      <w:r w:rsidRPr="00F13DA5">
        <w:rPr>
          <w:rFonts w:hint="eastAsia"/>
          <w:rtl/>
        </w:rPr>
        <w:t>ויציב</w:t>
      </w:r>
      <w:r w:rsidRPr="00F13DA5">
        <w:rPr>
          <w:rFonts w:hint="cs"/>
          <w:rtl/>
        </w:rPr>
        <w:t>,</w:t>
      </w:r>
      <w:r w:rsidRPr="00F13DA5">
        <w:rPr>
          <w:rtl/>
        </w:rPr>
        <w:t xml:space="preserve"> </w:t>
      </w:r>
      <w:r w:rsidRPr="00F13DA5">
        <w:rPr>
          <w:rFonts w:hint="eastAsia"/>
          <w:rtl/>
        </w:rPr>
        <w:t>ועמד</w:t>
      </w:r>
      <w:r w:rsidRPr="00F13DA5">
        <w:rPr>
          <w:rtl/>
        </w:rPr>
        <w:t xml:space="preserve"> </w:t>
      </w:r>
      <w:r w:rsidRPr="00F13DA5">
        <w:rPr>
          <w:rFonts w:hint="eastAsia"/>
          <w:rtl/>
        </w:rPr>
        <w:t>בממוצע</w:t>
      </w:r>
      <w:r w:rsidRPr="00F13DA5">
        <w:rPr>
          <w:rtl/>
        </w:rPr>
        <w:t xml:space="preserve"> </w:t>
      </w:r>
      <w:r w:rsidRPr="00F13DA5">
        <w:rPr>
          <w:rFonts w:hint="eastAsia"/>
          <w:rtl/>
        </w:rPr>
        <w:t>על</w:t>
      </w:r>
      <w:r w:rsidRPr="00F13DA5">
        <w:rPr>
          <w:rtl/>
        </w:rPr>
        <w:t xml:space="preserve"> 19,255 </w:t>
      </w:r>
      <w:r w:rsidRPr="00F13DA5">
        <w:rPr>
          <w:rFonts w:hint="eastAsia"/>
          <w:rtl/>
        </w:rPr>
        <w:t>תיקים</w:t>
      </w:r>
      <w:r>
        <w:rPr>
          <w:rFonts w:hint="cs"/>
          <w:rtl/>
        </w:rPr>
        <w:t xml:space="preserve"> בשנה</w:t>
      </w:r>
      <w:r w:rsidRPr="00F13DA5">
        <w:rPr>
          <w:rtl/>
        </w:rPr>
        <w:t xml:space="preserve">. </w:t>
      </w:r>
      <w:r w:rsidRPr="00F13DA5">
        <w:rPr>
          <w:rFonts w:hint="eastAsia"/>
          <w:rtl/>
        </w:rPr>
        <w:t>בשנים</w:t>
      </w:r>
      <w:r w:rsidRPr="00F13DA5">
        <w:rPr>
          <w:rtl/>
        </w:rPr>
        <w:t xml:space="preserve"> 2017 </w:t>
      </w:r>
      <w:r w:rsidRPr="00F13DA5">
        <w:rPr>
          <w:rFonts w:hint="eastAsia"/>
          <w:rtl/>
        </w:rPr>
        <w:t>ו</w:t>
      </w:r>
      <w:r w:rsidRPr="00F13DA5">
        <w:rPr>
          <w:rtl/>
        </w:rPr>
        <w:t>-2018</w:t>
      </w:r>
      <w:r w:rsidRPr="00F13DA5">
        <w:rPr>
          <w:rFonts w:hint="cs"/>
          <w:rtl/>
        </w:rPr>
        <w:t xml:space="preserve"> עלה מספר התיקים שבהם בוצעו החזרים וכן עלה שיעור ההחזרים.</w:t>
      </w:r>
      <w:r>
        <w:rPr>
          <w:rFonts w:hint="cs"/>
          <w:rtl/>
        </w:rPr>
        <w:t xml:space="preserve"> </w:t>
      </w:r>
    </w:p>
    <w:p w14:paraId="1DBC4F8B" w14:textId="77777777" w:rsidR="00BA23AE" w:rsidRPr="00F13DA5" w:rsidRDefault="00BA23AE" w:rsidP="00E65567">
      <w:pPr>
        <w:pStyle w:val="af4"/>
        <w:rPr>
          <w:rtl/>
        </w:rPr>
      </w:pPr>
      <w:r w:rsidRPr="00F13DA5">
        <w:rPr>
          <w:rFonts w:hint="cs"/>
          <w:rtl/>
        </w:rPr>
        <w:t xml:space="preserve">יש לראות בחיוב את </w:t>
      </w:r>
      <w:r w:rsidRPr="00F13DA5">
        <w:rPr>
          <w:rFonts w:hint="eastAsia"/>
          <w:rtl/>
        </w:rPr>
        <w:t>פעילותה</w:t>
      </w:r>
      <w:r w:rsidRPr="00F13DA5">
        <w:rPr>
          <w:rtl/>
        </w:rPr>
        <w:t xml:space="preserve"> </w:t>
      </w:r>
      <w:r w:rsidRPr="00F13DA5">
        <w:rPr>
          <w:rFonts w:hint="eastAsia"/>
          <w:rtl/>
        </w:rPr>
        <w:t>של</w:t>
      </w:r>
      <w:r w:rsidRPr="00F13DA5">
        <w:rPr>
          <w:rtl/>
        </w:rPr>
        <w:t xml:space="preserve"> </w:t>
      </w:r>
      <w:r w:rsidRPr="00F13DA5">
        <w:rPr>
          <w:rFonts w:hint="eastAsia"/>
          <w:rtl/>
        </w:rPr>
        <w:t>הנהלת</w:t>
      </w:r>
      <w:r w:rsidRPr="00F13DA5">
        <w:rPr>
          <w:rtl/>
        </w:rPr>
        <w:t xml:space="preserve"> </w:t>
      </w:r>
      <w:r w:rsidRPr="00F13DA5">
        <w:rPr>
          <w:rFonts w:hint="eastAsia"/>
          <w:rtl/>
        </w:rPr>
        <w:t>בתי</w:t>
      </w:r>
      <w:r w:rsidRPr="00F13DA5">
        <w:rPr>
          <w:rtl/>
        </w:rPr>
        <w:t xml:space="preserve"> </w:t>
      </w:r>
      <w:r w:rsidRPr="00F13DA5">
        <w:rPr>
          <w:rFonts w:hint="eastAsia"/>
          <w:rtl/>
        </w:rPr>
        <w:t>המשפט</w:t>
      </w:r>
      <w:r w:rsidRPr="00F13DA5">
        <w:rPr>
          <w:rtl/>
        </w:rPr>
        <w:t xml:space="preserve"> </w:t>
      </w:r>
      <w:r w:rsidRPr="00F13DA5">
        <w:rPr>
          <w:rFonts w:hint="eastAsia"/>
          <w:rtl/>
        </w:rPr>
        <w:t>בשנתיים</w:t>
      </w:r>
      <w:r w:rsidRPr="00F13DA5">
        <w:rPr>
          <w:rtl/>
        </w:rPr>
        <w:t xml:space="preserve"> </w:t>
      </w:r>
      <w:r w:rsidRPr="00F13DA5">
        <w:rPr>
          <w:rFonts w:hint="eastAsia"/>
          <w:rtl/>
        </w:rPr>
        <w:t>האחרונות</w:t>
      </w:r>
      <w:r w:rsidRPr="00F13DA5">
        <w:rPr>
          <w:rtl/>
        </w:rPr>
        <w:t xml:space="preserve"> </w:t>
      </w:r>
      <w:r w:rsidRPr="00F13DA5">
        <w:rPr>
          <w:rFonts w:hint="eastAsia"/>
          <w:rtl/>
        </w:rPr>
        <w:t>לצמצום</w:t>
      </w:r>
      <w:r w:rsidRPr="00F13DA5">
        <w:rPr>
          <w:rtl/>
        </w:rPr>
        <w:t xml:space="preserve"> </w:t>
      </w:r>
      <w:r w:rsidRPr="00F13DA5">
        <w:rPr>
          <w:rFonts w:hint="eastAsia"/>
          <w:rtl/>
        </w:rPr>
        <w:t>שיעור</w:t>
      </w:r>
      <w:r w:rsidRPr="00F13DA5">
        <w:rPr>
          <w:rtl/>
        </w:rPr>
        <w:t xml:space="preserve"> </w:t>
      </w:r>
      <w:r w:rsidRPr="00F13DA5">
        <w:rPr>
          <w:rFonts w:hint="eastAsia"/>
          <w:rtl/>
        </w:rPr>
        <w:t>כספי</w:t>
      </w:r>
      <w:r w:rsidRPr="00F13DA5">
        <w:rPr>
          <w:rtl/>
        </w:rPr>
        <w:t xml:space="preserve"> </w:t>
      </w:r>
      <w:r w:rsidRPr="00F13DA5">
        <w:rPr>
          <w:rFonts w:hint="eastAsia"/>
          <w:rtl/>
        </w:rPr>
        <w:t>הפיקדונות</w:t>
      </w:r>
      <w:r w:rsidRPr="00F13DA5">
        <w:rPr>
          <w:rtl/>
        </w:rPr>
        <w:t xml:space="preserve"> </w:t>
      </w:r>
      <w:r w:rsidRPr="00F13DA5">
        <w:rPr>
          <w:rFonts w:hint="eastAsia"/>
          <w:rtl/>
        </w:rPr>
        <w:t>ולאיתור</w:t>
      </w:r>
      <w:r w:rsidRPr="00F13DA5">
        <w:rPr>
          <w:rtl/>
        </w:rPr>
        <w:t xml:space="preserve"> </w:t>
      </w:r>
      <w:r w:rsidRPr="00F13DA5">
        <w:rPr>
          <w:rFonts w:hint="eastAsia"/>
          <w:rtl/>
        </w:rPr>
        <w:t>הזכאים</w:t>
      </w:r>
      <w:r w:rsidRPr="00F13DA5">
        <w:rPr>
          <w:rFonts w:hint="cs"/>
          <w:rtl/>
        </w:rPr>
        <w:t>,</w:t>
      </w:r>
      <w:r w:rsidRPr="00F13DA5">
        <w:rPr>
          <w:rtl/>
        </w:rPr>
        <w:t xml:space="preserve"> </w:t>
      </w:r>
      <w:r>
        <w:rPr>
          <w:rFonts w:hint="cs"/>
          <w:rtl/>
        </w:rPr>
        <w:t>עם זאת</w:t>
      </w:r>
      <w:r w:rsidRPr="00F13DA5">
        <w:rPr>
          <w:rtl/>
        </w:rPr>
        <w:t xml:space="preserve"> טרם נמצא פתרון מלא לבעיה. </w:t>
      </w:r>
    </w:p>
    <w:p w14:paraId="4337D5DE" w14:textId="77777777" w:rsidR="00BA23AE" w:rsidRPr="00F13DA5" w:rsidRDefault="00BA23AE" w:rsidP="00E65567">
      <w:pPr>
        <w:pStyle w:val="100"/>
        <w:rPr>
          <w:rtl/>
        </w:rPr>
      </w:pPr>
      <w:r w:rsidRPr="00F13DA5">
        <w:rPr>
          <w:rFonts w:hint="cs"/>
          <w:rtl/>
        </w:rPr>
        <w:t>צוות שהוקם בהנהלת בתי המשפט ב-2017 העלה נתיבי פעולה אפשריים כמפורט:</w:t>
      </w:r>
    </w:p>
    <w:p w14:paraId="3C9139E9" w14:textId="77777777" w:rsidR="00BA23AE" w:rsidRPr="00F13DA5" w:rsidRDefault="00BA23AE" w:rsidP="008A0C03">
      <w:pPr>
        <w:pStyle w:val="a1"/>
        <w:numPr>
          <w:ilvl w:val="0"/>
          <w:numId w:val="26"/>
        </w:numPr>
        <w:rPr>
          <w:rtl/>
        </w:rPr>
      </w:pPr>
      <w:r w:rsidRPr="00F13DA5">
        <w:rPr>
          <w:rFonts w:hint="cs"/>
          <w:rtl/>
        </w:rPr>
        <w:t xml:space="preserve">פיתוח מנגנון במערכת הממוחשבת של הנהלת בתי המשפט (להלן - מערכת נט-המשפט) </w:t>
      </w:r>
      <w:r>
        <w:rPr>
          <w:rFonts w:hint="cs"/>
          <w:rtl/>
        </w:rPr>
        <w:t>ש</w:t>
      </w:r>
      <w:r w:rsidRPr="00F13DA5">
        <w:rPr>
          <w:rFonts w:hint="cs"/>
          <w:rtl/>
        </w:rPr>
        <w:t xml:space="preserve">יאפשר בקרה שוטפת על סטטוס הטיפול בכספים. פיתוח זה אמור לאפשר את קידום יתר </w:t>
      </w:r>
      <w:r w:rsidRPr="00F13DA5">
        <w:rPr>
          <w:rFonts w:hint="cs"/>
          <w:rtl/>
        </w:rPr>
        <w:lastRenderedPageBreak/>
        <w:t xml:space="preserve">נתיבי הפעולה. נוסף על כך, הומלץ על כתיבת נוהל עבודה שינחה באופן פרטני את המזכירויות בנוגע להשבת הכספים. </w:t>
      </w:r>
    </w:p>
    <w:p w14:paraId="5F8C91A1" w14:textId="77777777" w:rsidR="00BA23AE" w:rsidRPr="00F13DA5" w:rsidRDefault="00BA23AE" w:rsidP="00522FC1">
      <w:pPr>
        <w:pStyle w:val="ad"/>
        <w:rPr>
          <w:rtl/>
        </w:rPr>
      </w:pPr>
      <w:r w:rsidRPr="00F13DA5">
        <w:rPr>
          <w:rFonts w:hint="cs"/>
          <w:rtl/>
        </w:rPr>
        <w:t>תאריך היעד שנקבע למשימות אלה היה 31.12.18</w:t>
      </w:r>
      <w:r>
        <w:rPr>
          <w:rFonts w:hint="cs"/>
          <w:rtl/>
        </w:rPr>
        <w:t>,</w:t>
      </w:r>
      <w:r w:rsidRPr="00F13DA5">
        <w:rPr>
          <w:rFonts w:hint="cs"/>
          <w:rtl/>
        </w:rPr>
        <w:t xml:space="preserve"> </w:t>
      </w:r>
      <w:r>
        <w:rPr>
          <w:rFonts w:hint="cs"/>
          <w:rtl/>
        </w:rPr>
        <w:t>ו</w:t>
      </w:r>
      <w:r w:rsidRPr="00F13DA5">
        <w:rPr>
          <w:rFonts w:hint="cs"/>
          <w:rtl/>
        </w:rPr>
        <w:t>אולם במועד סיום הביקורת</w:t>
      </w:r>
      <w:r>
        <w:rPr>
          <w:rFonts w:hint="cs"/>
          <w:rtl/>
        </w:rPr>
        <w:t xml:space="preserve"> ביוני 2019,</w:t>
      </w:r>
      <w:r w:rsidRPr="00F13DA5">
        <w:rPr>
          <w:rFonts w:hint="cs"/>
          <w:rtl/>
        </w:rPr>
        <w:t xml:space="preserve"> הן טרם הושלמו. </w:t>
      </w:r>
    </w:p>
    <w:p w14:paraId="738FEAD6" w14:textId="77777777" w:rsidR="00BA23AE" w:rsidRPr="00F13DA5" w:rsidRDefault="00BA23AE" w:rsidP="00522FC1">
      <w:pPr>
        <w:pStyle w:val="af3"/>
        <w:rPr>
          <w:rtl/>
        </w:rPr>
      </w:pPr>
      <w:r w:rsidRPr="00F13DA5">
        <w:rPr>
          <w:rFonts w:hint="cs"/>
          <w:rtl/>
        </w:rPr>
        <w:t>הנהלת בתי המשפט מסרה בתשובתה מינואר 2020 כי הפיתוח הממוחשב הושלם וכי נכתב נוהל עבודה המסדיר את השבת הכספים</w:t>
      </w:r>
      <w:r>
        <w:rPr>
          <w:rFonts w:hint="cs"/>
          <w:rtl/>
        </w:rPr>
        <w:t>,</w:t>
      </w:r>
      <w:r w:rsidRPr="00F13DA5">
        <w:rPr>
          <w:rFonts w:hint="cs"/>
          <w:rtl/>
        </w:rPr>
        <w:t xml:space="preserve"> אך הוא טרם פורסם. </w:t>
      </w:r>
    </w:p>
    <w:p w14:paraId="39CEDF94" w14:textId="77777777" w:rsidR="00BA23AE" w:rsidRPr="00F13DA5" w:rsidRDefault="00BA23AE" w:rsidP="00477F44">
      <w:pPr>
        <w:pStyle w:val="a1"/>
      </w:pPr>
      <w:r>
        <w:rPr>
          <w:rFonts w:hint="cs"/>
          <w:rtl/>
        </w:rPr>
        <w:t>הנהלת בתי המשפט בחנה את</w:t>
      </w:r>
      <w:r w:rsidRPr="00F13DA5">
        <w:rPr>
          <w:rFonts w:hint="cs"/>
          <w:rtl/>
        </w:rPr>
        <w:t xml:space="preserve"> האפשרות להעביר </w:t>
      </w:r>
      <w:r>
        <w:rPr>
          <w:rFonts w:hint="cs"/>
          <w:rtl/>
        </w:rPr>
        <w:t>את ה</w:t>
      </w:r>
      <w:r w:rsidRPr="00F13DA5">
        <w:rPr>
          <w:rFonts w:hint="cs"/>
          <w:rtl/>
        </w:rPr>
        <w:t xml:space="preserve">כספים שנעשו לגביהם ניסיונות איתור ללא הצלחה לניהול האפוטרופוס הכללי (להלן - האפו"כ) </w:t>
      </w:r>
      <w:r>
        <w:rPr>
          <w:rFonts w:hint="cs"/>
          <w:rtl/>
        </w:rPr>
        <w:t>ש</w:t>
      </w:r>
      <w:r w:rsidRPr="00F13DA5">
        <w:rPr>
          <w:rFonts w:hint="cs"/>
          <w:rtl/>
        </w:rPr>
        <w:t>במשרד המשפטים מכוח סמכותו לטפל בנכסים עזובים</w:t>
      </w:r>
      <w:r w:rsidRPr="00F13DA5">
        <w:rPr>
          <w:vertAlign w:val="superscript"/>
          <w:rtl/>
        </w:rPr>
        <w:footnoteReference w:id="59"/>
      </w:r>
      <w:r w:rsidRPr="00F13DA5">
        <w:rPr>
          <w:rFonts w:hint="cs"/>
          <w:rtl/>
        </w:rPr>
        <w:t xml:space="preserve">. בדיון שהתקיים במרץ 2019 בהשתתפות האפו"כ ונציגים בכירים מהנהלת בתי המשפט סוכם כי ייעשה מאמץ על ידי הנהלת בתי המשפט לאתר בעלי זכויות בכספים, הן באמצעות פרסום לציבור במשך תקופה של שנה והן באמצעות פניות פרטניות לזכאים </w:t>
      </w:r>
      <w:r>
        <w:rPr>
          <w:rFonts w:hint="cs"/>
          <w:rtl/>
        </w:rPr>
        <w:t>כשקיימים</w:t>
      </w:r>
      <w:r w:rsidRPr="00F13DA5">
        <w:rPr>
          <w:rFonts w:hint="cs"/>
          <w:rtl/>
        </w:rPr>
        <w:t xml:space="preserve"> פרטי ה</w:t>
      </w:r>
      <w:r>
        <w:rPr>
          <w:rFonts w:hint="cs"/>
          <w:rtl/>
        </w:rPr>
        <w:t>ה</w:t>
      </w:r>
      <w:r w:rsidRPr="00F13DA5">
        <w:rPr>
          <w:rFonts w:hint="cs"/>
          <w:rtl/>
        </w:rPr>
        <w:t xml:space="preserve">תקשרות </w:t>
      </w:r>
      <w:r>
        <w:rPr>
          <w:rFonts w:hint="cs"/>
          <w:rtl/>
        </w:rPr>
        <w:t>עימם</w:t>
      </w:r>
      <w:r w:rsidRPr="00F13DA5">
        <w:rPr>
          <w:rFonts w:hint="cs"/>
          <w:rtl/>
        </w:rPr>
        <w:t xml:space="preserve">. </w:t>
      </w:r>
      <w:r>
        <w:rPr>
          <w:rFonts w:hint="cs"/>
          <w:rtl/>
        </w:rPr>
        <w:t>אם</w:t>
      </w:r>
      <w:r w:rsidRPr="00F13DA5">
        <w:rPr>
          <w:rFonts w:hint="cs"/>
          <w:rtl/>
        </w:rPr>
        <w:t xml:space="preserve"> הזכאי לא אותר</w:t>
      </w:r>
      <w:r>
        <w:rPr>
          <w:rFonts w:hint="cs"/>
          <w:rtl/>
        </w:rPr>
        <w:t>,</w:t>
      </w:r>
      <w:r w:rsidRPr="00F13DA5">
        <w:rPr>
          <w:rFonts w:hint="cs"/>
          <w:rtl/>
        </w:rPr>
        <w:t xml:space="preserve"> או </w:t>
      </w:r>
      <w:r>
        <w:rPr>
          <w:rFonts w:hint="cs"/>
          <w:rtl/>
        </w:rPr>
        <w:t>ש</w:t>
      </w:r>
      <w:r w:rsidRPr="00F13DA5">
        <w:rPr>
          <w:rFonts w:hint="cs"/>
          <w:rtl/>
        </w:rPr>
        <w:t xml:space="preserve">אותר אך לא פעל לקבלת כספו, יפעל האפו"כ בהתאם לסמכותו בקשר לנכסים עזובים על פי חוק. בדיון הועלתה, בין היתר, הצעה למתווה לטיפול בכספים באמצעות האפו"כ ובהתאם לפילוח הכספים </w:t>
      </w:r>
      <w:r>
        <w:rPr>
          <w:rFonts w:hint="cs"/>
          <w:rtl/>
        </w:rPr>
        <w:t>ל</w:t>
      </w:r>
      <w:r w:rsidRPr="00F13DA5">
        <w:rPr>
          <w:rFonts w:hint="cs"/>
          <w:rtl/>
        </w:rPr>
        <w:t>ארבע קבוצות על פי גובהם</w:t>
      </w:r>
      <w:r>
        <w:rPr>
          <w:rFonts w:hint="cs"/>
          <w:rtl/>
        </w:rPr>
        <w:t>.</w:t>
      </w:r>
      <w:r w:rsidRPr="00F13DA5">
        <w:rPr>
          <w:rFonts w:hint="cs"/>
          <w:rtl/>
        </w:rPr>
        <w:t xml:space="preserve"> כמו כן, נדונה הצעה לשינוי דפוס הפעולה בהנהלת בתי המשפט כדי לצמצם למינימום היווצרות</w:t>
      </w:r>
      <w:r>
        <w:rPr>
          <w:rFonts w:hint="cs"/>
          <w:rtl/>
        </w:rPr>
        <w:t xml:space="preserve"> של</w:t>
      </w:r>
      <w:r w:rsidRPr="00F13DA5">
        <w:rPr>
          <w:rFonts w:hint="cs"/>
          <w:rtl/>
        </w:rPr>
        <w:t xml:space="preserve"> תיקים חדשים ללא יכולת </w:t>
      </w:r>
      <w:r>
        <w:rPr>
          <w:rFonts w:hint="cs"/>
          <w:rtl/>
        </w:rPr>
        <w:t>לאתר את</w:t>
      </w:r>
      <w:r w:rsidRPr="00F13DA5">
        <w:rPr>
          <w:rFonts w:hint="cs"/>
          <w:rtl/>
        </w:rPr>
        <w:t xml:space="preserve"> הזכאים. </w:t>
      </w:r>
    </w:p>
    <w:p w14:paraId="29FA6258" w14:textId="77777777" w:rsidR="00BA23AE" w:rsidRPr="00F13DA5" w:rsidRDefault="00BA23AE" w:rsidP="00477F44">
      <w:pPr>
        <w:pStyle w:val="ad"/>
        <w:rPr>
          <w:rtl/>
        </w:rPr>
      </w:pPr>
      <w:r w:rsidRPr="00F13DA5">
        <w:rPr>
          <w:rFonts w:hint="cs"/>
          <w:rtl/>
        </w:rPr>
        <w:t xml:space="preserve">נמצא כי תהליך </w:t>
      </w:r>
      <w:r>
        <w:rPr>
          <w:rFonts w:hint="cs"/>
          <w:rtl/>
        </w:rPr>
        <w:t>איתור הזכאים באמצעות האפו"כ</w:t>
      </w:r>
      <w:r w:rsidRPr="00F13DA5">
        <w:rPr>
          <w:rFonts w:hint="cs"/>
          <w:rtl/>
        </w:rPr>
        <w:t xml:space="preserve"> טרם התקדם. על הנהלת בתי המשפט לתת מענה לאילוצים המונעים את העברת הכספים שנעשו לגביהם ניסיונות איתור ללא הצלחה לטיפול האפו"כ.</w:t>
      </w:r>
      <w:r>
        <w:rPr>
          <w:rFonts w:hint="cs"/>
          <w:rtl/>
        </w:rPr>
        <w:t xml:space="preserve"> </w:t>
      </w:r>
    </w:p>
    <w:p w14:paraId="3AFFBAE1" w14:textId="77777777" w:rsidR="00BA23AE" w:rsidRPr="00F13DA5" w:rsidRDefault="00BA23AE" w:rsidP="00477F44">
      <w:pPr>
        <w:pStyle w:val="af3"/>
        <w:rPr>
          <w:rtl/>
        </w:rPr>
      </w:pPr>
      <w:r w:rsidRPr="00F13DA5">
        <w:rPr>
          <w:rFonts w:hint="cs"/>
          <w:rtl/>
        </w:rPr>
        <w:t>היחידה באפו"כ לאיתור נכסים עזובים ולהשבתם מסרה בתשובתה מדצמבר 2019 כי הנושא נמצא בטיפול הנהלת בתי המשפט. הנהלת בתי המשפט מסרה בתשובתה כי התהליך מצוי בעבודה</w:t>
      </w:r>
      <w:r>
        <w:rPr>
          <w:rFonts w:hint="cs"/>
          <w:rtl/>
        </w:rPr>
        <w:t>,</w:t>
      </w:r>
      <w:r w:rsidRPr="00F13DA5">
        <w:rPr>
          <w:rFonts w:hint="cs"/>
          <w:rtl/>
        </w:rPr>
        <w:t xml:space="preserve"> </w:t>
      </w:r>
      <w:r>
        <w:rPr>
          <w:rFonts w:hint="cs"/>
          <w:rtl/>
        </w:rPr>
        <w:t>ו</w:t>
      </w:r>
      <w:r w:rsidRPr="00F13DA5">
        <w:rPr>
          <w:rFonts w:hint="cs"/>
          <w:rtl/>
        </w:rPr>
        <w:t xml:space="preserve">לאחר </w:t>
      </w:r>
      <w:r>
        <w:rPr>
          <w:rFonts w:hint="cs"/>
          <w:rtl/>
        </w:rPr>
        <w:t>שימופו</w:t>
      </w:r>
      <w:r w:rsidRPr="00F13DA5">
        <w:rPr>
          <w:rFonts w:hint="cs"/>
          <w:rtl/>
        </w:rPr>
        <w:t xml:space="preserve"> כל סוגי הפ</w:t>
      </w:r>
      <w:r>
        <w:rPr>
          <w:rFonts w:hint="cs"/>
          <w:rtl/>
        </w:rPr>
        <w:t>י</w:t>
      </w:r>
      <w:r w:rsidRPr="00F13DA5">
        <w:rPr>
          <w:rFonts w:hint="cs"/>
          <w:rtl/>
        </w:rPr>
        <w:t xml:space="preserve">קדונות ינוסח מתווה לטיפול בהם בשיתוף פעולה עם האפו"כ. </w:t>
      </w:r>
    </w:p>
    <w:p w14:paraId="46112015" w14:textId="77777777" w:rsidR="00BA23AE" w:rsidRPr="00F13DA5" w:rsidRDefault="00BA23AE" w:rsidP="00477F44">
      <w:pPr>
        <w:pStyle w:val="a1"/>
        <w:rPr>
          <w:rtl/>
        </w:rPr>
      </w:pPr>
      <w:r w:rsidRPr="00F13DA5">
        <w:rPr>
          <w:rFonts w:hint="cs"/>
          <w:rtl/>
        </w:rPr>
        <w:t>פעילות מול משטרת ישראל בקשר למילוי פרטים מזהים מלאים של עצורים בבקשות המוגשות לבתי המשפט: הקושי לאתר את הזכאים מעסיק ברמה היום-יומית גורמים רבים בשטח, ובהם מזכירויות ושופטים בבתי המשפט ואף יחידות אח"ם במחוזות השונים. לע</w:t>
      </w:r>
      <w:r>
        <w:rPr>
          <w:rFonts w:hint="cs"/>
          <w:rtl/>
        </w:rPr>
        <w:t>י</w:t>
      </w:r>
      <w:r w:rsidRPr="00F13DA5">
        <w:rPr>
          <w:rFonts w:hint="cs"/>
          <w:rtl/>
        </w:rPr>
        <w:t>תים הנהלת בתי המשפט אף מבקשת סיוע של הפרקליטות או המשטרה באיתור פרטי הזכאים. לטענת הנהלת בתי המשפט, ה</w:t>
      </w:r>
      <w:r>
        <w:rPr>
          <w:rFonts w:hint="cs"/>
          <w:rtl/>
        </w:rPr>
        <w:t xml:space="preserve">יו </w:t>
      </w:r>
      <w:r w:rsidRPr="00F13DA5">
        <w:rPr>
          <w:rFonts w:hint="cs"/>
          <w:rtl/>
        </w:rPr>
        <w:t>ניסיונות לחייב את המשטרה להגיש כבר בשלב המעצר, בקשות הכוללות פרטים מלאים לצורכי זיהוי ואיתור לאחר סגירת התיק,</w:t>
      </w:r>
      <w:r>
        <w:rPr>
          <w:rFonts w:hint="cs"/>
          <w:rtl/>
        </w:rPr>
        <w:t xml:space="preserve"> אך הם</w:t>
      </w:r>
      <w:r w:rsidRPr="00F13DA5">
        <w:rPr>
          <w:rFonts w:hint="cs"/>
          <w:rtl/>
        </w:rPr>
        <w:t xml:space="preserve"> עלו בתוהו. </w:t>
      </w:r>
      <w:r w:rsidRPr="00F13DA5">
        <w:rPr>
          <w:rFonts w:hint="cs"/>
          <w:rtl/>
        </w:rPr>
        <w:lastRenderedPageBreak/>
        <w:t xml:space="preserve">הצוות הציע שתיקבע פגישה בנושא זה בין מנהל בתי המשפט ובין הגורמים המתאימים במשטרה. </w:t>
      </w:r>
    </w:p>
    <w:p w14:paraId="556DAC33" w14:textId="77777777" w:rsidR="00BA23AE" w:rsidRPr="00F13DA5" w:rsidRDefault="00BA23AE" w:rsidP="00477F44">
      <w:pPr>
        <w:pStyle w:val="af3"/>
        <w:rPr>
          <w:b/>
          <w:bCs/>
          <w:rtl/>
        </w:rPr>
      </w:pPr>
      <w:r w:rsidRPr="00F13DA5">
        <w:rPr>
          <w:rFonts w:hint="cs"/>
          <w:rtl/>
        </w:rPr>
        <w:t xml:space="preserve">הנהלת בתי המשפט מסרה בתשובתה כי פניותיה למשטרה בנושא זה נענו בסירוב. לדבריה, המשטרה טוענת שפרטי העצור אינם תמיד בידיעתה ולאור הדחיפות בהליכי מעצרי ימים, אין לה אפשרות להתחייב שכל בקשות המעצר </w:t>
      </w:r>
      <w:r>
        <w:rPr>
          <w:rFonts w:hint="cs"/>
          <w:rtl/>
        </w:rPr>
        <w:t>יוגשו</w:t>
      </w:r>
      <w:r w:rsidRPr="00F13DA5">
        <w:rPr>
          <w:rFonts w:hint="cs"/>
          <w:rtl/>
        </w:rPr>
        <w:t xml:space="preserve"> עם מספר תעודת זהות תקין בלבד.</w:t>
      </w:r>
      <w:r>
        <w:rPr>
          <w:rFonts w:hint="cs"/>
          <w:rtl/>
        </w:rPr>
        <w:t xml:space="preserve"> </w:t>
      </w:r>
    </w:p>
    <w:p w14:paraId="5C726D25" w14:textId="77777777" w:rsidR="00BA23AE" w:rsidRPr="00F13DA5" w:rsidRDefault="00BA23AE" w:rsidP="00477F44">
      <w:pPr>
        <w:pStyle w:val="af3"/>
        <w:rPr>
          <w:rtl/>
        </w:rPr>
      </w:pPr>
      <w:r w:rsidRPr="00F13DA5">
        <w:rPr>
          <w:rFonts w:hint="eastAsia"/>
          <w:rtl/>
        </w:rPr>
        <w:t>המשטרה</w:t>
      </w:r>
      <w:r w:rsidRPr="00F13DA5">
        <w:rPr>
          <w:rtl/>
        </w:rPr>
        <w:t xml:space="preserve"> </w:t>
      </w:r>
      <w:r w:rsidRPr="00F13DA5">
        <w:rPr>
          <w:rFonts w:hint="eastAsia"/>
          <w:rtl/>
        </w:rPr>
        <w:t>ה</w:t>
      </w:r>
      <w:r w:rsidRPr="00F13DA5">
        <w:rPr>
          <w:rFonts w:hint="cs"/>
          <w:rtl/>
        </w:rPr>
        <w:t xml:space="preserve">שיבה בנושא זה כי ההנחיה לחוקרים </w:t>
      </w:r>
      <w:r>
        <w:rPr>
          <w:rFonts w:hint="cs"/>
          <w:rtl/>
        </w:rPr>
        <w:t>היא</w:t>
      </w:r>
      <w:r w:rsidRPr="00F13DA5">
        <w:rPr>
          <w:rFonts w:hint="cs"/>
          <w:rtl/>
        </w:rPr>
        <w:t xml:space="preserve"> למלא באופן מלא ודווקני את פרטי העצור ככל שאלה קיימים. אולם, אין היא מסרבת, אלא </w:t>
      </w:r>
      <w:r>
        <w:rPr>
          <w:rFonts w:hint="cs"/>
          <w:rtl/>
        </w:rPr>
        <w:t>אינה</w:t>
      </w:r>
      <w:r w:rsidRPr="00F13DA5">
        <w:rPr>
          <w:rFonts w:hint="cs"/>
          <w:rtl/>
        </w:rPr>
        <w:t xml:space="preserve"> יכולה להתחייב שכל בקשות המעצר </w:t>
      </w:r>
      <w:r>
        <w:rPr>
          <w:rFonts w:hint="cs"/>
          <w:rtl/>
        </w:rPr>
        <w:t>יוגשו</w:t>
      </w:r>
      <w:r w:rsidRPr="00F13DA5">
        <w:rPr>
          <w:rFonts w:hint="cs"/>
          <w:rtl/>
        </w:rPr>
        <w:t xml:space="preserve"> עם מספר זהות תקין בלבד. זאת, מאחר </w:t>
      </w:r>
      <w:r>
        <w:rPr>
          <w:rFonts w:hint="cs"/>
          <w:rtl/>
        </w:rPr>
        <w:t xml:space="preserve">שלעיתים אין היא </w:t>
      </w:r>
      <w:r w:rsidRPr="00F13DA5">
        <w:rPr>
          <w:rFonts w:hint="cs"/>
          <w:rtl/>
        </w:rPr>
        <w:t>מצליחה לזהות חשוד</w:t>
      </w:r>
      <w:r w:rsidRPr="00F13DA5">
        <w:rPr>
          <w:rStyle w:val="FootnoteReference"/>
          <w:rtl/>
        </w:rPr>
        <w:footnoteReference w:id="60"/>
      </w:r>
      <w:r w:rsidRPr="00F13DA5">
        <w:rPr>
          <w:rFonts w:hint="cs"/>
          <w:rtl/>
        </w:rPr>
        <w:t xml:space="preserve"> חרף האמצעים העומדים לרשותה. </w:t>
      </w:r>
      <w:r>
        <w:rPr>
          <w:rFonts w:hint="cs"/>
          <w:rtl/>
        </w:rPr>
        <w:t xml:space="preserve">כשהחשוד אינו מזוהה </w:t>
      </w:r>
      <w:r w:rsidRPr="00F13DA5">
        <w:rPr>
          <w:rFonts w:hint="cs"/>
          <w:rtl/>
        </w:rPr>
        <w:t xml:space="preserve">היא קובעת עבורו קוד ומספר זהות פיקטיבי המוצגים בבקשת המעצר לצורך תכלול המידע לגביו. המשטרה ציינה כי בנושא זה קיים צורך לבנות מאגר אחיד של מספרי זהות פיקטיביים </w:t>
      </w:r>
      <w:r>
        <w:rPr>
          <w:rFonts w:hint="cs"/>
          <w:rtl/>
        </w:rPr>
        <w:t>ש</w:t>
      </w:r>
      <w:r w:rsidRPr="00F13DA5">
        <w:rPr>
          <w:rFonts w:hint="cs"/>
          <w:rtl/>
        </w:rPr>
        <w:t>אליו יהיו מחוברים כל גופי האכיפה ולא רק המשטרה, כפי שקיים כיום.</w:t>
      </w:r>
    </w:p>
    <w:p w14:paraId="11BB434F" w14:textId="77777777" w:rsidR="00BA23AE" w:rsidRPr="00F13DA5" w:rsidRDefault="00BA23AE" w:rsidP="00477F44">
      <w:pPr>
        <w:pStyle w:val="ad"/>
        <w:rPr>
          <w:rtl/>
        </w:rPr>
      </w:pPr>
      <w:r w:rsidRPr="00F13DA5">
        <w:rPr>
          <w:rFonts w:hint="cs"/>
          <w:rtl/>
        </w:rPr>
        <w:t>נראה</w:t>
      </w:r>
      <w:r w:rsidRPr="00F13DA5">
        <w:rPr>
          <w:rtl/>
        </w:rPr>
        <w:t xml:space="preserve"> כי</w:t>
      </w:r>
      <w:r w:rsidRPr="00F13DA5">
        <w:rPr>
          <w:rFonts w:hint="cs"/>
          <w:rtl/>
        </w:rPr>
        <w:t xml:space="preserve"> סוגיית החשודים שלא ניתן לזהותם ולגבות מהם פרטים מלאים ונכונים נוגעת ורלוונטית למשטרה, להנהלת בתי המשפט </w:t>
      </w:r>
      <w:r>
        <w:rPr>
          <w:rFonts w:hint="cs"/>
          <w:rtl/>
        </w:rPr>
        <w:t>ולכמה</w:t>
      </w:r>
      <w:r w:rsidRPr="00F13DA5">
        <w:rPr>
          <w:rFonts w:hint="cs"/>
          <w:rtl/>
        </w:rPr>
        <w:t xml:space="preserve"> </w:t>
      </w:r>
      <w:r>
        <w:rPr>
          <w:rFonts w:hint="cs"/>
          <w:rtl/>
        </w:rPr>
        <w:t>מ</w:t>
      </w:r>
      <w:r w:rsidRPr="00F13DA5">
        <w:rPr>
          <w:rFonts w:hint="cs"/>
          <w:rtl/>
        </w:rPr>
        <w:t xml:space="preserve">גורמי אכיפת החוק. על הנהלת בתי המשפט </w:t>
      </w:r>
      <w:r>
        <w:rPr>
          <w:rFonts w:hint="cs"/>
          <w:rtl/>
        </w:rPr>
        <w:t>לבחון בשילוב</w:t>
      </w:r>
      <w:r w:rsidRPr="00F13DA5">
        <w:rPr>
          <w:rFonts w:hint="cs"/>
          <w:rtl/>
        </w:rPr>
        <w:t xml:space="preserve"> עם המשטרה </w:t>
      </w:r>
      <w:r>
        <w:rPr>
          <w:rFonts w:hint="cs"/>
          <w:rtl/>
        </w:rPr>
        <w:t>את ה</w:t>
      </w:r>
      <w:r w:rsidRPr="00F13DA5">
        <w:rPr>
          <w:rFonts w:hint="cs"/>
          <w:rtl/>
        </w:rPr>
        <w:t>סוגיה ו</w:t>
      </w:r>
      <w:r>
        <w:rPr>
          <w:rFonts w:hint="cs"/>
          <w:rtl/>
        </w:rPr>
        <w:t>למצוא</w:t>
      </w:r>
      <w:r w:rsidRPr="00F13DA5">
        <w:rPr>
          <w:rFonts w:hint="cs"/>
          <w:rtl/>
        </w:rPr>
        <w:t xml:space="preserve"> דרכים מתאימות לפתרונה. </w:t>
      </w:r>
    </w:p>
    <w:p w14:paraId="44A162DC" w14:textId="77777777" w:rsidR="00BA23AE" w:rsidRPr="00F13DA5" w:rsidRDefault="00BA23AE" w:rsidP="00477F44">
      <w:pPr>
        <w:pStyle w:val="a1"/>
        <w:rPr>
          <w:rtl/>
        </w:rPr>
      </w:pPr>
      <w:r w:rsidRPr="00F13DA5">
        <w:rPr>
          <w:rFonts w:hint="cs"/>
          <w:rtl/>
        </w:rPr>
        <w:t xml:space="preserve">הקמת ממשק או דיווח ממוחשב לקבלת נתונים ממערכת הזיהוי של המשטרה, אשר יאפשר להנהלת בתי המשפט לאתר זכאים להחזרת כספים. </w:t>
      </w:r>
    </w:p>
    <w:p w14:paraId="6DB6EB94" w14:textId="77777777" w:rsidR="00BA23AE" w:rsidRPr="00F13DA5" w:rsidRDefault="00BA23AE" w:rsidP="00E72FE7">
      <w:pPr>
        <w:pStyle w:val="af4"/>
        <w:rPr>
          <w:rtl/>
        </w:rPr>
      </w:pPr>
      <w:r w:rsidRPr="00F13DA5">
        <w:rPr>
          <w:rFonts w:hint="cs"/>
          <w:rtl/>
        </w:rPr>
        <w:t xml:space="preserve">הלכה למעשה, כל נתיבי הפעולה שהועלו על ידי הצוות </w:t>
      </w:r>
      <w:r>
        <w:rPr>
          <w:rFonts w:hint="cs"/>
          <w:rtl/>
        </w:rPr>
        <w:t xml:space="preserve">שהוקם בהנהלת בתי המשפט לטיפול באיתור הזכאים והחזר כספי ערובה </w:t>
      </w:r>
      <w:r w:rsidRPr="00F13DA5">
        <w:rPr>
          <w:rFonts w:hint="cs"/>
          <w:rtl/>
        </w:rPr>
        <w:t>לא קודמו או לא הושלמו. נתיבי פעולה אלו עשויים לקדם ואף לפתור את בעיית איתור הזכאים ולצמצם את שיעור כספי הפיקדונות המצויים במערכת בתי המשפט.</w:t>
      </w:r>
    </w:p>
    <w:p w14:paraId="331B6AFB" w14:textId="77777777" w:rsidR="00BA23AE" w:rsidRPr="00F13DA5" w:rsidRDefault="00BA23AE" w:rsidP="00E72FE7">
      <w:pPr>
        <w:pStyle w:val="100"/>
        <w:rPr>
          <w:b/>
          <w:bCs/>
          <w:rtl/>
        </w:rPr>
      </w:pPr>
      <w:r w:rsidRPr="00F13DA5">
        <w:rPr>
          <w:rFonts w:hint="cs"/>
          <w:rtl/>
        </w:rPr>
        <w:t xml:space="preserve">באוגוסט 2019 הודיעה הנהלת בתי המשפט כי הוחלט להעביר את נושא כספי הפיקדונות להמשך טיפול ויישום של חטיבת תפעול ומזכירויות בהנהלת בתי המשפט. כן הוחלט </w:t>
      </w:r>
      <w:r>
        <w:rPr>
          <w:rFonts w:hint="cs"/>
          <w:rtl/>
        </w:rPr>
        <w:t>להכין</w:t>
      </w:r>
      <w:r w:rsidRPr="00F13DA5">
        <w:rPr>
          <w:rFonts w:hint="cs"/>
          <w:rtl/>
        </w:rPr>
        <w:t xml:space="preserve"> תוכנית עבודה עד לסוף 2019 ובהתאם להנחיית מנהל בתי המשפט.</w:t>
      </w:r>
    </w:p>
    <w:p w14:paraId="6E39C853" w14:textId="77777777" w:rsidR="00BA23AE" w:rsidRPr="00F13DA5" w:rsidRDefault="00BA23AE" w:rsidP="00E72FE7">
      <w:pPr>
        <w:pStyle w:val="100"/>
        <w:rPr>
          <w:rtl/>
        </w:rPr>
      </w:pPr>
      <w:r w:rsidRPr="00F13DA5">
        <w:rPr>
          <w:rFonts w:hint="cs"/>
          <w:rtl/>
        </w:rPr>
        <w:t>יצוין כי מפילוח הנתונים על מספר התיקים והסכומים השנתיים שהופקדו בהנהלת בתי המשפט עולה, כי ישנם כ-4,000 תיקים של פיקדונות מכלל סוגי ההליכים (אזרחי ופלילי) שהופקדו בהם סכומים הנמוכים מ-50 ש"ח, וסכומם הכולל הוא 37,241 ש"ח.</w:t>
      </w:r>
    </w:p>
    <w:p w14:paraId="218EBFD1" w14:textId="77777777" w:rsidR="00BA23AE" w:rsidRPr="00F13DA5" w:rsidRDefault="00BA23AE" w:rsidP="00E72FE7">
      <w:pPr>
        <w:pStyle w:val="af4"/>
        <w:rPr>
          <w:rtl/>
        </w:rPr>
      </w:pPr>
      <w:r w:rsidRPr="00F13DA5">
        <w:rPr>
          <w:rFonts w:hint="cs"/>
          <w:rtl/>
        </w:rPr>
        <w:t xml:space="preserve">על הנהלת בתי המשפט לשקול לשלוח הודעה על זכאות לכספים בסכומים נמוכים באמצעות דואר רגיל ולא בדואר רשום בשל העלויות הכרוכות בכך. פעולה זו אינה תלויה בגורמים נוספים, ויש בה כדי לייעל את המשאבים הדרושים לנושא. </w:t>
      </w:r>
    </w:p>
    <w:p w14:paraId="42590D49" w14:textId="77777777" w:rsidR="00BA23AE" w:rsidRPr="00F13DA5" w:rsidRDefault="00BA23AE" w:rsidP="00E72FE7">
      <w:pPr>
        <w:pStyle w:val="100"/>
        <w:rPr>
          <w:rtl/>
        </w:rPr>
      </w:pPr>
      <w:r w:rsidRPr="00F13DA5">
        <w:rPr>
          <w:rFonts w:hint="cs"/>
          <w:rtl/>
        </w:rPr>
        <w:lastRenderedPageBreak/>
        <w:t xml:space="preserve">נושא הפקדת </w:t>
      </w:r>
      <w:r>
        <w:rPr>
          <w:rFonts w:hint="cs"/>
          <w:rtl/>
        </w:rPr>
        <w:t>ה</w:t>
      </w:r>
      <w:r w:rsidRPr="00F13DA5">
        <w:rPr>
          <w:rFonts w:hint="cs"/>
          <w:rtl/>
        </w:rPr>
        <w:t>ערבויות בבתי המשפט עלה גם בשיח הציבורי. בדיון מנובמבר 2017 שקיימה הוועדה לפניות הציבור בכנסת</w:t>
      </w:r>
      <w:r w:rsidRPr="00F13DA5">
        <w:rPr>
          <w:vertAlign w:val="superscript"/>
          <w:rtl/>
        </w:rPr>
        <w:footnoteReference w:id="61"/>
      </w:r>
      <w:r w:rsidRPr="00F13DA5">
        <w:rPr>
          <w:rFonts w:hint="cs"/>
          <w:rtl/>
        </w:rPr>
        <w:t xml:space="preserve"> התבקשה הנהלת בתי המשפט לפעול להשבת הכספים בדרכים נוספות חוץ מהעברה בנקאית, וזאת מתוך רצון להגן על זכויותיהם של עצורים מחוסרי אמצעים שאין להם חשבון בנק. כן נדונה האפשרות לאתר את הזכאים באמצעות סיוע ממרשם האוכלוסין. כן הוצע שהשירות יונגש לציבור באמצעות אתר אינטרנט, והועלתה האפשרות לחייב את הזכאי לספק בשעת ההפקדה פרטים מזהים כמו חשבון בנק ומספר זהות.</w:t>
      </w:r>
    </w:p>
    <w:p w14:paraId="03A3F915" w14:textId="77777777" w:rsidR="00BA23AE" w:rsidRPr="00F13DA5" w:rsidRDefault="00BA23AE" w:rsidP="00E72FE7">
      <w:pPr>
        <w:pStyle w:val="af4"/>
        <w:rPr>
          <w:rtl/>
        </w:rPr>
      </w:pPr>
      <w:r w:rsidRPr="00F13DA5">
        <w:rPr>
          <w:rFonts w:hint="cs"/>
          <w:rtl/>
        </w:rPr>
        <w:t xml:space="preserve">בהינתן העיסוק רב-השנים של מערכת בתי המשפט בסוגיית כספי הפיקדונות ונוכח שיעורם הגבוה של הכספים שטרם הוחזרו, מוצע להנהלת בתי המשפט לשקול פעולות נוספות על אלו שביצעה עד כה, בשילוב זרועות עם גופים נוספים, אשר יסייעו בקידום הפתרון לבעיה. בין אלו השקת השירות באתר אינטרנט ופרסום השירות לציבור; השקת טופס מקוון להזנת פרטי התקשרות ותשלום; קבלת הכספים באמצעות בנק הדואר במזומן ולא רק באמצעות העברה בנקאית; ובחינת סיוע אפשרי לאיתור פרטי התקשרות מעודכנים מגורמים אחרים. </w:t>
      </w:r>
    </w:p>
    <w:p w14:paraId="7A65C172" w14:textId="77777777" w:rsidR="00BA23AE" w:rsidRPr="00F13DA5" w:rsidRDefault="00BA23AE" w:rsidP="00E72FE7">
      <w:pPr>
        <w:pStyle w:val="100"/>
        <w:rPr>
          <w:rtl/>
        </w:rPr>
      </w:pPr>
      <w:r w:rsidRPr="00F13DA5">
        <w:rPr>
          <w:rFonts w:hint="cs"/>
          <w:rtl/>
        </w:rPr>
        <w:t>הנהלת בתי המשפט הסבירה כי מדובר</w:t>
      </w:r>
      <w:r w:rsidRPr="00F13DA5">
        <w:rPr>
          <w:rtl/>
        </w:rPr>
        <w:t xml:space="preserve"> </w:t>
      </w:r>
      <w:r w:rsidRPr="00F13DA5">
        <w:rPr>
          <w:rFonts w:hint="cs"/>
          <w:rtl/>
        </w:rPr>
        <w:t>בפרויקט</w:t>
      </w:r>
      <w:r w:rsidRPr="00F13DA5">
        <w:rPr>
          <w:rtl/>
        </w:rPr>
        <w:t xml:space="preserve"> </w:t>
      </w:r>
      <w:r w:rsidRPr="00F13DA5">
        <w:rPr>
          <w:rFonts w:hint="cs"/>
          <w:rtl/>
        </w:rPr>
        <w:t>רחב</w:t>
      </w:r>
      <w:r w:rsidRPr="00F13DA5">
        <w:rPr>
          <w:rtl/>
        </w:rPr>
        <w:t xml:space="preserve"> </w:t>
      </w:r>
      <w:r w:rsidRPr="00F13DA5">
        <w:rPr>
          <w:rFonts w:hint="cs"/>
          <w:rtl/>
        </w:rPr>
        <w:t>היקף</w:t>
      </w:r>
      <w:r w:rsidRPr="00F13DA5">
        <w:rPr>
          <w:rtl/>
        </w:rPr>
        <w:t xml:space="preserve">, </w:t>
      </w:r>
      <w:r>
        <w:rPr>
          <w:rFonts w:hint="cs"/>
          <w:rtl/>
        </w:rPr>
        <w:t>ש</w:t>
      </w:r>
      <w:r w:rsidRPr="00F13DA5">
        <w:rPr>
          <w:rFonts w:hint="cs"/>
          <w:rtl/>
        </w:rPr>
        <w:t>במסגרתו</w:t>
      </w:r>
      <w:r w:rsidRPr="00F13DA5">
        <w:rPr>
          <w:rtl/>
        </w:rPr>
        <w:t xml:space="preserve"> </w:t>
      </w:r>
      <w:r w:rsidRPr="00F13DA5">
        <w:rPr>
          <w:rFonts w:hint="cs"/>
          <w:rtl/>
        </w:rPr>
        <w:t>מטופלים</w:t>
      </w:r>
      <w:r w:rsidRPr="00F13DA5">
        <w:rPr>
          <w:rtl/>
        </w:rPr>
        <w:t xml:space="preserve"> </w:t>
      </w:r>
      <w:r w:rsidRPr="00F13DA5">
        <w:rPr>
          <w:rFonts w:hint="cs"/>
          <w:rtl/>
        </w:rPr>
        <w:t>כלל</w:t>
      </w:r>
      <w:r w:rsidRPr="00F13DA5">
        <w:rPr>
          <w:rtl/>
        </w:rPr>
        <w:t xml:space="preserve"> </w:t>
      </w:r>
      <w:r w:rsidRPr="00F13DA5">
        <w:rPr>
          <w:rFonts w:hint="cs"/>
          <w:rtl/>
        </w:rPr>
        <w:t>הפיקדונות</w:t>
      </w:r>
      <w:r w:rsidRPr="00F13DA5">
        <w:rPr>
          <w:rtl/>
        </w:rPr>
        <w:t xml:space="preserve"> </w:t>
      </w:r>
      <w:r w:rsidRPr="00F13DA5">
        <w:rPr>
          <w:rFonts w:hint="cs"/>
          <w:rtl/>
        </w:rPr>
        <w:t>במערכת בתי המשפט</w:t>
      </w:r>
      <w:r>
        <w:rPr>
          <w:rFonts w:hint="cs"/>
          <w:rtl/>
        </w:rPr>
        <w:t>,</w:t>
      </w:r>
      <w:r w:rsidRPr="00F13DA5">
        <w:rPr>
          <w:rFonts w:hint="cs"/>
          <w:rtl/>
        </w:rPr>
        <w:t xml:space="preserve"> וכי</w:t>
      </w:r>
      <w:r w:rsidRPr="00F13DA5">
        <w:rPr>
          <w:rtl/>
        </w:rPr>
        <w:t xml:space="preserve"> </w:t>
      </w:r>
      <w:r w:rsidRPr="00F13DA5">
        <w:rPr>
          <w:rFonts w:hint="cs"/>
          <w:rtl/>
        </w:rPr>
        <w:t>בימים</w:t>
      </w:r>
      <w:r w:rsidRPr="00F13DA5">
        <w:rPr>
          <w:rtl/>
        </w:rPr>
        <w:t xml:space="preserve"> </w:t>
      </w:r>
      <w:r w:rsidRPr="00F13DA5">
        <w:rPr>
          <w:rFonts w:hint="cs"/>
          <w:rtl/>
        </w:rPr>
        <w:t>אלה</w:t>
      </w:r>
      <w:r w:rsidRPr="00F13DA5">
        <w:rPr>
          <w:rtl/>
        </w:rPr>
        <w:t xml:space="preserve"> </w:t>
      </w:r>
      <w:r w:rsidRPr="00F13DA5">
        <w:rPr>
          <w:rFonts w:hint="cs"/>
          <w:rtl/>
        </w:rPr>
        <w:t>מתבצע</w:t>
      </w:r>
      <w:r w:rsidRPr="00F13DA5">
        <w:rPr>
          <w:rtl/>
        </w:rPr>
        <w:t xml:space="preserve"> </w:t>
      </w:r>
      <w:r w:rsidRPr="00F13DA5">
        <w:rPr>
          <w:rFonts w:hint="cs"/>
          <w:rtl/>
        </w:rPr>
        <w:t>מיפוי</w:t>
      </w:r>
      <w:r w:rsidRPr="00F13DA5">
        <w:rPr>
          <w:rtl/>
        </w:rPr>
        <w:t xml:space="preserve"> </w:t>
      </w:r>
      <w:r w:rsidRPr="00F13DA5">
        <w:rPr>
          <w:rFonts w:hint="cs"/>
          <w:rtl/>
        </w:rPr>
        <w:t>של</w:t>
      </w:r>
      <w:r w:rsidRPr="00F13DA5">
        <w:rPr>
          <w:rtl/>
        </w:rPr>
        <w:t xml:space="preserve"> </w:t>
      </w:r>
      <w:r w:rsidRPr="00F13DA5">
        <w:rPr>
          <w:rFonts w:hint="cs"/>
          <w:rtl/>
        </w:rPr>
        <w:t>סוגי</w:t>
      </w:r>
      <w:r w:rsidRPr="00F13DA5">
        <w:rPr>
          <w:rtl/>
        </w:rPr>
        <w:t xml:space="preserve"> </w:t>
      </w:r>
      <w:r w:rsidRPr="00F13DA5">
        <w:rPr>
          <w:rFonts w:hint="cs"/>
          <w:rtl/>
        </w:rPr>
        <w:t xml:space="preserve">הפיקדונות. ביחס להצעה לאיתור הזכאים באמצעות סיוע ממרשם האוכלוסין היא ציינה </w:t>
      </w:r>
      <w:r>
        <w:rPr>
          <w:rFonts w:hint="cs"/>
          <w:rtl/>
        </w:rPr>
        <w:t>ש</w:t>
      </w:r>
      <w:r w:rsidRPr="00F13DA5">
        <w:rPr>
          <w:rFonts w:hint="cs"/>
          <w:rtl/>
        </w:rPr>
        <w:t xml:space="preserve">היא מצויה במגעים עם רשות האוכלוסין בעניין </w:t>
      </w:r>
      <w:r>
        <w:rPr>
          <w:rFonts w:hint="cs"/>
          <w:rtl/>
        </w:rPr>
        <w:t>וכ</w:t>
      </w:r>
      <w:r w:rsidRPr="00F13DA5">
        <w:rPr>
          <w:rFonts w:hint="cs"/>
          <w:rtl/>
        </w:rPr>
        <w:t>שאין פרטים מזהים של החשוד, פתרון זה אינו רלוונטי. ביחס לאפשרות לחייב את הזכאי למסור פרטים מזהים בשעת ההפקדה היא ציינה כי לרוב כספי הערובה מופקדים על ידי גורם שאינו החשוד</w:t>
      </w:r>
      <w:r>
        <w:rPr>
          <w:rFonts w:hint="cs"/>
          <w:rtl/>
        </w:rPr>
        <w:t>,</w:t>
      </w:r>
      <w:r w:rsidRPr="00F13DA5">
        <w:rPr>
          <w:rFonts w:hint="cs"/>
          <w:rtl/>
        </w:rPr>
        <w:t xml:space="preserve"> וקיים קושי לאתר את פרטי החשוד או לבקש אותם מהמפקיד בפועל. עוד צוין כי בתיקי פשע חמור לרוב מפקידי כספי הערבות הם אנונימיים</w:t>
      </w:r>
      <w:r>
        <w:rPr>
          <w:rFonts w:hint="cs"/>
          <w:rtl/>
        </w:rPr>
        <w:t>,</w:t>
      </w:r>
      <w:r w:rsidRPr="00F13DA5">
        <w:rPr>
          <w:rFonts w:hint="cs"/>
          <w:rtl/>
        </w:rPr>
        <w:t xml:space="preserve"> ולפיכך הצעה זו אינה רלוונטית. אשר להצעה להנגיש את השירות באמצעות אתר אינטרנט או טופס מקוון</w:t>
      </w:r>
      <w:r w:rsidRPr="00F13DA5">
        <w:rPr>
          <w:rtl/>
        </w:rPr>
        <w:t xml:space="preserve"> טענה</w:t>
      </w:r>
      <w:r w:rsidRPr="00F13DA5">
        <w:rPr>
          <w:rFonts w:hint="cs"/>
          <w:rtl/>
        </w:rPr>
        <w:t xml:space="preserve"> הנהלת בתי המשפט כי פתרון זה אינו רלוונטי</w:t>
      </w:r>
      <w:r>
        <w:rPr>
          <w:rFonts w:hint="cs"/>
          <w:rtl/>
        </w:rPr>
        <w:t>,</w:t>
      </w:r>
      <w:r w:rsidRPr="00F13DA5">
        <w:rPr>
          <w:rFonts w:hint="cs"/>
          <w:rtl/>
        </w:rPr>
        <w:t xml:space="preserve"> נוכח העובדה שבמערכת נט המשפט לא מוגדרים תעודות זהות לכלל המוטבים. בנוסף נטען כי פתרון כזה לא יפתור את הבעיה לגבי כלל האוכלוסיות. לעניין תשלום במזומן, נטען כי הניסיון לשלם לזכאים בדרכים אלו לא צלח בשל ניסיונות </w:t>
      </w:r>
      <w:r>
        <w:rPr>
          <w:rFonts w:hint="cs"/>
          <w:rtl/>
        </w:rPr>
        <w:t>ל</w:t>
      </w:r>
      <w:r w:rsidRPr="00F13DA5">
        <w:rPr>
          <w:rFonts w:hint="cs"/>
          <w:rtl/>
        </w:rPr>
        <w:t>התחזות לזכאים</w:t>
      </w:r>
      <w:r>
        <w:rPr>
          <w:rFonts w:hint="cs"/>
          <w:rtl/>
        </w:rPr>
        <w:t>,</w:t>
      </w:r>
      <w:r w:rsidRPr="00F13DA5">
        <w:rPr>
          <w:rFonts w:hint="cs"/>
          <w:rtl/>
        </w:rPr>
        <w:t xml:space="preserve"> ועל כן הופסק שירות זה.</w:t>
      </w:r>
      <w:r>
        <w:rPr>
          <w:rFonts w:hint="cs"/>
          <w:rtl/>
        </w:rPr>
        <w:t xml:space="preserve"> עוד ציינה הנהלת בתי המשפט כי בין הסיבות להצטברות של יתרת פיקדונות הייתה העובדה שהמחאות רבות שהועברו לזכאים לא נפדו בשל העדר חשבון בנק או כתובת לא נכונה של המוטב. </w:t>
      </w:r>
    </w:p>
    <w:p w14:paraId="2236044E" w14:textId="77777777" w:rsidR="00BA23AE" w:rsidRPr="00F13DA5" w:rsidRDefault="00BA23AE" w:rsidP="00E72FE7">
      <w:pPr>
        <w:pStyle w:val="af4"/>
        <w:rPr>
          <w:rtl/>
        </w:rPr>
      </w:pPr>
      <w:r>
        <w:rPr>
          <w:rFonts w:hint="cs"/>
          <w:rtl/>
        </w:rPr>
        <w:t xml:space="preserve">סכומם הגבוה של הכספים שטרם הוחזרו בהליכי המעצר בסך של כ-148 מיליון ש"ח, מותיר עשרות אלפי מפקידים בחסרון כיס. </w:t>
      </w:r>
      <w:r w:rsidRPr="00F13DA5">
        <w:rPr>
          <w:rFonts w:hint="cs"/>
          <w:rtl/>
        </w:rPr>
        <w:t xml:space="preserve">מוצע להנהלת בתי המשפט להבחין בין הפעולות שיש לנקוט ביחס לאיתור בדיעבד של הזכאים לצורך השבת הכספים שנצברו במערכת בתי המשפט לבין הצעות לפתרונות צופים פני עתיד, </w:t>
      </w:r>
      <w:r>
        <w:rPr>
          <w:rFonts w:hint="cs"/>
          <w:rtl/>
        </w:rPr>
        <w:t>ש</w:t>
      </w:r>
      <w:r w:rsidRPr="00F13DA5">
        <w:rPr>
          <w:rFonts w:hint="cs"/>
          <w:rtl/>
        </w:rPr>
        <w:t>יצמצמו את מספר המקרים בהם לא ניתן להשיב את הכספים בשל אי</w:t>
      </w:r>
      <w:r>
        <w:rPr>
          <w:rFonts w:hint="cs"/>
          <w:rtl/>
        </w:rPr>
        <w:t>-</w:t>
      </w:r>
      <w:r w:rsidRPr="00F13DA5">
        <w:rPr>
          <w:rFonts w:hint="cs"/>
          <w:rtl/>
        </w:rPr>
        <w:t xml:space="preserve">המצאת </w:t>
      </w:r>
      <w:r w:rsidRPr="004D5F89">
        <w:rPr>
          <w:rFonts w:hint="cs"/>
          <w:rtl/>
        </w:rPr>
        <w:t>פרטים. כך</w:t>
      </w:r>
      <w:r w:rsidRPr="002A29CE">
        <w:rPr>
          <w:rFonts w:hint="cs"/>
          <w:rtl/>
        </w:rPr>
        <w:t xml:space="preserve"> למשל </w:t>
      </w:r>
      <w:r w:rsidRPr="004D5F89">
        <w:rPr>
          <w:rFonts w:hint="eastAsia"/>
          <w:rtl/>
        </w:rPr>
        <w:t>ההצעות</w:t>
      </w:r>
      <w:r w:rsidRPr="004D5F89">
        <w:rPr>
          <w:rtl/>
        </w:rPr>
        <w:t xml:space="preserve"> </w:t>
      </w:r>
      <w:r w:rsidRPr="004D5F89">
        <w:rPr>
          <w:rFonts w:hint="eastAsia"/>
          <w:rtl/>
        </w:rPr>
        <w:t>הנוגעות</w:t>
      </w:r>
      <w:r w:rsidRPr="004D5F89">
        <w:rPr>
          <w:rtl/>
        </w:rPr>
        <w:t xml:space="preserve"> </w:t>
      </w:r>
      <w:r w:rsidRPr="004D5F89">
        <w:rPr>
          <w:rFonts w:hint="eastAsia"/>
          <w:rtl/>
        </w:rPr>
        <w:t>לגישה</w:t>
      </w:r>
      <w:r w:rsidRPr="004D5F89">
        <w:rPr>
          <w:rtl/>
        </w:rPr>
        <w:t xml:space="preserve"> </w:t>
      </w:r>
      <w:r w:rsidRPr="004D5F89">
        <w:rPr>
          <w:rFonts w:hint="eastAsia"/>
          <w:rtl/>
        </w:rPr>
        <w:t>לנתוני</w:t>
      </w:r>
      <w:r w:rsidRPr="004D5F89">
        <w:rPr>
          <w:rtl/>
        </w:rPr>
        <w:t xml:space="preserve"> </w:t>
      </w:r>
      <w:r w:rsidRPr="004D5F89">
        <w:rPr>
          <w:rFonts w:hint="eastAsia"/>
          <w:rtl/>
        </w:rPr>
        <w:t>מרשם</w:t>
      </w:r>
      <w:r w:rsidRPr="004D5F89">
        <w:rPr>
          <w:rtl/>
        </w:rPr>
        <w:t xml:space="preserve"> </w:t>
      </w:r>
      <w:r w:rsidRPr="004D5F89">
        <w:rPr>
          <w:rFonts w:hint="eastAsia"/>
          <w:rtl/>
        </w:rPr>
        <w:t>האוכלוסין</w:t>
      </w:r>
      <w:r w:rsidRPr="004D5F89">
        <w:rPr>
          <w:rtl/>
        </w:rPr>
        <w:t xml:space="preserve">, </w:t>
      </w:r>
      <w:r w:rsidRPr="004D5F89">
        <w:rPr>
          <w:rFonts w:hint="eastAsia"/>
          <w:rtl/>
        </w:rPr>
        <w:t>הקמת</w:t>
      </w:r>
      <w:r w:rsidRPr="004D5F89">
        <w:rPr>
          <w:rtl/>
        </w:rPr>
        <w:t xml:space="preserve"> </w:t>
      </w:r>
      <w:r w:rsidRPr="004D5F89">
        <w:rPr>
          <w:rFonts w:hint="eastAsia"/>
          <w:rtl/>
        </w:rPr>
        <w:t>אתר</w:t>
      </w:r>
      <w:r w:rsidRPr="004D5F89">
        <w:rPr>
          <w:rtl/>
        </w:rPr>
        <w:t xml:space="preserve"> </w:t>
      </w:r>
      <w:r w:rsidRPr="004D5F89">
        <w:rPr>
          <w:rFonts w:hint="eastAsia"/>
          <w:rtl/>
        </w:rPr>
        <w:t>אינטרנט</w:t>
      </w:r>
      <w:r w:rsidRPr="004D5F89">
        <w:rPr>
          <w:rtl/>
        </w:rPr>
        <w:t xml:space="preserve"> </w:t>
      </w:r>
      <w:r w:rsidRPr="004D5F89">
        <w:rPr>
          <w:rFonts w:hint="eastAsia"/>
          <w:rtl/>
        </w:rPr>
        <w:t>והשקת</w:t>
      </w:r>
      <w:r w:rsidRPr="004D5F89">
        <w:rPr>
          <w:rtl/>
        </w:rPr>
        <w:t xml:space="preserve"> </w:t>
      </w:r>
      <w:r w:rsidRPr="004D5F89">
        <w:rPr>
          <w:rFonts w:hint="eastAsia"/>
          <w:rtl/>
        </w:rPr>
        <w:t>טופס</w:t>
      </w:r>
      <w:r w:rsidRPr="004D5F89">
        <w:rPr>
          <w:rtl/>
        </w:rPr>
        <w:t xml:space="preserve"> </w:t>
      </w:r>
      <w:r w:rsidRPr="004D5F89">
        <w:rPr>
          <w:rFonts w:hint="eastAsia"/>
          <w:rtl/>
        </w:rPr>
        <w:t>מקוון</w:t>
      </w:r>
      <w:r w:rsidRPr="00F02EFD">
        <w:rPr>
          <w:rtl/>
        </w:rPr>
        <w:t xml:space="preserve">, </w:t>
      </w:r>
      <w:r w:rsidRPr="00F02EFD">
        <w:rPr>
          <w:rFonts w:hint="eastAsia"/>
          <w:rtl/>
        </w:rPr>
        <w:t>ככל</w:t>
      </w:r>
      <w:r w:rsidRPr="00F02EFD">
        <w:rPr>
          <w:rtl/>
        </w:rPr>
        <w:t xml:space="preserve"> </w:t>
      </w:r>
      <w:r w:rsidRPr="00F02EFD">
        <w:rPr>
          <w:rFonts w:hint="eastAsia"/>
          <w:rtl/>
        </w:rPr>
        <w:t>שהדבר</w:t>
      </w:r>
      <w:r w:rsidRPr="00F02EFD">
        <w:rPr>
          <w:rtl/>
        </w:rPr>
        <w:t xml:space="preserve"> </w:t>
      </w:r>
      <w:r w:rsidRPr="00F02EFD">
        <w:rPr>
          <w:rFonts w:hint="eastAsia"/>
          <w:rtl/>
        </w:rPr>
        <w:t>יתאפשר</w:t>
      </w:r>
      <w:r w:rsidRPr="004D5F89">
        <w:rPr>
          <w:rtl/>
        </w:rPr>
        <w:t>.</w:t>
      </w:r>
      <w:r w:rsidRPr="00F13DA5">
        <w:rPr>
          <w:rFonts w:hint="cs"/>
          <w:rtl/>
        </w:rPr>
        <w:t xml:space="preserve"> </w:t>
      </w:r>
    </w:p>
    <w:p w14:paraId="4F4747FF" w14:textId="77777777" w:rsidR="00BA23AE" w:rsidRPr="00F13DA5" w:rsidRDefault="00BA23AE" w:rsidP="00E72FE7">
      <w:pPr>
        <w:pStyle w:val="af4"/>
        <w:rPr>
          <w:rtl/>
        </w:rPr>
      </w:pPr>
      <w:r w:rsidRPr="00F13DA5">
        <w:rPr>
          <w:rFonts w:hint="cs"/>
          <w:rtl/>
        </w:rPr>
        <w:lastRenderedPageBreak/>
        <w:t xml:space="preserve">נוסף על כך, מוצע להנהלת בתי המשפט לבחון אם אפשר לדרוש בעת הפקדת הכספים במזכירויות בתי המשפט פרטים מזהים של המפקיד, כפי שנעשה במשטרה. אם לא תינתן הסכמה למסירת הפרטים </w:t>
      </w:r>
      <w:r>
        <w:rPr>
          <w:rFonts w:hint="cs"/>
          <w:rtl/>
        </w:rPr>
        <w:t>מוצע ש</w:t>
      </w:r>
      <w:r w:rsidRPr="00F13DA5">
        <w:rPr>
          <w:rFonts w:hint="cs"/>
          <w:rtl/>
        </w:rPr>
        <w:t xml:space="preserve">המזכירות </w:t>
      </w:r>
      <w:r>
        <w:rPr>
          <w:rFonts w:hint="cs"/>
          <w:rtl/>
        </w:rPr>
        <w:t xml:space="preserve">תודיע </w:t>
      </w:r>
      <w:r w:rsidRPr="00F13DA5">
        <w:rPr>
          <w:rFonts w:hint="cs"/>
          <w:rtl/>
        </w:rPr>
        <w:t>לזכאי, בכפוף לחתימתו על היידוע, שאי-המצאת פרטים כלשהם עלול</w:t>
      </w:r>
      <w:r>
        <w:rPr>
          <w:rFonts w:hint="cs"/>
          <w:rtl/>
        </w:rPr>
        <w:t>ה</w:t>
      </w:r>
      <w:r w:rsidRPr="00F13DA5">
        <w:rPr>
          <w:rFonts w:hint="cs"/>
          <w:rtl/>
        </w:rPr>
        <w:t xml:space="preserve"> להקשות עליה </w:t>
      </w:r>
      <w:r>
        <w:rPr>
          <w:rFonts w:hint="cs"/>
          <w:rtl/>
        </w:rPr>
        <w:t>להשיב את</w:t>
      </w:r>
      <w:r w:rsidRPr="00F13DA5">
        <w:rPr>
          <w:rFonts w:hint="cs"/>
          <w:rtl/>
        </w:rPr>
        <w:t xml:space="preserve"> הכספים במידת הצורך, וכי יהיה עליו לפנות לבית המשפט באופן יזום לצ</w:t>
      </w:r>
      <w:r>
        <w:rPr>
          <w:rFonts w:hint="cs"/>
          <w:rtl/>
        </w:rPr>
        <w:t>ו</w:t>
      </w:r>
      <w:r w:rsidRPr="00F13DA5">
        <w:rPr>
          <w:rFonts w:hint="cs"/>
          <w:rtl/>
        </w:rPr>
        <w:t xml:space="preserve">רכי ההחזר. </w:t>
      </w:r>
    </w:p>
    <w:p w14:paraId="7CA1D866" w14:textId="77777777" w:rsidR="00BA23AE" w:rsidRDefault="00BA23AE" w:rsidP="00BA23AE">
      <w:pPr>
        <w:bidi w:val="0"/>
        <w:spacing w:line="269" w:lineRule="auto"/>
        <w:rPr>
          <w:rFonts w:eastAsiaTheme="majorEastAsia"/>
          <w:bCs/>
          <w:szCs w:val="32"/>
          <w:rtl/>
        </w:rPr>
      </w:pPr>
      <w:r>
        <w:rPr>
          <w:rtl/>
        </w:rPr>
        <w:br w:type="page"/>
      </w:r>
    </w:p>
    <w:p w14:paraId="67F7CE4B" w14:textId="77777777" w:rsidR="00BA23AE" w:rsidRPr="00F13DA5" w:rsidRDefault="00BA23AE" w:rsidP="00E72FE7">
      <w:pPr>
        <w:pStyle w:val="218"/>
        <w:rPr>
          <w:rtl/>
        </w:rPr>
      </w:pPr>
      <w:r w:rsidRPr="00F13DA5">
        <w:rPr>
          <w:rFonts w:hint="cs"/>
          <w:rtl/>
        </w:rPr>
        <w:lastRenderedPageBreak/>
        <w:t>פעולות המשטרה לפיקוח ולבקרה</w:t>
      </w:r>
      <w:bookmarkEnd w:id="18"/>
      <w:r w:rsidRPr="00F13DA5">
        <w:rPr>
          <w:rFonts w:hint="cs"/>
          <w:rtl/>
        </w:rPr>
        <w:t xml:space="preserve"> בתחום המעצרים</w:t>
      </w:r>
      <w:bookmarkEnd w:id="19"/>
      <w:bookmarkEnd w:id="20"/>
      <w:bookmarkEnd w:id="21"/>
    </w:p>
    <w:p w14:paraId="4F25DC8A" w14:textId="77777777" w:rsidR="00BA23AE" w:rsidRPr="00F13DA5" w:rsidRDefault="00BA23AE" w:rsidP="00B5445A">
      <w:pPr>
        <w:pStyle w:val="316"/>
        <w:rPr>
          <w:rtl/>
        </w:rPr>
      </w:pPr>
      <w:r w:rsidRPr="00F13DA5">
        <w:rPr>
          <w:rFonts w:hint="cs"/>
          <w:rtl/>
        </w:rPr>
        <w:t>בקרה בתחום המעצרים</w:t>
      </w:r>
    </w:p>
    <w:p w14:paraId="2E3955FD" w14:textId="77777777" w:rsidR="00BA23AE" w:rsidRPr="00F13DA5" w:rsidRDefault="00BA23AE" w:rsidP="00B5445A">
      <w:pPr>
        <w:pStyle w:val="100"/>
        <w:rPr>
          <w:rtl/>
        </w:rPr>
      </w:pPr>
      <w:r w:rsidRPr="00F13DA5">
        <w:rPr>
          <w:rFonts w:hint="cs"/>
          <w:rtl/>
        </w:rPr>
        <w:t xml:space="preserve">נוהל אח"ם בנושא </w:t>
      </w:r>
      <w:r w:rsidRPr="00F13DA5">
        <w:rPr>
          <w:rFonts w:hint="eastAsia"/>
          <w:rtl/>
        </w:rPr>
        <w:t>פיקוח</w:t>
      </w:r>
      <w:r w:rsidRPr="00F13DA5">
        <w:rPr>
          <w:rtl/>
        </w:rPr>
        <w:t xml:space="preserve"> </w:t>
      </w:r>
      <w:r w:rsidRPr="00F13DA5">
        <w:rPr>
          <w:rFonts w:hint="eastAsia"/>
          <w:rtl/>
        </w:rPr>
        <w:t>ובקרה</w:t>
      </w:r>
      <w:r w:rsidRPr="00F13DA5">
        <w:rPr>
          <w:rtl/>
        </w:rPr>
        <w:t xml:space="preserve"> </w:t>
      </w:r>
      <w:r w:rsidRPr="00F13DA5">
        <w:rPr>
          <w:rFonts w:hint="eastAsia"/>
          <w:rtl/>
        </w:rPr>
        <w:t>ביחידות</w:t>
      </w:r>
      <w:r w:rsidRPr="00F13DA5">
        <w:rPr>
          <w:rtl/>
        </w:rPr>
        <w:t xml:space="preserve"> </w:t>
      </w:r>
      <w:r w:rsidRPr="00F13DA5">
        <w:rPr>
          <w:rFonts w:hint="eastAsia"/>
          <w:rtl/>
        </w:rPr>
        <w:t>החקירה</w:t>
      </w:r>
      <w:r w:rsidRPr="00F13DA5">
        <w:rPr>
          <w:rFonts w:hint="cs"/>
          <w:rtl/>
        </w:rPr>
        <w:t xml:space="preserve"> (להלן - נוהל אח"ם) קובע כי חטיבת החקירות תקיים הליכי פיקוח ובקרה</w:t>
      </w:r>
      <w:r w:rsidRPr="00F13DA5">
        <w:rPr>
          <w:vertAlign w:val="superscript"/>
          <w:rtl/>
        </w:rPr>
        <w:footnoteReference w:id="62"/>
      </w:r>
      <w:r w:rsidRPr="00F13DA5">
        <w:rPr>
          <w:rFonts w:hint="cs"/>
          <w:rtl/>
        </w:rPr>
        <w:t xml:space="preserve">, במטרה לבחון אם פעילות בעלי התפקידים במערך החקירות נעשית בהתאם להוראות החוק, הפקודות והנהלים. בין מטרות הבקרה - </w:t>
      </w:r>
      <w:r w:rsidRPr="00F13DA5">
        <w:rPr>
          <w:rtl/>
        </w:rPr>
        <w:t>חש</w:t>
      </w:r>
      <w:r w:rsidRPr="00F13DA5">
        <w:rPr>
          <w:rFonts w:hint="cs"/>
          <w:rtl/>
        </w:rPr>
        <w:t>יפת</w:t>
      </w:r>
      <w:r w:rsidRPr="00F13DA5">
        <w:rPr>
          <w:rtl/>
        </w:rPr>
        <w:t xml:space="preserve"> ליקויים </w:t>
      </w:r>
      <w:r w:rsidRPr="00F13DA5">
        <w:rPr>
          <w:rFonts w:hint="cs"/>
          <w:rtl/>
        </w:rPr>
        <w:t>ב</w:t>
      </w:r>
      <w:r w:rsidRPr="00F13DA5">
        <w:rPr>
          <w:rtl/>
        </w:rPr>
        <w:t>תיקי החקירה ובעבודת החקירות ותיקונם.</w:t>
      </w:r>
      <w:r w:rsidRPr="00F13DA5">
        <w:rPr>
          <w:rFonts w:hint="cs"/>
          <w:rtl/>
        </w:rPr>
        <w:t xml:space="preserve"> במסגרת זאת מוטלת אחריות לפיקוח ולבקרה על המפקד המקצועי בכל יחידה חוקרת. קציני החקירות במרחב, במחוז ובמטה הארצי אחראיים לפקח על עבודת יחידות החקירה הכפופות אליהם. </w:t>
      </w:r>
    </w:p>
    <w:p w14:paraId="0FDB2538" w14:textId="77777777" w:rsidR="00BA23AE" w:rsidRPr="00F13DA5" w:rsidRDefault="00BA23AE" w:rsidP="00B5445A">
      <w:pPr>
        <w:pStyle w:val="100"/>
        <w:rPr>
          <w:rtl/>
        </w:rPr>
      </w:pPr>
      <w:r w:rsidRPr="00F13DA5">
        <w:rPr>
          <w:rFonts w:hint="cs"/>
          <w:rtl/>
        </w:rPr>
        <w:t>נוסף על הבקרה השוטפת, על קצין החקירות בתחנה לבצע בקרה נושאית על פי תוכנית מובנית. בקרת המעצרים היא אחת מהבקרות הנושאיות המחייבות</w:t>
      </w:r>
      <w:r>
        <w:rPr>
          <w:rFonts w:hint="cs"/>
          <w:rtl/>
        </w:rPr>
        <w:t>,</w:t>
      </w:r>
      <w:r w:rsidRPr="00F13DA5">
        <w:rPr>
          <w:rFonts w:hint="cs"/>
          <w:rtl/>
        </w:rPr>
        <w:t xml:space="preserve"> וכוללת נדבכי בדיקה מהותית, הבוחנת את שיקול הדעת בהחלטת המעצר</w:t>
      </w:r>
      <w:r>
        <w:rPr>
          <w:rFonts w:hint="cs"/>
          <w:rtl/>
        </w:rPr>
        <w:t>,</w:t>
      </w:r>
      <w:r w:rsidRPr="00F13DA5">
        <w:rPr>
          <w:rFonts w:hint="cs"/>
          <w:rtl/>
        </w:rPr>
        <w:t xml:space="preserve"> בדיקה של הפעולות שהתבצעו ותיעודן</w:t>
      </w:r>
      <w:r>
        <w:rPr>
          <w:rFonts w:hint="cs"/>
          <w:rtl/>
        </w:rPr>
        <w:t>.</w:t>
      </w:r>
      <w:r w:rsidRPr="00F13DA5">
        <w:rPr>
          <w:rFonts w:hint="cs"/>
          <w:rtl/>
        </w:rPr>
        <w:t xml:space="preserve"> </w:t>
      </w:r>
      <w:r>
        <w:rPr>
          <w:rFonts w:hint="cs"/>
          <w:rtl/>
        </w:rPr>
        <w:t xml:space="preserve">בכלל אלו </w:t>
      </w:r>
      <w:r w:rsidRPr="00F13DA5">
        <w:rPr>
          <w:rFonts w:hint="cs"/>
          <w:rtl/>
        </w:rPr>
        <w:t xml:space="preserve">עילת המעצר, חוקיותו, מילוי </w:t>
      </w:r>
      <w:r>
        <w:rPr>
          <w:rFonts w:hint="cs"/>
          <w:rtl/>
        </w:rPr>
        <w:t>ה</w:t>
      </w:r>
      <w:r w:rsidRPr="00F13DA5">
        <w:rPr>
          <w:rFonts w:hint="cs"/>
          <w:rtl/>
        </w:rPr>
        <w:t xml:space="preserve">טפסים והזנה למערכת הממוחשבת של המשטרה. על פי הנוהל, את הבקרה בנושא </w:t>
      </w:r>
      <w:r>
        <w:rPr>
          <w:rFonts w:hint="cs"/>
          <w:rtl/>
        </w:rPr>
        <w:t>ה</w:t>
      </w:r>
      <w:r w:rsidRPr="00F13DA5">
        <w:rPr>
          <w:rFonts w:hint="cs"/>
          <w:rtl/>
        </w:rPr>
        <w:t xml:space="preserve">מעצרים יש לבצע אחת ליום. </w:t>
      </w:r>
    </w:p>
    <w:p w14:paraId="6AA97D15" w14:textId="77777777" w:rsidR="00BA23AE" w:rsidRPr="00F13DA5" w:rsidRDefault="00BA23AE" w:rsidP="008A0C03">
      <w:pPr>
        <w:pStyle w:val="a1"/>
        <w:numPr>
          <w:ilvl w:val="0"/>
          <w:numId w:val="27"/>
        </w:numPr>
        <w:rPr>
          <w:rtl/>
        </w:rPr>
      </w:pPr>
      <w:r w:rsidRPr="00F13DA5">
        <w:rPr>
          <w:rFonts w:hint="cs"/>
          <w:rtl/>
        </w:rPr>
        <w:t>לפי נוהל אח"ם, חטיבת החקירות באח"ם תוודא את פעילות הבקרה והביקורת</w:t>
      </w:r>
      <w:r w:rsidRPr="00F13DA5">
        <w:rPr>
          <w:vertAlign w:val="superscript"/>
          <w:rtl/>
        </w:rPr>
        <w:footnoteReference w:id="63"/>
      </w:r>
      <w:r w:rsidRPr="00F13DA5">
        <w:rPr>
          <w:rFonts w:hint="cs"/>
          <w:rtl/>
        </w:rPr>
        <w:t xml:space="preserve"> של הדרגים מתחתיה ותבצע ביקורת במדגם תיקי חקירה בנושאים נבחרים. </w:t>
      </w:r>
    </w:p>
    <w:p w14:paraId="74720643" w14:textId="77777777" w:rsidR="00BA23AE" w:rsidRPr="00F13DA5" w:rsidRDefault="00BA23AE" w:rsidP="00B5445A">
      <w:pPr>
        <w:pStyle w:val="af3"/>
        <w:rPr>
          <w:rtl/>
        </w:rPr>
      </w:pPr>
      <w:r w:rsidRPr="00F13DA5">
        <w:rPr>
          <w:rFonts w:hint="cs"/>
          <w:rtl/>
        </w:rPr>
        <w:t>כאמור, בשנת 2018 הנחה פיקוד המשטרה לבדוק את נושא מעצר הימים</w:t>
      </w:r>
      <w:r>
        <w:rPr>
          <w:rFonts w:hint="cs"/>
          <w:rtl/>
        </w:rPr>
        <w:t>,</w:t>
      </w:r>
      <w:r w:rsidRPr="00F13DA5">
        <w:rPr>
          <w:rFonts w:hint="cs"/>
          <w:rtl/>
        </w:rPr>
        <w:t xml:space="preserve"> ובתוך כך לשים דגש על חוקיות המעצר ונחיצותו. החל בחודש מאי 2018 עורך מדור חקירות באח"ם את ביקורת המעצרים הארצית - ביקורת חודשית על תיקי חקירה שבהם נעצר אדם למשך 24 שעות לכל היותר. למשל, בשנת 2018 כללה הביקורת 159 תיקי חקירה משנת 2017 בפילוח למחוזות. באותה התקופה נעצרו כ-60,000 איש ונפתח מספר דומה של תיקי חקירה. הביקורת מקיפה נושאים רבים מתחום המעצרים, לרבות משך המעצר, חוקיותו, קיומה של עילת מעצר בעת ביצועו, בחינת פעולות החקירה שנערכו בזמן המעצר, בדיקה אם פעולות אלו הצדיקו המשך החזקה במעצר ובדיקת הליכי ההתייעצות של המשטרה לצורך קבלת החלטה על המשך המעצר. בפועל, מדור חקירות התווה בביקורת המעצרים את ההנחיות המקצועיות בנוגע לאופן ביצוע הבדיקה הנדרשת לבקרה. </w:t>
      </w:r>
    </w:p>
    <w:p w14:paraId="71397477" w14:textId="77777777" w:rsidR="00BA23AE" w:rsidRPr="00F13DA5" w:rsidRDefault="00BA23AE" w:rsidP="00B5445A">
      <w:pPr>
        <w:pStyle w:val="ad"/>
        <w:rPr>
          <w:rtl/>
        </w:rPr>
      </w:pPr>
      <w:r w:rsidRPr="00F13DA5">
        <w:rPr>
          <w:rFonts w:hint="cs"/>
          <w:rtl/>
        </w:rPr>
        <w:lastRenderedPageBreak/>
        <w:t>הביקורת</w:t>
      </w:r>
      <w:r w:rsidRPr="00F13DA5">
        <w:rPr>
          <w:rtl/>
        </w:rPr>
        <w:t xml:space="preserve"> שנערכת על ידי מדור חקירות באח"ם מקצועית ומקיפה. עם זאת, היקף </w:t>
      </w:r>
      <w:r w:rsidRPr="00F13DA5">
        <w:rPr>
          <w:rFonts w:hint="cs"/>
          <w:rtl/>
        </w:rPr>
        <w:t>הבדיקה</w:t>
      </w:r>
      <w:r w:rsidRPr="00F13DA5">
        <w:rPr>
          <w:rtl/>
        </w:rPr>
        <w:t xml:space="preserve"> </w:t>
      </w:r>
      <w:r w:rsidRPr="00F13DA5">
        <w:rPr>
          <w:rFonts w:hint="eastAsia"/>
          <w:rtl/>
        </w:rPr>
        <w:t>מצומצם</w:t>
      </w:r>
      <w:r w:rsidRPr="00F13DA5">
        <w:rPr>
          <w:rtl/>
        </w:rPr>
        <w:t xml:space="preserve"> </w:t>
      </w:r>
      <w:r w:rsidRPr="00F13DA5">
        <w:rPr>
          <w:rFonts w:hint="eastAsia"/>
          <w:rtl/>
        </w:rPr>
        <w:t>ביחס</w:t>
      </w:r>
      <w:r w:rsidRPr="00F13DA5">
        <w:rPr>
          <w:rtl/>
        </w:rPr>
        <w:t xml:space="preserve"> </w:t>
      </w:r>
      <w:r w:rsidRPr="00F13DA5">
        <w:rPr>
          <w:rFonts w:hint="eastAsia"/>
          <w:rtl/>
        </w:rPr>
        <w:t>למספר</w:t>
      </w:r>
      <w:r w:rsidRPr="00F13DA5">
        <w:rPr>
          <w:rtl/>
        </w:rPr>
        <w:t xml:space="preserve"> </w:t>
      </w:r>
      <w:r w:rsidRPr="00F13DA5">
        <w:rPr>
          <w:rFonts w:hint="eastAsia"/>
          <w:rtl/>
        </w:rPr>
        <w:t>המעצרים</w:t>
      </w:r>
      <w:r w:rsidRPr="00F13DA5">
        <w:rPr>
          <w:rtl/>
        </w:rPr>
        <w:t xml:space="preserve"> </w:t>
      </w:r>
      <w:r w:rsidRPr="00F13DA5">
        <w:rPr>
          <w:rFonts w:hint="eastAsia"/>
          <w:rtl/>
        </w:rPr>
        <w:t>ותיקי</w:t>
      </w:r>
      <w:r w:rsidRPr="00F13DA5">
        <w:rPr>
          <w:rtl/>
        </w:rPr>
        <w:t xml:space="preserve"> </w:t>
      </w:r>
      <w:r w:rsidRPr="00F13DA5">
        <w:rPr>
          <w:rFonts w:hint="eastAsia"/>
          <w:rtl/>
        </w:rPr>
        <w:t>החקירה</w:t>
      </w:r>
      <w:r w:rsidRPr="00F13DA5">
        <w:rPr>
          <w:rFonts w:hint="cs"/>
          <w:rtl/>
        </w:rPr>
        <w:t xml:space="preserve"> בכל שנה</w:t>
      </w:r>
      <w:r w:rsidRPr="00B95ACC">
        <w:rPr>
          <w:rtl/>
        </w:rPr>
        <w:t xml:space="preserve">. </w:t>
      </w:r>
      <w:r w:rsidRPr="00ED5220">
        <w:rPr>
          <w:rFonts w:hint="eastAsia"/>
          <w:rtl/>
        </w:rPr>
        <w:t>ככלל</w:t>
      </w:r>
      <w:r w:rsidRPr="00ED5220">
        <w:rPr>
          <w:rtl/>
        </w:rPr>
        <w:t>, הביקורת נערכת באופן אקראי ובחלוקה למחוזות בתיקי מעצר שבהם אדם נעצר על ידי שוטר ולאחר מכן שוחרר על ידי קצין ממונה. מדור חקירות באח"ם לא עורך ביקורת על מעצרי ימים שהוארכו על ידי בית המשפט או על הארכות מעצר עד תום ההליכים המשפטיים.</w:t>
      </w:r>
      <w:r>
        <w:rPr>
          <w:rtl/>
        </w:rPr>
        <w:t xml:space="preserve"> </w:t>
      </w:r>
    </w:p>
    <w:p w14:paraId="643C19D4" w14:textId="77777777" w:rsidR="00BA23AE" w:rsidRPr="00F13DA5" w:rsidRDefault="00BA23AE" w:rsidP="00B5445A">
      <w:pPr>
        <w:pStyle w:val="af3"/>
        <w:rPr>
          <w:rtl/>
        </w:rPr>
      </w:pPr>
      <w:r w:rsidRPr="00F13DA5">
        <w:rPr>
          <w:rFonts w:hint="cs"/>
          <w:rtl/>
        </w:rPr>
        <w:t xml:space="preserve">המשטרה השיבה כי </w:t>
      </w:r>
      <w:r w:rsidRPr="00F13DA5">
        <w:rPr>
          <w:rFonts w:hint="eastAsia"/>
          <w:rtl/>
        </w:rPr>
        <w:t>מדובר</w:t>
      </w:r>
      <w:r w:rsidRPr="00F13DA5">
        <w:rPr>
          <w:rtl/>
        </w:rPr>
        <w:t xml:space="preserve"> בבקרה איכות</w:t>
      </w:r>
      <w:r w:rsidRPr="00F13DA5">
        <w:rPr>
          <w:rFonts w:hint="eastAsia"/>
          <w:rtl/>
        </w:rPr>
        <w:t>נ</w:t>
      </w:r>
      <w:r w:rsidRPr="00F13DA5">
        <w:rPr>
          <w:rtl/>
        </w:rPr>
        <w:t>ית ולא כמותית</w:t>
      </w:r>
      <w:r>
        <w:rPr>
          <w:rFonts w:hint="cs"/>
          <w:rtl/>
        </w:rPr>
        <w:t>-</w:t>
      </w:r>
      <w:r w:rsidRPr="00F13DA5">
        <w:rPr>
          <w:rtl/>
        </w:rPr>
        <w:t xml:space="preserve">סטטיסטית. </w:t>
      </w:r>
      <w:r w:rsidRPr="00F13DA5">
        <w:rPr>
          <w:rFonts w:hint="eastAsia"/>
          <w:rtl/>
        </w:rPr>
        <w:t>המדור</w:t>
      </w:r>
      <w:r w:rsidRPr="00F13DA5">
        <w:rPr>
          <w:rtl/>
        </w:rPr>
        <w:t xml:space="preserve"> </w:t>
      </w:r>
      <w:r w:rsidRPr="00F13DA5">
        <w:rPr>
          <w:rFonts w:hint="eastAsia"/>
          <w:rtl/>
        </w:rPr>
        <w:t>עושה</w:t>
      </w:r>
      <w:r w:rsidRPr="00F13DA5">
        <w:rPr>
          <w:rtl/>
        </w:rPr>
        <w:t xml:space="preserve"> </w:t>
      </w:r>
      <w:r w:rsidRPr="00F13DA5">
        <w:rPr>
          <w:rFonts w:hint="eastAsia"/>
          <w:rtl/>
        </w:rPr>
        <w:t>מאמץ</w:t>
      </w:r>
      <w:r w:rsidRPr="00F13DA5">
        <w:rPr>
          <w:rtl/>
        </w:rPr>
        <w:t xml:space="preserve"> </w:t>
      </w:r>
      <w:r w:rsidRPr="00F13DA5">
        <w:rPr>
          <w:rFonts w:hint="eastAsia"/>
          <w:rtl/>
        </w:rPr>
        <w:t>לדגום</w:t>
      </w:r>
      <w:r w:rsidRPr="00F13DA5">
        <w:rPr>
          <w:rtl/>
        </w:rPr>
        <w:t xml:space="preserve"> </w:t>
      </w:r>
      <w:r w:rsidRPr="00F13DA5">
        <w:rPr>
          <w:rFonts w:hint="eastAsia"/>
          <w:rtl/>
        </w:rPr>
        <w:t>החלטות</w:t>
      </w:r>
      <w:r w:rsidRPr="00F13DA5">
        <w:rPr>
          <w:rtl/>
        </w:rPr>
        <w:t xml:space="preserve"> </w:t>
      </w:r>
      <w:r w:rsidRPr="00F13DA5">
        <w:rPr>
          <w:rFonts w:hint="eastAsia"/>
          <w:rtl/>
        </w:rPr>
        <w:t>מיחידות</w:t>
      </w:r>
      <w:r w:rsidRPr="00F13DA5">
        <w:rPr>
          <w:rtl/>
        </w:rPr>
        <w:t xml:space="preserve"> </w:t>
      </w:r>
      <w:r w:rsidRPr="00F13DA5">
        <w:rPr>
          <w:rFonts w:hint="eastAsia"/>
          <w:rtl/>
        </w:rPr>
        <w:t>חקירה</w:t>
      </w:r>
      <w:r w:rsidRPr="00F13DA5">
        <w:rPr>
          <w:rtl/>
        </w:rPr>
        <w:t xml:space="preserve"> </w:t>
      </w:r>
      <w:r w:rsidRPr="00F13DA5">
        <w:rPr>
          <w:rFonts w:hint="eastAsia"/>
          <w:rtl/>
        </w:rPr>
        <w:t>שונות</w:t>
      </w:r>
      <w:r w:rsidRPr="00F13DA5">
        <w:rPr>
          <w:rtl/>
        </w:rPr>
        <w:t xml:space="preserve"> </w:t>
      </w:r>
      <w:r w:rsidRPr="00F13DA5">
        <w:rPr>
          <w:rFonts w:hint="eastAsia"/>
          <w:rtl/>
        </w:rPr>
        <w:t>על</w:t>
      </w:r>
      <w:r w:rsidRPr="00F13DA5">
        <w:rPr>
          <w:rtl/>
        </w:rPr>
        <w:t xml:space="preserve"> </w:t>
      </w:r>
      <w:r w:rsidRPr="00F13DA5">
        <w:rPr>
          <w:rFonts w:hint="eastAsia"/>
          <w:rtl/>
        </w:rPr>
        <w:t>מנת</w:t>
      </w:r>
      <w:r w:rsidRPr="00F13DA5">
        <w:rPr>
          <w:rtl/>
        </w:rPr>
        <w:t xml:space="preserve"> </w:t>
      </w:r>
      <w:r w:rsidRPr="00F13DA5">
        <w:rPr>
          <w:rFonts w:hint="eastAsia"/>
          <w:rtl/>
        </w:rPr>
        <w:t>לבחון</w:t>
      </w:r>
      <w:r w:rsidRPr="00F13DA5">
        <w:rPr>
          <w:rtl/>
        </w:rPr>
        <w:t xml:space="preserve"> </w:t>
      </w:r>
      <w:r w:rsidRPr="00F13DA5">
        <w:rPr>
          <w:rFonts w:hint="eastAsia"/>
          <w:rtl/>
        </w:rPr>
        <w:t>באופן</w:t>
      </w:r>
      <w:r w:rsidRPr="00F13DA5">
        <w:rPr>
          <w:rtl/>
        </w:rPr>
        <w:t xml:space="preserve"> </w:t>
      </w:r>
      <w:r w:rsidRPr="00F13DA5">
        <w:rPr>
          <w:rFonts w:hint="eastAsia"/>
          <w:rtl/>
        </w:rPr>
        <w:t>מקיף</w:t>
      </w:r>
      <w:r w:rsidRPr="00F13DA5">
        <w:rPr>
          <w:rtl/>
        </w:rPr>
        <w:t xml:space="preserve"> </w:t>
      </w:r>
      <w:r w:rsidRPr="00F13DA5">
        <w:rPr>
          <w:rFonts w:hint="eastAsia"/>
          <w:rtl/>
        </w:rPr>
        <w:t>את</w:t>
      </w:r>
      <w:r w:rsidRPr="00F13DA5">
        <w:rPr>
          <w:rtl/>
        </w:rPr>
        <w:t xml:space="preserve"> </w:t>
      </w:r>
      <w:r w:rsidRPr="00F13DA5">
        <w:rPr>
          <w:rFonts w:hint="eastAsia"/>
          <w:rtl/>
        </w:rPr>
        <w:t>ההקפדה</w:t>
      </w:r>
      <w:r w:rsidRPr="00F13DA5">
        <w:rPr>
          <w:rtl/>
        </w:rPr>
        <w:t xml:space="preserve"> </w:t>
      </w:r>
      <w:r w:rsidRPr="00F13DA5">
        <w:rPr>
          <w:rFonts w:hint="eastAsia"/>
          <w:rtl/>
        </w:rPr>
        <w:t>על</w:t>
      </w:r>
      <w:r w:rsidRPr="00F13DA5">
        <w:rPr>
          <w:rtl/>
        </w:rPr>
        <w:t xml:space="preserve"> </w:t>
      </w:r>
      <w:r w:rsidRPr="00F13DA5">
        <w:rPr>
          <w:rFonts w:hint="eastAsia"/>
          <w:rtl/>
        </w:rPr>
        <w:t>החוק</w:t>
      </w:r>
      <w:r w:rsidRPr="00F13DA5">
        <w:rPr>
          <w:rtl/>
        </w:rPr>
        <w:t xml:space="preserve"> </w:t>
      </w:r>
      <w:r w:rsidRPr="00F13DA5">
        <w:rPr>
          <w:rFonts w:hint="eastAsia"/>
          <w:rtl/>
        </w:rPr>
        <w:t>והנהלים</w:t>
      </w:r>
      <w:r w:rsidRPr="00F13DA5">
        <w:rPr>
          <w:rtl/>
        </w:rPr>
        <w:t>.</w:t>
      </w:r>
      <w:r w:rsidRPr="00F13DA5">
        <w:rPr>
          <w:rFonts w:hint="cs"/>
          <w:rtl/>
        </w:rPr>
        <w:t xml:space="preserve"> עוד הוסיפה כי </w:t>
      </w:r>
      <w:r w:rsidRPr="00F13DA5">
        <w:rPr>
          <w:rFonts w:ascii="David" w:hAnsi="David" w:hint="cs"/>
          <w:rtl/>
        </w:rPr>
        <w:t xml:space="preserve">מדור חקירות בחר להתמקד במעצרים הקצרים </w:t>
      </w:r>
      <w:r>
        <w:rPr>
          <w:rFonts w:ascii="David" w:hAnsi="David" w:hint="cs"/>
          <w:rtl/>
        </w:rPr>
        <w:t xml:space="preserve">כי </w:t>
      </w:r>
      <w:r w:rsidRPr="00F13DA5">
        <w:rPr>
          <w:rFonts w:ascii="David" w:hAnsi="David" w:hint="cs"/>
          <w:rtl/>
        </w:rPr>
        <w:t>אין עליהם פיקוח משפטי.</w:t>
      </w:r>
    </w:p>
    <w:p w14:paraId="53AF3C64" w14:textId="77777777" w:rsidR="00BA23AE" w:rsidRPr="00F13DA5" w:rsidRDefault="00BA23AE" w:rsidP="00B5445A">
      <w:pPr>
        <w:pStyle w:val="ad"/>
        <w:rPr>
          <w:rtl/>
        </w:rPr>
      </w:pPr>
      <w:r w:rsidRPr="00F13DA5">
        <w:rPr>
          <w:rtl/>
        </w:rPr>
        <w:t xml:space="preserve">חובות המשטרה </w:t>
      </w:r>
      <w:r w:rsidRPr="00F13DA5">
        <w:rPr>
          <w:rFonts w:hint="cs"/>
          <w:rtl/>
        </w:rPr>
        <w:t>לשחרר אדם במועד המוקדם ביותר שבו אינה מתקיימת עוד עילת מעצר</w:t>
      </w:r>
      <w:r w:rsidRPr="00F13DA5">
        <w:rPr>
          <w:rtl/>
        </w:rPr>
        <w:t xml:space="preserve"> מחייבות פיקוח ובקרה</w:t>
      </w:r>
      <w:r w:rsidRPr="00F13DA5">
        <w:rPr>
          <w:rFonts w:hint="cs"/>
          <w:rtl/>
        </w:rPr>
        <w:t xml:space="preserve"> מהותיים על עבודת החוקר ועל הפעלת שיקול דעתו. מן הראוי כי הפיקוח והבקרה יחולו</w:t>
      </w:r>
      <w:r w:rsidRPr="00F13DA5">
        <w:rPr>
          <w:rtl/>
        </w:rPr>
        <w:t xml:space="preserve"> גם </w:t>
      </w:r>
      <w:r w:rsidRPr="00F13DA5">
        <w:rPr>
          <w:rFonts w:hint="cs"/>
          <w:rtl/>
        </w:rPr>
        <w:t xml:space="preserve">על </w:t>
      </w:r>
      <w:r w:rsidRPr="00F13DA5">
        <w:rPr>
          <w:rtl/>
        </w:rPr>
        <w:t xml:space="preserve">תקופות מעצר </w:t>
      </w:r>
      <w:r w:rsidRPr="00F13DA5">
        <w:rPr>
          <w:rFonts w:hint="eastAsia"/>
          <w:rtl/>
        </w:rPr>
        <w:t>ימים</w:t>
      </w:r>
      <w:r w:rsidRPr="00F13DA5">
        <w:rPr>
          <w:rtl/>
        </w:rPr>
        <w:t xml:space="preserve"> שהוארכו בצו שיפוטי</w:t>
      </w:r>
      <w:r w:rsidRPr="00F13DA5">
        <w:rPr>
          <w:rFonts w:hint="cs"/>
          <w:rtl/>
        </w:rPr>
        <w:t xml:space="preserve"> לצורכי חקירה</w:t>
      </w:r>
      <w:r w:rsidRPr="00F13DA5">
        <w:rPr>
          <w:rtl/>
        </w:rPr>
        <w:t xml:space="preserve">, ולא רק על הליך המעצר הראשוני שניתן בהחלטת שוטר וקצין ממונה. </w:t>
      </w:r>
      <w:r w:rsidRPr="00F13DA5">
        <w:rPr>
          <w:rFonts w:hint="cs"/>
          <w:rtl/>
        </w:rPr>
        <w:t xml:space="preserve">זאת בייחוד נוכח הביקורת העולה מבתי המשפט בנוגע לאופן שבו מנוצלת תקופת המעצר לביצוע פעולות חקירה. </w:t>
      </w:r>
    </w:p>
    <w:p w14:paraId="70B03C71" w14:textId="77777777" w:rsidR="00BA23AE" w:rsidRPr="00F13DA5" w:rsidRDefault="00BA23AE" w:rsidP="00B5445A">
      <w:pPr>
        <w:pStyle w:val="ad"/>
        <w:rPr>
          <w:rtl/>
        </w:rPr>
      </w:pPr>
      <w:r w:rsidRPr="00F13DA5">
        <w:rPr>
          <w:rFonts w:hint="cs"/>
          <w:rtl/>
        </w:rPr>
        <w:t>מוצע עוד כי מדור אח"ם יבחן עריכת ביקורת תיקים חריגים לצד ביקורת תיקי מעצר ימים. ביקורת חריגים תכלול תיקים שדגימתם נעשית על בסיס הסיכון שהמעצר שנערך בהם היה לא-מוצדק</w:t>
      </w:r>
      <w:r>
        <w:rPr>
          <w:rFonts w:hint="cs"/>
          <w:rtl/>
        </w:rPr>
        <w:t>,</w:t>
      </w:r>
      <w:r w:rsidRPr="00F13DA5">
        <w:rPr>
          <w:rFonts w:hint="cs"/>
          <w:rtl/>
        </w:rPr>
        <w:t xml:space="preserve"> </w:t>
      </w:r>
      <w:r>
        <w:rPr>
          <w:rFonts w:hint="cs"/>
          <w:rtl/>
        </w:rPr>
        <w:t>כגון</w:t>
      </w:r>
      <w:r w:rsidRPr="00F13DA5">
        <w:rPr>
          <w:rFonts w:hint="cs"/>
          <w:rtl/>
        </w:rPr>
        <w:t xml:space="preserve"> תיקים שנפתחו בגין עבירות שעילת המעצר בגינן היא גבולית או מציבה אתגרים מורכבים וכדומה. בשונה מביקורת תיקי המעצר, המתמקדת בתמונת המצב הרחבה, ביקורת החריגים תתמקד באיתור מקרים גבוליים ובמתן כלים להתמודדות עימם</w:t>
      </w:r>
      <w:r>
        <w:rPr>
          <w:rFonts w:hint="cs"/>
          <w:rtl/>
        </w:rPr>
        <w:t>,</w:t>
      </w:r>
      <w:r w:rsidRPr="00F13DA5">
        <w:rPr>
          <w:rFonts w:hint="cs"/>
          <w:rtl/>
        </w:rPr>
        <w:t xml:space="preserve"> ותיטיב את הטיפול גם במצבים השכיחים.</w:t>
      </w:r>
      <w:r>
        <w:rPr>
          <w:rFonts w:hint="cs"/>
          <w:rtl/>
        </w:rPr>
        <w:t xml:space="preserve"> </w:t>
      </w:r>
    </w:p>
    <w:p w14:paraId="3F669205" w14:textId="77777777" w:rsidR="00BA23AE" w:rsidRPr="00F13DA5" w:rsidRDefault="00BA23AE" w:rsidP="00B5445A">
      <w:pPr>
        <w:pStyle w:val="a1"/>
        <w:rPr>
          <w:rtl/>
        </w:rPr>
      </w:pPr>
      <w:r w:rsidRPr="00F13DA5">
        <w:rPr>
          <w:rFonts w:hint="cs"/>
          <w:rtl/>
        </w:rPr>
        <w:t xml:space="preserve">על פי נוהל אח"ם, </w:t>
      </w:r>
      <w:r w:rsidRPr="00F13DA5">
        <w:rPr>
          <w:rFonts w:hint="cs"/>
          <w:snapToGrid w:val="0"/>
          <w:rtl/>
        </w:rPr>
        <w:t xml:space="preserve">באחריות </w:t>
      </w:r>
      <w:r w:rsidRPr="00F13DA5">
        <w:rPr>
          <w:snapToGrid w:val="0"/>
          <w:rtl/>
        </w:rPr>
        <w:t>ק</w:t>
      </w:r>
      <w:r w:rsidRPr="00F13DA5">
        <w:rPr>
          <w:rFonts w:hint="cs"/>
          <w:snapToGrid w:val="0"/>
          <w:rtl/>
        </w:rPr>
        <w:t>צין</w:t>
      </w:r>
      <w:r w:rsidRPr="00F13DA5">
        <w:rPr>
          <w:snapToGrid w:val="0"/>
          <w:rtl/>
        </w:rPr>
        <w:t xml:space="preserve"> אח"</w:t>
      </w:r>
      <w:r w:rsidRPr="00F13DA5">
        <w:rPr>
          <w:rFonts w:hint="cs"/>
          <w:snapToGrid w:val="0"/>
          <w:rtl/>
        </w:rPr>
        <w:t xml:space="preserve">ם </w:t>
      </w:r>
      <w:r w:rsidRPr="00F13DA5">
        <w:rPr>
          <w:snapToGrid w:val="0"/>
          <w:rtl/>
        </w:rPr>
        <w:t xml:space="preserve">מחוזי </w:t>
      </w:r>
      <w:r w:rsidRPr="00F13DA5">
        <w:rPr>
          <w:rFonts w:hint="cs"/>
          <w:snapToGrid w:val="0"/>
          <w:rtl/>
        </w:rPr>
        <w:t>ל</w:t>
      </w:r>
      <w:r w:rsidRPr="00F13DA5">
        <w:rPr>
          <w:snapToGrid w:val="0"/>
          <w:rtl/>
        </w:rPr>
        <w:t xml:space="preserve">בצע פעולות בקרה </w:t>
      </w:r>
      <w:r w:rsidRPr="00F13DA5">
        <w:rPr>
          <w:rFonts w:hint="cs"/>
          <w:snapToGrid w:val="0"/>
          <w:rtl/>
        </w:rPr>
        <w:t xml:space="preserve">ביחידות החקירה הכפופות אליו אחת לחצי שנה, וכן לבצע </w:t>
      </w:r>
      <w:r w:rsidRPr="00F13DA5">
        <w:rPr>
          <w:snapToGrid w:val="0"/>
          <w:rtl/>
        </w:rPr>
        <w:t xml:space="preserve">ביקורת במדגם יחידות בנושאים נבחרים. </w:t>
      </w:r>
    </w:p>
    <w:p w14:paraId="603C76F0" w14:textId="77777777" w:rsidR="00BA23AE" w:rsidRPr="00F13DA5" w:rsidRDefault="00BA23AE" w:rsidP="00B5445A">
      <w:pPr>
        <w:pStyle w:val="af3"/>
        <w:rPr>
          <w:rtl/>
        </w:rPr>
      </w:pPr>
      <w:r w:rsidRPr="00F13DA5">
        <w:rPr>
          <w:rFonts w:hint="cs"/>
          <w:rtl/>
        </w:rPr>
        <w:t xml:space="preserve">ישנן בקרות הנערכות על ידי המחוזות לבקשת חטיבת החקירות ובמתווה הנקבע על ידה מראש. כך למשל בעבודת אח"ם לבקרה על </w:t>
      </w:r>
      <w:r>
        <w:rPr>
          <w:rFonts w:hint="cs"/>
          <w:rtl/>
        </w:rPr>
        <w:t>ה</w:t>
      </w:r>
      <w:r w:rsidRPr="00F13DA5">
        <w:rPr>
          <w:rFonts w:hint="cs"/>
          <w:rtl/>
        </w:rPr>
        <w:t xml:space="preserve">דוחות </w:t>
      </w:r>
      <w:r>
        <w:rPr>
          <w:rFonts w:hint="cs"/>
          <w:rtl/>
        </w:rPr>
        <w:t>ה</w:t>
      </w:r>
      <w:r w:rsidRPr="00F13DA5">
        <w:rPr>
          <w:rFonts w:hint="cs"/>
          <w:rtl/>
        </w:rPr>
        <w:t xml:space="preserve">סודיים. נוסף על כך, ישנם מחוזות העורכים בקרת מעצרים באופן עצמאי ונפרד. </w:t>
      </w:r>
      <w:r>
        <w:rPr>
          <w:rFonts w:hint="cs"/>
          <w:rtl/>
        </w:rPr>
        <w:t>גם</w:t>
      </w:r>
      <w:r w:rsidRPr="00F13DA5">
        <w:rPr>
          <w:rFonts w:hint="cs"/>
          <w:rtl/>
        </w:rPr>
        <w:t xml:space="preserve"> מדור חקירות עורך ביקורת שנתית בכל מחוז</w:t>
      </w:r>
      <w:r>
        <w:rPr>
          <w:rFonts w:hint="cs"/>
          <w:rtl/>
        </w:rPr>
        <w:t>,</w:t>
      </w:r>
      <w:r w:rsidRPr="00F13DA5">
        <w:rPr>
          <w:rFonts w:hint="cs"/>
          <w:rtl/>
        </w:rPr>
        <w:t xml:space="preserve"> בין היתר בנושא </w:t>
      </w:r>
      <w:r>
        <w:rPr>
          <w:rFonts w:hint="cs"/>
          <w:rtl/>
        </w:rPr>
        <w:t>ה</w:t>
      </w:r>
      <w:r w:rsidRPr="00F13DA5">
        <w:rPr>
          <w:rFonts w:hint="cs"/>
          <w:rtl/>
        </w:rPr>
        <w:t xml:space="preserve">מעצרים. </w:t>
      </w:r>
    </w:p>
    <w:p w14:paraId="7AD329C4" w14:textId="77777777" w:rsidR="00BA23AE" w:rsidRPr="00F13DA5" w:rsidRDefault="00BA23AE" w:rsidP="00B5445A">
      <w:pPr>
        <w:pStyle w:val="ad"/>
        <w:rPr>
          <w:rtl/>
        </w:rPr>
      </w:pPr>
      <w:r w:rsidRPr="00F13DA5">
        <w:rPr>
          <w:rFonts w:hint="cs"/>
          <w:rtl/>
        </w:rPr>
        <w:t xml:space="preserve">נמצא כי מתוך שבעה מחוזות במשטרת ישראל, בשלושה מחוזות לא התבצעו </w:t>
      </w:r>
      <w:r w:rsidRPr="00F13DA5">
        <w:rPr>
          <w:rtl/>
        </w:rPr>
        <w:t xml:space="preserve">בקרות </w:t>
      </w:r>
      <w:r w:rsidRPr="00F13DA5">
        <w:rPr>
          <w:rFonts w:hint="eastAsia"/>
          <w:rtl/>
        </w:rPr>
        <w:t>בנושא</w:t>
      </w:r>
      <w:r w:rsidRPr="00F13DA5">
        <w:rPr>
          <w:rtl/>
        </w:rPr>
        <w:t xml:space="preserve"> </w:t>
      </w:r>
      <w:r>
        <w:rPr>
          <w:rFonts w:hint="cs"/>
          <w:rtl/>
        </w:rPr>
        <w:t>ה</w:t>
      </w:r>
      <w:r w:rsidRPr="00F13DA5">
        <w:rPr>
          <w:rFonts w:hint="eastAsia"/>
          <w:rtl/>
        </w:rPr>
        <w:t>מעצרים</w:t>
      </w:r>
      <w:r w:rsidRPr="00F13DA5">
        <w:rPr>
          <w:rFonts w:hint="cs"/>
          <w:rtl/>
        </w:rPr>
        <w:t xml:space="preserve"> בשנים 2017 - 2018. בארבעת המחוזות שבהם נערכה בדיקה בתחום המעצרים רק אחת </w:t>
      </w:r>
      <w:r>
        <w:rPr>
          <w:rFonts w:hint="cs"/>
          <w:rtl/>
        </w:rPr>
        <w:t xml:space="preserve">הייתה </w:t>
      </w:r>
      <w:r w:rsidRPr="00F13DA5">
        <w:rPr>
          <w:rFonts w:hint="cs"/>
          <w:rtl/>
        </w:rPr>
        <w:t xml:space="preserve">דומה לבקרה המקצועית שמבצע מדור אח"ם </w:t>
      </w:r>
      <w:r>
        <w:rPr>
          <w:rFonts w:hint="cs"/>
          <w:rtl/>
        </w:rPr>
        <w:t>ועמדה</w:t>
      </w:r>
      <w:r w:rsidRPr="00F13DA5">
        <w:rPr>
          <w:rFonts w:hint="cs"/>
          <w:rtl/>
        </w:rPr>
        <w:t xml:space="preserve"> בדרישות הנוהל. יודגש כי עריכת ביקורת מעצרים על ידי מדור חקירות אינה מחליפה את חובת המחוזות לבצע פעולות בקרה וביקורת בתדירות ובמתווה הקבוע</w:t>
      </w:r>
      <w:r>
        <w:rPr>
          <w:rFonts w:hint="cs"/>
          <w:rtl/>
        </w:rPr>
        <w:t>ים</w:t>
      </w:r>
      <w:r w:rsidRPr="00F13DA5">
        <w:rPr>
          <w:rFonts w:hint="cs"/>
          <w:rtl/>
        </w:rPr>
        <w:t xml:space="preserve"> בנוהל אח"ם. </w:t>
      </w:r>
    </w:p>
    <w:p w14:paraId="30F5ACBB" w14:textId="77777777" w:rsidR="00BA23AE" w:rsidRPr="00F13DA5" w:rsidRDefault="00BA23AE" w:rsidP="00B5445A">
      <w:pPr>
        <w:pStyle w:val="ad"/>
      </w:pPr>
      <w:r w:rsidRPr="00F13DA5">
        <w:rPr>
          <w:rFonts w:hint="cs"/>
          <w:rtl/>
        </w:rPr>
        <w:lastRenderedPageBreak/>
        <w:t xml:space="preserve">אח"ם קבע, אגב עבודת הביקורת על מעצרי ימים, מתווה של הנחיות מקצועיות לבדיקת נושא המעצרים. המתווה נותן מענה לדרישות נוהל אח"ם לביצוע בקרה בנושא מעצרים. על קציני החקירות בתחנות, בפיקוח קציני החקירות במרחבים ובמחוזות, לבצע בקרה על </w:t>
      </w:r>
      <w:r>
        <w:rPr>
          <w:rFonts w:hint="cs"/>
          <w:rtl/>
        </w:rPr>
        <w:t>ה</w:t>
      </w:r>
      <w:r w:rsidRPr="00F13DA5">
        <w:rPr>
          <w:rFonts w:hint="cs"/>
          <w:rtl/>
        </w:rPr>
        <w:t xml:space="preserve">מעצרים על פי המתווה המקצועי של אח"ם והנוהל. </w:t>
      </w:r>
    </w:p>
    <w:p w14:paraId="2EFAACBB" w14:textId="77777777" w:rsidR="00BA23AE" w:rsidRPr="00F13DA5" w:rsidRDefault="00BA23AE" w:rsidP="00B5445A">
      <w:pPr>
        <w:pStyle w:val="a1"/>
        <w:rPr>
          <w:rtl/>
        </w:rPr>
      </w:pPr>
      <w:r w:rsidRPr="00ED5220">
        <w:rPr>
          <w:rtl/>
        </w:rPr>
        <w:t xml:space="preserve">נוהל אח"ם קובע כי על אח"ם לפקח על </w:t>
      </w:r>
      <w:r w:rsidRPr="00ED5220">
        <w:rPr>
          <w:rFonts w:hint="eastAsia"/>
          <w:rtl/>
        </w:rPr>
        <w:t>פעולות</w:t>
      </w:r>
      <w:r w:rsidRPr="00ED5220">
        <w:rPr>
          <w:rtl/>
        </w:rPr>
        <w:t xml:space="preserve"> </w:t>
      </w:r>
      <w:r w:rsidRPr="00ED5220">
        <w:rPr>
          <w:rFonts w:hint="eastAsia"/>
          <w:rtl/>
        </w:rPr>
        <w:t>בקרה</w:t>
      </w:r>
      <w:r w:rsidRPr="00ED5220">
        <w:rPr>
          <w:rtl/>
        </w:rPr>
        <w:t xml:space="preserve"> </w:t>
      </w:r>
      <w:r w:rsidRPr="00ED5220">
        <w:rPr>
          <w:rFonts w:hint="eastAsia"/>
          <w:rtl/>
        </w:rPr>
        <w:t>וביקורת</w:t>
      </w:r>
      <w:r w:rsidRPr="00ED5220">
        <w:rPr>
          <w:rtl/>
        </w:rPr>
        <w:t xml:space="preserve"> </w:t>
      </w:r>
      <w:r w:rsidRPr="00ED5220">
        <w:rPr>
          <w:rFonts w:hint="eastAsia"/>
          <w:rtl/>
        </w:rPr>
        <w:t>ב</w:t>
      </w:r>
      <w:r w:rsidRPr="00ED5220">
        <w:rPr>
          <w:rtl/>
        </w:rPr>
        <w:t>כלל היחידות תחתיו.</w:t>
      </w:r>
      <w:r w:rsidRPr="00F13DA5">
        <w:rPr>
          <w:rFonts w:hint="eastAsia"/>
          <w:rtl/>
        </w:rPr>
        <w:t xml:space="preserve"> מעבר</w:t>
      </w:r>
      <w:r w:rsidRPr="00F13DA5">
        <w:rPr>
          <w:rtl/>
        </w:rPr>
        <w:t xml:space="preserve"> </w:t>
      </w:r>
      <w:r>
        <w:rPr>
          <w:rFonts w:hint="cs"/>
          <w:rtl/>
        </w:rPr>
        <w:t>לביקורת</w:t>
      </w:r>
      <w:r w:rsidRPr="00F13DA5">
        <w:rPr>
          <w:rtl/>
        </w:rPr>
        <w:t xml:space="preserve"> המעצרים </w:t>
      </w:r>
      <w:r>
        <w:rPr>
          <w:rFonts w:hint="cs"/>
          <w:rtl/>
        </w:rPr>
        <w:t xml:space="preserve">הארצית </w:t>
      </w:r>
      <w:r w:rsidRPr="00F13DA5">
        <w:rPr>
          <w:rtl/>
        </w:rPr>
        <w:t xml:space="preserve">עורך אח"ם בקרה תהליכית על עבודת המחוזות. בקרה זו בוחנת את ההיכרות, היישום וההטמעה של </w:t>
      </w:r>
      <w:r w:rsidRPr="00F13DA5">
        <w:rPr>
          <w:rFonts w:hint="cs"/>
          <w:rtl/>
        </w:rPr>
        <w:t>ה</w:t>
      </w:r>
      <w:r w:rsidRPr="00F13DA5">
        <w:rPr>
          <w:rtl/>
        </w:rPr>
        <w:t xml:space="preserve">הנחיות המקצועיות של מדור חקירות באח"ם על ידי המחוזות. לשם כך </w:t>
      </w:r>
      <w:r w:rsidRPr="00F13DA5">
        <w:rPr>
          <w:rFonts w:hint="cs"/>
          <w:rtl/>
        </w:rPr>
        <w:t>ביצע</w:t>
      </w:r>
      <w:r w:rsidRPr="00F13DA5">
        <w:rPr>
          <w:rtl/>
        </w:rPr>
        <w:t xml:space="preserve"> </w:t>
      </w:r>
      <w:r w:rsidRPr="00F13DA5">
        <w:rPr>
          <w:rFonts w:hint="cs"/>
          <w:rtl/>
        </w:rPr>
        <w:t xml:space="preserve">אח"ם </w:t>
      </w:r>
      <w:r w:rsidRPr="00F13DA5">
        <w:rPr>
          <w:rtl/>
        </w:rPr>
        <w:t xml:space="preserve">תשאול </w:t>
      </w:r>
      <w:r w:rsidRPr="00F13DA5">
        <w:rPr>
          <w:rFonts w:hint="eastAsia"/>
          <w:rtl/>
        </w:rPr>
        <w:t>של</w:t>
      </w:r>
      <w:r w:rsidRPr="00F13DA5">
        <w:rPr>
          <w:rtl/>
        </w:rPr>
        <w:t xml:space="preserve"> </w:t>
      </w:r>
      <w:r w:rsidRPr="00F13DA5">
        <w:rPr>
          <w:rFonts w:hint="eastAsia"/>
          <w:rtl/>
        </w:rPr>
        <w:t>מדגם</w:t>
      </w:r>
      <w:r w:rsidRPr="00F13DA5">
        <w:rPr>
          <w:rtl/>
        </w:rPr>
        <w:t xml:space="preserve"> </w:t>
      </w:r>
      <w:r w:rsidRPr="00F13DA5">
        <w:rPr>
          <w:rFonts w:hint="eastAsia"/>
          <w:rtl/>
        </w:rPr>
        <w:t>תחנות</w:t>
      </w:r>
      <w:r w:rsidRPr="00F13DA5">
        <w:rPr>
          <w:rtl/>
        </w:rPr>
        <w:t xml:space="preserve"> </w:t>
      </w:r>
      <w:r w:rsidRPr="00F13DA5">
        <w:rPr>
          <w:rFonts w:hint="eastAsia"/>
          <w:rtl/>
        </w:rPr>
        <w:t>בכל</w:t>
      </w:r>
      <w:r w:rsidRPr="00F13DA5">
        <w:rPr>
          <w:rtl/>
        </w:rPr>
        <w:t xml:space="preserve"> </w:t>
      </w:r>
      <w:r w:rsidRPr="00F13DA5">
        <w:rPr>
          <w:rFonts w:hint="eastAsia"/>
          <w:rtl/>
        </w:rPr>
        <w:t>מחוז</w:t>
      </w:r>
      <w:r w:rsidRPr="00F13DA5">
        <w:rPr>
          <w:rtl/>
        </w:rPr>
        <w:t xml:space="preserve"> בדבר יישום </w:t>
      </w:r>
      <w:r>
        <w:rPr>
          <w:rFonts w:hint="cs"/>
          <w:rtl/>
        </w:rPr>
        <w:t>ה</w:t>
      </w:r>
      <w:r w:rsidRPr="00F13DA5">
        <w:rPr>
          <w:rtl/>
        </w:rPr>
        <w:t>הנחיות</w:t>
      </w:r>
      <w:r>
        <w:rPr>
          <w:rFonts w:hint="cs"/>
          <w:rtl/>
        </w:rPr>
        <w:t xml:space="preserve"> תהליכי העבודה </w:t>
      </w:r>
      <w:r w:rsidRPr="00F13DA5">
        <w:rPr>
          <w:rtl/>
        </w:rPr>
        <w:t xml:space="preserve">וכדומה. </w:t>
      </w:r>
    </w:p>
    <w:p w14:paraId="52776644" w14:textId="77777777" w:rsidR="00BA23AE" w:rsidRPr="00F13DA5" w:rsidRDefault="00BA23AE" w:rsidP="00B5445A">
      <w:pPr>
        <w:pStyle w:val="ad"/>
        <w:rPr>
          <w:rtl/>
        </w:rPr>
      </w:pPr>
      <w:r>
        <w:rPr>
          <w:rFonts w:hint="cs"/>
          <w:rtl/>
        </w:rPr>
        <w:t xml:space="preserve">נמצא כי </w:t>
      </w:r>
      <w:r w:rsidRPr="00F13DA5">
        <w:rPr>
          <w:rtl/>
        </w:rPr>
        <w:t>הבקרה ה</w:t>
      </w:r>
      <w:r w:rsidRPr="00F13DA5">
        <w:rPr>
          <w:rFonts w:hint="cs"/>
          <w:rtl/>
        </w:rPr>
        <w:t>תהליכית</w:t>
      </w:r>
      <w:r w:rsidRPr="00F13DA5">
        <w:rPr>
          <w:rtl/>
        </w:rPr>
        <w:t xml:space="preserve"> הנערכת על ידי מדור חקירות באח"ם </w:t>
      </w:r>
      <w:r w:rsidRPr="00F13DA5">
        <w:rPr>
          <w:rFonts w:hint="cs"/>
          <w:rtl/>
        </w:rPr>
        <w:t xml:space="preserve">אינה בוחנת את </w:t>
      </w:r>
      <w:r w:rsidRPr="00F13DA5">
        <w:rPr>
          <w:rtl/>
        </w:rPr>
        <w:t xml:space="preserve">טיב </w:t>
      </w:r>
      <w:r w:rsidRPr="00F13DA5">
        <w:rPr>
          <w:rFonts w:hint="cs"/>
          <w:rtl/>
        </w:rPr>
        <w:t>הפיקוח והבקרה</w:t>
      </w:r>
      <w:r w:rsidRPr="00F13DA5">
        <w:rPr>
          <w:rtl/>
        </w:rPr>
        <w:t xml:space="preserve"> </w:t>
      </w:r>
      <w:r w:rsidRPr="00F13DA5">
        <w:rPr>
          <w:rFonts w:hint="cs"/>
          <w:rtl/>
        </w:rPr>
        <w:t>של</w:t>
      </w:r>
      <w:r w:rsidRPr="00F13DA5">
        <w:rPr>
          <w:rtl/>
        </w:rPr>
        <w:t xml:space="preserve"> </w:t>
      </w:r>
      <w:r w:rsidRPr="00F13DA5">
        <w:rPr>
          <w:rFonts w:hint="cs"/>
          <w:rtl/>
        </w:rPr>
        <w:t>קציני החקירות במחוזות, במרחבים ובתחנות</w:t>
      </w:r>
      <w:r w:rsidRPr="00F13DA5">
        <w:rPr>
          <w:rtl/>
        </w:rPr>
        <w:t xml:space="preserve">. </w:t>
      </w:r>
      <w:r w:rsidRPr="00F13DA5">
        <w:rPr>
          <w:rFonts w:hint="cs"/>
          <w:rtl/>
        </w:rPr>
        <w:t xml:space="preserve">על חטיבת החקירות לפקח על טיב הבקרות המקצועיות שבתחום אחריותה על מנת לוודא </w:t>
      </w:r>
      <w:r>
        <w:rPr>
          <w:rFonts w:hint="cs"/>
          <w:rtl/>
        </w:rPr>
        <w:t xml:space="preserve">את </w:t>
      </w:r>
      <w:r w:rsidRPr="00F13DA5">
        <w:rPr>
          <w:rFonts w:hint="cs"/>
          <w:rtl/>
        </w:rPr>
        <w:t xml:space="preserve">אחידותן ורמתן. </w:t>
      </w:r>
    </w:p>
    <w:p w14:paraId="5C741067" w14:textId="77777777" w:rsidR="00BA23AE" w:rsidRPr="00F13DA5" w:rsidRDefault="00BA23AE" w:rsidP="00B5445A">
      <w:pPr>
        <w:pStyle w:val="100"/>
        <w:rPr>
          <w:rFonts w:ascii="David" w:eastAsia="Times New Roman" w:hAnsi="David"/>
          <w:sz w:val="24"/>
          <w:rtl/>
          <w:lang w:eastAsia="he-IL"/>
        </w:rPr>
      </w:pPr>
      <w:r w:rsidRPr="00F13DA5">
        <w:rPr>
          <w:rFonts w:hint="cs"/>
          <w:rtl/>
        </w:rPr>
        <w:t>המשטרה קיבלה את הביקורת ועדכנה כי</w:t>
      </w:r>
      <w:r w:rsidRPr="00F13DA5">
        <w:rPr>
          <w:rtl/>
        </w:rPr>
        <w:t xml:space="preserve"> </w:t>
      </w:r>
      <w:r w:rsidRPr="00F13DA5">
        <w:rPr>
          <w:rFonts w:hint="eastAsia"/>
          <w:rtl/>
        </w:rPr>
        <w:t>חטיבת</w:t>
      </w:r>
      <w:r w:rsidRPr="00F13DA5">
        <w:rPr>
          <w:rtl/>
        </w:rPr>
        <w:t xml:space="preserve"> </w:t>
      </w:r>
      <w:r w:rsidRPr="00F13DA5">
        <w:rPr>
          <w:rFonts w:hint="eastAsia"/>
          <w:rtl/>
        </w:rPr>
        <w:t>החקירות</w:t>
      </w:r>
      <w:r w:rsidRPr="00F13DA5">
        <w:rPr>
          <w:rtl/>
        </w:rPr>
        <w:t xml:space="preserve"> </w:t>
      </w:r>
      <w:r>
        <w:rPr>
          <w:rFonts w:hint="cs"/>
          <w:rtl/>
        </w:rPr>
        <w:t>תקבע</w:t>
      </w:r>
      <w:r w:rsidRPr="00F13DA5">
        <w:rPr>
          <w:rFonts w:hint="cs"/>
          <w:rtl/>
        </w:rPr>
        <w:t xml:space="preserve"> בת</w:t>
      </w:r>
      <w:r>
        <w:rPr>
          <w:rFonts w:hint="cs"/>
          <w:rtl/>
        </w:rPr>
        <w:t>ו</w:t>
      </w:r>
      <w:r w:rsidRPr="00F13DA5">
        <w:rPr>
          <w:rFonts w:hint="cs"/>
          <w:rtl/>
        </w:rPr>
        <w:t xml:space="preserve">כנית 2020 </w:t>
      </w:r>
      <w:r w:rsidRPr="00F13DA5">
        <w:rPr>
          <w:rFonts w:ascii="David" w:eastAsia="Times New Roman" w:hAnsi="David" w:hint="cs"/>
          <w:sz w:val="24"/>
          <w:rtl/>
          <w:lang w:eastAsia="he-IL"/>
        </w:rPr>
        <w:t>בקרות במחוזות</w:t>
      </w:r>
      <w:r>
        <w:rPr>
          <w:rFonts w:ascii="David" w:eastAsia="Times New Roman" w:hAnsi="David" w:hint="cs"/>
          <w:sz w:val="24"/>
          <w:rtl/>
          <w:lang w:eastAsia="he-IL"/>
        </w:rPr>
        <w:t>,</w:t>
      </w:r>
      <w:r w:rsidRPr="00F13DA5">
        <w:rPr>
          <w:rFonts w:ascii="David" w:eastAsia="Times New Roman" w:hAnsi="David" w:hint="cs"/>
          <w:sz w:val="24"/>
          <w:rtl/>
          <w:lang w:eastAsia="he-IL"/>
        </w:rPr>
        <w:t xml:space="preserve"> ותבחן את דרך בקרת התחנות גם בנושא המעצרים, תוך מתן דגש</w:t>
      </w:r>
      <w:r w:rsidRPr="00F13DA5">
        <w:rPr>
          <w:rFonts w:hint="cs"/>
          <w:b/>
          <w:bCs/>
          <w:rtl/>
        </w:rPr>
        <w:t xml:space="preserve"> </w:t>
      </w:r>
      <w:r w:rsidRPr="00F13DA5">
        <w:rPr>
          <w:rFonts w:hint="eastAsia"/>
          <w:rtl/>
        </w:rPr>
        <w:t>על</w:t>
      </w:r>
      <w:r w:rsidRPr="00F13DA5">
        <w:rPr>
          <w:rtl/>
        </w:rPr>
        <w:t xml:space="preserve"> </w:t>
      </w:r>
      <w:r w:rsidRPr="00F13DA5">
        <w:rPr>
          <w:rFonts w:hint="eastAsia"/>
          <w:rtl/>
        </w:rPr>
        <w:t>איכות</w:t>
      </w:r>
      <w:r w:rsidRPr="00F13DA5">
        <w:rPr>
          <w:rtl/>
        </w:rPr>
        <w:t xml:space="preserve"> </w:t>
      </w:r>
      <w:r w:rsidRPr="00F13DA5">
        <w:rPr>
          <w:rFonts w:hint="eastAsia"/>
          <w:rtl/>
        </w:rPr>
        <w:t>הבקרות</w:t>
      </w:r>
      <w:r w:rsidRPr="00F13DA5">
        <w:rPr>
          <w:rtl/>
        </w:rPr>
        <w:t xml:space="preserve">, </w:t>
      </w:r>
      <w:r w:rsidRPr="00F13DA5">
        <w:rPr>
          <w:rFonts w:hint="eastAsia"/>
          <w:rtl/>
        </w:rPr>
        <w:t>תדירותן</w:t>
      </w:r>
      <w:r w:rsidRPr="00F13DA5">
        <w:rPr>
          <w:rtl/>
        </w:rPr>
        <w:t xml:space="preserve"> </w:t>
      </w:r>
      <w:r w:rsidRPr="00F13DA5">
        <w:rPr>
          <w:rFonts w:hint="eastAsia"/>
          <w:rtl/>
        </w:rPr>
        <w:t>ותיקון</w:t>
      </w:r>
      <w:r w:rsidRPr="00F13DA5">
        <w:rPr>
          <w:rtl/>
        </w:rPr>
        <w:t xml:space="preserve"> </w:t>
      </w:r>
      <w:r w:rsidRPr="00F13DA5">
        <w:rPr>
          <w:rFonts w:hint="eastAsia"/>
          <w:rtl/>
        </w:rPr>
        <w:t>הליקויים</w:t>
      </w:r>
      <w:r w:rsidRPr="00F13DA5">
        <w:rPr>
          <w:rtl/>
        </w:rPr>
        <w:t>.</w:t>
      </w:r>
    </w:p>
    <w:p w14:paraId="571CA639" w14:textId="77777777" w:rsidR="00BA23AE" w:rsidRPr="00F13DA5" w:rsidRDefault="00BA23AE" w:rsidP="00B5445A">
      <w:pPr>
        <w:pStyle w:val="316"/>
        <w:rPr>
          <w:rtl/>
        </w:rPr>
      </w:pPr>
      <w:bookmarkStart w:id="25" w:name="_Toc6326480"/>
      <w:r>
        <w:rPr>
          <w:rFonts w:hint="cs"/>
          <w:rtl/>
        </w:rPr>
        <w:t>מדידת ביצועי המשטרה בתחום המעצרים</w:t>
      </w:r>
    </w:p>
    <w:bookmarkEnd w:id="25"/>
    <w:p w14:paraId="07F8F1F0" w14:textId="77777777" w:rsidR="00BA23AE" w:rsidRPr="00F13DA5" w:rsidRDefault="00BA23AE" w:rsidP="00B5445A">
      <w:pPr>
        <w:pStyle w:val="100"/>
        <w:rPr>
          <w:rtl/>
        </w:rPr>
      </w:pPr>
      <w:r w:rsidRPr="00F13DA5">
        <w:rPr>
          <w:rFonts w:hint="cs"/>
          <w:rtl/>
        </w:rPr>
        <w:t>קביעת מדדים שנתיים מסייעת לבחון את ביצועי המשטרה ועמידתה בעקרונות השיטור שקבעה</w:t>
      </w:r>
      <w:r w:rsidRPr="00F13DA5">
        <w:rPr>
          <w:rStyle w:val="FootnoteReference"/>
          <w:rtl/>
        </w:rPr>
        <w:footnoteReference w:id="64"/>
      </w:r>
      <w:r w:rsidRPr="00F13DA5">
        <w:rPr>
          <w:rFonts w:hint="cs"/>
          <w:rtl/>
        </w:rPr>
        <w:t>. במערכת המדידה נקבע מהן הבעיות</w:t>
      </w:r>
      <w:r w:rsidRPr="00F13DA5">
        <w:rPr>
          <w:rStyle w:val="FootnoteReference"/>
          <w:rtl/>
        </w:rPr>
        <w:footnoteReference w:id="65"/>
      </w:r>
      <w:r w:rsidRPr="00F13DA5">
        <w:rPr>
          <w:rFonts w:hint="cs"/>
          <w:rtl/>
        </w:rPr>
        <w:t xml:space="preserve"> שאיתן נדרשת המשטרה להתמודד ומהו המדד</w:t>
      </w:r>
      <w:r w:rsidRPr="00F13DA5">
        <w:rPr>
          <w:rStyle w:val="FootnoteReference"/>
          <w:rtl/>
        </w:rPr>
        <w:footnoteReference w:id="66"/>
      </w:r>
      <w:r w:rsidRPr="00F13DA5">
        <w:rPr>
          <w:rFonts w:hint="cs"/>
          <w:rtl/>
        </w:rPr>
        <w:t xml:space="preserve"> שיבחן את טיב ההתמודדות עימן. על מנת לקבוע אם המשטרה מתמודדת עם הבעיה כראוי נקבע יעד (מספרי) שנדרש לעמוד בו. המדדים נחלקים לשני סוגים עיקריים</w:t>
      </w:r>
      <w:r>
        <w:rPr>
          <w:rFonts w:hint="cs"/>
          <w:rtl/>
        </w:rPr>
        <w:t>:</w:t>
      </w:r>
      <w:r w:rsidRPr="00F13DA5">
        <w:rPr>
          <w:rFonts w:hint="cs"/>
          <w:rtl/>
        </w:rPr>
        <w:t xml:space="preserve"> מדדי תפוקה, הבוחנים באיזו מידה בוצעה פעילות או פעולה מסוימת</w:t>
      </w:r>
      <w:r w:rsidRPr="00F13DA5">
        <w:rPr>
          <w:rStyle w:val="FootnoteReference"/>
          <w:rtl/>
        </w:rPr>
        <w:footnoteReference w:id="67"/>
      </w:r>
      <w:r w:rsidRPr="00F13DA5">
        <w:rPr>
          <w:rFonts w:hint="cs"/>
          <w:rtl/>
        </w:rPr>
        <w:t>, ומדדי תוצאה, שבוחנים באיזו מידה הושגה התוצאה</w:t>
      </w:r>
      <w:r w:rsidRPr="00F13DA5">
        <w:rPr>
          <w:rStyle w:val="FootnoteReference"/>
          <w:rtl/>
        </w:rPr>
        <w:footnoteReference w:id="68"/>
      </w:r>
      <w:r w:rsidRPr="00F13DA5">
        <w:rPr>
          <w:rFonts w:hint="cs"/>
          <w:rtl/>
        </w:rPr>
        <w:t xml:space="preserve">. </w:t>
      </w:r>
    </w:p>
    <w:p w14:paraId="0E13CD39" w14:textId="77777777" w:rsidR="00BA23AE" w:rsidRPr="00F13DA5" w:rsidRDefault="00BA23AE" w:rsidP="00B5445A">
      <w:pPr>
        <w:pStyle w:val="100"/>
        <w:rPr>
          <w:rtl/>
        </w:rPr>
      </w:pPr>
      <w:r w:rsidRPr="00F13DA5">
        <w:rPr>
          <w:rFonts w:hint="cs"/>
          <w:rtl/>
        </w:rPr>
        <w:lastRenderedPageBreak/>
        <w:t>עד 2016 היו במערכות המדידה המשטרתיות "מנה"ל" ו"מפנה" מדדי תפוקה מתחום המעצרים</w:t>
      </w:r>
      <w:r w:rsidRPr="00F13DA5">
        <w:rPr>
          <w:rStyle w:val="FootnoteReference"/>
          <w:rtl/>
        </w:rPr>
        <w:footnoteReference w:id="69"/>
      </w:r>
      <w:r w:rsidRPr="00F13DA5">
        <w:rPr>
          <w:rFonts w:hint="cs"/>
          <w:rtl/>
        </w:rPr>
        <w:t xml:space="preserve">. הנחת המוצא של מפכ"ל המשטרה דאז הייתה כי תפוקות גדולות יותר מביאות לתוצאות הרצויות - ירידה בפשיעה. </w:t>
      </w:r>
    </w:p>
    <w:p w14:paraId="381DD529" w14:textId="77777777" w:rsidR="00BA23AE" w:rsidRPr="00F13DA5" w:rsidRDefault="00BA23AE" w:rsidP="00B5445A">
      <w:pPr>
        <w:pStyle w:val="100"/>
        <w:rPr>
          <w:rtl/>
        </w:rPr>
      </w:pPr>
      <w:r w:rsidRPr="00F13DA5">
        <w:rPr>
          <w:rFonts w:hint="cs"/>
          <w:rtl/>
        </w:rPr>
        <w:t xml:space="preserve">ממחקרי המשטרה עולה כי השפעתם של המדדים על ביצועי המשטרה היא מובהקת - הידיעה על המדד משפיעה באופן עצמאי על ההתנהגות והתפוקה של הנמדד. כך למשל, בשנת 2011 הופסק השימוש במערכת "מנה"ל", ולכן חלה ירידה ניכרת בתפוקות תחנות המשטרה ובמספר המעצרים. כמו כן, קביעת מערכת "מפנה" כי </w:t>
      </w:r>
      <w:r>
        <w:rPr>
          <w:rFonts w:hint="cs"/>
          <w:rtl/>
        </w:rPr>
        <w:t>ה</w:t>
      </w:r>
      <w:r w:rsidRPr="00F13DA5">
        <w:rPr>
          <w:rFonts w:hint="cs"/>
          <w:rtl/>
        </w:rPr>
        <w:t xml:space="preserve">משקל </w:t>
      </w:r>
      <w:r>
        <w:rPr>
          <w:rFonts w:hint="cs"/>
          <w:rtl/>
        </w:rPr>
        <w:t>ב</w:t>
      </w:r>
      <w:r w:rsidRPr="00F13DA5">
        <w:rPr>
          <w:rFonts w:hint="cs"/>
          <w:rtl/>
        </w:rPr>
        <w:t xml:space="preserve">מדד </w:t>
      </w:r>
      <w:r>
        <w:rPr>
          <w:rFonts w:hint="cs"/>
          <w:rtl/>
        </w:rPr>
        <w:t>של</w:t>
      </w:r>
      <w:r w:rsidRPr="00F13DA5">
        <w:rPr>
          <w:rFonts w:hint="cs"/>
          <w:rtl/>
        </w:rPr>
        <w:t xml:space="preserve"> מספר המעצרים עד תום ההליכים המשפטיים יעמוד על 8% מהציון הכללי של תחנות המשטרה הביאה לעלייה של</w:t>
      </w:r>
      <w:r>
        <w:rPr>
          <w:rFonts w:hint="cs"/>
          <w:rtl/>
        </w:rPr>
        <w:t xml:space="preserve"> 29% במספר המעצרים בתקופת המדידה.</w:t>
      </w:r>
    </w:p>
    <w:p w14:paraId="4284CB93" w14:textId="77777777" w:rsidR="00BA23AE" w:rsidRPr="00F13DA5" w:rsidRDefault="00BA23AE" w:rsidP="00B5445A">
      <w:pPr>
        <w:pStyle w:val="414"/>
        <w:rPr>
          <w:rtl/>
        </w:rPr>
      </w:pPr>
      <w:r w:rsidRPr="00F13DA5">
        <w:rPr>
          <w:rFonts w:hint="cs"/>
          <w:rtl/>
        </w:rPr>
        <w:t xml:space="preserve">תוכנית "אמו"ן" - </w:t>
      </w:r>
      <w:r w:rsidRPr="00F13DA5">
        <w:rPr>
          <w:rtl/>
        </w:rPr>
        <w:t>אסטרטגיות מניעה ומיקוד מינהלי</w:t>
      </w:r>
      <w:r w:rsidRPr="00F13DA5">
        <w:rPr>
          <w:rFonts w:hint="cs"/>
          <w:rtl/>
        </w:rPr>
        <w:t xml:space="preserve"> </w:t>
      </w:r>
    </w:p>
    <w:p w14:paraId="5C1F49A5" w14:textId="77777777" w:rsidR="00BA23AE" w:rsidRPr="00F13DA5" w:rsidRDefault="00BA23AE" w:rsidP="00B5445A">
      <w:pPr>
        <w:pStyle w:val="100"/>
        <w:rPr>
          <w:rtl/>
        </w:rPr>
      </w:pPr>
      <w:r w:rsidRPr="00F13DA5">
        <w:rPr>
          <w:rFonts w:hint="cs"/>
          <w:rtl/>
        </w:rPr>
        <w:t>החל בשנת 2016 ועד לשנת 2018 המדדים שנקבעו לבעיות במערכת אמו"ן היו מדדי תוצאה בלבד. לא נקבע במערכת מדד תפוקה מכל סוג שהוא, ובפרט לא נקבע מדד של מעצר. לעמדת המפכ"ל דאז, אין מקום לקבוע מדדי תפוקה משום שהתפוקה אינה משרתת את התוצאה דווקא. יתרה מכך, מתן דגש על התוצאות מצמצם את הסיכוי לשיטור יתר או לשיטור חסר</w:t>
      </w:r>
      <w:r>
        <w:rPr>
          <w:rFonts w:hint="cs"/>
          <w:rtl/>
        </w:rPr>
        <w:t>,</w:t>
      </w:r>
      <w:r w:rsidRPr="00F13DA5">
        <w:rPr>
          <w:rFonts w:hint="cs"/>
          <w:rtl/>
        </w:rPr>
        <w:t xml:space="preserve"> ומקנה גמישות למפקד התחנה לעשות כל דבר אשר יוביל לתוצאה. </w:t>
      </w:r>
    </w:p>
    <w:p w14:paraId="7109F776" w14:textId="77777777" w:rsidR="00BA23AE" w:rsidRPr="00F13DA5" w:rsidRDefault="00BA23AE" w:rsidP="00B5445A">
      <w:pPr>
        <w:pStyle w:val="100"/>
        <w:rPr>
          <w:rtl/>
        </w:rPr>
      </w:pPr>
      <w:r w:rsidRPr="00F13DA5">
        <w:rPr>
          <w:rFonts w:hint="cs"/>
          <w:rtl/>
        </w:rPr>
        <w:t xml:space="preserve">עמדת המפכ"ל דאז נתמכת במאמרים מקצועיים של מחלקת האסטרטגיה. שם עולה כי תפיסת שיטור רחבה יותר תעריך לא רק תפוקות המתייחסות למספר </w:t>
      </w:r>
      <w:r>
        <w:rPr>
          <w:rFonts w:hint="cs"/>
          <w:rtl/>
        </w:rPr>
        <w:t>ה</w:t>
      </w:r>
      <w:r w:rsidRPr="00F13DA5">
        <w:rPr>
          <w:rFonts w:hint="cs"/>
          <w:rtl/>
        </w:rPr>
        <w:t xml:space="preserve">מעצרים או </w:t>
      </w:r>
      <w:r>
        <w:rPr>
          <w:rFonts w:hint="cs"/>
          <w:rtl/>
        </w:rPr>
        <w:t>ה</w:t>
      </w:r>
      <w:r w:rsidRPr="00F13DA5">
        <w:rPr>
          <w:rFonts w:hint="cs"/>
          <w:rtl/>
        </w:rPr>
        <w:t xml:space="preserve">אירועים וטיב הטיפול בהם, אלא תייחס חשיבות רבה גם לשמירה על צדק פרוצדורלי, המספק תחושת הוגנות בשיטור בקרב הציבור. בחינה מקצועית של מערכת אמו"ן העלתה כי יעילותה של התוכנית נובעת ממידת היוזמה, </w:t>
      </w:r>
      <w:r>
        <w:rPr>
          <w:rFonts w:hint="cs"/>
          <w:rtl/>
        </w:rPr>
        <w:t>מ</w:t>
      </w:r>
      <w:r w:rsidRPr="00F13DA5">
        <w:rPr>
          <w:rFonts w:hint="cs"/>
          <w:rtl/>
        </w:rPr>
        <w:t>המיקוד ו</w:t>
      </w:r>
      <w:r>
        <w:rPr>
          <w:rFonts w:hint="cs"/>
          <w:rtl/>
        </w:rPr>
        <w:t>מ</w:t>
      </w:r>
      <w:r w:rsidRPr="00F13DA5">
        <w:rPr>
          <w:rFonts w:hint="cs"/>
          <w:rtl/>
        </w:rPr>
        <w:t>סוג המיקוד שנקבע</w:t>
      </w:r>
      <w:r>
        <w:rPr>
          <w:rFonts w:hint="cs"/>
          <w:rtl/>
        </w:rPr>
        <w:t>ו</w:t>
      </w:r>
      <w:r w:rsidRPr="00F13DA5">
        <w:rPr>
          <w:rFonts w:hint="cs"/>
          <w:rtl/>
        </w:rPr>
        <w:t xml:space="preserve"> בה, ובפרט בשל המיקוד בבעיות ספציפיות ולא בפשיעה באופן כללי. גם ממלא מקום המפכ"ל רואה ביעדי מערכת אמו"ן את כיווני הפעולה העיקריים של המשטרה ואת המסר הארגוני שצריך לחלחל עד לאחרון השוטרים. </w:t>
      </w:r>
    </w:p>
    <w:p w14:paraId="6829489D" w14:textId="77777777" w:rsidR="00BA23AE" w:rsidRPr="00F13DA5" w:rsidRDefault="00BA23AE" w:rsidP="00B5445A">
      <w:pPr>
        <w:pStyle w:val="100"/>
        <w:rPr>
          <w:rtl/>
        </w:rPr>
      </w:pPr>
      <w:r w:rsidRPr="00F13DA5">
        <w:rPr>
          <w:rtl/>
        </w:rPr>
        <w:t xml:space="preserve">בשנת 2019 </w:t>
      </w:r>
      <w:r w:rsidRPr="00F13DA5">
        <w:rPr>
          <w:rFonts w:hint="cs"/>
          <w:rtl/>
        </w:rPr>
        <w:t xml:space="preserve">קבע </w:t>
      </w:r>
      <w:r w:rsidRPr="00F13DA5">
        <w:rPr>
          <w:rtl/>
        </w:rPr>
        <w:t xml:space="preserve">ממלא מקום המפכ"ל </w:t>
      </w:r>
      <w:r w:rsidRPr="00F13DA5">
        <w:rPr>
          <w:rFonts w:hint="cs"/>
          <w:rtl/>
        </w:rPr>
        <w:t>שכל תחנה תוסיף על הבעיות מהשנים הקודמות את הטיפול בעבירות חשיפה. עבירות חשיפה מוגדרות כת</w:t>
      </w:r>
      <w:r w:rsidRPr="00F13DA5">
        <w:rPr>
          <w:rtl/>
        </w:rPr>
        <w:t>וצר של יוזמה משטרתית</w:t>
      </w:r>
      <w:r w:rsidRPr="00F13DA5">
        <w:rPr>
          <w:rFonts w:hint="cs"/>
          <w:rtl/>
        </w:rPr>
        <w:t xml:space="preserve"> בלבד, משום שמדובר בדרך כלל בעבירות ללא מתלוננים</w:t>
      </w:r>
      <w:r w:rsidRPr="00F13DA5">
        <w:rPr>
          <w:vertAlign w:val="superscript"/>
          <w:rtl/>
        </w:rPr>
        <w:footnoteReference w:id="70"/>
      </w:r>
      <w:r w:rsidRPr="00F13DA5">
        <w:rPr>
          <w:rtl/>
        </w:rPr>
        <w:t>.</w:t>
      </w:r>
      <w:r>
        <w:rPr>
          <w:rFonts w:hint="cs"/>
          <w:rtl/>
        </w:rPr>
        <w:t xml:space="preserve"> </w:t>
      </w:r>
      <w:r w:rsidRPr="00F13DA5">
        <w:rPr>
          <w:rFonts w:hint="cs"/>
          <w:rtl/>
        </w:rPr>
        <w:t xml:space="preserve">בשונה מהשנים הקודמות, המדד שנבחר לבחון את ההתמודדות עם </w:t>
      </w:r>
      <w:r>
        <w:rPr>
          <w:rFonts w:hint="cs"/>
          <w:rtl/>
        </w:rPr>
        <w:t>עבירות החשיפה</w:t>
      </w:r>
      <w:r w:rsidRPr="00F13DA5">
        <w:rPr>
          <w:rFonts w:hint="cs"/>
          <w:rtl/>
        </w:rPr>
        <w:t xml:space="preserve"> אינו מדד תוצאה אלא מדד תפוקה - שיפור במעצרי תום הליכים לעומת השנים הקודמות. משכך, בחירת מדד של תפוקה בעבירות שבשליטה וביוזמה של המשטרה אינה מוטה על ידי הגשת תלונות על ידי הציבור ופתיחת תיקים בעקבותיהן. </w:t>
      </w:r>
    </w:p>
    <w:p w14:paraId="58CF2431" w14:textId="6255645D" w:rsidR="00585BB5" w:rsidRDefault="00BA23AE" w:rsidP="00B5445A">
      <w:pPr>
        <w:pStyle w:val="100"/>
        <w:rPr>
          <w:rtl/>
        </w:rPr>
      </w:pPr>
      <w:r w:rsidRPr="00F13DA5">
        <w:rPr>
          <w:rFonts w:hint="cs"/>
          <w:rtl/>
        </w:rPr>
        <w:lastRenderedPageBreak/>
        <w:t>הליך אישור תוכנית אמו"ן מתבצע על בסיס הצגת שלוש בעיות שכל תחנה, מתוך 80 תחנות המשטרה</w:t>
      </w:r>
      <w:r w:rsidRPr="00F13DA5">
        <w:rPr>
          <w:vertAlign w:val="superscript"/>
          <w:rtl/>
        </w:rPr>
        <w:footnoteReference w:id="71"/>
      </w:r>
      <w:r w:rsidRPr="00F13DA5">
        <w:rPr>
          <w:rFonts w:hint="cs"/>
          <w:rtl/>
        </w:rPr>
        <w:t xml:space="preserve">, מבקשת להתמודד עימן בצורה ממוקדת. הבעיות נבחרות על בסיס הידע של התחנה, הנתונים המשטרתיים וסדרי העדיפויות של הקהילה. נוסף על שלוש הבעיות הללו, מרבית התחנות נדרשו להתמודד עם תאונות הדרכים ולהימדד על פי ציונן בסקר השירות. בסיכומו של דבר, בשנת 2019 נקבעו 387 יעדים לטיפול בבעיות בתחנות השונות. הבעיות, המדדים והיעדים </w:t>
      </w:r>
      <w:r>
        <w:rPr>
          <w:rFonts w:hint="cs"/>
          <w:rtl/>
        </w:rPr>
        <w:t>אושרו</w:t>
      </w:r>
      <w:r w:rsidRPr="00F13DA5">
        <w:rPr>
          <w:rFonts w:hint="cs"/>
          <w:rtl/>
        </w:rPr>
        <w:t xml:space="preserve"> על ידי המפכ"ל. להלן לוח המפרט את סך היעדים לטיפול בבעיות בתחנות השונות בשנת 2019 בחלוקה לסוג המדד שנקבע לכל בעיה. סוג המדד מפולח לפי שם המדד ולפי הבעיה שהוא מודד. כמו כן, על מנת לסכום את היעדים פורט מספר התחנות להן נקבע יעד בתחום זה.</w:t>
      </w:r>
    </w:p>
    <w:p w14:paraId="76AA82B8" w14:textId="516AD95D" w:rsidR="00BA23AE" w:rsidRPr="00F13DA5" w:rsidRDefault="00585BB5" w:rsidP="00B5445A">
      <w:pPr>
        <w:pStyle w:val="a9"/>
      </w:pPr>
      <w:r>
        <w:rPr>
          <w:rFonts w:hint="cs"/>
          <w:rtl/>
        </w:rPr>
        <w:t>ל</w:t>
      </w:r>
      <w:r w:rsidR="00BA23AE" w:rsidRPr="00F13DA5">
        <w:rPr>
          <w:rFonts w:hint="cs"/>
          <w:rtl/>
        </w:rPr>
        <w:t xml:space="preserve">וח </w:t>
      </w:r>
      <w:r w:rsidR="00BA23AE">
        <w:rPr>
          <w:rFonts w:hint="cs"/>
          <w:rtl/>
        </w:rPr>
        <w:t>12</w:t>
      </w:r>
      <w:r w:rsidR="00BA23AE" w:rsidRPr="00F13DA5">
        <w:rPr>
          <w:rFonts w:hint="cs"/>
          <w:rtl/>
        </w:rPr>
        <w:t xml:space="preserve">: </w:t>
      </w:r>
      <w:r w:rsidR="00BA23AE" w:rsidRPr="00B5445A">
        <w:rPr>
          <w:rFonts w:hint="cs"/>
          <w:b/>
          <w:bCs/>
          <w:rtl/>
        </w:rPr>
        <w:t>המדדים שנקבעו לתחנות במסגרת מערכת אמו"ן, לפי שם, בעיה ומספר התחנות בעלות היעד, 2019</w:t>
      </w:r>
    </w:p>
    <w:tbl>
      <w:tblPr>
        <w:tblStyle w:val="TableGrid"/>
        <w:bidiVisual/>
        <w:tblW w:w="7673" w:type="dxa"/>
        <w:jc w:val="center"/>
        <w:tblLook w:val="04A0" w:firstRow="1" w:lastRow="0" w:firstColumn="1" w:lastColumn="0" w:noHBand="0" w:noVBand="1"/>
      </w:tblPr>
      <w:tblGrid>
        <w:gridCol w:w="1296"/>
        <w:gridCol w:w="1987"/>
        <w:gridCol w:w="2410"/>
        <w:gridCol w:w="1130"/>
        <w:gridCol w:w="850"/>
      </w:tblGrid>
      <w:tr w:rsidR="00BA23AE" w:rsidRPr="00845E79" w14:paraId="5B93B8BF" w14:textId="77777777" w:rsidTr="00094702">
        <w:trPr>
          <w:tblHeader/>
          <w:jc w:val="center"/>
        </w:trPr>
        <w:tc>
          <w:tcPr>
            <w:tcW w:w="1296" w:type="dxa"/>
            <w:shd w:val="clear" w:color="auto" w:fill="C6D9F1"/>
            <w:vAlign w:val="bottom"/>
          </w:tcPr>
          <w:p w14:paraId="0665C422" w14:textId="77777777" w:rsidR="00BA23AE" w:rsidRPr="00845E79" w:rsidRDefault="00BA23AE" w:rsidP="00815EB6">
            <w:pPr>
              <w:pStyle w:val="af0"/>
              <w:rPr>
                <w:sz w:val="19"/>
                <w:szCs w:val="19"/>
                <w:rtl/>
              </w:rPr>
            </w:pPr>
            <w:r w:rsidRPr="00845E79">
              <w:rPr>
                <w:rFonts w:hint="cs"/>
                <w:sz w:val="19"/>
                <w:szCs w:val="19"/>
                <w:rtl/>
              </w:rPr>
              <w:t>סוג המדד</w:t>
            </w:r>
          </w:p>
          <w:p w14:paraId="0922066D" w14:textId="77777777" w:rsidR="00BA23AE" w:rsidRPr="00845E79" w:rsidRDefault="00BA23AE" w:rsidP="00815EB6">
            <w:pPr>
              <w:pStyle w:val="af0"/>
              <w:rPr>
                <w:b w:val="0"/>
                <w:bCs w:val="0"/>
                <w:sz w:val="19"/>
                <w:szCs w:val="19"/>
                <w:rtl/>
              </w:rPr>
            </w:pPr>
            <w:r w:rsidRPr="00845E79">
              <w:rPr>
                <w:rFonts w:hint="cs"/>
                <w:b w:val="0"/>
                <w:bCs w:val="0"/>
                <w:sz w:val="19"/>
                <w:szCs w:val="19"/>
                <w:rtl/>
              </w:rPr>
              <w:t>(תוצאה או תפוקה)</w:t>
            </w:r>
          </w:p>
        </w:tc>
        <w:tc>
          <w:tcPr>
            <w:tcW w:w="1987" w:type="dxa"/>
            <w:shd w:val="clear" w:color="auto" w:fill="C6D9F1"/>
            <w:vAlign w:val="bottom"/>
          </w:tcPr>
          <w:p w14:paraId="795D2E4E" w14:textId="77777777" w:rsidR="00BA23AE" w:rsidRPr="00845E79" w:rsidRDefault="00BA23AE" w:rsidP="00815EB6">
            <w:pPr>
              <w:pStyle w:val="af0"/>
              <w:rPr>
                <w:sz w:val="19"/>
                <w:szCs w:val="19"/>
                <w:rtl/>
              </w:rPr>
            </w:pPr>
            <w:r w:rsidRPr="00845E79">
              <w:rPr>
                <w:rFonts w:hint="cs"/>
                <w:sz w:val="19"/>
                <w:szCs w:val="19"/>
                <w:rtl/>
              </w:rPr>
              <w:t>המדד</w:t>
            </w:r>
          </w:p>
        </w:tc>
        <w:tc>
          <w:tcPr>
            <w:tcW w:w="2410" w:type="dxa"/>
            <w:shd w:val="clear" w:color="auto" w:fill="C6D9F1"/>
            <w:vAlign w:val="bottom"/>
          </w:tcPr>
          <w:p w14:paraId="06C654B6" w14:textId="77777777" w:rsidR="00BA23AE" w:rsidRPr="00845E79" w:rsidRDefault="00BA23AE" w:rsidP="00815EB6">
            <w:pPr>
              <w:pStyle w:val="af0"/>
              <w:rPr>
                <w:sz w:val="19"/>
                <w:szCs w:val="19"/>
                <w:rtl/>
              </w:rPr>
            </w:pPr>
            <w:r w:rsidRPr="00845E79">
              <w:rPr>
                <w:rFonts w:hint="cs"/>
                <w:sz w:val="19"/>
                <w:szCs w:val="19"/>
                <w:rtl/>
              </w:rPr>
              <w:t>הבעיה</w:t>
            </w:r>
          </w:p>
          <w:p w14:paraId="01AC6CAA" w14:textId="77777777" w:rsidR="00BA23AE" w:rsidRPr="00845E79" w:rsidRDefault="00BA23AE" w:rsidP="00815EB6">
            <w:pPr>
              <w:pStyle w:val="af0"/>
              <w:rPr>
                <w:b w:val="0"/>
                <w:bCs w:val="0"/>
                <w:sz w:val="19"/>
                <w:szCs w:val="19"/>
                <w:rtl/>
              </w:rPr>
            </w:pPr>
            <w:r w:rsidRPr="00845E79">
              <w:rPr>
                <w:b w:val="0"/>
                <w:bCs w:val="0"/>
                <w:sz w:val="19"/>
                <w:szCs w:val="19"/>
                <w:rtl/>
              </w:rPr>
              <w:t>(</w:t>
            </w:r>
            <w:r w:rsidRPr="00845E79">
              <w:rPr>
                <w:rFonts w:hint="cs"/>
                <w:b w:val="0"/>
                <w:bCs w:val="0"/>
                <w:sz w:val="19"/>
                <w:szCs w:val="19"/>
                <w:rtl/>
              </w:rPr>
              <w:t>קבוצת</w:t>
            </w:r>
            <w:r w:rsidRPr="00845E79">
              <w:rPr>
                <w:b w:val="0"/>
                <w:bCs w:val="0"/>
                <w:sz w:val="19"/>
                <w:szCs w:val="19"/>
                <w:rtl/>
              </w:rPr>
              <w:t xml:space="preserve"> העבירות </w:t>
            </w:r>
            <w:r w:rsidRPr="00845E79">
              <w:rPr>
                <w:rFonts w:hint="cs"/>
                <w:b w:val="0"/>
                <w:bCs w:val="0"/>
                <w:sz w:val="19"/>
                <w:szCs w:val="19"/>
                <w:rtl/>
              </w:rPr>
              <w:t>שנדרש להתמודד</w:t>
            </w:r>
            <w:r w:rsidRPr="00845E79">
              <w:rPr>
                <w:b w:val="0"/>
                <w:bCs w:val="0"/>
                <w:sz w:val="19"/>
                <w:szCs w:val="19"/>
                <w:rtl/>
              </w:rPr>
              <w:t xml:space="preserve"> עימן)</w:t>
            </w:r>
          </w:p>
        </w:tc>
        <w:tc>
          <w:tcPr>
            <w:tcW w:w="1130" w:type="dxa"/>
            <w:shd w:val="clear" w:color="auto" w:fill="C6D9F1"/>
            <w:vAlign w:val="bottom"/>
          </w:tcPr>
          <w:p w14:paraId="4ED15F1E" w14:textId="77777777" w:rsidR="00BA23AE" w:rsidRPr="00845E79" w:rsidRDefault="00BA23AE" w:rsidP="00815EB6">
            <w:pPr>
              <w:pStyle w:val="af0"/>
              <w:rPr>
                <w:sz w:val="19"/>
                <w:szCs w:val="19"/>
                <w:rtl/>
              </w:rPr>
            </w:pPr>
            <w:r w:rsidRPr="00845E79">
              <w:rPr>
                <w:rFonts w:hint="cs"/>
                <w:sz w:val="19"/>
                <w:szCs w:val="19"/>
                <w:rtl/>
              </w:rPr>
              <w:t>מספר התחנות להן נקבע היעד</w:t>
            </w:r>
          </w:p>
        </w:tc>
        <w:tc>
          <w:tcPr>
            <w:tcW w:w="850" w:type="dxa"/>
            <w:shd w:val="clear" w:color="auto" w:fill="C6D9F1"/>
            <w:vAlign w:val="bottom"/>
          </w:tcPr>
          <w:p w14:paraId="513AE5EE" w14:textId="77777777" w:rsidR="00BA23AE" w:rsidRPr="00845E79" w:rsidRDefault="00BA23AE" w:rsidP="00815EB6">
            <w:pPr>
              <w:pStyle w:val="af0"/>
              <w:rPr>
                <w:sz w:val="19"/>
                <w:szCs w:val="19"/>
                <w:rtl/>
              </w:rPr>
            </w:pPr>
            <w:r w:rsidRPr="00845E79">
              <w:rPr>
                <w:rFonts w:hint="cs"/>
                <w:sz w:val="19"/>
                <w:szCs w:val="19"/>
                <w:rtl/>
              </w:rPr>
              <w:t>סה"כ</w:t>
            </w:r>
          </w:p>
        </w:tc>
      </w:tr>
      <w:tr w:rsidR="00BA23AE" w:rsidRPr="00845E79" w14:paraId="4B49D3DF" w14:textId="77777777" w:rsidTr="00845E79">
        <w:trPr>
          <w:jc w:val="center"/>
        </w:trPr>
        <w:tc>
          <w:tcPr>
            <w:tcW w:w="1296" w:type="dxa"/>
            <w:vMerge w:val="restart"/>
            <w:shd w:val="clear" w:color="auto" w:fill="auto"/>
          </w:tcPr>
          <w:p w14:paraId="4D2356B2" w14:textId="77777777" w:rsidR="00BA23AE" w:rsidRPr="00845E79" w:rsidRDefault="00BA23AE" w:rsidP="00815EB6">
            <w:pPr>
              <w:pStyle w:val="B"/>
              <w:rPr>
                <w:sz w:val="19"/>
                <w:szCs w:val="19"/>
                <w:rtl/>
              </w:rPr>
            </w:pPr>
            <w:r w:rsidRPr="00845E79">
              <w:rPr>
                <w:rFonts w:hint="cs"/>
                <w:sz w:val="19"/>
                <w:szCs w:val="19"/>
                <w:rtl/>
              </w:rPr>
              <w:t>תוצאה</w:t>
            </w:r>
          </w:p>
        </w:tc>
        <w:tc>
          <w:tcPr>
            <w:tcW w:w="1987" w:type="dxa"/>
            <w:vMerge w:val="restart"/>
            <w:shd w:val="clear" w:color="auto" w:fill="auto"/>
          </w:tcPr>
          <w:p w14:paraId="5FC1C64D" w14:textId="77777777" w:rsidR="00BA23AE" w:rsidRPr="00845E79" w:rsidRDefault="00BA23AE" w:rsidP="00815EB6">
            <w:pPr>
              <w:pStyle w:val="B"/>
              <w:rPr>
                <w:sz w:val="19"/>
                <w:szCs w:val="19"/>
                <w:rtl/>
              </w:rPr>
            </w:pPr>
            <w:r w:rsidRPr="00845E79">
              <w:rPr>
                <w:rFonts w:hint="cs"/>
                <w:sz w:val="19"/>
                <w:szCs w:val="19"/>
                <w:rtl/>
              </w:rPr>
              <w:t>שיפור מגמה בהיקף התיקים</w:t>
            </w:r>
          </w:p>
        </w:tc>
        <w:tc>
          <w:tcPr>
            <w:tcW w:w="2410" w:type="dxa"/>
            <w:shd w:val="clear" w:color="auto" w:fill="auto"/>
            <w:vAlign w:val="bottom"/>
          </w:tcPr>
          <w:p w14:paraId="27E1576F" w14:textId="77777777" w:rsidR="00BA23AE" w:rsidRPr="00845E79" w:rsidRDefault="00BA23AE" w:rsidP="00BF28A4">
            <w:pPr>
              <w:pStyle w:val="R"/>
              <w:rPr>
                <w:sz w:val="19"/>
                <w:szCs w:val="19"/>
                <w:rtl/>
              </w:rPr>
            </w:pPr>
            <w:r w:rsidRPr="00845E79">
              <w:rPr>
                <w:rFonts w:hint="eastAsia"/>
                <w:sz w:val="19"/>
                <w:szCs w:val="19"/>
                <w:rtl/>
              </w:rPr>
              <w:t>אלימות</w:t>
            </w:r>
          </w:p>
        </w:tc>
        <w:tc>
          <w:tcPr>
            <w:tcW w:w="1130" w:type="dxa"/>
            <w:shd w:val="clear" w:color="auto" w:fill="auto"/>
            <w:vAlign w:val="bottom"/>
          </w:tcPr>
          <w:p w14:paraId="0AE4008A" w14:textId="77777777" w:rsidR="00BA23AE" w:rsidRPr="00845E79" w:rsidRDefault="00BA23AE" w:rsidP="00BF28A4">
            <w:pPr>
              <w:pStyle w:val="R"/>
              <w:rPr>
                <w:sz w:val="19"/>
                <w:szCs w:val="19"/>
                <w:rtl/>
              </w:rPr>
            </w:pPr>
            <w:r w:rsidRPr="00845E79">
              <w:rPr>
                <w:sz w:val="19"/>
                <w:szCs w:val="19"/>
                <w:rtl/>
              </w:rPr>
              <w:t>53</w:t>
            </w:r>
          </w:p>
        </w:tc>
        <w:tc>
          <w:tcPr>
            <w:tcW w:w="850" w:type="dxa"/>
            <w:vMerge w:val="restart"/>
            <w:shd w:val="clear" w:color="auto" w:fill="auto"/>
            <w:vAlign w:val="bottom"/>
          </w:tcPr>
          <w:p w14:paraId="67F55EFC" w14:textId="77777777" w:rsidR="00BA23AE" w:rsidRPr="00845E79" w:rsidRDefault="00BA23AE" w:rsidP="00465562">
            <w:pPr>
              <w:spacing w:line="269" w:lineRule="auto"/>
              <w:contextualSpacing/>
              <w:jc w:val="center"/>
              <w:rPr>
                <w:b/>
                <w:bCs/>
                <w:sz w:val="19"/>
                <w:szCs w:val="19"/>
                <w:rtl/>
              </w:rPr>
            </w:pPr>
          </w:p>
        </w:tc>
      </w:tr>
      <w:tr w:rsidR="00BA23AE" w:rsidRPr="00845E79" w14:paraId="210E8EC4" w14:textId="77777777" w:rsidTr="00845E79">
        <w:trPr>
          <w:jc w:val="center"/>
        </w:trPr>
        <w:tc>
          <w:tcPr>
            <w:tcW w:w="1296" w:type="dxa"/>
            <w:vMerge/>
            <w:shd w:val="clear" w:color="auto" w:fill="auto"/>
          </w:tcPr>
          <w:p w14:paraId="6A51E22F" w14:textId="77777777" w:rsidR="00BA23AE" w:rsidRPr="00845E79" w:rsidRDefault="00BA23AE" w:rsidP="00815EB6">
            <w:pPr>
              <w:pStyle w:val="B"/>
              <w:rPr>
                <w:sz w:val="19"/>
                <w:szCs w:val="19"/>
                <w:rtl/>
              </w:rPr>
            </w:pPr>
          </w:p>
        </w:tc>
        <w:tc>
          <w:tcPr>
            <w:tcW w:w="1987" w:type="dxa"/>
            <w:vMerge/>
            <w:shd w:val="clear" w:color="auto" w:fill="auto"/>
            <w:vAlign w:val="bottom"/>
          </w:tcPr>
          <w:p w14:paraId="625F0C8C" w14:textId="77777777" w:rsidR="00BA23AE" w:rsidRPr="00845E79" w:rsidRDefault="00BA23AE" w:rsidP="00815EB6">
            <w:pPr>
              <w:pStyle w:val="B"/>
              <w:rPr>
                <w:sz w:val="19"/>
                <w:szCs w:val="19"/>
                <w:rtl/>
              </w:rPr>
            </w:pPr>
          </w:p>
        </w:tc>
        <w:tc>
          <w:tcPr>
            <w:tcW w:w="2410" w:type="dxa"/>
            <w:shd w:val="clear" w:color="auto" w:fill="auto"/>
            <w:vAlign w:val="bottom"/>
          </w:tcPr>
          <w:p w14:paraId="73715124" w14:textId="77777777" w:rsidR="00BA23AE" w:rsidRPr="00845E79" w:rsidRDefault="00BA23AE" w:rsidP="00BF28A4">
            <w:pPr>
              <w:pStyle w:val="R"/>
              <w:rPr>
                <w:sz w:val="19"/>
                <w:szCs w:val="19"/>
                <w:rtl/>
              </w:rPr>
            </w:pPr>
            <w:r w:rsidRPr="00845E79">
              <w:rPr>
                <w:rFonts w:hint="cs"/>
                <w:sz w:val="19"/>
                <w:szCs w:val="19"/>
                <w:rtl/>
              </w:rPr>
              <w:t>רכוש</w:t>
            </w:r>
            <w:r w:rsidRPr="00845E79">
              <w:rPr>
                <w:sz w:val="19"/>
                <w:szCs w:val="19"/>
                <w:rtl/>
              </w:rPr>
              <w:t xml:space="preserve"> </w:t>
            </w:r>
          </w:p>
        </w:tc>
        <w:tc>
          <w:tcPr>
            <w:tcW w:w="1130" w:type="dxa"/>
            <w:shd w:val="clear" w:color="auto" w:fill="auto"/>
            <w:vAlign w:val="bottom"/>
          </w:tcPr>
          <w:p w14:paraId="5D42BCB3" w14:textId="77777777" w:rsidR="00BA23AE" w:rsidRPr="00845E79" w:rsidRDefault="00BA23AE" w:rsidP="00BF28A4">
            <w:pPr>
              <w:pStyle w:val="R"/>
              <w:rPr>
                <w:sz w:val="19"/>
                <w:szCs w:val="19"/>
                <w:rtl/>
              </w:rPr>
            </w:pPr>
            <w:r w:rsidRPr="00845E79">
              <w:rPr>
                <w:rFonts w:hint="cs"/>
                <w:sz w:val="19"/>
                <w:szCs w:val="19"/>
                <w:rtl/>
              </w:rPr>
              <w:t>52</w:t>
            </w:r>
          </w:p>
        </w:tc>
        <w:tc>
          <w:tcPr>
            <w:tcW w:w="850" w:type="dxa"/>
            <w:vMerge/>
            <w:shd w:val="clear" w:color="auto" w:fill="auto"/>
            <w:vAlign w:val="bottom"/>
          </w:tcPr>
          <w:p w14:paraId="644E0B26" w14:textId="77777777" w:rsidR="00BA23AE" w:rsidRPr="00845E79" w:rsidRDefault="00BA23AE" w:rsidP="00465562">
            <w:pPr>
              <w:spacing w:line="269" w:lineRule="auto"/>
              <w:contextualSpacing/>
              <w:jc w:val="center"/>
              <w:rPr>
                <w:b/>
                <w:bCs/>
                <w:sz w:val="19"/>
                <w:szCs w:val="19"/>
                <w:rtl/>
              </w:rPr>
            </w:pPr>
          </w:p>
        </w:tc>
      </w:tr>
      <w:tr w:rsidR="00BA23AE" w:rsidRPr="00845E79" w14:paraId="2C12EADC" w14:textId="77777777" w:rsidTr="00963F0C">
        <w:trPr>
          <w:jc w:val="center"/>
        </w:trPr>
        <w:tc>
          <w:tcPr>
            <w:tcW w:w="1296" w:type="dxa"/>
            <w:vMerge/>
            <w:shd w:val="clear" w:color="auto" w:fill="auto"/>
          </w:tcPr>
          <w:p w14:paraId="4687C680" w14:textId="77777777" w:rsidR="00BA23AE" w:rsidRPr="00845E79" w:rsidRDefault="00BA23AE" w:rsidP="00815EB6">
            <w:pPr>
              <w:pStyle w:val="B"/>
              <w:rPr>
                <w:sz w:val="19"/>
                <w:szCs w:val="19"/>
                <w:rtl/>
              </w:rPr>
            </w:pPr>
          </w:p>
        </w:tc>
        <w:tc>
          <w:tcPr>
            <w:tcW w:w="1987" w:type="dxa"/>
            <w:vMerge/>
            <w:shd w:val="clear" w:color="auto" w:fill="auto"/>
            <w:vAlign w:val="bottom"/>
          </w:tcPr>
          <w:p w14:paraId="61D6F969" w14:textId="77777777" w:rsidR="00BA23AE" w:rsidRPr="00845E79" w:rsidRDefault="00BA23AE" w:rsidP="00815EB6">
            <w:pPr>
              <w:pStyle w:val="B"/>
              <w:rPr>
                <w:sz w:val="19"/>
                <w:szCs w:val="19"/>
                <w:rtl/>
              </w:rPr>
            </w:pPr>
          </w:p>
        </w:tc>
        <w:tc>
          <w:tcPr>
            <w:tcW w:w="2410" w:type="dxa"/>
            <w:tcBorders>
              <w:bottom w:val="single" w:sz="4" w:space="0" w:color="auto"/>
            </w:tcBorders>
            <w:shd w:val="clear" w:color="auto" w:fill="auto"/>
            <w:vAlign w:val="bottom"/>
          </w:tcPr>
          <w:p w14:paraId="0F2B13FA" w14:textId="77777777" w:rsidR="00BA23AE" w:rsidRPr="00845E79" w:rsidRDefault="00BA23AE" w:rsidP="00BF28A4">
            <w:pPr>
              <w:pStyle w:val="R"/>
              <w:rPr>
                <w:sz w:val="19"/>
                <w:szCs w:val="19"/>
                <w:rtl/>
              </w:rPr>
            </w:pPr>
            <w:r w:rsidRPr="00845E79">
              <w:rPr>
                <w:rFonts w:hint="cs"/>
                <w:sz w:val="19"/>
                <w:szCs w:val="19"/>
                <w:rtl/>
              </w:rPr>
              <w:t>יעד מקום</w:t>
            </w:r>
            <w:r w:rsidRPr="00845E79">
              <w:rPr>
                <w:rStyle w:val="FootnoteReference"/>
                <w:sz w:val="19"/>
                <w:szCs w:val="19"/>
                <w:rtl/>
              </w:rPr>
              <w:footnoteReference w:id="72"/>
            </w:r>
          </w:p>
        </w:tc>
        <w:tc>
          <w:tcPr>
            <w:tcW w:w="1130" w:type="dxa"/>
            <w:tcBorders>
              <w:bottom w:val="single" w:sz="4" w:space="0" w:color="auto"/>
            </w:tcBorders>
            <w:shd w:val="clear" w:color="auto" w:fill="auto"/>
            <w:vAlign w:val="bottom"/>
          </w:tcPr>
          <w:p w14:paraId="02AA27B4" w14:textId="77777777" w:rsidR="00BA23AE" w:rsidRPr="00845E79" w:rsidRDefault="00BA23AE" w:rsidP="00BF28A4">
            <w:pPr>
              <w:pStyle w:val="R"/>
              <w:rPr>
                <w:sz w:val="19"/>
                <w:szCs w:val="19"/>
                <w:rtl/>
              </w:rPr>
            </w:pPr>
            <w:r w:rsidRPr="00845E79">
              <w:rPr>
                <w:rFonts w:hint="cs"/>
                <w:sz w:val="19"/>
                <w:szCs w:val="19"/>
                <w:rtl/>
              </w:rPr>
              <w:t>1</w:t>
            </w:r>
          </w:p>
        </w:tc>
        <w:tc>
          <w:tcPr>
            <w:tcW w:w="850" w:type="dxa"/>
            <w:vMerge/>
            <w:shd w:val="clear" w:color="auto" w:fill="auto"/>
            <w:vAlign w:val="bottom"/>
          </w:tcPr>
          <w:p w14:paraId="54C1DB9D" w14:textId="77777777" w:rsidR="00BA23AE" w:rsidRPr="00845E79" w:rsidRDefault="00BA23AE" w:rsidP="00465562">
            <w:pPr>
              <w:spacing w:line="269" w:lineRule="auto"/>
              <w:contextualSpacing/>
              <w:jc w:val="center"/>
              <w:rPr>
                <w:b/>
                <w:bCs/>
                <w:sz w:val="19"/>
                <w:szCs w:val="19"/>
                <w:rtl/>
              </w:rPr>
            </w:pPr>
          </w:p>
        </w:tc>
      </w:tr>
      <w:tr w:rsidR="00BA23AE" w:rsidRPr="00845E79" w14:paraId="09B92125" w14:textId="77777777" w:rsidTr="00963F0C">
        <w:trPr>
          <w:jc w:val="center"/>
        </w:trPr>
        <w:tc>
          <w:tcPr>
            <w:tcW w:w="1296" w:type="dxa"/>
            <w:vMerge/>
            <w:shd w:val="clear" w:color="auto" w:fill="auto"/>
          </w:tcPr>
          <w:p w14:paraId="6CC8B5B6" w14:textId="77777777" w:rsidR="00BA23AE" w:rsidRPr="00845E79" w:rsidRDefault="00BA23AE" w:rsidP="00815EB6">
            <w:pPr>
              <w:pStyle w:val="B"/>
              <w:rPr>
                <w:sz w:val="19"/>
                <w:szCs w:val="19"/>
                <w:rtl/>
              </w:rPr>
            </w:pPr>
          </w:p>
        </w:tc>
        <w:tc>
          <w:tcPr>
            <w:tcW w:w="1987" w:type="dxa"/>
            <w:vMerge/>
            <w:shd w:val="clear" w:color="auto" w:fill="auto"/>
            <w:vAlign w:val="bottom"/>
          </w:tcPr>
          <w:p w14:paraId="6AF0055E" w14:textId="77777777" w:rsidR="00BA23AE" w:rsidRPr="00845E79" w:rsidRDefault="00BA23AE" w:rsidP="00815EB6">
            <w:pPr>
              <w:pStyle w:val="B"/>
              <w:rPr>
                <w:sz w:val="19"/>
                <w:szCs w:val="19"/>
                <w:rtl/>
              </w:rPr>
            </w:pPr>
          </w:p>
        </w:tc>
        <w:tc>
          <w:tcPr>
            <w:tcW w:w="2410" w:type="dxa"/>
            <w:shd w:val="clear" w:color="auto" w:fill="C6D9F1"/>
            <w:vAlign w:val="bottom"/>
          </w:tcPr>
          <w:p w14:paraId="150AE9E7" w14:textId="77777777" w:rsidR="00BA23AE" w:rsidRPr="00845E79" w:rsidRDefault="00BA23AE" w:rsidP="00BF28A4">
            <w:pPr>
              <w:pStyle w:val="B"/>
              <w:rPr>
                <w:sz w:val="19"/>
                <w:szCs w:val="19"/>
                <w:rtl/>
              </w:rPr>
            </w:pPr>
            <w:r w:rsidRPr="00845E79">
              <w:rPr>
                <w:rFonts w:hint="cs"/>
                <w:sz w:val="19"/>
                <w:szCs w:val="19"/>
                <w:rtl/>
              </w:rPr>
              <w:t>סה"כ</w:t>
            </w:r>
          </w:p>
        </w:tc>
        <w:tc>
          <w:tcPr>
            <w:tcW w:w="1130" w:type="dxa"/>
            <w:shd w:val="clear" w:color="auto" w:fill="C6D9F1"/>
            <w:vAlign w:val="bottom"/>
          </w:tcPr>
          <w:p w14:paraId="5EBBF50B" w14:textId="77777777" w:rsidR="00BA23AE" w:rsidRPr="00845E79" w:rsidRDefault="00BA23AE" w:rsidP="00BF28A4">
            <w:pPr>
              <w:pStyle w:val="B"/>
              <w:rPr>
                <w:sz w:val="19"/>
                <w:szCs w:val="19"/>
                <w:rtl/>
              </w:rPr>
            </w:pPr>
            <w:r w:rsidRPr="00845E79">
              <w:rPr>
                <w:rFonts w:hint="cs"/>
                <w:sz w:val="19"/>
                <w:szCs w:val="19"/>
                <w:rtl/>
              </w:rPr>
              <w:t>106</w:t>
            </w:r>
          </w:p>
        </w:tc>
        <w:tc>
          <w:tcPr>
            <w:tcW w:w="850" w:type="dxa"/>
            <w:vMerge/>
            <w:shd w:val="clear" w:color="auto" w:fill="auto"/>
            <w:vAlign w:val="bottom"/>
          </w:tcPr>
          <w:p w14:paraId="6BB494B0" w14:textId="77777777" w:rsidR="00BA23AE" w:rsidRPr="00845E79" w:rsidRDefault="00BA23AE" w:rsidP="00465562">
            <w:pPr>
              <w:spacing w:line="269" w:lineRule="auto"/>
              <w:contextualSpacing/>
              <w:jc w:val="center"/>
              <w:rPr>
                <w:b/>
                <w:bCs/>
                <w:sz w:val="19"/>
                <w:szCs w:val="19"/>
                <w:rtl/>
              </w:rPr>
            </w:pPr>
          </w:p>
        </w:tc>
      </w:tr>
      <w:tr w:rsidR="00BA23AE" w:rsidRPr="00845E79" w14:paraId="10210C91" w14:textId="77777777" w:rsidTr="00845E79">
        <w:trPr>
          <w:jc w:val="center"/>
        </w:trPr>
        <w:tc>
          <w:tcPr>
            <w:tcW w:w="1296" w:type="dxa"/>
            <w:shd w:val="clear" w:color="auto" w:fill="auto"/>
          </w:tcPr>
          <w:p w14:paraId="1E395000" w14:textId="77777777" w:rsidR="00BA23AE" w:rsidRPr="00845E79" w:rsidRDefault="00BA23AE" w:rsidP="00815EB6">
            <w:pPr>
              <w:pStyle w:val="B"/>
              <w:rPr>
                <w:sz w:val="19"/>
                <w:szCs w:val="19"/>
                <w:rtl/>
              </w:rPr>
            </w:pPr>
            <w:r w:rsidRPr="00845E79">
              <w:rPr>
                <w:rFonts w:hint="cs"/>
                <w:sz w:val="19"/>
                <w:szCs w:val="19"/>
                <w:rtl/>
              </w:rPr>
              <w:t>תוצאה</w:t>
            </w:r>
          </w:p>
        </w:tc>
        <w:tc>
          <w:tcPr>
            <w:tcW w:w="1987" w:type="dxa"/>
            <w:shd w:val="clear" w:color="auto" w:fill="auto"/>
            <w:vAlign w:val="bottom"/>
          </w:tcPr>
          <w:p w14:paraId="17BED563" w14:textId="77777777" w:rsidR="00BA23AE" w:rsidRPr="00845E79" w:rsidRDefault="00BA23AE" w:rsidP="00815EB6">
            <w:pPr>
              <w:pStyle w:val="B"/>
              <w:rPr>
                <w:sz w:val="19"/>
                <w:szCs w:val="19"/>
                <w:rtl/>
              </w:rPr>
            </w:pPr>
            <w:r w:rsidRPr="00845E79">
              <w:rPr>
                <w:rFonts w:hint="cs"/>
                <w:sz w:val="19"/>
                <w:szCs w:val="19"/>
                <w:rtl/>
              </w:rPr>
              <w:t>ציון בסקר השירות בתחנה*</w:t>
            </w:r>
          </w:p>
        </w:tc>
        <w:tc>
          <w:tcPr>
            <w:tcW w:w="2410" w:type="dxa"/>
            <w:shd w:val="clear" w:color="auto" w:fill="auto"/>
            <w:vAlign w:val="bottom"/>
          </w:tcPr>
          <w:p w14:paraId="0F0CF216" w14:textId="77777777" w:rsidR="00BA23AE" w:rsidRPr="00845E79" w:rsidRDefault="00BA23AE" w:rsidP="00BF28A4">
            <w:pPr>
              <w:pStyle w:val="B"/>
              <w:rPr>
                <w:sz w:val="19"/>
                <w:szCs w:val="19"/>
                <w:rtl/>
              </w:rPr>
            </w:pPr>
            <w:r w:rsidRPr="00845E79">
              <w:rPr>
                <w:rFonts w:hint="cs"/>
                <w:sz w:val="19"/>
                <w:szCs w:val="19"/>
                <w:rtl/>
              </w:rPr>
              <w:t>-</w:t>
            </w:r>
          </w:p>
        </w:tc>
        <w:tc>
          <w:tcPr>
            <w:tcW w:w="1130" w:type="dxa"/>
            <w:shd w:val="clear" w:color="auto" w:fill="auto"/>
            <w:vAlign w:val="bottom"/>
          </w:tcPr>
          <w:p w14:paraId="7EAFF587" w14:textId="77777777" w:rsidR="00BA23AE" w:rsidRPr="00845E79" w:rsidRDefault="00BA23AE" w:rsidP="00BF28A4">
            <w:pPr>
              <w:pStyle w:val="B"/>
              <w:rPr>
                <w:sz w:val="19"/>
                <w:szCs w:val="19"/>
                <w:rtl/>
              </w:rPr>
            </w:pPr>
            <w:r w:rsidRPr="00845E79">
              <w:rPr>
                <w:rFonts w:hint="cs"/>
                <w:sz w:val="19"/>
                <w:szCs w:val="19"/>
                <w:rtl/>
              </w:rPr>
              <w:t>78</w:t>
            </w:r>
          </w:p>
        </w:tc>
        <w:tc>
          <w:tcPr>
            <w:tcW w:w="850" w:type="dxa"/>
            <w:vMerge/>
            <w:shd w:val="clear" w:color="auto" w:fill="auto"/>
            <w:vAlign w:val="bottom"/>
          </w:tcPr>
          <w:p w14:paraId="3F6B3D72" w14:textId="77777777" w:rsidR="00BA23AE" w:rsidRPr="00845E79" w:rsidRDefault="00BA23AE" w:rsidP="00465562">
            <w:pPr>
              <w:spacing w:line="269" w:lineRule="auto"/>
              <w:contextualSpacing/>
              <w:jc w:val="center"/>
              <w:rPr>
                <w:b/>
                <w:bCs/>
                <w:sz w:val="19"/>
                <w:szCs w:val="19"/>
                <w:rtl/>
              </w:rPr>
            </w:pPr>
          </w:p>
        </w:tc>
      </w:tr>
      <w:tr w:rsidR="00BA23AE" w:rsidRPr="00845E79" w14:paraId="07E31E80" w14:textId="77777777" w:rsidTr="00845E79">
        <w:trPr>
          <w:jc w:val="center"/>
        </w:trPr>
        <w:tc>
          <w:tcPr>
            <w:tcW w:w="1296" w:type="dxa"/>
            <w:shd w:val="clear" w:color="auto" w:fill="auto"/>
          </w:tcPr>
          <w:p w14:paraId="5EEBDB75" w14:textId="77777777" w:rsidR="00BA23AE" w:rsidRPr="00845E79" w:rsidRDefault="00BA23AE" w:rsidP="00815EB6">
            <w:pPr>
              <w:pStyle w:val="B"/>
              <w:rPr>
                <w:sz w:val="19"/>
                <w:szCs w:val="19"/>
                <w:rtl/>
              </w:rPr>
            </w:pPr>
            <w:r w:rsidRPr="00845E79">
              <w:rPr>
                <w:rFonts w:hint="cs"/>
                <w:sz w:val="19"/>
                <w:szCs w:val="19"/>
                <w:rtl/>
              </w:rPr>
              <w:t>תוצאה</w:t>
            </w:r>
          </w:p>
        </w:tc>
        <w:tc>
          <w:tcPr>
            <w:tcW w:w="1987" w:type="dxa"/>
            <w:shd w:val="clear" w:color="auto" w:fill="auto"/>
            <w:vAlign w:val="bottom"/>
          </w:tcPr>
          <w:p w14:paraId="194F0DF8" w14:textId="77777777" w:rsidR="00BA23AE" w:rsidRPr="00845E79" w:rsidRDefault="00BA23AE" w:rsidP="00815EB6">
            <w:pPr>
              <w:pStyle w:val="B"/>
              <w:rPr>
                <w:sz w:val="19"/>
                <w:szCs w:val="19"/>
                <w:rtl/>
              </w:rPr>
            </w:pPr>
            <w:r w:rsidRPr="00845E79">
              <w:rPr>
                <w:rFonts w:hint="cs"/>
                <w:sz w:val="19"/>
                <w:szCs w:val="19"/>
                <w:rtl/>
              </w:rPr>
              <w:t>עמידה במספר תאונות הדרכים הקלות והחמורות</w:t>
            </w:r>
          </w:p>
        </w:tc>
        <w:tc>
          <w:tcPr>
            <w:tcW w:w="2410" w:type="dxa"/>
            <w:shd w:val="clear" w:color="auto" w:fill="auto"/>
            <w:vAlign w:val="bottom"/>
          </w:tcPr>
          <w:p w14:paraId="08D79D3E" w14:textId="77777777" w:rsidR="00BA23AE" w:rsidRPr="00845E79" w:rsidRDefault="00BA23AE" w:rsidP="00845E79">
            <w:pPr>
              <w:pStyle w:val="R"/>
              <w:rPr>
                <w:sz w:val="19"/>
                <w:szCs w:val="19"/>
                <w:rtl/>
              </w:rPr>
            </w:pPr>
            <w:r w:rsidRPr="00845E79">
              <w:rPr>
                <w:rFonts w:hint="eastAsia"/>
                <w:sz w:val="19"/>
                <w:szCs w:val="19"/>
                <w:rtl/>
              </w:rPr>
              <w:t>תאונות</w:t>
            </w:r>
            <w:r w:rsidRPr="00845E79">
              <w:rPr>
                <w:sz w:val="19"/>
                <w:szCs w:val="19"/>
                <w:rtl/>
              </w:rPr>
              <w:t xml:space="preserve"> </w:t>
            </w:r>
            <w:r w:rsidRPr="00845E79">
              <w:rPr>
                <w:rFonts w:hint="eastAsia"/>
                <w:sz w:val="19"/>
                <w:szCs w:val="19"/>
                <w:rtl/>
              </w:rPr>
              <w:t>דרכים</w:t>
            </w:r>
          </w:p>
        </w:tc>
        <w:tc>
          <w:tcPr>
            <w:tcW w:w="1130" w:type="dxa"/>
            <w:shd w:val="clear" w:color="auto" w:fill="auto"/>
            <w:vAlign w:val="bottom"/>
          </w:tcPr>
          <w:p w14:paraId="52B80533" w14:textId="77777777" w:rsidR="00BA23AE" w:rsidRPr="00845E79" w:rsidRDefault="00BA23AE" w:rsidP="00BF28A4">
            <w:pPr>
              <w:pStyle w:val="B"/>
              <w:rPr>
                <w:sz w:val="19"/>
                <w:szCs w:val="19"/>
                <w:rtl/>
              </w:rPr>
            </w:pPr>
            <w:r w:rsidRPr="00845E79">
              <w:rPr>
                <w:sz w:val="19"/>
                <w:szCs w:val="19"/>
                <w:rtl/>
              </w:rPr>
              <w:t>69</w:t>
            </w:r>
          </w:p>
        </w:tc>
        <w:tc>
          <w:tcPr>
            <w:tcW w:w="850" w:type="dxa"/>
            <w:vMerge/>
            <w:shd w:val="clear" w:color="auto" w:fill="auto"/>
            <w:vAlign w:val="bottom"/>
          </w:tcPr>
          <w:p w14:paraId="78AC5FC6" w14:textId="77777777" w:rsidR="00BA23AE" w:rsidRPr="00845E79" w:rsidRDefault="00BA23AE" w:rsidP="00465562">
            <w:pPr>
              <w:spacing w:line="269" w:lineRule="auto"/>
              <w:contextualSpacing/>
              <w:jc w:val="center"/>
              <w:rPr>
                <w:b/>
                <w:bCs/>
                <w:sz w:val="19"/>
                <w:szCs w:val="19"/>
                <w:rtl/>
              </w:rPr>
            </w:pPr>
          </w:p>
        </w:tc>
      </w:tr>
      <w:tr w:rsidR="00BA23AE" w:rsidRPr="00845E79" w14:paraId="16A92CF2" w14:textId="77777777" w:rsidTr="00845E79">
        <w:trPr>
          <w:jc w:val="center"/>
        </w:trPr>
        <w:tc>
          <w:tcPr>
            <w:tcW w:w="1296" w:type="dxa"/>
            <w:vMerge w:val="restart"/>
            <w:shd w:val="clear" w:color="auto" w:fill="auto"/>
          </w:tcPr>
          <w:p w14:paraId="2F15D9CF" w14:textId="77777777" w:rsidR="00BA23AE" w:rsidRPr="00845E79" w:rsidRDefault="00BA23AE" w:rsidP="00815EB6">
            <w:pPr>
              <w:pStyle w:val="B"/>
              <w:rPr>
                <w:sz w:val="19"/>
                <w:szCs w:val="19"/>
                <w:rtl/>
              </w:rPr>
            </w:pPr>
            <w:r w:rsidRPr="00845E79">
              <w:rPr>
                <w:rFonts w:hint="cs"/>
                <w:sz w:val="19"/>
                <w:szCs w:val="19"/>
                <w:rtl/>
              </w:rPr>
              <w:t>תוצאה</w:t>
            </w:r>
          </w:p>
        </w:tc>
        <w:tc>
          <w:tcPr>
            <w:tcW w:w="1987" w:type="dxa"/>
            <w:vMerge w:val="restart"/>
            <w:shd w:val="clear" w:color="auto" w:fill="auto"/>
          </w:tcPr>
          <w:p w14:paraId="7451B4B6" w14:textId="77777777" w:rsidR="00BA23AE" w:rsidRPr="00845E79" w:rsidRDefault="00BA23AE" w:rsidP="00815EB6">
            <w:pPr>
              <w:pStyle w:val="B"/>
              <w:rPr>
                <w:sz w:val="19"/>
                <w:szCs w:val="19"/>
                <w:rtl/>
              </w:rPr>
            </w:pPr>
            <w:r w:rsidRPr="00845E79">
              <w:rPr>
                <w:rFonts w:hint="cs"/>
                <w:sz w:val="19"/>
                <w:szCs w:val="19"/>
                <w:rtl/>
              </w:rPr>
              <w:t>שיפור מגמה באירועי המוקד המדווחים</w:t>
            </w:r>
          </w:p>
        </w:tc>
        <w:tc>
          <w:tcPr>
            <w:tcW w:w="2410" w:type="dxa"/>
            <w:shd w:val="clear" w:color="auto" w:fill="auto"/>
            <w:vAlign w:val="bottom"/>
          </w:tcPr>
          <w:p w14:paraId="7D8E9423" w14:textId="77777777" w:rsidR="00BA23AE" w:rsidRPr="00845E79" w:rsidRDefault="00BA23AE" w:rsidP="00815EB6">
            <w:pPr>
              <w:pStyle w:val="R"/>
              <w:rPr>
                <w:sz w:val="19"/>
                <w:szCs w:val="19"/>
                <w:rtl/>
              </w:rPr>
            </w:pPr>
            <w:r w:rsidRPr="00845E79">
              <w:rPr>
                <w:rFonts w:hint="cs"/>
                <w:sz w:val="19"/>
                <w:szCs w:val="19"/>
                <w:rtl/>
              </w:rPr>
              <w:t>גרימת רעש</w:t>
            </w:r>
            <w:r w:rsidRPr="00845E79">
              <w:rPr>
                <w:sz w:val="19"/>
                <w:szCs w:val="19"/>
                <w:rtl/>
              </w:rPr>
              <w:t xml:space="preserve"> </w:t>
            </w:r>
          </w:p>
        </w:tc>
        <w:tc>
          <w:tcPr>
            <w:tcW w:w="1130" w:type="dxa"/>
            <w:shd w:val="clear" w:color="auto" w:fill="auto"/>
            <w:vAlign w:val="bottom"/>
          </w:tcPr>
          <w:p w14:paraId="61D603D1" w14:textId="77777777" w:rsidR="00BA23AE" w:rsidRPr="00845E79" w:rsidRDefault="00BA23AE" w:rsidP="00815EB6">
            <w:pPr>
              <w:pStyle w:val="R"/>
              <w:rPr>
                <w:sz w:val="19"/>
                <w:szCs w:val="19"/>
                <w:rtl/>
              </w:rPr>
            </w:pPr>
            <w:r w:rsidRPr="00845E79">
              <w:rPr>
                <w:sz w:val="19"/>
                <w:szCs w:val="19"/>
                <w:rtl/>
              </w:rPr>
              <w:t>28</w:t>
            </w:r>
          </w:p>
        </w:tc>
        <w:tc>
          <w:tcPr>
            <w:tcW w:w="850" w:type="dxa"/>
            <w:vMerge/>
            <w:shd w:val="clear" w:color="auto" w:fill="auto"/>
            <w:vAlign w:val="bottom"/>
          </w:tcPr>
          <w:p w14:paraId="6A5D4190" w14:textId="77777777" w:rsidR="00BA23AE" w:rsidRPr="00845E79" w:rsidRDefault="00BA23AE" w:rsidP="00465562">
            <w:pPr>
              <w:spacing w:line="269" w:lineRule="auto"/>
              <w:contextualSpacing/>
              <w:jc w:val="center"/>
              <w:rPr>
                <w:b/>
                <w:bCs/>
                <w:sz w:val="19"/>
                <w:szCs w:val="19"/>
                <w:rtl/>
              </w:rPr>
            </w:pPr>
          </w:p>
        </w:tc>
      </w:tr>
      <w:tr w:rsidR="00BA23AE" w:rsidRPr="00845E79" w14:paraId="703654C9" w14:textId="77777777" w:rsidTr="00845E79">
        <w:trPr>
          <w:jc w:val="center"/>
        </w:trPr>
        <w:tc>
          <w:tcPr>
            <w:tcW w:w="1296" w:type="dxa"/>
            <w:vMerge/>
            <w:shd w:val="clear" w:color="auto" w:fill="auto"/>
            <w:vAlign w:val="bottom"/>
          </w:tcPr>
          <w:p w14:paraId="732E0E83" w14:textId="77777777" w:rsidR="00BA23AE" w:rsidRPr="00845E79" w:rsidRDefault="00BA23AE" w:rsidP="00815EB6">
            <w:pPr>
              <w:pStyle w:val="B"/>
              <w:rPr>
                <w:sz w:val="19"/>
                <w:szCs w:val="19"/>
                <w:rtl/>
              </w:rPr>
            </w:pPr>
          </w:p>
        </w:tc>
        <w:tc>
          <w:tcPr>
            <w:tcW w:w="1987" w:type="dxa"/>
            <w:vMerge/>
            <w:shd w:val="clear" w:color="auto" w:fill="auto"/>
            <w:vAlign w:val="bottom"/>
          </w:tcPr>
          <w:p w14:paraId="48EFA62F" w14:textId="77777777" w:rsidR="00BA23AE" w:rsidRPr="00845E79" w:rsidRDefault="00BA23AE" w:rsidP="00815EB6">
            <w:pPr>
              <w:pStyle w:val="B"/>
              <w:rPr>
                <w:sz w:val="19"/>
                <w:szCs w:val="19"/>
                <w:rtl/>
              </w:rPr>
            </w:pPr>
          </w:p>
        </w:tc>
        <w:tc>
          <w:tcPr>
            <w:tcW w:w="2410" w:type="dxa"/>
            <w:shd w:val="clear" w:color="auto" w:fill="auto"/>
            <w:vAlign w:val="bottom"/>
          </w:tcPr>
          <w:p w14:paraId="2CC736D0" w14:textId="77777777" w:rsidR="00BA23AE" w:rsidRPr="00845E79" w:rsidRDefault="00BA23AE" w:rsidP="00815EB6">
            <w:pPr>
              <w:pStyle w:val="R"/>
              <w:rPr>
                <w:sz w:val="19"/>
                <w:szCs w:val="19"/>
                <w:rtl/>
              </w:rPr>
            </w:pPr>
            <w:r w:rsidRPr="00845E79">
              <w:rPr>
                <w:rFonts w:hint="cs"/>
                <w:sz w:val="19"/>
                <w:szCs w:val="19"/>
                <w:rtl/>
              </w:rPr>
              <w:t>בריונות בכביש</w:t>
            </w:r>
          </w:p>
        </w:tc>
        <w:tc>
          <w:tcPr>
            <w:tcW w:w="1130" w:type="dxa"/>
            <w:shd w:val="clear" w:color="auto" w:fill="auto"/>
            <w:vAlign w:val="bottom"/>
          </w:tcPr>
          <w:p w14:paraId="718E85F4" w14:textId="77777777" w:rsidR="00BA23AE" w:rsidRPr="00845E79" w:rsidRDefault="00BA23AE" w:rsidP="00815EB6">
            <w:pPr>
              <w:pStyle w:val="R"/>
              <w:rPr>
                <w:sz w:val="19"/>
                <w:szCs w:val="19"/>
                <w:rtl/>
              </w:rPr>
            </w:pPr>
            <w:r w:rsidRPr="00845E79">
              <w:rPr>
                <w:sz w:val="19"/>
                <w:szCs w:val="19"/>
                <w:rtl/>
              </w:rPr>
              <w:t>13</w:t>
            </w:r>
          </w:p>
        </w:tc>
        <w:tc>
          <w:tcPr>
            <w:tcW w:w="850" w:type="dxa"/>
            <w:vMerge/>
            <w:shd w:val="clear" w:color="auto" w:fill="auto"/>
            <w:vAlign w:val="bottom"/>
          </w:tcPr>
          <w:p w14:paraId="03B5CAEB" w14:textId="77777777" w:rsidR="00BA23AE" w:rsidRPr="00845E79" w:rsidRDefault="00BA23AE" w:rsidP="00465562">
            <w:pPr>
              <w:spacing w:line="269" w:lineRule="auto"/>
              <w:contextualSpacing/>
              <w:jc w:val="center"/>
              <w:rPr>
                <w:b/>
                <w:bCs/>
                <w:sz w:val="19"/>
                <w:szCs w:val="19"/>
                <w:rtl/>
              </w:rPr>
            </w:pPr>
          </w:p>
        </w:tc>
      </w:tr>
      <w:tr w:rsidR="00BA23AE" w:rsidRPr="00845E79" w14:paraId="1231BA04" w14:textId="77777777" w:rsidTr="00845E79">
        <w:trPr>
          <w:jc w:val="center"/>
        </w:trPr>
        <w:tc>
          <w:tcPr>
            <w:tcW w:w="1296" w:type="dxa"/>
            <w:vMerge/>
            <w:shd w:val="clear" w:color="auto" w:fill="auto"/>
            <w:vAlign w:val="bottom"/>
          </w:tcPr>
          <w:p w14:paraId="6F5FA4CB" w14:textId="77777777" w:rsidR="00BA23AE" w:rsidRPr="00845E79" w:rsidRDefault="00BA23AE" w:rsidP="00815EB6">
            <w:pPr>
              <w:pStyle w:val="B"/>
              <w:rPr>
                <w:sz w:val="19"/>
                <w:szCs w:val="19"/>
                <w:rtl/>
              </w:rPr>
            </w:pPr>
          </w:p>
        </w:tc>
        <w:tc>
          <w:tcPr>
            <w:tcW w:w="1987" w:type="dxa"/>
            <w:vMerge/>
            <w:shd w:val="clear" w:color="auto" w:fill="auto"/>
            <w:vAlign w:val="bottom"/>
          </w:tcPr>
          <w:p w14:paraId="4341F0AA" w14:textId="77777777" w:rsidR="00BA23AE" w:rsidRPr="00845E79" w:rsidRDefault="00BA23AE" w:rsidP="00815EB6">
            <w:pPr>
              <w:pStyle w:val="B"/>
              <w:rPr>
                <w:sz w:val="19"/>
                <w:szCs w:val="19"/>
                <w:rtl/>
              </w:rPr>
            </w:pPr>
          </w:p>
        </w:tc>
        <w:tc>
          <w:tcPr>
            <w:tcW w:w="2410" w:type="dxa"/>
            <w:shd w:val="clear" w:color="auto" w:fill="auto"/>
            <w:vAlign w:val="bottom"/>
          </w:tcPr>
          <w:p w14:paraId="53BA7968" w14:textId="77777777" w:rsidR="00BA23AE" w:rsidRPr="00845E79" w:rsidRDefault="00BA23AE" w:rsidP="00815EB6">
            <w:pPr>
              <w:pStyle w:val="R"/>
              <w:rPr>
                <w:sz w:val="19"/>
                <w:szCs w:val="19"/>
                <w:rtl/>
              </w:rPr>
            </w:pPr>
            <w:r w:rsidRPr="00845E79">
              <w:rPr>
                <w:rFonts w:hint="cs"/>
                <w:sz w:val="19"/>
                <w:szCs w:val="19"/>
                <w:rtl/>
              </w:rPr>
              <w:t>ירי</w:t>
            </w:r>
          </w:p>
        </w:tc>
        <w:tc>
          <w:tcPr>
            <w:tcW w:w="1130" w:type="dxa"/>
            <w:shd w:val="clear" w:color="auto" w:fill="auto"/>
            <w:vAlign w:val="bottom"/>
          </w:tcPr>
          <w:p w14:paraId="33D067D8" w14:textId="77777777" w:rsidR="00BA23AE" w:rsidRPr="00845E79" w:rsidRDefault="00BA23AE" w:rsidP="00815EB6">
            <w:pPr>
              <w:pStyle w:val="R"/>
              <w:rPr>
                <w:sz w:val="19"/>
                <w:szCs w:val="19"/>
                <w:rtl/>
              </w:rPr>
            </w:pPr>
            <w:r w:rsidRPr="00845E79">
              <w:rPr>
                <w:sz w:val="19"/>
                <w:szCs w:val="19"/>
                <w:rtl/>
              </w:rPr>
              <w:t>8</w:t>
            </w:r>
          </w:p>
        </w:tc>
        <w:tc>
          <w:tcPr>
            <w:tcW w:w="850" w:type="dxa"/>
            <w:vMerge/>
            <w:shd w:val="clear" w:color="auto" w:fill="auto"/>
            <w:vAlign w:val="bottom"/>
          </w:tcPr>
          <w:p w14:paraId="5D2C93DF" w14:textId="77777777" w:rsidR="00BA23AE" w:rsidRPr="00845E79" w:rsidRDefault="00BA23AE" w:rsidP="00465562">
            <w:pPr>
              <w:spacing w:line="269" w:lineRule="auto"/>
              <w:contextualSpacing/>
              <w:jc w:val="center"/>
              <w:rPr>
                <w:b/>
                <w:bCs/>
                <w:sz w:val="19"/>
                <w:szCs w:val="19"/>
                <w:rtl/>
              </w:rPr>
            </w:pPr>
          </w:p>
        </w:tc>
      </w:tr>
      <w:tr w:rsidR="00BA23AE" w:rsidRPr="00845E79" w14:paraId="2CE1CDBA" w14:textId="77777777" w:rsidTr="00963F0C">
        <w:trPr>
          <w:jc w:val="center"/>
        </w:trPr>
        <w:tc>
          <w:tcPr>
            <w:tcW w:w="1296" w:type="dxa"/>
            <w:vMerge/>
            <w:shd w:val="clear" w:color="auto" w:fill="auto"/>
            <w:vAlign w:val="bottom"/>
          </w:tcPr>
          <w:p w14:paraId="18B9E36D" w14:textId="77777777" w:rsidR="00BA23AE" w:rsidRPr="00845E79" w:rsidRDefault="00BA23AE" w:rsidP="00815EB6">
            <w:pPr>
              <w:pStyle w:val="B"/>
              <w:rPr>
                <w:sz w:val="19"/>
                <w:szCs w:val="19"/>
                <w:rtl/>
              </w:rPr>
            </w:pPr>
          </w:p>
        </w:tc>
        <w:tc>
          <w:tcPr>
            <w:tcW w:w="1987" w:type="dxa"/>
            <w:vMerge/>
            <w:shd w:val="clear" w:color="auto" w:fill="auto"/>
            <w:vAlign w:val="bottom"/>
          </w:tcPr>
          <w:p w14:paraId="2E569A60" w14:textId="77777777" w:rsidR="00BA23AE" w:rsidRPr="00845E79" w:rsidRDefault="00BA23AE" w:rsidP="00815EB6">
            <w:pPr>
              <w:pStyle w:val="B"/>
              <w:rPr>
                <w:sz w:val="19"/>
                <w:szCs w:val="19"/>
                <w:rtl/>
              </w:rPr>
            </w:pPr>
          </w:p>
        </w:tc>
        <w:tc>
          <w:tcPr>
            <w:tcW w:w="2410" w:type="dxa"/>
            <w:tcBorders>
              <w:bottom w:val="single" w:sz="4" w:space="0" w:color="auto"/>
            </w:tcBorders>
            <w:shd w:val="clear" w:color="auto" w:fill="auto"/>
            <w:vAlign w:val="bottom"/>
          </w:tcPr>
          <w:p w14:paraId="4B6D1D2E" w14:textId="77777777" w:rsidR="00BA23AE" w:rsidRPr="00845E79" w:rsidRDefault="00BA23AE" w:rsidP="00815EB6">
            <w:pPr>
              <w:pStyle w:val="R"/>
              <w:rPr>
                <w:sz w:val="19"/>
                <w:szCs w:val="19"/>
                <w:rtl/>
              </w:rPr>
            </w:pPr>
            <w:r w:rsidRPr="00845E79">
              <w:rPr>
                <w:rFonts w:hint="cs"/>
                <w:sz w:val="19"/>
                <w:szCs w:val="19"/>
                <w:rtl/>
              </w:rPr>
              <w:t>ייחודי</w:t>
            </w:r>
          </w:p>
        </w:tc>
        <w:tc>
          <w:tcPr>
            <w:tcW w:w="1130" w:type="dxa"/>
            <w:tcBorders>
              <w:bottom w:val="single" w:sz="4" w:space="0" w:color="auto"/>
            </w:tcBorders>
            <w:shd w:val="clear" w:color="auto" w:fill="auto"/>
            <w:vAlign w:val="bottom"/>
          </w:tcPr>
          <w:p w14:paraId="3405526A" w14:textId="77777777" w:rsidR="00BA23AE" w:rsidRPr="00845E79" w:rsidRDefault="00BA23AE" w:rsidP="00815EB6">
            <w:pPr>
              <w:pStyle w:val="R"/>
              <w:rPr>
                <w:sz w:val="19"/>
                <w:szCs w:val="19"/>
                <w:rtl/>
              </w:rPr>
            </w:pPr>
            <w:r w:rsidRPr="00845E79">
              <w:rPr>
                <w:sz w:val="19"/>
                <w:szCs w:val="19"/>
                <w:rtl/>
              </w:rPr>
              <w:t>3</w:t>
            </w:r>
          </w:p>
        </w:tc>
        <w:tc>
          <w:tcPr>
            <w:tcW w:w="850" w:type="dxa"/>
            <w:vMerge/>
            <w:shd w:val="clear" w:color="auto" w:fill="auto"/>
            <w:vAlign w:val="bottom"/>
          </w:tcPr>
          <w:p w14:paraId="4B378B24" w14:textId="77777777" w:rsidR="00BA23AE" w:rsidRPr="00845E79" w:rsidRDefault="00BA23AE" w:rsidP="00465562">
            <w:pPr>
              <w:spacing w:line="269" w:lineRule="auto"/>
              <w:contextualSpacing/>
              <w:jc w:val="center"/>
              <w:rPr>
                <w:b/>
                <w:bCs/>
                <w:sz w:val="19"/>
                <w:szCs w:val="19"/>
                <w:rtl/>
              </w:rPr>
            </w:pPr>
          </w:p>
        </w:tc>
      </w:tr>
      <w:tr w:rsidR="00BA23AE" w:rsidRPr="00845E79" w14:paraId="595EE4C9" w14:textId="77777777" w:rsidTr="00963F0C">
        <w:trPr>
          <w:jc w:val="center"/>
        </w:trPr>
        <w:tc>
          <w:tcPr>
            <w:tcW w:w="1296" w:type="dxa"/>
            <w:vMerge/>
            <w:shd w:val="clear" w:color="auto" w:fill="auto"/>
            <w:vAlign w:val="bottom"/>
          </w:tcPr>
          <w:p w14:paraId="6D9E36C1" w14:textId="77777777" w:rsidR="00BA23AE" w:rsidRPr="00845E79" w:rsidRDefault="00BA23AE" w:rsidP="00815EB6">
            <w:pPr>
              <w:pStyle w:val="B"/>
              <w:rPr>
                <w:sz w:val="19"/>
                <w:szCs w:val="19"/>
                <w:rtl/>
              </w:rPr>
            </w:pPr>
          </w:p>
        </w:tc>
        <w:tc>
          <w:tcPr>
            <w:tcW w:w="1987" w:type="dxa"/>
            <w:vMerge/>
            <w:shd w:val="clear" w:color="auto" w:fill="auto"/>
            <w:vAlign w:val="bottom"/>
          </w:tcPr>
          <w:p w14:paraId="69A77050" w14:textId="77777777" w:rsidR="00BA23AE" w:rsidRPr="00845E79" w:rsidRDefault="00BA23AE" w:rsidP="00815EB6">
            <w:pPr>
              <w:pStyle w:val="B"/>
              <w:rPr>
                <w:sz w:val="19"/>
                <w:szCs w:val="19"/>
                <w:rtl/>
              </w:rPr>
            </w:pPr>
          </w:p>
        </w:tc>
        <w:tc>
          <w:tcPr>
            <w:tcW w:w="2410" w:type="dxa"/>
            <w:shd w:val="clear" w:color="auto" w:fill="C6D9F1"/>
            <w:vAlign w:val="bottom"/>
          </w:tcPr>
          <w:p w14:paraId="578CA3F9" w14:textId="77777777" w:rsidR="00BA23AE" w:rsidRPr="00845E79" w:rsidRDefault="00BA23AE" w:rsidP="00815EB6">
            <w:pPr>
              <w:pStyle w:val="B"/>
              <w:rPr>
                <w:sz w:val="19"/>
                <w:szCs w:val="19"/>
                <w:rtl/>
              </w:rPr>
            </w:pPr>
            <w:r w:rsidRPr="00845E79">
              <w:rPr>
                <w:rFonts w:hint="cs"/>
                <w:sz w:val="19"/>
                <w:szCs w:val="19"/>
                <w:rtl/>
              </w:rPr>
              <w:t>סה"כ</w:t>
            </w:r>
          </w:p>
        </w:tc>
        <w:tc>
          <w:tcPr>
            <w:tcW w:w="1130" w:type="dxa"/>
            <w:shd w:val="clear" w:color="auto" w:fill="C6D9F1"/>
            <w:vAlign w:val="bottom"/>
          </w:tcPr>
          <w:p w14:paraId="497B6B69" w14:textId="77777777" w:rsidR="00BA23AE" w:rsidRPr="00845E79" w:rsidRDefault="00BA23AE" w:rsidP="00815EB6">
            <w:pPr>
              <w:pStyle w:val="B"/>
              <w:rPr>
                <w:sz w:val="19"/>
                <w:szCs w:val="19"/>
                <w:rtl/>
              </w:rPr>
            </w:pPr>
            <w:r w:rsidRPr="00845E79">
              <w:rPr>
                <w:rFonts w:hint="cs"/>
                <w:sz w:val="19"/>
                <w:szCs w:val="19"/>
                <w:rtl/>
              </w:rPr>
              <w:t>52</w:t>
            </w:r>
          </w:p>
        </w:tc>
        <w:tc>
          <w:tcPr>
            <w:tcW w:w="850" w:type="dxa"/>
            <w:vMerge/>
            <w:shd w:val="clear" w:color="auto" w:fill="auto"/>
            <w:vAlign w:val="bottom"/>
          </w:tcPr>
          <w:p w14:paraId="1ED480D3" w14:textId="77777777" w:rsidR="00BA23AE" w:rsidRPr="00845E79" w:rsidRDefault="00BA23AE" w:rsidP="00465562">
            <w:pPr>
              <w:spacing w:line="269" w:lineRule="auto"/>
              <w:contextualSpacing/>
              <w:jc w:val="center"/>
              <w:rPr>
                <w:b/>
                <w:bCs/>
                <w:sz w:val="19"/>
                <w:szCs w:val="19"/>
                <w:rtl/>
              </w:rPr>
            </w:pPr>
          </w:p>
        </w:tc>
      </w:tr>
      <w:tr w:rsidR="00BA23AE" w:rsidRPr="00845E79" w14:paraId="1B9E20BC" w14:textId="77777777" w:rsidTr="00845E79">
        <w:trPr>
          <w:jc w:val="center"/>
        </w:trPr>
        <w:tc>
          <w:tcPr>
            <w:tcW w:w="6823" w:type="dxa"/>
            <w:gridSpan w:val="4"/>
            <w:shd w:val="clear" w:color="auto" w:fill="C6D9F1"/>
            <w:vAlign w:val="bottom"/>
          </w:tcPr>
          <w:p w14:paraId="287BCD76" w14:textId="77777777" w:rsidR="00BA23AE" w:rsidRPr="00845E79" w:rsidRDefault="00BA23AE" w:rsidP="00815EB6">
            <w:pPr>
              <w:pStyle w:val="B"/>
              <w:rPr>
                <w:sz w:val="19"/>
                <w:szCs w:val="19"/>
                <w:rtl/>
              </w:rPr>
            </w:pPr>
            <w:r w:rsidRPr="00845E79">
              <w:rPr>
                <w:rFonts w:hint="cs"/>
                <w:sz w:val="19"/>
                <w:szCs w:val="19"/>
                <w:rtl/>
              </w:rPr>
              <w:t>סה"כ בעיות שנמדדו במדד התוצאה</w:t>
            </w:r>
          </w:p>
        </w:tc>
        <w:tc>
          <w:tcPr>
            <w:tcW w:w="850" w:type="dxa"/>
            <w:shd w:val="clear" w:color="auto" w:fill="C6D9F1"/>
            <w:vAlign w:val="bottom"/>
          </w:tcPr>
          <w:p w14:paraId="3085E48F" w14:textId="77777777" w:rsidR="00BA23AE" w:rsidRPr="00845E79" w:rsidRDefault="00BA23AE" w:rsidP="00815EB6">
            <w:pPr>
              <w:pStyle w:val="B"/>
              <w:rPr>
                <w:sz w:val="19"/>
                <w:szCs w:val="19"/>
                <w:rtl/>
              </w:rPr>
            </w:pPr>
            <w:r w:rsidRPr="00845E79">
              <w:rPr>
                <w:rFonts w:hint="cs"/>
                <w:sz w:val="19"/>
                <w:szCs w:val="19"/>
                <w:rtl/>
              </w:rPr>
              <w:t>305</w:t>
            </w:r>
          </w:p>
        </w:tc>
      </w:tr>
      <w:tr w:rsidR="00BA23AE" w:rsidRPr="00845E79" w14:paraId="7823692A" w14:textId="77777777" w:rsidTr="00845E79">
        <w:trPr>
          <w:jc w:val="center"/>
        </w:trPr>
        <w:tc>
          <w:tcPr>
            <w:tcW w:w="1296" w:type="dxa"/>
            <w:shd w:val="clear" w:color="auto" w:fill="auto"/>
            <w:vAlign w:val="bottom"/>
          </w:tcPr>
          <w:p w14:paraId="1C5A9D86" w14:textId="77777777" w:rsidR="00BA23AE" w:rsidRPr="00845E79" w:rsidRDefault="00BA23AE" w:rsidP="00815EB6">
            <w:pPr>
              <w:pStyle w:val="B"/>
              <w:rPr>
                <w:rFonts w:ascii="Arial" w:eastAsia="Times New Roman" w:hAnsi="Arial"/>
                <w:color w:val="000000"/>
                <w:sz w:val="19"/>
                <w:szCs w:val="19"/>
                <w:rtl/>
              </w:rPr>
            </w:pPr>
            <w:r w:rsidRPr="00845E79">
              <w:rPr>
                <w:rFonts w:hint="cs"/>
                <w:sz w:val="19"/>
                <w:szCs w:val="19"/>
                <w:rtl/>
              </w:rPr>
              <w:t>תפוקה</w:t>
            </w:r>
          </w:p>
        </w:tc>
        <w:tc>
          <w:tcPr>
            <w:tcW w:w="1987" w:type="dxa"/>
            <w:shd w:val="clear" w:color="auto" w:fill="auto"/>
            <w:vAlign w:val="bottom"/>
          </w:tcPr>
          <w:p w14:paraId="5B59CD42" w14:textId="77777777" w:rsidR="00BA23AE" w:rsidRPr="00845E79" w:rsidRDefault="00BA23AE" w:rsidP="00815EB6">
            <w:pPr>
              <w:pStyle w:val="B"/>
              <w:rPr>
                <w:rFonts w:ascii="Arial" w:eastAsia="Times New Roman" w:hAnsi="Arial"/>
                <w:color w:val="000000"/>
                <w:sz w:val="19"/>
                <w:szCs w:val="19"/>
                <w:rtl/>
              </w:rPr>
            </w:pPr>
            <w:r w:rsidRPr="00845E79">
              <w:rPr>
                <w:rFonts w:ascii="Arial" w:eastAsia="Times New Roman" w:hAnsi="Arial" w:hint="cs"/>
                <w:color w:val="000000"/>
                <w:sz w:val="19"/>
                <w:szCs w:val="19"/>
                <w:rtl/>
              </w:rPr>
              <w:t>עמידה במספר מעצרי תום הליכים</w:t>
            </w:r>
          </w:p>
        </w:tc>
        <w:tc>
          <w:tcPr>
            <w:tcW w:w="2410" w:type="dxa"/>
            <w:shd w:val="clear" w:color="auto" w:fill="auto"/>
            <w:vAlign w:val="bottom"/>
          </w:tcPr>
          <w:p w14:paraId="1F2443EE" w14:textId="77777777" w:rsidR="00BA23AE" w:rsidRPr="00845E79" w:rsidRDefault="00BA23AE" w:rsidP="00815EB6">
            <w:pPr>
              <w:pStyle w:val="R"/>
              <w:rPr>
                <w:sz w:val="19"/>
                <w:szCs w:val="19"/>
                <w:rtl/>
              </w:rPr>
            </w:pPr>
            <w:r w:rsidRPr="00845E79">
              <w:rPr>
                <w:rFonts w:hint="eastAsia"/>
                <w:sz w:val="19"/>
                <w:szCs w:val="19"/>
                <w:rtl/>
              </w:rPr>
              <w:t>חשיפה</w:t>
            </w:r>
          </w:p>
        </w:tc>
        <w:tc>
          <w:tcPr>
            <w:tcW w:w="1130" w:type="dxa"/>
            <w:shd w:val="clear" w:color="auto" w:fill="auto"/>
            <w:vAlign w:val="bottom"/>
          </w:tcPr>
          <w:p w14:paraId="4D4ECAF7" w14:textId="77777777" w:rsidR="00BA23AE" w:rsidRPr="00845E79" w:rsidRDefault="00BA23AE" w:rsidP="00815EB6">
            <w:pPr>
              <w:pStyle w:val="B"/>
              <w:rPr>
                <w:sz w:val="19"/>
                <w:szCs w:val="19"/>
                <w:rtl/>
              </w:rPr>
            </w:pPr>
            <w:r w:rsidRPr="00845E79">
              <w:rPr>
                <w:rFonts w:hint="cs"/>
                <w:sz w:val="19"/>
                <w:szCs w:val="19"/>
                <w:rtl/>
              </w:rPr>
              <w:t>73</w:t>
            </w:r>
          </w:p>
        </w:tc>
        <w:tc>
          <w:tcPr>
            <w:tcW w:w="850" w:type="dxa"/>
            <w:vMerge w:val="restart"/>
            <w:shd w:val="clear" w:color="auto" w:fill="auto"/>
            <w:vAlign w:val="bottom"/>
          </w:tcPr>
          <w:p w14:paraId="62CD46D6" w14:textId="77777777" w:rsidR="00BA23AE" w:rsidRPr="00845E79" w:rsidRDefault="00BA23AE" w:rsidP="00815EB6">
            <w:pPr>
              <w:pStyle w:val="B"/>
              <w:rPr>
                <w:sz w:val="19"/>
                <w:szCs w:val="19"/>
                <w:rtl/>
              </w:rPr>
            </w:pPr>
          </w:p>
        </w:tc>
      </w:tr>
      <w:tr w:rsidR="00BA23AE" w:rsidRPr="00845E79" w14:paraId="13D094D1" w14:textId="77777777" w:rsidTr="00845E79">
        <w:trPr>
          <w:jc w:val="center"/>
        </w:trPr>
        <w:tc>
          <w:tcPr>
            <w:tcW w:w="1296" w:type="dxa"/>
            <w:vMerge w:val="restart"/>
            <w:shd w:val="clear" w:color="auto" w:fill="auto"/>
          </w:tcPr>
          <w:p w14:paraId="01865FE8" w14:textId="77777777" w:rsidR="00BA23AE" w:rsidRPr="00845E79" w:rsidRDefault="00BA23AE" w:rsidP="00815EB6">
            <w:pPr>
              <w:pStyle w:val="B"/>
              <w:rPr>
                <w:rFonts w:ascii="Arial" w:eastAsia="Times New Roman" w:hAnsi="Arial"/>
                <w:color w:val="000000"/>
                <w:sz w:val="19"/>
                <w:szCs w:val="19"/>
                <w:rtl/>
              </w:rPr>
            </w:pPr>
            <w:r w:rsidRPr="00845E79">
              <w:rPr>
                <w:rFonts w:hint="cs"/>
                <w:sz w:val="19"/>
                <w:szCs w:val="19"/>
                <w:rtl/>
              </w:rPr>
              <w:lastRenderedPageBreak/>
              <w:t>תפוקה</w:t>
            </w:r>
          </w:p>
        </w:tc>
        <w:tc>
          <w:tcPr>
            <w:tcW w:w="1987" w:type="dxa"/>
            <w:vMerge w:val="restart"/>
            <w:shd w:val="clear" w:color="auto" w:fill="auto"/>
          </w:tcPr>
          <w:p w14:paraId="1B19ED46" w14:textId="77777777" w:rsidR="00BA23AE" w:rsidRPr="00845E79" w:rsidRDefault="00BA23AE" w:rsidP="00815EB6">
            <w:pPr>
              <w:pStyle w:val="B"/>
              <w:rPr>
                <w:rFonts w:ascii="Arial" w:eastAsia="Times New Roman" w:hAnsi="Arial"/>
                <w:color w:val="000000"/>
                <w:sz w:val="19"/>
                <w:szCs w:val="19"/>
                <w:rtl/>
              </w:rPr>
            </w:pPr>
            <w:r w:rsidRPr="00845E79">
              <w:rPr>
                <w:rFonts w:ascii="Arial" w:eastAsia="Times New Roman" w:hAnsi="Arial" w:hint="cs"/>
                <w:color w:val="000000"/>
                <w:sz w:val="19"/>
                <w:szCs w:val="19"/>
                <w:rtl/>
              </w:rPr>
              <w:t>עמידה במספר כתבי האישום</w:t>
            </w:r>
          </w:p>
        </w:tc>
        <w:tc>
          <w:tcPr>
            <w:tcW w:w="2410" w:type="dxa"/>
            <w:shd w:val="clear" w:color="auto" w:fill="auto"/>
            <w:vAlign w:val="bottom"/>
          </w:tcPr>
          <w:p w14:paraId="4CB04D6E" w14:textId="77777777" w:rsidR="00BA23AE" w:rsidRPr="00845E79" w:rsidRDefault="00BA23AE" w:rsidP="00815EB6">
            <w:pPr>
              <w:pStyle w:val="R"/>
              <w:rPr>
                <w:sz w:val="19"/>
                <w:szCs w:val="19"/>
                <w:rtl/>
              </w:rPr>
            </w:pPr>
            <w:r w:rsidRPr="00845E79">
              <w:rPr>
                <w:rFonts w:hint="eastAsia"/>
                <w:sz w:val="19"/>
                <w:szCs w:val="19"/>
                <w:rtl/>
              </w:rPr>
              <w:t>חשיפה</w:t>
            </w:r>
          </w:p>
        </w:tc>
        <w:tc>
          <w:tcPr>
            <w:tcW w:w="1130" w:type="dxa"/>
            <w:shd w:val="clear" w:color="auto" w:fill="auto"/>
            <w:vAlign w:val="bottom"/>
          </w:tcPr>
          <w:p w14:paraId="22974061" w14:textId="77777777" w:rsidR="00BA23AE" w:rsidRPr="00845E79" w:rsidRDefault="00BA23AE" w:rsidP="00815EB6">
            <w:pPr>
              <w:pStyle w:val="R"/>
              <w:rPr>
                <w:sz w:val="19"/>
                <w:szCs w:val="19"/>
                <w:rtl/>
              </w:rPr>
            </w:pPr>
            <w:r w:rsidRPr="00845E79">
              <w:rPr>
                <w:sz w:val="19"/>
                <w:szCs w:val="19"/>
                <w:rtl/>
              </w:rPr>
              <w:t>5</w:t>
            </w:r>
          </w:p>
        </w:tc>
        <w:tc>
          <w:tcPr>
            <w:tcW w:w="850" w:type="dxa"/>
            <w:vMerge/>
            <w:shd w:val="clear" w:color="auto" w:fill="auto"/>
            <w:vAlign w:val="bottom"/>
          </w:tcPr>
          <w:p w14:paraId="1F8D8914" w14:textId="77777777" w:rsidR="00BA23AE" w:rsidRPr="00845E79" w:rsidRDefault="00BA23AE" w:rsidP="00465562">
            <w:pPr>
              <w:spacing w:line="269" w:lineRule="auto"/>
              <w:contextualSpacing/>
              <w:jc w:val="center"/>
              <w:rPr>
                <w:b/>
                <w:bCs/>
                <w:sz w:val="19"/>
                <w:szCs w:val="19"/>
                <w:rtl/>
              </w:rPr>
            </w:pPr>
          </w:p>
        </w:tc>
      </w:tr>
      <w:tr w:rsidR="00BA23AE" w:rsidRPr="00845E79" w14:paraId="25A255BB" w14:textId="77777777" w:rsidTr="00845E79">
        <w:trPr>
          <w:jc w:val="center"/>
        </w:trPr>
        <w:tc>
          <w:tcPr>
            <w:tcW w:w="1296" w:type="dxa"/>
            <w:vMerge/>
            <w:shd w:val="clear" w:color="auto" w:fill="auto"/>
            <w:vAlign w:val="bottom"/>
          </w:tcPr>
          <w:p w14:paraId="43E9D384" w14:textId="77777777" w:rsidR="00BA23AE" w:rsidRPr="00845E79" w:rsidRDefault="00BA23AE" w:rsidP="00815EB6">
            <w:pPr>
              <w:pStyle w:val="B"/>
              <w:rPr>
                <w:rFonts w:ascii="Arial" w:eastAsia="Times New Roman" w:hAnsi="Arial"/>
                <w:color w:val="000000"/>
                <w:sz w:val="19"/>
                <w:szCs w:val="19"/>
                <w:rtl/>
              </w:rPr>
            </w:pPr>
          </w:p>
        </w:tc>
        <w:tc>
          <w:tcPr>
            <w:tcW w:w="1987" w:type="dxa"/>
            <w:vMerge/>
            <w:shd w:val="clear" w:color="auto" w:fill="auto"/>
            <w:vAlign w:val="bottom"/>
          </w:tcPr>
          <w:p w14:paraId="7C6454A1" w14:textId="77777777" w:rsidR="00BA23AE" w:rsidRPr="00845E79" w:rsidRDefault="00BA23AE" w:rsidP="00815EB6">
            <w:pPr>
              <w:pStyle w:val="B"/>
              <w:rPr>
                <w:rFonts w:ascii="Arial" w:eastAsia="Times New Roman" w:hAnsi="Arial"/>
                <w:color w:val="000000"/>
                <w:sz w:val="19"/>
                <w:szCs w:val="19"/>
                <w:rtl/>
              </w:rPr>
            </w:pPr>
          </w:p>
        </w:tc>
        <w:tc>
          <w:tcPr>
            <w:tcW w:w="2410" w:type="dxa"/>
            <w:shd w:val="clear" w:color="auto" w:fill="auto"/>
            <w:vAlign w:val="bottom"/>
          </w:tcPr>
          <w:p w14:paraId="300F90FC" w14:textId="77777777" w:rsidR="00BA23AE" w:rsidRPr="00845E79" w:rsidRDefault="00BA23AE" w:rsidP="00815EB6">
            <w:pPr>
              <w:pStyle w:val="R"/>
              <w:rPr>
                <w:sz w:val="19"/>
                <w:szCs w:val="19"/>
                <w:rtl/>
              </w:rPr>
            </w:pPr>
            <w:r w:rsidRPr="00845E79">
              <w:rPr>
                <w:rFonts w:hint="eastAsia"/>
                <w:sz w:val="19"/>
                <w:szCs w:val="19"/>
                <w:rtl/>
              </w:rPr>
              <w:t>ייחודי</w:t>
            </w:r>
          </w:p>
        </w:tc>
        <w:tc>
          <w:tcPr>
            <w:tcW w:w="1130" w:type="dxa"/>
            <w:shd w:val="clear" w:color="auto" w:fill="auto"/>
            <w:vAlign w:val="bottom"/>
          </w:tcPr>
          <w:p w14:paraId="6039EDFC" w14:textId="77777777" w:rsidR="00BA23AE" w:rsidRPr="00845E79" w:rsidRDefault="00BA23AE" w:rsidP="00815EB6">
            <w:pPr>
              <w:pStyle w:val="R"/>
              <w:rPr>
                <w:sz w:val="19"/>
                <w:szCs w:val="19"/>
                <w:rtl/>
              </w:rPr>
            </w:pPr>
            <w:r w:rsidRPr="00845E79">
              <w:rPr>
                <w:sz w:val="19"/>
                <w:szCs w:val="19"/>
                <w:rtl/>
              </w:rPr>
              <w:t>2</w:t>
            </w:r>
          </w:p>
        </w:tc>
        <w:tc>
          <w:tcPr>
            <w:tcW w:w="850" w:type="dxa"/>
            <w:vMerge/>
            <w:shd w:val="clear" w:color="auto" w:fill="auto"/>
            <w:vAlign w:val="bottom"/>
          </w:tcPr>
          <w:p w14:paraId="296BBF9B" w14:textId="77777777" w:rsidR="00BA23AE" w:rsidRPr="00845E79" w:rsidRDefault="00BA23AE" w:rsidP="00465562">
            <w:pPr>
              <w:spacing w:line="269" w:lineRule="auto"/>
              <w:contextualSpacing/>
              <w:jc w:val="center"/>
              <w:rPr>
                <w:b/>
                <w:bCs/>
                <w:sz w:val="19"/>
                <w:szCs w:val="19"/>
                <w:rtl/>
              </w:rPr>
            </w:pPr>
          </w:p>
        </w:tc>
      </w:tr>
      <w:tr w:rsidR="00BA23AE" w:rsidRPr="00845E79" w14:paraId="1A16C612" w14:textId="77777777" w:rsidTr="000F00B6">
        <w:trPr>
          <w:jc w:val="center"/>
        </w:trPr>
        <w:tc>
          <w:tcPr>
            <w:tcW w:w="1296" w:type="dxa"/>
            <w:vMerge/>
            <w:shd w:val="clear" w:color="auto" w:fill="auto"/>
            <w:vAlign w:val="bottom"/>
          </w:tcPr>
          <w:p w14:paraId="5FBFB827" w14:textId="77777777" w:rsidR="00BA23AE" w:rsidRPr="00845E79" w:rsidRDefault="00BA23AE" w:rsidP="00815EB6">
            <w:pPr>
              <w:pStyle w:val="B"/>
              <w:rPr>
                <w:rFonts w:ascii="Arial" w:eastAsia="Times New Roman" w:hAnsi="Arial"/>
                <w:color w:val="000000"/>
                <w:sz w:val="19"/>
                <w:szCs w:val="19"/>
                <w:rtl/>
              </w:rPr>
            </w:pPr>
          </w:p>
        </w:tc>
        <w:tc>
          <w:tcPr>
            <w:tcW w:w="1987" w:type="dxa"/>
            <w:vMerge/>
            <w:shd w:val="clear" w:color="auto" w:fill="auto"/>
            <w:vAlign w:val="bottom"/>
          </w:tcPr>
          <w:p w14:paraId="5908AC79" w14:textId="77777777" w:rsidR="00BA23AE" w:rsidRPr="00845E79" w:rsidRDefault="00BA23AE" w:rsidP="00815EB6">
            <w:pPr>
              <w:pStyle w:val="B"/>
              <w:rPr>
                <w:rFonts w:ascii="Arial" w:eastAsia="Times New Roman" w:hAnsi="Arial"/>
                <w:color w:val="000000"/>
                <w:sz w:val="19"/>
                <w:szCs w:val="19"/>
                <w:rtl/>
              </w:rPr>
            </w:pPr>
          </w:p>
        </w:tc>
        <w:tc>
          <w:tcPr>
            <w:tcW w:w="2410" w:type="dxa"/>
            <w:tcBorders>
              <w:bottom w:val="single" w:sz="4" w:space="0" w:color="auto"/>
            </w:tcBorders>
            <w:shd w:val="clear" w:color="auto" w:fill="auto"/>
            <w:vAlign w:val="bottom"/>
          </w:tcPr>
          <w:p w14:paraId="3CCD84E9" w14:textId="77777777" w:rsidR="00BA23AE" w:rsidRPr="00845E79" w:rsidRDefault="00BA23AE" w:rsidP="00815EB6">
            <w:pPr>
              <w:pStyle w:val="R"/>
              <w:rPr>
                <w:sz w:val="19"/>
                <w:szCs w:val="19"/>
                <w:rtl/>
              </w:rPr>
            </w:pPr>
            <w:r w:rsidRPr="00845E79">
              <w:rPr>
                <w:rFonts w:hint="eastAsia"/>
                <w:sz w:val="19"/>
                <w:szCs w:val="19"/>
                <w:rtl/>
              </w:rPr>
              <w:t>רכוש</w:t>
            </w:r>
          </w:p>
        </w:tc>
        <w:tc>
          <w:tcPr>
            <w:tcW w:w="1130" w:type="dxa"/>
            <w:tcBorders>
              <w:bottom w:val="single" w:sz="4" w:space="0" w:color="auto"/>
            </w:tcBorders>
            <w:shd w:val="clear" w:color="auto" w:fill="auto"/>
            <w:vAlign w:val="bottom"/>
          </w:tcPr>
          <w:p w14:paraId="3370A826" w14:textId="77777777" w:rsidR="00BA23AE" w:rsidRPr="00845E79" w:rsidRDefault="00BA23AE" w:rsidP="00815EB6">
            <w:pPr>
              <w:pStyle w:val="R"/>
              <w:rPr>
                <w:sz w:val="19"/>
                <w:szCs w:val="19"/>
                <w:rtl/>
              </w:rPr>
            </w:pPr>
            <w:r w:rsidRPr="00845E79">
              <w:rPr>
                <w:sz w:val="19"/>
                <w:szCs w:val="19"/>
                <w:rtl/>
              </w:rPr>
              <w:t>1</w:t>
            </w:r>
          </w:p>
        </w:tc>
        <w:tc>
          <w:tcPr>
            <w:tcW w:w="850" w:type="dxa"/>
            <w:vMerge/>
            <w:shd w:val="clear" w:color="auto" w:fill="auto"/>
            <w:vAlign w:val="bottom"/>
          </w:tcPr>
          <w:p w14:paraId="03EF9AEA" w14:textId="77777777" w:rsidR="00BA23AE" w:rsidRPr="00845E79" w:rsidRDefault="00BA23AE" w:rsidP="00465562">
            <w:pPr>
              <w:spacing w:line="269" w:lineRule="auto"/>
              <w:contextualSpacing/>
              <w:jc w:val="center"/>
              <w:rPr>
                <w:b/>
                <w:bCs/>
                <w:sz w:val="19"/>
                <w:szCs w:val="19"/>
                <w:rtl/>
              </w:rPr>
            </w:pPr>
          </w:p>
        </w:tc>
      </w:tr>
      <w:tr w:rsidR="00BA23AE" w:rsidRPr="00845E79" w14:paraId="4EE40AAF" w14:textId="77777777" w:rsidTr="000F00B6">
        <w:trPr>
          <w:jc w:val="center"/>
        </w:trPr>
        <w:tc>
          <w:tcPr>
            <w:tcW w:w="1296" w:type="dxa"/>
            <w:vMerge/>
            <w:shd w:val="clear" w:color="auto" w:fill="auto"/>
            <w:vAlign w:val="bottom"/>
          </w:tcPr>
          <w:p w14:paraId="76B969D1" w14:textId="77777777" w:rsidR="00BA23AE" w:rsidRPr="00845E79" w:rsidRDefault="00BA23AE" w:rsidP="00815EB6">
            <w:pPr>
              <w:pStyle w:val="B"/>
              <w:rPr>
                <w:rFonts w:ascii="Arial" w:eastAsia="Times New Roman" w:hAnsi="Arial"/>
                <w:color w:val="000000"/>
                <w:sz w:val="19"/>
                <w:szCs w:val="19"/>
                <w:rtl/>
              </w:rPr>
            </w:pPr>
          </w:p>
        </w:tc>
        <w:tc>
          <w:tcPr>
            <w:tcW w:w="1987" w:type="dxa"/>
            <w:vMerge/>
            <w:shd w:val="clear" w:color="auto" w:fill="auto"/>
            <w:vAlign w:val="bottom"/>
          </w:tcPr>
          <w:p w14:paraId="421D697E" w14:textId="77777777" w:rsidR="00BA23AE" w:rsidRPr="00845E79" w:rsidRDefault="00BA23AE" w:rsidP="00815EB6">
            <w:pPr>
              <w:pStyle w:val="B"/>
              <w:rPr>
                <w:rFonts w:ascii="Arial" w:eastAsia="Times New Roman" w:hAnsi="Arial"/>
                <w:color w:val="000000"/>
                <w:sz w:val="19"/>
                <w:szCs w:val="19"/>
                <w:rtl/>
              </w:rPr>
            </w:pPr>
          </w:p>
        </w:tc>
        <w:tc>
          <w:tcPr>
            <w:tcW w:w="2410" w:type="dxa"/>
            <w:shd w:val="clear" w:color="auto" w:fill="C6D9F1"/>
            <w:vAlign w:val="bottom"/>
          </w:tcPr>
          <w:p w14:paraId="7D64D645" w14:textId="77777777" w:rsidR="00BA23AE" w:rsidRPr="00845E79" w:rsidRDefault="00BA23AE" w:rsidP="00815EB6">
            <w:pPr>
              <w:pStyle w:val="B"/>
              <w:rPr>
                <w:sz w:val="19"/>
                <w:szCs w:val="19"/>
                <w:rtl/>
              </w:rPr>
            </w:pPr>
            <w:r w:rsidRPr="00845E79">
              <w:rPr>
                <w:rFonts w:hint="cs"/>
                <w:sz w:val="19"/>
                <w:szCs w:val="19"/>
                <w:rtl/>
              </w:rPr>
              <w:t>סה"כ</w:t>
            </w:r>
          </w:p>
        </w:tc>
        <w:tc>
          <w:tcPr>
            <w:tcW w:w="1130" w:type="dxa"/>
            <w:shd w:val="clear" w:color="auto" w:fill="C6D9F1"/>
            <w:vAlign w:val="bottom"/>
          </w:tcPr>
          <w:p w14:paraId="207D0A8E" w14:textId="77777777" w:rsidR="00BA23AE" w:rsidRPr="00845E79" w:rsidRDefault="00BA23AE" w:rsidP="00815EB6">
            <w:pPr>
              <w:pStyle w:val="B"/>
              <w:rPr>
                <w:sz w:val="19"/>
                <w:szCs w:val="19"/>
                <w:rtl/>
              </w:rPr>
            </w:pPr>
            <w:r w:rsidRPr="00845E79">
              <w:rPr>
                <w:rFonts w:hint="cs"/>
                <w:sz w:val="19"/>
                <w:szCs w:val="19"/>
                <w:rtl/>
              </w:rPr>
              <w:t>8</w:t>
            </w:r>
          </w:p>
        </w:tc>
        <w:tc>
          <w:tcPr>
            <w:tcW w:w="850" w:type="dxa"/>
            <w:vMerge/>
            <w:shd w:val="clear" w:color="auto" w:fill="auto"/>
            <w:vAlign w:val="bottom"/>
          </w:tcPr>
          <w:p w14:paraId="780ABC3B" w14:textId="77777777" w:rsidR="00BA23AE" w:rsidRPr="00845E79" w:rsidRDefault="00BA23AE" w:rsidP="00465562">
            <w:pPr>
              <w:spacing w:line="269" w:lineRule="auto"/>
              <w:contextualSpacing/>
              <w:jc w:val="center"/>
              <w:rPr>
                <w:b/>
                <w:bCs/>
                <w:sz w:val="19"/>
                <w:szCs w:val="19"/>
                <w:rtl/>
              </w:rPr>
            </w:pPr>
          </w:p>
        </w:tc>
      </w:tr>
      <w:tr w:rsidR="00BA23AE" w:rsidRPr="00845E79" w14:paraId="1B8C858B" w14:textId="77777777" w:rsidTr="00845E79">
        <w:trPr>
          <w:jc w:val="center"/>
        </w:trPr>
        <w:tc>
          <w:tcPr>
            <w:tcW w:w="1296" w:type="dxa"/>
            <w:shd w:val="clear" w:color="auto" w:fill="auto"/>
            <w:vAlign w:val="bottom"/>
          </w:tcPr>
          <w:p w14:paraId="1D7AC11B" w14:textId="77777777" w:rsidR="00BA23AE" w:rsidRPr="00845E79" w:rsidRDefault="00BA23AE" w:rsidP="00815EB6">
            <w:pPr>
              <w:pStyle w:val="B"/>
              <w:rPr>
                <w:rFonts w:ascii="Arial" w:eastAsia="Times New Roman" w:hAnsi="Arial"/>
                <w:color w:val="000000"/>
                <w:sz w:val="19"/>
                <w:szCs w:val="19"/>
                <w:rtl/>
              </w:rPr>
            </w:pPr>
            <w:r w:rsidRPr="00845E79">
              <w:rPr>
                <w:rFonts w:hint="cs"/>
                <w:sz w:val="19"/>
                <w:szCs w:val="19"/>
                <w:rtl/>
              </w:rPr>
              <w:t>תפוקה</w:t>
            </w:r>
          </w:p>
        </w:tc>
        <w:tc>
          <w:tcPr>
            <w:tcW w:w="1987" w:type="dxa"/>
            <w:shd w:val="clear" w:color="auto" w:fill="auto"/>
            <w:vAlign w:val="bottom"/>
          </w:tcPr>
          <w:p w14:paraId="094EE102" w14:textId="77777777" w:rsidR="00BA23AE" w:rsidRPr="00845E79" w:rsidRDefault="00BA23AE" w:rsidP="00815EB6">
            <w:pPr>
              <w:pStyle w:val="B"/>
              <w:rPr>
                <w:rFonts w:ascii="Arial" w:eastAsia="Times New Roman" w:hAnsi="Arial"/>
                <w:color w:val="000000"/>
                <w:sz w:val="19"/>
                <w:szCs w:val="19"/>
                <w:rtl/>
              </w:rPr>
            </w:pPr>
            <w:r w:rsidRPr="00845E79">
              <w:rPr>
                <w:rFonts w:ascii="Arial" w:eastAsia="Times New Roman" w:hAnsi="Arial" w:hint="cs"/>
                <w:color w:val="000000"/>
                <w:sz w:val="19"/>
                <w:szCs w:val="19"/>
                <w:rtl/>
              </w:rPr>
              <w:t>עמידה במספר התפיסות</w:t>
            </w:r>
          </w:p>
        </w:tc>
        <w:tc>
          <w:tcPr>
            <w:tcW w:w="2410" w:type="dxa"/>
            <w:shd w:val="clear" w:color="auto" w:fill="auto"/>
            <w:vAlign w:val="bottom"/>
          </w:tcPr>
          <w:p w14:paraId="321AC60C" w14:textId="77777777" w:rsidR="00BA23AE" w:rsidRPr="00845E79" w:rsidRDefault="00BA23AE" w:rsidP="00815EB6">
            <w:pPr>
              <w:pStyle w:val="R"/>
              <w:rPr>
                <w:b/>
                <w:bCs/>
                <w:sz w:val="19"/>
                <w:szCs w:val="19"/>
                <w:rtl/>
              </w:rPr>
            </w:pPr>
            <w:r w:rsidRPr="00845E79">
              <w:rPr>
                <w:rFonts w:hint="eastAsia"/>
                <w:sz w:val="19"/>
                <w:szCs w:val="19"/>
                <w:rtl/>
              </w:rPr>
              <w:t>חשיפה</w:t>
            </w:r>
          </w:p>
        </w:tc>
        <w:tc>
          <w:tcPr>
            <w:tcW w:w="1130" w:type="dxa"/>
            <w:shd w:val="clear" w:color="auto" w:fill="auto"/>
            <w:vAlign w:val="bottom"/>
          </w:tcPr>
          <w:p w14:paraId="482C764D" w14:textId="77777777" w:rsidR="00BA23AE" w:rsidRPr="00845E79" w:rsidRDefault="00BA23AE" w:rsidP="00815EB6">
            <w:pPr>
              <w:pStyle w:val="B"/>
              <w:rPr>
                <w:sz w:val="19"/>
                <w:szCs w:val="19"/>
                <w:rtl/>
              </w:rPr>
            </w:pPr>
            <w:r w:rsidRPr="00845E79">
              <w:rPr>
                <w:rFonts w:hint="cs"/>
                <w:sz w:val="19"/>
                <w:szCs w:val="19"/>
                <w:rtl/>
              </w:rPr>
              <w:t>1</w:t>
            </w:r>
          </w:p>
        </w:tc>
        <w:tc>
          <w:tcPr>
            <w:tcW w:w="850" w:type="dxa"/>
            <w:vMerge/>
            <w:shd w:val="clear" w:color="auto" w:fill="auto"/>
            <w:vAlign w:val="bottom"/>
          </w:tcPr>
          <w:p w14:paraId="6CC34DCC" w14:textId="77777777" w:rsidR="00BA23AE" w:rsidRPr="00845E79" w:rsidRDefault="00BA23AE" w:rsidP="00465562">
            <w:pPr>
              <w:spacing w:line="269" w:lineRule="auto"/>
              <w:contextualSpacing/>
              <w:jc w:val="center"/>
              <w:rPr>
                <w:b/>
                <w:bCs/>
                <w:sz w:val="19"/>
                <w:szCs w:val="19"/>
                <w:rtl/>
              </w:rPr>
            </w:pPr>
          </w:p>
        </w:tc>
      </w:tr>
      <w:tr w:rsidR="00BA23AE" w:rsidRPr="00845E79" w14:paraId="1E4B287C" w14:textId="77777777" w:rsidTr="00845E79">
        <w:trPr>
          <w:jc w:val="center"/>
        </w:trPr>
        <w:tc>
          <w:tcPr>
            <w:tcW w:w="6823" w:type="dxa"/>
            <w:gridSpan w:val="4"/>
            <w:shd w:val="clear" w:color="auto" w:fill="C6D9F1"/>
            <w:vAlign w:val="bottom"/>
          </w:tcPr>
          <w:p w14:paraId="78EBF7D7" w14:textId="77777777" w:rsidR="00BA23AE" w:rsidRPr="00845E79" w:rsidRDefault="00BA23AE" w:rsidP="00815EB6">
            <w:pPr>
              <w:pStyle w:val="B"/>
              <w:rPr>
                <w:sz w:val="19"/>
                <w:szCs w:val="19"/>
                <w:rtl/>
              </w:rPr>
            </w:pPr>
            <w:r w:rsidRPr="00845E79">
              <w:rPr>
                <w:rFonts w:hint="cs"/>
                <w:sz w:val="19"/>
                <w:szCs w:val="19"/>
                <w:rtl/>
              </w:rPr>
              <w:t>סה"כ בעיות שנמדדו במדד תפוקה</w:t>
            </w:r>
          </w:p>
        </w:tc>
        <w:tc>
          <w:tcPr>
            <w:tcW w:w="850" w:type="dxa"/>
            <w:shd w:val="clear" w:color="auto" w:fill="C6D9F1"/>
            <w:vAlign w:val="bottom"/>
          </w:tcPr>
          <w:p w14:paraId="0F8FE4DA" w14:textId="77777777" w:rsidR="00BA23AE" w:rsidRPr="00845E79" w:rsidRDefault="00BA23AE" w:rsidP="00815EB6">
            <w:pPr>
              <w:pStyle w:val="B"/>
              <w:rPr>
                <w:sz w:val="19"/>
                <w:szCs w:val="19"/>
                <w:rtl/>
              </w:rPr>
            </w:pPr>
            <w:r w:rsidRPr="00845E79">
              <w:rPr>
                <w:rFonts w:hint="cs"/>
                <w:sz w:val="19"/>
                <w:szCs w:val="19"/>
                <w:rtl/>
              </w:rPr>
              <w:t>82</w:t>
            </w:r>
          </w:p>
        </w:tc>
      </w:tr>
    </w:tbl>
    <w:p w14:paraId="445CD3BF" w14:textId="77777777" w:rsidR="00BA23AE" w:rsidRPr="00F13DA5" w:rsidRDefault="00BA23AE" w:rsidP="00815EB6">
      <w:pPr>
        <w:pStyle w:val="ab"/>
        <w:rPr>
          <w:rtl/>
        </w:rPr>
      </w:pPr>
      <w:r w:rsidRPr="00F13DA5">
        <w:rPr>
          <w:rFonts w:hint="cs"/>
          <w:rtl/>
        </w:rPr>
        <w:t xml:space="preserve">על פי נתוני משטרת ישראל, בעיבוד משרד מבקר המדינה. </w:t>
      </w:r>
    </w:p>
    <w:p w14:paraId="383410CB" w14:textId="4570AA97" w:rsidR="00BA23AE" w:rsidRPr="002B6FB4" w:rsidRDefault="00BA23AE" w:rsidP="002B6FB4">
      <w:pPr>
        <w:pStyle w:val="aff2"/>
        <w:rPr>
          <w:rtl/>
        </w:rPr>
      </w:pPr>
      <w:r w:rsidRPr="002B6FB4">
        <w:rPr>
          <w:rFonts w:hint="cs"/>
          <w:rtl/>
        </w:rPr>
        <w:t xml:space="preserve">* </w:t>
      </w:r>
      <w:r w:rsidR="002B6FB4">
        <w:rPr>
          <w:rtl/>
        </w:rPr>
        <w:tab/>
      </w:r>
      <w:r w:rsidRPr="002B6FB4">
        <w:rPr>
          <w:rFonts w:hint="cs"/>
          <w:rtl/>
        </w:rPr>
        <w:t>ללא תלות בסוג הבעיה / העבירה.</w:t>
      </w:r>
    </w:p>
    <w:p w14:paraId="2E901D48" w14:textId="77777777" w:rsidR="00367EE3" w:rsidRDefault="00367EE3" w:rsidP="001321A1">
      <w:pPr>
        <w:pStyle w:val="100"/>
        <w:rPr>
          <w:rtl/>
        </w:rPr>
      </w:pPr>
    </w:p>
    <w:p w14:paraId="632976EF" w14:textId="1B51DCCB" w:rsidR="00BA23AE" w:rsidRPr="00F13DA5" w:rsidRDefault="00BA23AE" w:rsidP="001321A1">
      <w:pPr>
        <w:pStyle w:val="100"/>
        <w:rPr>
          <w:rtl/>
        </w:rPr>
      </w:pPr>
      <w:r w:rsidRPr="00F13DA5">
        <w:rPr>
          <w:rFonts w:hint="cs"/>
          <w:rtl/>
        </w:rPr>
        <w:t xml:space="preserve">מהלוח </w:t>
      </w:r>
      <w:r>
        <w:rPr>
          <w:rFonts w:hint="cs"/>
          <w:rtl/>
        </w:rPr>
        <w:t xml:space="preserve">ניתן להתרשם </w:t>
      </w:r>
      <w:r w:rsidRPr="00F13DA5">
        <w:rPr>
          <w:rFonts w:hint="cs"/>
          <w:rtl/>
        </w:rPr>
        <w:t>כי עיקר הבעיות במשטרה נמדדות במדדי תוצאה. מדדי תפוקה נקבעו רק במקרים ייחודיים או בנוגע לעבירות המצויות בשליטת המשטרה - מדד של מעצר עד תום ההליכים נקבע לעבירות חשיפה בלבד, ומדד של עמידה במספר כתבי האישום נקבע במספר מועט של עבירות ייחודיות.</w:t>
      </w:r>
    </w:p>
    <w:p w14:paraId="3AACA609" w14:textId="77777777" w:rsidR="00BA23AE" w:rsidRPr="00F13DA5" w:rsidRDefault="00BA23AE" w:rsidP="001321A1">
      <w:pPr>
        <w:pStyle w:val="414"/>
        <w:rPr>
          <w:rtl/>
        </w:rPr>
      </w:pPr>
      <w:r w:rsidRPr="00F13DA5">
        <w:rPr>
          <w:rFonts w:hint="cs"/>
          <w:rtl/>
        </w:rPr>
        <w:t>חוסר הלימה בין יעדי המחוזות למערכת אמו"ן</w:t>
      </w:r>
    </w:p>
    <w:p w14:paraId="6E88AE17" w14:textId="77777777" w:rsidR="00BA23AE" w:rsidRPr="00F13DA5" w:rsidRDefault="00BA23AE" w:rsidP="001321A1">
      <w:pPr>
        <w:pStyle w:val="100"/>
        <w:rPr>
          <w:rtl/>
        </w:rPr>
      </w:pPr>
      <w:r w:rsidRPr="00F13DA5">
        <w:rPr>
          <w:rFonts w:hint="eastAsia"/>
          <w:rtl/>
        </w:rPr>
        <w:t>שימוש</w:t>
      </w:r>
      <w:r w:rsidRPr="00F13DA5">
        <w:rPr>
          <w:rtl/>
        </w:rPr>
        <w:t xml:space="preserve"> במדדי</w:t>
      </w:r>
      <w:r w:rsidRPr="00F13DA5">
        <w:rPr>
          <w:rFonts w:hint="cs"/>
          <w:rtl/>
        </w:rPr>
        <w:t xml:space="preserve"> תפוקה</w:t>
      </w:r>
      <w:r w:rsidRPr="00F13DA5">
        <w:rPr>
          <w:rtl/>
        </w:rPr>
        <w:t xml:space="preserve"> </w:t>
      </w:r>
      <w:r w:rsidRPr="00F13DA5">
        <w:rPr>
          <w:rFonts w:hint="cs"/>
          <w:rtl/>
        </w:rPr>
        <w:t>- כגון שיעור מעצרי תום הליכים או</w:t>
      </w:r>
      <w:r w:rsidRPr="00F13DA5">
        <w:rPr>
          <w:rtl/>
        </w:rPr>
        <w:t xml:space="preserve"> הגשת כתבי אישום </w:t>
      </w:r>
      <w:r w:rsidRPr="00F13DA5">
        <w:rPr>
          <w:rFonts w:hint="cs"/>
          <w:rtl/>
        </w:rPr>
        <w:t>-</w:t>
      </w:r>
      <w:r w:rsidRPr="00F13DA5">
        <w:rPr>
          <w:rtl/>
        </w:rPr>
        <w:t xml:space="preserve"> הוא כלי יעיל למפקד ל</w:t>
      </w:r>
      <w:r w:rsidRPr="00F13DA5">
        <w:rPr>
          <w:rFonts w:hint="cs"/>
          <w:rtl/>
        </w:rPr>
        <w:t>הערכת המצב</w:t>
      </w:r>
      <w:r w:rsidRPr="00F13DA5">
        <w:rPr>
          <w:rtl/>
        </w:rPr>
        <w:t xml:space="preserve"> בגזרתו</w:t>
      </w:r>
      <w:r w:rsidRPr="00F13DA5">
        <w:rPr>
          <w:rFonts w:hint="cs"/>
          <w:rtl/>
        </w:rPr>
        <w:t xml:space="preserve"> </w:t>
      </w:r>
      <w:r w:rsidRPr="00F13DA5">
        <w:rPr>
          <w:rtl/>
        </w:rPr>
        <w:t>ו</w:t>
      </w:r>
      <w:r w:rsidRPr="00F13DA5">
        <w:rPr>
          <w:rFonts w:hint="cs"/>
          <w:rtl/>
        </w:rPr>
        <w:t>ל</w:t>
      </w:r>
      <w:r w:rsidRPr="00F13DA5">
        <w:rPr>
          <w:rtl/>
        </w:rPr>
        <w:t>קבלת החלטות ע</w:t>
      </w:r>
      <w:r w:rsidRPr="00F13DA5">
        <w:rPr>
          <w:rFonts w:hint="cs"/>
          <w:rtl/>
        </w:rPr>
        <w:t>י</w:t>
      </w:r>
      <w:r w:rsidRPr="00F13DA5">
        <w:rPr>
          <w:rtl/>
        </w:rPr>
        <w:t xml:space="preserve">תיות. </w:t>
      </w:r>
      <w:r w:rsidRPr="00F13DA5">
        <w:rPr>
          <w:rFonts w:hint="cs"/>
          <w:rtl/>
        </w:rPr>
        <w:t>משכך, ניתן לקבוע מדדי תפוקה</w:t>
      </w:r>
      <w:r w:rsidRPr="00F13DA5">
        <w:rPr>
          <w:rtl/>
        </w:rPr>
        <w:t xml:space="preserve"> באופן זמני</w:t>
      </w:r>
      <w:r w:rsidRPr="00F13DA5">
        <w:rPr>
          <w:rFonts w:hint="cs"/>
          <w:rtl/>
        </w:rPr>
        <w:t xml:space="preserve"> מבלי </w:t>
      </w:r>
      <w:r w:rsidRPr="00F13DA5">
        <w:rPr>
          <w:rtl/>
        </w:rPr>
        <w:t>שהמדד יהפוך ליעד של המחוז או המרחב.</w:t>
      </w:r>
    </w:p>
    <w:p w14:paraId="616D0EB2" w14:textId="77777777" w:rsidR="00BA23AE" w:rsidRPr="00F13DA5" w:rsidRDefault="00BA23AE" w:rsidP="001321A1">
      <w:pPr>
        <w:pStyle w:val="100"/>
        <w:rPr>
          <w:b/>
          <w:bCs/>
          <w:rtl/>
        </w:rPr>
      </w:pPr>
      <w:r w:rsidRPr="00F13DA5">
        <w:rPr>
          <w:rtl/>
        </w:rPr>
        <w:t xml:space="preserve">מבדיקת מבקר המדינה עלה כי </w:t>
      </w:r>
      <w:r w:rsidRPr="00F13DA5">
        <w:rPr>
          <w:rFonts w:hint="cs"/>
          <w:rtl/>
        </w:rPr>
        <w:t xml:space="preserve">בשלושה מחוזות </w:t>
      </w:r>
      <w:r w:rsidRPr="00F13DA5">
        <w:rPr>
          <w:rtl/>
        </w:rPr>
        <w:t xml:space="preserve">נקבעו יעדים שנתיים </w:t>
      </w:r>
      <w:r w:rsidRPr="00F13DA5">
        <w:rPr>
          <w:rFonts w:hint="cs"/>
          <w:rtl/>
        </w:rPr>
        <w:t>(</w:t>
      </w:r>
      <w:r w:rsidRPr="00F13DA5">
        <w:rPr>
          <w:rtl/>
        </w:rPr>
        <w:t>מחוזיים או מרחביים</w:t>
      </w:r>
      <w:r w:rsidRPr="00F13DA5">
        <w:rPr>
          <w:rFonts w:hint="cs"/>
          <w:rtl/>
        </w:rPr>
        <w:t>) שכללו מדדים של מעצר או הגשת כתב אישום ברף גבוה ממה שנקבע במערכת אמו"ן. יתרה מכך, המדדים הללו אינם מוגבלים לעבירות מסוימות</w:t>
      </w:r>
      <w:r>
        <w:rPr>
          <w:rFonts w:hint="cs"/>
          <w:rtl/>
        </w:rPr>
        <w:t>,</w:t>
      </w:r>
      <w:r w:rsidRPr="00F13DA5">
        <w:rPr>
          <w:rFonts w:hint="cs"/>
          <w:rtl/>
        </w:rPr>
        <w:t xml:space="preserve"> כפי שנקבע במערכת אמו"ן.</w:t>
      </w:r>
      <w:r w:rsidRPr="00F13DA5">
        <w:rPr>
          <w:b/>
          <w:bCs/>
          <w:rtl/>
        </w:rPr>
        <w:t xml:space="preserve"> </w:t>
      </w:r>
    </w:p>
    <w:p w14:paraId="4E46C524" w14:textId="77777777" w:rsidR="00BA23AE" w:rsidRPr="00F13DA5" w:rsidRDefault="00BA23AE" w:rsidP="001321A1">
      <w:pPr>
        <w:pStyle w:val="af4"/>
        <w:rPr>
          <w:rtl/>
        </w:rPr>
      </w:pPr>
      <w:r w:rsidRPr="00F13DA5">
        <w:rPr>
          <w:rFonts w:hint="cs"/>
          <w:rtl/>
        </w:rPr>
        <w:t xml:space="preserve">יוצא אפוא כי בשלושה מחוזות נקבעו </w:t>
      </w:r>
      <w:r w:rsidRPr="00F13DA5">
        <w:rPr>
          <w:rFonts w:hint="eastAsia"/>
          <w:rtl/>
        </w:rPr>
        <w:t>יעדים</w:t>
      </w:r>
      <w:r w:rsidRPr="00F13DA5">
        <w:rPr>
          <w:rtl/>
        </w:rPr>
        <w:t xml:space="preserve"> </w:t>
      </w:r>
      <w:r w:rsidRPr="00F13DA5">
        <w:rPr>
          <w:rFonts w:hint="cs"/>
          <w:rtl/>
        </w:rPr>
        <w:t>ש</w:t>
      </w:r>
      <w:r w:rsidRPr="00F13DA5">
        <w:rPr>
          <w:rFonts w:hint="eastAsia"/>
          <w:rtl/>
        </w:rPr>
        <w:t>מכוונים</w:t>
      </w:r>
      <w:r w:rsidRPr="00F13DA5">
        <w:rPr>
          <w:rtl/>
        </w:rPr>
        <w:t xml:space="preserve"> </w:t>
      </w:r>
      <w:r w:rsidRPr="00F13DA5">
        <w:rPr>
          <w:rFonts w:hint="eastAsia"/>
          <w:rtl/>
        </w:rPr>
        <w:t>את</w:t>
      </w:r>
      <w:r w:rsidRPr="00F13DA5">
        <w:rPr>
          <w:rtl/>
        </w:rPr>
        <w:t xml:space="preserve"> </w:t>
      </w:r>
      <w:r w:rsidRPr="00F13DA5">
        <w:rPr>
          <w:rFonts w:hint="eastAsia"/>
          <w:rtl/>
        </w:rPr>
        <w:t>גורמי</w:t>
      </w:r>
      <w:r w:rsidRPr="00F13DA5">
        <w:rPr>
          <w:rtl/>
        </w:rPr>
        <w:t xml:space="preserve"> </w:t>
      </w:r>
      <w:r w:rsidRPr="00F13DA5">
        <w:rPr>
          <w:rFonts w:hint="eastAsia"/>
          <w:rtl/>
        </w:rPr>
        <w:t>השטח</w:t>
      </w:r>
      <w:r w:rsidRPr="00F13DA5">
        <w:rPr>
          <w:rtl/>
        </w:rPr>
        <w:t xml:space="preserve"> </w:t>
      </w:r>
      <w:r w:rsidRPr="00F13DA5">
        <w:rPr>
          <w:rFonts w:hint="eastAsia"/>
          <w:rtl/>
        </w:rPr>
        <w:t>למדדי</w:t>
      </w:r>
      <w:r w:rsidRPr="00F13DA5">
        <w:rPr>
          <w:rFonts w:hint="cs"/>
          <w:rtl/>
        </w:rPr>
        <w:t xml:space="preserve"> תפוקה בניגוד ל</w:t>
      </w:r>
      <w:r w:rsidRPr="00F13DA5">
        <w:rPr>
          <w:rtl/>
        </w:rPr>
        <w:t xml:space="preserve">דרישה </w:t>
      </w:r>
      <w:r>
        <w:rPr>
          <w:rFonts w:hint="cs"/>
          <w:rtl/>
        </w:rPr>
        <w:t>למקד את</w:t>
      </w:r>
      <w:r w:rsidRPr="00F13DA5">
        <w:rPr>
          <w:rtl/>
        </w:rPr>
        <w:t xml:space="preserve"> הבעיות </w:t>
      </w:r>
      <w:r w:rsidRPr="00F13DA5">
        <w:rPr>
          <w:rFonts w:hint="cs"/>
          <w:rtl/>
        </w:rPr>
        <w:t xml:space="preserve">ולצמצם </w:t>
      </w:r>
      <w:r>
        <w:rPr>
          <w:rFonts w:hint="cs"/>
          <w:rtl/>
        </w:rPr>
        <w:t xml:space="preserve">את </w:t>
      </w:r>
      <w:r w:rsidRPr="00F13DA5">
        <w:rPr>
          <w:rtl/>
        </w:rPr>
        <w:t xml:space="preserve">המקרים </w:t>
      </w:r>
      <w:r w:rsidRPr="00F13DA5">
        <w:rPr>
          <w:rFonts w:hint="cs"/>
          <w:rtl/>
        </w:rPr>
        <w:t>ש</w:t>
      </w:r>
      <w:r w:rsidRPr="00F13DA5">
        <w:rPr>
          <w:rtl/>
        </w:rPr>
        <w:t>בהם ייעשה שימוש במדד</w:t>
      </w:r>
      <w:r w:rsidRPr="00F13DA5">
        <w:rPr>
          <w:rFonts w:hint="cs"/>
          <w:rtl/>
        </w:rPr>
        <w:t>ים מסוג זה. כאשר המפקד במחוז קובע</w:t>
      </w:r>
      <w:r w:rsidRPr="00F13DA5">
        <w:rPr>
          <w:rtl/>
        </w:rPr>
        <w:t xml:space="preserve"> מדדי </w:t>
      </w:r>
      <w:r w:rsidRPr="00F13DA5">
        <w:rPr>
          <w:rFonts w:hint="cs"/>
          <w:rtl/>
        </w:rPr>
        <w:t>תפוקה</w:t>
      </w:r>
      <w:r w:rsidRPr="00F13DA5">
        <w:rPr>
          <w:rtl/>
        </w:rPr>
        <w:t xml:space="preserve"> שנתיים</w:t>
      </w:r>
      <w:r w:rsidRPr="00F13DA5">
        <w:rPr>
          <w:rFonts w:hint="cs"/>
          <w:rtl/>
        </w:rPr>
        <w:t xml:space="preserve"> בתחום המעצרים</w:t>
      </w:r>
      <w:r w:rsidRPr="00F13DA5">
        <w:rPr>
          <w:rtl/>
        </w:rPr>
        <w:t xml:space="preserve"> </w:t>
      </w:r>
      <w:r w:rsidRPr="00F13DA5">
        <w:rPr>
          <w:rFonts w:hint="cs"/>
          <w:rtl/>
        </w:rPr>
        <w:t xml:space="preserve">שאינם </w:t>
      </w:r>
      <w:r w:rsidRPr="00F13DA5">
        <w:rPr>
          <w:rtl/>
        </w:rPr>
        <w:t xml:space="preserve">עולים בקנה אחד עם יעדי המפכ"ל במערכת </w:t>
      </w:r>
      <w:r w:rsidRPr="00F13DA5">
        <w:rPr>
          <w:rFonts w:hint="eastAsia"/>
          <w:rtl/>
        </w:rPr>
        <w:t>אמו</w:t>
      </w:r>
      <w:r w:rsidRPr="00F13DA5">
        <w:rPr>
          <w:rtl/>
        </w:rPr>
        <w:t xml:space="preserve">"ן, </w:t>
      </w:r>
      <w:r w:rsidRPr="00F13DA5">
        <w:rPr>
          <w:rFonts w:hint="cs"/>
          <w:rtl/>
        </w:rPr>
        <w:t>גובר</w:t>
      </w:r>
      <w:r w:rsidRPr="00F13DA5">
        <w:rPr>
          <w:rtl/>
        </w:rPr>
        <w:t xml:space="preserve"> החשש כי עבודת </w:t>
      </w:r>
      <w:r w:rsidRPr="00F13DA5">
        <w:rPr>
          <w:rFonts w:hint="cs"/>
          <w:rtl/>
        </w:rPr>
        <w:t>ה</w:t>
      </w:r>
      <w:r w:rsidRPr="00F13DA5">
        <w:rPr>
          <w:rFonts w:hint="eastAsia"/>
          <w:rtl/>
        </w:rPr>
        <w:t>מחוז</w:t>
      </w:r>
      <w:r w:rsidRPr="00F13DA5">
        <w:rPr>
          <w:rtl/>
        </w:rPr>
        <w:t xml:space="preserve"> תוטה לעבר שיטור יתר או שיטור חסר</w:t>
      </w:r>
      <w:r w:rsidRPr="00F13DA5">
        <w:rPr>
          <w:rFonts w:hint="cs"/>
          <w:rtl/>
        </w:rPr>
        <w:t>,</w:t>
      </w:r>
      <w:r w:rsidRPr="00F13DA5">
        <w:rPr>
          <w:rtl/>
        </w:rPr>
        <w:t xml:space="preserve"> וכי הטמעת התפיסה הערכית שמגולמת במדדי המפכ"ל תיפגע. </w:t>
      </w:r>
    </w:p>
    <w:p w14:paraId="57A7094A" w14:textId="77777777" w:rsidR="00BA23AE" w:rsidRPr="00F13DA5" w:rsidRDefault="00BA23AE" w:rsidP="001321A1">
      <w:pPr>
        <w:pStyle w:val="100"/>
        <w:rPr>
          <w:rtl/>
        </w:rPr>
      </w:pPr>
      <w:r w:rsidRPr="00F13DA5">
        <w:rPr>
          <w:rFonts w:hint="cs"/>
          <w:rtl/>
        </w:rPr>
        <w:t>משטרת ישראל מסרה בתגובתה כי אח"ם מעורב בהגדרת יעדי אמו"ן ואף הגדיר שעל יעדי המחוז השנתיים לעמוד בהלימה עם יעדי המערכת בנושא המעצרים</w:t>
      </w:r>
      <w:r>
        <w:rPr>
          <w:rFonts w:hint="cs"/>
          <w:rtl/>
        </w:rPr>
        <w:t>,</w:t>
      </w:r>
      <w:r w:rsidRPr="00F13DA5">
        <w:rPr>
          <w:rFonts w:hint="cs"/>
          <w:rtl/>
        </w:rPr>
        <w:t xml:space="preserve"> ואין להכתיב מדיניות מקומית סותרת. ניתן להסתפק בביקורת שמבצעת חטיבת החקירות בנושא המעצרים המיועדת, </w:t>
      </w:r>
      <w:r w:rsidRPr="00F13DA5">
        <w:rPr>
          <w:rFonts w:hint="cs"/>
          <w:rtl/>
        </w:rPr>
        <w:lastRenderedPageBreak/>
        <w:t>בין היתר, לבחון אם מדיניות המחוז סותרת את החוק והנהלים. אם נמצאת סתירה שכזו היא מועברת לרמות הפיקוד הגבוהות במשטרה.</w:t>
      </w:r>
      <w:r>
        <w:rPr>
          <w:rFonts w:hint="cs"/>
          <w:rtl/>
        </w:rPr>
        <w:t xml:space="preserve"> </w:t>
      </w:r>
    </w:p>
    <w:p w14:paraId="5DA45097" w14:textId="77777777" w:rsidR="00BA23AE" w:rsidRPr="00F13DA5" w:rsidRDefault="00BA23AE" w:rsidP="001321A1">
      <w:pPr>
        <w:pStyle w:val="af4"/>
        <w:rPr>
          <w:rtl/>
        </w:rPr>
      </w:pPr>
      <w:r w:rsidRPr="00F13DA5">
        <w:rPr>
          <w:rFonts w:hint="cs"/>
          <w:rtl/>
        </w:rPr>
        <w:t xml:space="preserve">קיים קושי להסתפק בביקורת הנעשית בדיעבד לאחר שנקבעו והוטמעו במחוזות יעדים שנתיים </w:t>
      </w:r>
      <w:r>
        <w:rPr>
          <w:rFonts w:hint="cs"/>
          <w:rtl/>
        </w:rPr>
        <w:t xml:space="preserve">שאינם עולים בקנה אחד עם </w:t>
      </w:r>
      <w:r w:rsidRPr="00F13DA5">
        <w:rPr>
          <w:rFonts w:hint="cs"/>
          <w:rtl/>
        </w:rPr>
        <w:t xml:space="preserve">יעדי המפכ"ל. על פיקוד המשטרה לשקול לקבוע מנגנון בדיקה שיוודא הלימה בין יעדי המפכ"ל השנתיים לבין יעדי המחוזות והמרחבים עוד בטרם נקבעו והוטמעו בשטח. עוד מוצע לאמוד את מידת ההטמעה של הערכים והתפיסה שבבסיס קביעת יעדי מערכת אמו"ן בקרב השוטרים, למשל באמצעות העברת שאלונים עיתיים. </w:t>
      </w:r>
    </w:p>
    <w:p w14:paraId="4213EAFF" w14:textId="4D7DC933" w:rsidR="00BA23AE" w:rsidRPr="00F13DA5" w:rsidRDefault="00BA23AE" w:rsidP="009E3966">
      <w:pPr>
        <w:pStyle w:val="414"/>
        <w:rPr>
          <w:rtl/>
        </w:rPr>
      </w:pPr>
      <w:bookmarkStart w:id="26" w:name="_Toc6326492"/>
      <w:r w:rsidRPr="00F13DA5">
        <w:rPr>
          <w:rFonts w:hint="eastAsia"/>
          <w:rtl/>
        </w:rPr>
        <w:t>פיקוח</w:t>
      </w:r>
      <w:r w:rsidRPr="00F13DA5">
        <w:rPr>
          <w:rtl/>
        </w:rPr>
        <w:t xml:space="preserve"> על הרמה המקצועית </w:t>
      </w:r>
      <w:r w:rsidRPr="00F13DA5">
        <w:rPr>
          <w:rFonts w:hint="eastAsia"/>
          <w:rtl/>
        </w:rPr>
        <w:t>בתחנות</w:t>
      </w:r>
      <w:r w:rsidRPr="00F13DA5">
        <w:rPr>
          <w:rFonts w:hint="cs"/>
          <w:rtl/>
        </w:rPr>
        <w:t xml:space="preserve"> באמצעות מודל המצוינות</w:t>
      </w:r>
    </w:p>
    <w:p w14:paraId="3DF4B289" w14:textId="77777777" w:rsidR="00BA23AE" w:rsidRPr="00F13DA5" w:rsidRDefault="00BA23AE" w:rsidP="009E3966">
      <w:pPr>
        <w:pStyle w:val="100"/>
        <w:rPr>
          <w:rtl/>
        </w:rPr>
      </w:pPr>
      <w:r w:rsidRPr="00F13DA5">
        <w:rPr>
          <w:rFonts w:hint="cs"/>
          <w:rtl/>
        </w:rPr>
        <w:t xml:space="preserve">הקפדה על רמה מקצועית ושמירה על יחס שווה ללא אפליה כלפי </w:t>
      </w:r>
      <w:r>
        <w:rPr>
          <w:rFonts w:hint="cs"/>
          <w:rtl/>
        </w:rPr>
        <w:t>הפרט</w:t>
      </w:r>
      <w:r w:rsidRPr="00F13DA5">
        <w:rPr>
          <w:rFonts w:hint="cs"/>
          <w:rtl/>
        </w:rPr>
        <w:t xml:space="preserve"> עשוי</w:t>
      </w:r>
      <w:r>
        <w:rPr>
          <w:rFonts w:hint="cs"/>
          <w:rtl/>
        </w:rPr>
        <w:t>ות</w:t>
      </w:r>
      <w:r w:rsidRPr="00F13DA5">
        <w:rPr>
          <w:rFonts w:hint="cs"/>
          <w:rtl/>
        </w:rPr>
        <w:t xml:space="preserve"> להגביר את </w:t>
      </w:r>
      <w:r>
        <w:rPr>
          <w:rFonts w:hint="cs"/>
          <w:rtl/>
        </w:rPr>
        <w:t>אמון הציבור</w:t>
      </w:r>
      <w:r w:rsidRPr="00F13DA5">
        <w:rPr>
          <w:rFonts w:hint="cs"/>
          <w:rtl/>
        </w:rPr>
        <w:t xml:space="preserve"> במשטרה ולשפר את יחסו לתפקודה. </w:t>
      </w:r>
      <w:r>
        <w:rPr>
          <w:rFonts w:hint="cs"/>
          <w:rtl/>
        </w:rPr>
        <w:t>ה</w:t>
      </w:r>
      <w:r w:rsidRPr="00F13DA5">
        <w:rPr>
          <w:rFonts w:hint="cs"/>
          <w:rtl/>
        </w:rPr>
        <w:t>אמון</w:t>
      </w:r>
      <w:r>
        <w:rPr>
          <w:rFonts w:hint="cs"/>
          <w:rtl/>
        </w:rPr>
        <w:t xml:space="preserve"> של</w:t>
      </w:r>
      <w:r w:rsidRPr="00F13DA5">
        <w:rPr>
          <w:rFonts w:hint="cs"/>
          <w:rtl/>
        </w:rPr>
        <w:t xml:space="preserve"> הציבור מתייחס למידה </w:t>
      </w:r>
      <w:r>
        <w:rPr>
          <w:rFonts w:hint="cs"/>
          <w:rtl/>
        </w:rPr>
        <w:t>ש</w:t>
      </w:r>
      <w:r w:rsidRPr="00F13DA5">
        <w:rPr>
          <w:rFonts w:hint="cs"/>
          <w:rtl/>
        </w:rPr>
        <w:t>בה הפרט מאמין שהמשטרה שומרת על החוקים, ומתבסס על מעשי המשטרה והפרשנות של הציבור למעשיה</w:t>
      </w:r>
      <w:r w:rsidRPr="00F13DA5">
        <w:rPr>
          <w:vertAlign w:val="superscript"/>
          <w:rtl/>
        </w:rPr>
        <w:footnoteReference w:id="73"/>
      </w:r>
      <w:r w:rsidRPr="00F13DA5">
        <w:rPr>
          <w:rFonts w:hint="cs"/>
          <w:rtl/>
        </w:rPr>
        <w:t xml:space="preserve">. </w:t>
      </w:r>
    </w:p>
    <w:p w14:paraId="0240335C" w14:textId="77777777" w:rsidR="00BA23AE" w:rsidRPr="00F13DA5" w:rsidRDefault="00BA23AE" w:rsidP="009E3966">
      <w:pPr>
        <w:pStyle w:val="100"/>
        <w:rPr>
          <w:rtl/>
        </w:rPr>
      </w:pPr>
      <w:r w:rsidRPr="00F13DA5">
        <w:rPr>
          <w:rFonts w:hint="cs"/>
          <w:rtl/>
        </w:rPr>
        <w:t xml:space="preserve">מערכת אמו"ן מאפשרת למשטרה להשתמש בכלי אחיד </w:t>
      </w:r>
      <w:r>
        <w:rPr>
          <w:rFonts w:hint="cs"/>
          <w:rtl/>
        </w:rPr>
        <w:t>על מנת למדוד</w:t>
      </w:r>
      <w:r w:rsidRPr="00F13DA5">
        <w:rPr>
          <w:rFonts w:hint="cs"/>
          <w:rtl/>
        </w:rPr>
        <w:t xml:space="preserve"> בעיות ו</w:t>
      </w:r>
      <w:r>
        <w:rPr>
          <w:rFonts w:hint="cs"/>
          <w:rtl/>
        </w:rPr>
        <w:t xml:space="preserve">כדי לבחון עד כמה עומדות </w:t>
      </w:r>
      <w:r w:rsidRPr="00F13DA5">
        <w:rPr>
          <w:rFonts w:hint="cs"/>
          <w:rtl/>
        </w:rPr>
        <w:t xml:space="preserve">התחנות ביעדיהן </w:t>
      </w:r>
      <w:r>
        <w:rPr>
          <w:rFonts w:hint="cs"/>
          <w:rtl/>
        </w:rPr>
        <w:t>כשהן מתמודדות</w:t>
      </w:r>
      <w:r w:rsidRPr="00F13DA5">
        <w:rPr>
          <w:rFonts w:hint="cs"/>
          <w:rtl/>
        </w:rPr>
        <w:t xml:space="preserve"> עם בעיות אלו. כל תחנה מקבלת ציון</w:t>
      </w:r>
      <w:r>
        <w:rPr>
          <w:rFonts w:hint="cs"/>
          <w:rtl/>
        </w:rPr>
        <w:t xml:space="preserve"> שמשקף באיזו מידה היא עומדת ביעדים</w:t>
      </w:r>
      <w:r w:rsidRPr="00F13DA5">
        <w:rPr>
          <w:rFonts w:hint="cs"/>
          <w:rtl/>
        </w:rPr>
        <w:t>. לעיתים אף ניתן להסתייע בתחנות בנות-השוואה ולערוך מחקר בנוגע להשפעת מדדי מערכת אמו"ן על הפשיעה בגזרת התחנה.</w:t>
      </w:r>
    </w:p>
    <w:p w14:paraId="1AA9D032" w14:textId="77777777" w:rsidR="00BA23AE" w:rsidRPr="00F13DA5" w:rsidRDefault="00BA23AE" w:rsidP="009E3966">
      <w:pPr>
        <w:pStyle w:val="100"/>
        <w:rPr>
          <w:rtl/>
        </w:rPr>
      </w:pPr>
      <w:r w:rsidRPr="00F13DA5">
        <w:rPr>
          <w:rFonts w:hint="cs"/>
          <w:rtl/>
        </w:rPr>
        <w:t xml:space="preserve">בכל שנה נקבעות על ידי המפכ"ל יחידות מצטיינות שבלטו בפעילותן ובהישגיהן במטרה להוקיר את פועלן ולעודד מצוינות (להלן - מודל מצוינות). התבחינים לקביעת מצוינות התחנות מתבססים על שלושה ציונים: הראשון - </w:t>
      </w:r>
      <w:r>
        <w:rPr>
          <w:rFonts w:hint="cs"/>
          <w:rtl/>
        </w:rPr>
        <w:t>על</w:t>
      </w:r>
      <w:r w:rsidRPr="00F13DA5">
        <w:rPr>
          <w:rFonts w:hint="cs"/>
          <w:rtl/>
        </w:rPr>
        <w:t xml:space="preserve"> עמידה במדדים המפורטים במערכת אמו"ן לאותה שנה. בציון זה משוקלל דירוג מפקד המחוז לגבי קושי הבעיות שנמדדו במערכת אמו"ן </w:t>
      </w:r>
      <w:r>
        <w:rPr>
          <w:rFonts w:hint="cs"/>
          <w:rtl/>
        </w:rPr>
        <w:t>ו</w:t>
      </w:r>
      <w:r w:rsidRPr="00F13DA5">
        <w:rPr>
          <w:rFonts w:hint="cs"/>
          <w:rtl/>
        </w:rPr>
        <w:t xml:space="preserve">מתן מענה יצירתי להתמודדות איתן; השני - </w:t>
      </w:r>
      <w:r>
        <w:rPr>
          <w:rFonts w:hint="cs"/>
          <w:rtl/>
        </w:rPr>
        <w:t>על</w:t>
      </w:r>
      <w:r w:rsidRPr="00F13DA5">
        <w:rPr>
          <w:rFonts w:hint="cs"/>
          <w:rtl/>
        </w:rPr>
        <w:t xml:space="preserve"> עמידה במבחני התרבות הארגונית והשירותית של התחנה (בפרט </w:t>
      </w:r>
      <w:r>
        <w:rPr>
          <w:rFonts w:hint="cs"/>
          <w:rtl/>
        </w:rPr>
        <w:t>ב</w:t>
      </w:r>
      <w:r w:rsidRPr="00F13DA5">
        <w:rPr>
          <w:rFonts w:hint="cs"/>
          <w:rtl/>
        </w:rPr>
        <w:t xml:space="preserve">סקרי אמון הציבור); והשלישי - </w:t>
      </w:r>
      <w:r>
        <w:rPr>
          <w:rFonts w:hint="cs"/>
          <w:rtl/>
        </w:rPr>
        <w:t>הוא של</w:t>
      </w:r>
      <w:r w:rsidRPr="00F13DA5">
        <w:rPr>
          <w:rFonts w:hint="cs"/>
          <w:rtl/>
        </w:rPr>
        <w:t xml:space="preserve"> מפקד המחוז לפי שיקול דעתו. </w:t>
      </w:r>
    </w:p>
    <w:p w14:paraId="18F65A62" w14:textId="77777777" w:rsidR="00BA23AE" w:rsidRPr="00F13DA5" w:rsidRDefault="00BA23AE" w:rsidP="009E3966">
      <w:pPr>
        <w:pStyle w:val="100"/>
        <w:rPr>
          <w:rtl/>
        </w:rPr>
      </w:pPr>
      <w:r w:rsidRPr="00F13DA5">
        <w:rPr>
          <w:rFonts w:hint="cs"/>
          <w:rtl/>
        </w:rPr>
        <w:t xml:space="preserve">משכך, מודל המצוינות של משטרת ישראל נסמך על בחינת תוצאות ותפוקות לכל תחנה, תוך מתן משקל יחסי לעמידת התחנה ביעדיה </w:t>
      </w:r>
      <w:r>
        <w:rPr>
          <w:rFonts w:hint="cs"/>
          <w:rtl/>
        </w:rPr>
        <w:t xml:space="preserve">על מנת </w:t>
      </w:r>
      <w:r w:rsidRPr="00F13DA5">
        <w:rPr>
          <w:rFonts w:hint="cs"/>
          <w:rtl/>
        </w:rPr>
        <w:t xml:space="preserve">להתמודד עם הבעיות </w:t>
      </w:r>
      <w:r>
        <w:rPr>
          <w:rFonts w:hint="cs"/>
          <w:rtl/>
        </w:rPr>
        <w:t>שהוגדרו</w:t>
      </w:r>
      <w:r w:rsidRPr="00F13DA5">
        <w:rPr>
          <w:rFonts w:hint="cs"/>
          <w:rtl/>
        </w:rPr>
        <w:t xml:space="preserve"> לה. בין היתר, ניתן משקל במודל המצוינות לשימוש בסמכות המעצר בהתאם למדדי מערכת אמו"ן. מודל המצוינות אינו מעניק ציון לתחנת המשטרה בשל עמידה בהנחיות מקצועיות בתחנה או בחובות על פי חוק בתיקים המטופלים בתחנה, בפרט בתחום המעצרים. </w:t>
      </w:r>
    </w:p>
    <w:p w14:paraId="26EF16C8" w14:textId="77777777" w:rsidR="00BA23AE" w:rsidRPr="00F13DA5" w:rsidRDefault="00BA23AE" w:rsidP="009E3966">
      <w:pPr>
        <w:pStyle w:val="af4"/>
        <w:rPr>
          <w:rtl/>
        </w:rPr>
      </w:pPr>
      <w:r w:rsidRPr="00F13DA5">
        <w:rPr>
          <w:rFonts w:hint="cs"/>
          <w:rtl/>
        </w:rPr>
        <w:lastRenderedPageBreak/>
        <w:t xml:space="preserve">מבדיקת מערכת אמו"ן ומודל המצוינות של המשטרה עולה כי אין בידי המשטרה כלים להשוואת הרמה המקצועית ברמה הארצית ובאופן סדור בין התחנות </w:t>
      </w:r>
      <w:r>
        <w:rPr>
          <w:rFonts w:hint="cs"/>
          <w:rtl/>
        </w:rPr>
        <w:t>בנוגע</w:t>
      </w:r>
      <w:r w:rsidRPr="00F13DA5">
        <w:rPr>
          <w:rFonts w:hint="cs"/>
          <w:rtl/>
        </w:rPr>
        <w:t xml:space="preserve"> למידת עמידתן בהנחיות </w:t>
      </w:r>
      <w:r>
        <w:rPr>
          <w:rFonts w:hint="cs"/>
          <w:rtl/>
        </w:rPr>
        <w:t>ה</w:t>
      </w:r>
      <w:r w:rsidRPr="00F13DA5">
        <w:rPr>
          <w:rFonts w:hint="cs"/>
          <w:rtl/>
        </w:rPr>
        <w:t>מקצועיות ו</w:t>
      </w:r>
      <w:r>
        <w:rPr>
          <w:rFonts w:hint="cs"/>
          <w:rtl/>
        </w:rPr>
        <w:t>ב</w:t>
      </w:r>
      <w:r w:rsidRPr="00F13DA5">
        <w:rPr>
          <w:rFonts w:hint="cs"/>
          <w:rtl/>
        </w:rPr>
        <w:t xml:space="preserve">חובות </w:t>
      </w:r>
      <w:r>
        <w:rPr>
          <w:rFonts w:hint="cs"/>
          <w:rtl/>
        </w:rPr>
        <w:t>ש</w:t>
      </w:r>
      <w:r w:rsidRPr="00F13DA5">
        <w:rPr>
          <w:rFonts w:hint="cs"/>
          <w:rtl/>
        </w:rPr>
        <w:t>מכוח החוק. השוואת הרמה המקצועית בין תחנות המשטרה נדרשת נוכח קיומה של שונות מסוימת ברמת המקצועיות של המחוזות השונים בתחום המעצרים. שונות זו עלתה במספר בדיקות שנערכו במהלך ביקורת מבקר המדינה: שיעור המעצרים הלא מוצדקים בשנת 2017</w:t>
      </w:r>
      <w:r w:rsidRPr="00F13DA5">
        <w:rPr>
          <w:rStyle w:val="FootnoteReference"/>
          <w:b/>
          <w:bCs/>
          <w:rtl/>
        </w:rPr>
        <w:footnoteReference w:id="74"/>
      </w:r>
      <w:r w:rsidRPr="00F13DA5">
        <w:rPr>
          <w:rFonts w:hint="cs"/>
          <w:rtl/>
        </w:rPr>
        <w:t xml:space="preserve">; שיעור המקרים </w:t>
      </w:r>
      <w:r>
        <w:rPr>
          <w:rFonts w:hint="cs"/>
          <w:rtl/>
        </w:rPr>
        <w:t>ש</w:t>
      </w:r>
      <w:r w:rsidRPr="00F13DA5">
        <w:rPr>
          <w:rFonts w:hint="cs"/>
          <w:rtl/>
        </w:rPr>
        <w:t xml:space="preserve">בהם שוטרים לא סימנו את עילת המעצר בדוח המעצר; וכן שוני רב בין המחוזות במשך החזקת העצורים (ממועד מעצרם ועד לשחרורם וכן את משכי ההחזקה בתחנת המשטרה עד תחילת החקירה ועד הבאה </w:t>
      </w:r>
      <w:r>
        <w:rPr>
          <w:rFonts w:hint="cs"/>
          <w:rtl/>
        </w:rPr>
        <w:t>ל</w:t>
      </w:r>
      <w:r w:rsidRPr="00F13DA5">
        <w:rPr>
          <w:rFonts w:hint="cs"/>
          <w:rtl/>
        </w:rPr>
        <w:t xml:space="preserve">פני קצין ממונה). </w:t>
      </w:r>
      <w:bookmarkEnd w:id="26"/>
    </w:p>
    <w:p w14:paraId="50890F92" w14:textId="77777777" w:rsidR="00BA23AE" w:rsidRPr="00F13DA5" w:rsidRDefault="00BA23AE" w:rsidP="009E3966">
      <w:pPr>
        <w:pStyle w:val="100"/>
        <w:rPr>
          <w:rtl/>
        </w:rPr>
      </w:pPr>
      <w:r w:rsidRPr="00F13DA5">
        <w:rPr>
          <w:rFonts w:hint="cs"/>
          <w:rtl/>
        </w:rPr>
        <w:t xml:space="preserve">משטרת ישראל מסרה בתגובתה כי לאחרונה מיושם כלי לבדיקת המקצועיות של החוקר. הכלי בודק באופן אחיד את הידע המקצועי, לרבות בתחום המעצרים, באמצעות מבחן בעל </w:t>
      </w:r>
      <w:r>
        <w:rPr>
          <w:rFonts w:hint="cs"/>
          <w:rtl/>
        </w:rPr>
        <w:t>עשר</w:t>
      </w:r>
      <w:r w:rsidRPr="00F13DA5">
        <w:rPr>
          <w:rFonts w:hint="cs"/>
          <w:rtl/>
        </w:rPr>
        <w:t xml:space="preserve"> שאלות הנערך אחת לחודש לכל החוקרים. מבחן זה, עתיד לשקף את תמונת המצב </w:t>
      </w:r>
      <w:r>
        <w:rPr>
          <w:rFonts w:hint="cs"/>
          <w:rtl/>
        </w:rPr>
        <w:t>של</w:t>
      </w:r>
      <w:r w:rsidRPr="00F13DA5">
        <w:rPr>
          <w:rFonts w:hint="cs"/>
          <w:rtl/>
        </w:rPr>
        <w:t xml:space="preserve"> </w:t>
      </w:r>
      <w:r>
        <w:rPr>
          <w:rFonts w:hint="cs"/>
          <w:rtl/>
        </w:rPr>
        <w:t>ה</w:t>
      </w:r>
      <w:r w:rsidRPr="00F13DA5">
        <w:rPr>
          <w:rFonts w:hint="cs"/>
          <w:rtl/>
        </w:rPr>
        <w:t xml:space="preserve">ידע המקצועי והכרת </w:t>
      </w:r>
      <w:r>
        <w:rPr>
          <w:rFonts w:hint="cs"/>
          <w:rtl/>
        </w:rPr>
        <w:t>ה</w:t>
      </w:r>
      <w:r w:rsidRPr="00F13DA5">
        <w:rPr>
          <w:rFonts w:hint="cs"/>
          <w:rtl/>
        </w:rPr>
        <w:t xml:space="preserve">נהלים וההנחיות. </w:t>
      </w:r>
    </w:p>
    <w:p w14:paraId="3D230AE0" w14:textId="77777777" w:rsidR="00BA23AE" w:rsidRPr="00F13DA5" w:rsidRDefault="00BA23AE" w:rsidP="00EC4FF0">
      <w:pPr>
        <w:pStyle w:val="af4"/>
        <w:rPr>
          <w:rtl/>
        </w:rPr>
      </w:pPr>
      <w:r w:rsidRPr="00F13DA5">
        <w:rPr>
          <w:rFonts w:hint="cs"/>
          <w:rtl/>
        </w:rPr>
        <w:t xml:space="preserve">יוצא אפוא כי הליכי הביקורת והבקרה במשטרת ישראל בתחום המעצרים מורכבים משלושה נדבכים: (א) מבחן מקצועי - יאפשר בעתיד השוואה בין תחנות ומחוזות, אך לא נותן מענה לפער בין </w:t>
      </w:r>
      <w:r>
        <w:rPr>
          <w:rFonts w:hint="cs"/>
          <w:rtl/>
        </w:rPr>
        <w:t>ה</w:t>
      </w:r>
      <w:r w:rsidRPr="00F13DA5">
        <w:rPr>
          <w:rFonts w:hint="cs"/>
          <w:rtl/>
        </w:rPr>
        <w:t xml:space="preserve">ידע </w:t>
      </w:r>
      <w:r>
        <w:rPr>
          <w:rFonts w:hint="cs"/>
          <w:rtl/>
        </w:rPr>
        <w:t>ה</w:t>
      </w:r>
      <w:r w:rsidRPr="00F13DA5">
        <w:rPr>
          <w:rFonts w:hint="cs"/>
          <w:rtl/>
        </w:rPr>
        <w:t>תיאורטי ליישום בפועל</w:t>
      </w:r>
      <w:r>
        <w:rPr>
          <w:rFonts w:hint="cs"/>
          <w:rtl/>
        </w:rPr>
        <w:t>;</w:t>
      </w:r>
      <w:r w:rsidRPr="00F13DA5">
        <w:rPr>
          <w:rFonts w:hint="cs"/>
          <w:rtl/>
        </w:rPr>
        <w:t xml:space="preserve"> (ב) בקרה מחוזית - מאפשרת השוואה בין תחנות ומחוזות ביחס למספר רב של מעצרים, אך עדיין </w:t>
      </w:r>
      <w:r>
        <w:rPr>
          <w:rFonts w:hint="cs"/>
          <w:rtl/>
        </w:rPr>
        <w:t>אינה</w:t>
      </w:r>
      <w:r w:rsidRPr="00F13DA5">
        <w:rPr>
          <w:rFonts w:hint="cs"/>
          <w:rtl/>
        </w:rPr>
        <w:t xml:space="preserve"> נערכת באופן מספק משום </w:t>
      </w:r>
      <w:r>
        <w:rPr>
          <w:rFonts w:hint="cs"/>
          <w:rtl/>
        </w:rPr>
        <w:t>שאינה מתבצעת</w:t>
      </w:r>
      <w:r w:rsidRPr="00F13DA5">
        <w:rPr>
          <w:rFonts w:hint="cs"/>
          <w:rtl/>
        </w:rPr>
        <w:t xml:space="preserve"> בכל המחוזות ורמתה המקצועית לוקה בחסר</w:t>
      </w:r>
      <w:r>
        <w:rPr>
          <w:rFonts w:hint="cs"/>
          <w:rtl/>
        </w:rPr>
        <w:t>;</w:t>
      </w:r>
      <w:r w:rsidRPr="00F13DA5">
        <w:rPr>
          <w:rFonts w:hint="cs"/>
          <w:rtl/>
        </w:rPr>
        <w:t xml:space="preserve"> (ג) ביקורת אח"ם - מקצועית ומקיפה אך נערכת </w:t>
      </w:r>
      <w:r>
        <w:rPr>
          <w:rFonts w:hint="cs"/>
          <w:rtl/>
        </w:rPr>
        <w:t>ב</w:t>
      </w:r>
      <w:r w:rsidRPr="00F13DA5">
        <w:rPr>
          <w:rFonts w:hint="cs"/>
          <w:rtl/>
        </w:rPr>
        <w:t>מספר קטן של מעצרים.</w:t>
      </w:r>
      <w:r>
        <w:rPr>
          <w:rFonts w:hint="cs"/>
          <w:rtl/>
        </w:rPr>
        <w:t xml:space="preserve"> </w:t>
      </w:r>
    </w:p>
    <w:p w14:paraId="307CEDE6" w14:textId="77777777" w:rsidR="00BA23AE" w:rsidRPr="00F13DA5" w:rsidRDefault="00BA23AE" w:rsidP="00EC4FF0">
      <w:pPr>
        <w:pStyle w:val="af4"/>
        <w:rPr>
          <w:rtl/>
        </w:rPr>
      </w:pPr>
      <w:r>
        <w:rPr>
          <w:rFonts w:hint="cs"/>
          <w:rtl/>
        </w:rPr>
        <w:t>לנוכח</w:t>
      </w:r>
      <w:r w:rsidRPr="00F13DA5">
        <w:rPr>
          <w:rFonts w:hint="cs"/>
          <w:rtl/>
        </w:rPr>
        <w:t xml:space="preserve"> כלל האמור, מוצע כי המפכ"ל יוודא כי </w:t>
      </w:r>
      <w:r>
        <w:rPr>
          <w:rFonts w:hint="cs"/>
          <w:rtl/>
        </w:rPr>
        <w:t>מספר</w:t>
      </w:r>
      <w:r w:rsidRPr="00F13DA5">
        <w:rPr>
          <w:rFonts w:hint="cs"/>
          <w:rtl/>
        </w:rPr>
        <w:t xml:space="preserve"> הבקרות </w:t>
      </w:r>
      <w:r>
        <w:rPr>
          <w:rFonts w:hint="cs"/>
          <w:rtl/>
        </w:rPr>
        <w:t>גדל</w:t>
      </w:r>
      <w:r w:rsidRPr="00F13DA5">
        <w:rPr>
          <w:rFonts w:hint="cs"/>
          <w:rtl/>
        </w:rPr>
        <w:t xml:space="preserve"> וכי התמריץ של תחנת המשטרה לעמוד בחובותיה על פי דין יגבר. לשם כך, מוצע כי פעילות הבקרה והביקורת - שנערכת באח"ם, במחוזות, במרחבים ובתחנות</w:t>
      </w:r>
      <w:r>
        <w:rPr>
          <w:rFonts w:hint="cs"/>
          <w:rtl/>
        </w:rPr>
        <w:t xml:space="preserve"> </w:t>
      </w:r>
      <w:r w:rsidRPr="00F13DA5">
        <w:rPr>
          <w:rFonts w:hint="cs"/>
          <w:rtl/>
        </w:rPr>
        <w:t xml:space="preserve">- תובא בפני הפיקוד הבכיר במשטרה </w:t>
      </w:r>
      <w:r>
        <w:rPr>
          <w:rFonts w:hint="cs"/>
          <w:rtl/>
        </w:rPr>
        <w:t xml:space="preserve">על מנת </w:t>
      </w:r>
      <w:r w:rsidRPr="00F13DA5">
        <w:rPr>
          <w:rFonts w:hint="cs"/>
          <w:rtl/>
        </w:rPr>
        <w:t xml:space="preserve">שיוכל לאמוד את טיבה ותדירותה. </w:t>
      </w:r>
    </w:p>
    <w:bookmarkEnd w:id="22"/>
    <w:bookmarkEnd w:id="23"/>
    <w:bookmarkEnd w:id="24"/>
    <w:p w14:paraId="20F43B48" w14:textId="77777777" w:rsidR="00BA23AE" w:rsidRPr="00F13DA5" w:rsidRDefault="00BA23AE" w:rsidP="00EC4FF0">
      <w:pPr>
        <w:pStyle w:val="218"/>
        <w:rPr>
          <w:rtl/>
        </w:rPr>
      </w:pPr>
      <w:r w:rsidRPr="00F13DA5">
        <w:rPr>
          <w:rFonts w:hint="cs"/>
          <w:rtl/>
        </w:rPr>
        <w:t>דיוני מעצר בבית המשפט</w:t>
      </w:r>
    </w:p>
    <w:p w14:paraId="5492EF54" w14:textId="77777777" w:rsidR="00BA23AE" w:rsidRPr="00F13DA5" w:rsidRDefault="00BA23AE" w:rsidP="00EC4FF0">
      <w:pPr>
        <w:pStyle w:val="316"/>
        <w:rPr>
          <w:rtl/>
        </w:rPr>
      </w:pPr>
      <w:r w:rsidRPr="00F13DA5">
        <w:rPr>
          <w:rFonts w:hint="cs"/>
          <w:rtl/>
        </w:rPr>
        <w:t xml:space="preserve">זמינות בתי המשפט במהלך השבוע </w:t>
      </w:r>
    </w:p>
    <w:p w14:paraId="6EA8D621" w14:textId="77777777" w:rsidR="00BA23AE" w:rsidRPr="00F13DA5" w:rsidRDefault="00BA23AE" w:rsidP="00EC4FF0">
      <w:pPr>
        <w:pStyle w:val="100"/>
        <w:rPr>
          <w:rtl/>
        </w:rPr>
      </w:pPr>
      <w:r w:rsidRPr="00F13DA5">
        <w:rPr>
          <w:rFonts w:hint="cs"/>
          <w:rtl/>
        </w:rPr>
        <w:t>לפי חוק המעצרים, עצור יובא בפני שופט בהקדם האפשרי ולא יאוחר מ-24 שעות ממועד מעצרו. לבתי משפט השלום ברחבי הארץ מוגשות מדי יום בקשות רבות להוצאת צווי מעצר, להארכת מעצר, לשינוי תנאי השחרור ממעצר או לשחרור ממעצר (להלן - בקשות מעצר)</w:t>
      </w:r>
      <w:r w:rsidRPr="00F13DA5">
        <w:rPr>
          <w:vertAlign w:val="superscript"/>
          <w:rtl/>
        </w:rPr>
        <w:footnoteReference w:id="75"/>
      </w:r>
      <w:r w:rsidRPr="00F13DA5">
        <w:rPr>
          <w:rFonts w:hint="cs"/>
          <w:rtl/>
        </w:rPr>
        <w:t xml:space="preserve">. ככלל, עם </w:t>
      </w:r>
      <w:r w:rsidRPr="00F13DA5">
        <w:rPr>
          <w:rFonts w:hint="cs"/>
          <w:rtl/>
        </w:rPr>
        <w:lastRenderedPageBreak/>
        <w:t xml:space="preserve">הגשת בקשת מעצר קובעת המזכירות את הבקשה לדיון לפני שופט בהשתתפות העצור וסנגורו. בבתי משפט השלום והמחוזי ברחבי הארץ התקיימו 132,623 ו-125,029 דיונים בהליכי מעצר בשנים 2017 ו-2018, בהתאמה. </w:t>
      </w:r>
    </w:p>
    <w:p w14:paraId="4D5AF63D" w14:textId="77777777" w:rsidR="00BA23AE" w:rsidRPr="00F13DA5" w:rsidRDefault="00BA23AE" w:rsidP="00EC4FF0">
      <w:pPr>
        <w:pStyle w:val="100"/>
        <w:rPr>
          <w:rtl/>
        </w:rPr>
      </w:pPr>
      <w:r w:rsidRPr="00F13DA5">
        <w:rPr>
          <w:rFonts w:hint="cs"/>
          <w:rtl/>
        </w:rPr>
        <w:t xml:space="preserve">ככלל, ההחלטות המתקבלות בתיקי מעצר נעשות </w:t>
      </w:r>
      <w:r>
        <w:rPr>
          <w:rFonts w:hint="cs"/>
          <w:rtl/>
        </w:rPr>
        <w:t>בלוח</w:t>
      </w:r>
      <w:r w:rsidRPr="00F13DA5">
        <w:rPr>
          <w:rFonts w:hint="cs"/>
          <w:rtl/>
        </w:rPr>
        <w:t xml:space="preserve"> זמנים קצר ודחוף. ההחלטה מה יהיו פעולות החקירה שיבוצעו והקביעה אם נדרשת הארכת מעצרו של החשוד או שניתן לשחררו מושפעת באופן ישיר מהתקדמות החקירה בתיק וממשך הזמן שקבע בית המשפט להארכת המעצר. ואולם, פרט לשיקולים המקצועיים יחידות החקירה כפופות לשיקולים מערכתיים נוספים המשפיעים על תיקי המעצר, ובהם העובדה ששעות הפעילות של מזכירויות בתי המשפט בכל הנוגע להגשת בקשות מעצר וקיום דיוני המעצר הן מוגבלות.</w:t>
      </w:r>
    </w:p>
    <w:p w14:paraId="2584C9A1" w14:textId="77777777" w:rsidR="00BA23AE" w:rsidRPr="00F13DA5" w:rsidRDefault="00BA23AE" w:rsidP="00EC4FF0">
      <w:pPr>
        <w:pStyle w:val="100"/>
        <w:rPr>
          <w:rtl/>
        </w:rPr>
      </w:pPr>
      <w:r w:rsidRPr="00F13DA5">
        <w:rPr>
          <w:rFonts w:hint="cs"/>
          <w:rtl/>
        </w:rPr>
        <w:t xml:space="preserve">כשבית משפט מאריך את מעצרו של עצור ל-24 שעות ונקבע דיון ליום המחרת, העצור מצוי במשך רוב הזמן הזה בנסיעות אל בית המשפט וחזרה. יוצא אפוא שלאורך כל תקופת הארכת המעצר כמעט שלא ניתן לבצע באופן מיטבי פעולות חקירה הדורשות את נוכחות העצור. במצב זה עלולה המשטרה למצוא את עצמה בדיון לפני בית המשפט מבלי שקידמה כראוי את פעולות החקירה וללא יכולת אמיתית להעריך את הצורך בהמשך החזקת העצור במעצר. </w:t>
      </w:r>
    </w:p>
    <w:p w14:paraId="657C9707" w14:textId="77777777" w:rsidR="00BA23AE" w:rsidRPr="00F13DA5" w:rsidRDefault="00BA23AE" w:rsidP="00EC4FF0">
      <w:pPr>
        <w:pStyle w:val="100"/>
        <w:rPr>
          <w:rtl/>
        </w:rPr>
      </w:pPr>
      <w:r w:rsidRPr="00F13DA5">
        <w:rPr>
          <w:rFonts w:hint="cs"/>
          <w:rtl/>
        </w:rPr>
        <w:t xml:space="preserve">ככלל, על פי תקנות בתי המשפט (מזכירות בבתי משפט ובבתי דין לעבודה), התשס"ה-2004 (להלן בפרק זה - התקנות), ונוהל נשיאת בית המשפט בנושא, שעות קבלת הקהל במזכירויות </w:t>
      </w:r>
      <w:r>
        <w:rPr>
          <w:rFonts w:hint="cs"/>
          <w:rtl/>
        </w:rPr>
        <w:t>הן</w:t>
      </w:r>
      <w:r w:rsidRPr="00F13DA5">
        <w:rPr>
          <w:rFonts w:hint="cs"/>
          <w:rtl/>
        </w:rPr>
        <w:t xml:space="preserve"> בימים א' עד ה' בשבוע מהשעה 8:30 ועד השעה 13:30</w:t>
      </w:r>
      <w:r w:rsidRPr="00F13DA5">
        <w:rPr>
          <w:rStyle w:val="FootnoteReference"/>
          <w:rtl/>
        </w:rPr>
        <w:footnoteReference w:id="76"/>
      </w:r>
      <w:r w:rsidRPr="00F13DA5">
        <w:rPr>
          <w:rFonts w:hint="cs"/>
          <w:rtl/>
        </w:rPr>
        <w:t>. כמו כן, מנהל בתי המשפט מוסמך להורות באילו סוגי עניינים תהיה מזכירות בית המשפט פתוחה במשמרת שנייה</w:t>
      </w:r>
      <w:r w:rsidRPr="00F13DA5">
        <w:rPr>
          <w:vertAlign w:val="superscript"/>
          <w:rtl/>
        </w:rPr>
        <w:footnoteReference w:id="77"/>
      </w:r>
      <w:r w:rsidRPr="00F13DA5">
        <w:rPr>
          <w:rFonts w:hint="cs"/>
          <w:rtl/>
        </w:rPr>
        <w:t>. בכל אחד מהמחוזות קיימים נהלים והנחיות עבודה הנוגעים להליכי המעצרים ולבקשות המוגשות במסגרתם (להלן - נוהלי מעצרים)</w:t>
      </w:r>
      <w:r w:rsidRPr="00F13DA5">
        <w:rPr>
          <w:vertAlign w:val="superscript"/>
          <w:rtl/>
        </w:rPr>
        <w:footnoteReference w:id="78"/>
      </w:r>
      <w:r w:rsidRPr="00F13DA5">
        <w:rPr>
          <w:rFonts w:hint="cs"/>
          <w:rtl/>
        </w:rPr>
        <w:t xml:space="preserve">. </w:t>
      </w:r>
    </w:p>
    <w:p w14:paraId="54EF835F" w14:textId="77777777" w:rsidR="00BA23AE" w:rsidRPr="00F13DA5" w:rsidRDefault="00BA23AE" w:rsidP="00156DEF">
      <w:pPr>
        <w:pStyle w:val="af4"/>
        <w:rPr>
          <w:rtl/>
        </w:rPr>
      </w:pPr>
      <w:r w:rsidRPr="00F13DA5">
        <w:rPr>
          <w:rFonts w:hint="cs"/>
          <w:rtl/>
        </w:rPr>
        <w:t>מבדיקת מבקר המדינה עולה כי בתי המשפט מגבילים את שעות הגשת בקשות המעצר בבתי משפט השלום לשעות הבוקר המוקדמות בלבד. ככלל, לא ניתן להגיש בקשות מעצר לאחר השעה תשע בבוקר אלא בנסיבות חריגות</w:t>
      </w:r>
      <w:r w:rsidRPr="00AD2D3B">
        <w:rPr>
          <w:rStyle w:val="FootnoteReference"/>
          <w:rtl/>
        </w:rPr>
        <w:footnoteReference w:id="79"/>
      </w:r>
      <w:r w:rsidRPr="00AD2D3B">
        <w:rPr>
          <w:rFonts w:hint="cs"/>
          <w:rtl/>
        </w:rPr>
        <w:t>.</w:t>
      </w:r>
      <w:r w:rsidRPr="00F13DA5">
        <w:rPr>
          <w:rFonts w:hint="cs"/>
          <w:rtl/>
        </w:rPr>
        <w:t xml:space="preserve"> כמו כן, נוהלי המעצרים במחוזות ברחבי הארץ אינם אחידים, וכל אחד מבתי המשפט - הן השלום והן המחוזיים - פועל בתחום המעצרים על פי נהלים פנימיים-מקומיים שגובשו באופן פרטני. </w:t>
      </w:r>
    </w:p>
    <w:p w14:paraId="3DB47C6E" w14:textId="77777777" w:rsidR="00BA23AE" w:rsidRPr="00F13DA5" w:rsidRDefault="00BA23AE" w:rsidP="00156DEF">
      <w:pPr>
        <w:pStyle w:val="100"/>
        <w:rPr>
          <w:rtl/>
        </w:rPr>
      </w:pPr>
      <w:r w:rsidRPr="00F13DA5">
        <w:rPr>
          <w:rFonts w:hint="cs"/>
          <w:rtl/>
        </w:rPr>
        <w:t>יצוין כי פתיחת תיקים או הגשת בקשות במסגרת הליכי מעצרים בבתי המשפט נעשית על ידי נציגי המשטרה באופן פיזי במזכירות בית המשפט</w:t>
      </w:r>
      <w:r>
        <w:rPr>
          <w:rFonts w:hint="cs"/>
          <w:rtl/>
        </w:rPr>
        <w:t>.</w:t>
      </w:r>
    </w:p>
    <w:p w14:paraId="078FF1AE" w14:textId="77777777" w:rsidR="00BA23AE" w:rsidRPr="00F13DA5" w:rsidRDefault="00BA23AE" w:rsidP="008A0C03">
      <w:pPr>
        <w:pStyle w:val="a1"/>
        <w:numPr>
          <w:ilvl w:val="0"/>
          <w:numId w:val="28"/>
        </w:numPr>
        <w:rPr>
          <w:rtl/>
        </w:rPr>
      </w:pPr>
      <w:r w:rsidRPr="00F13DA5">
        <w:rPr>
          <w:rFonts w:hint="cs"/>
          <w:rtl/>
        </w:rPr>
        <w:lastRenderedPageBreak/>
        <w:t xml:space="preserve">ברוב המחוזות הגשת בקשות המעצר במזכירויות בית משפט השלום חייבת להתבצע עד השעה 8:30 בבוקר. בחלק מבתי המשפט מתאפשרת דחייה בשעת ההגשה </w:t>
      </w:r>
      <w:r>
        <w:rPr>
          <w:rFonts w:hint="cs"/>
          <w:rtl/>
        </w:rPr>
        <w:t xml:space="preserve">תוך </w:t>
      </w:r>
      <w:r w:rsidRPr="00F13DA5">
        <w:rPr>
          <w:rFonts w:hint="cs"/>
          <w:rtl/>
        </w:rPr>
        <w:t>הבחנה בין היחידות המגישות או בין סוגי ההליכים, למשל כשמדובר בבקשות להארכת מעצר שני</w:t>
      </w:r>
      <w:r>
        <w:rPr>
          <w:rFonts w:hint="cs"/>
          <w:rtl/>
        </w:rPr>
        <w:t>י</w:t>
      </w:r>
      <w:r w:rsidRPr="00F13DA5">
        <w:rPr>
          <w:rFonts w:hint="cs"/>
          <w:rtl/>
        </w:rPr>
        <w:t>ה ואילך, הצהרות תובע, כתבי אישום ובקשות למעצר עד תום ההליכים. ככלל, בכל המחוזות כל הגשה מעבר לשעות המקובלות מחייבת קבלת אישור מנומק בכתב של קצין אח"ם מחוזי או נציג אחר מהמשטרה ואישור סגן נשיא בתי משפט השלום באותו מחוז</w:t>
      </w:r>
      <w:r w:rsidRPr="00F13DA5">
        <w:rPr>
          <w:vertAlign w:val="superscript"/>
          <w:rtl/>
        </w:rPr>
        <w:footnoteReference w:id="80"/>
      </w:r>
      <w:r w:rsidRPr="00F13DA5">
        <w:rPr>
          <w:rFonts w:hint="cs"/>
          <w:rtl/>
        </w:rPr>
        <w:t xml:space="preserve">. </w:t>
      </w:r>
    </w:p>
    <w:p w14:paraId="3E784E44" w14:textId="77777777" w:rsidR="00BA23AE" w:rsidRPr="00F13DA5" w:rsidRDefault="00BA23AE" w:rsidP="00DD503F">
      <w:pPr>
        <w:pStyle w:val="af3"/>
        <w:rPr>
          <w:rtl/>
        </w:rPr>
      </w:pPr>
      <w:r w:rsidRPr="00F13DA5">
        <w:rPr>
          <w:rFonts w:hint="cs"/>
          <w:rtl/>
        </w:rPr>
        <w:t xml:space="preserve">הגבלת שעות ההגשה של בקשות מעצר בבתי המשפט משפיעה על היחידות החוקרות במשטרה, על שב"ס, האמון על הבאת העצורים לדיונים, ועל מספר הדיונים המתקיימים בבית המשפט. על פי נתונים שנאספו מהמחוזות ורוכזו על ידי חטיבת החקירות, הגבלת השעות מקשה על החוקרים ועל טועני המעצרים ויוצרת לחץ זמנים בתהליך קבלת ההחלטות. ההשפעות של הגבלת השעות שבות ועולות בדיונים שמקיימים נציגי המשטרה עם הנהלת בתי המשפט ובהזדמנויות שונות. </w:t>
      </w:r>
    </w:p>
    <w:p w14:paraId="6A8C6E42" w14:textId="097D426F" w:rsidR="00BA23AE" w:rsidRPr="00F13DA5" w:rsidRDefault="00BA23AE" w:rsidP="00DD503F">
      <w:pPr>
        <w:pStyle w:val="a1"/>
        <w:rPr>
          <w:rtl/>
        </w:rPr>
      </w:pPr>
      <w:r w:rsidRPr="00F13DA5">
        <w:rPr>
          <w:rFonts w:hint="cs"/>
          <w:rtl/>
        </w:rPr>
        <w:t xml:space="preserve">בפגישות שהתקיימו בין נציגי המשטרה ובין מנהל בתי המשפט ביולי 2018 ובינואר 2019 עלתה סוגיית שעות הגשת בקשות המעצר וחוסר האחידות בין בתי המשפט. המשטרה טענה כי פרק הזמן שבו ניתן להגיש בקשות בבתי המשפט מקצר למעשה את שעות המעצר המוקנות בחוק, והדבר מעורר קשיים בעבודת יחידות החקירה ומעלה את מספר הדיונים שמתקיימים בבית המשפט בשל חוסר זמן להגשת כתב אישום. נוסף על כך, התנהלות זו מאריכה את שהותם של העצורים במעצר. </w:t>
      </w:r>
    </w:p>
    <w:p w14:paraId="3B9E9775" w14:textId="77777777" w:rsidR="00BA23AE" w:rsidRPr="00F13DA5" w:rsidRDefault="00BA23AE" w:rsidP="00DD503F">
      <w:pPr>
        <w:pStyle w:val="af3"/>
        <w:rPr>
          <w:rtl/>
        </w:rPr>
      </w:pPr>
      <w:r w:rsidRPr="00F13DA5">
        <w:rPr>
          <w:rFonts w:hint="cs"/>
          <w:rtl/>
        </w:rPr>
        <w:t xml:space="preserve">במרץ 2019 הציעה המשטרה להנהלת בתי המשפט להרחיב את שעות קבלת הבקשות ובמקביל לבנות מתווה מדורג של הבאת בקשות בפני בית המשפט. לפי הצעה זו, המזכירויות יקבלו בקשות בשעות 8:30 - 13:30. המשטרה אף העלתה פתרונות נוספים לנושא, כגון הבחנה בין שעות קבלת הבקשות בהתאם לסוג הבקשה. סוכם כי הנושא ייבחן במסגרת פורום נשיאי בתי המשפט. </w:t>
      </w:r>
    </w:p>
    <w:p w14:paraId="063364B2" w14:textId="77777777" w:rsidR="00BA23AE" w:rsidRPr="002B0C32" w:rsidRDefault="00BA23AE" w:rsidP="00DD503F">
      <w:pPr>
        <w:pStyle w:val="a1"/>
        <w:rPr>
          <w:rtl/>
        </w:rPr>
      </w:pPr>
      <w:r w:rsidRPr="002B0C32">
        <w:rPr>
          <w:rFonts w:hint="eastAsia"/>
          <w:rtl/>
        </w:rPr>
        <w:t>גם</w:t>
      </w:r>
      <w:r w:rsidRPr="002B0C32">
        <w:rPr>
          <w:rtl/>
        </w:rPr>
        <w:t xml:space="preserve"> בתשובתה לביקורת כתבה המשטרה כי יש לבטל את המגבלה על שעות הגשת בקשות המעצר ועל דיוני מעצר בבתי המשפט. כך תתאפשר שמירה על תכלית החוק המעניק 24 שעות למעצר, יתאפשר לה לנהל חקירה יעילה ולהקצות משאביה לחקר האמת במקום לפעולות טכניות, שלעיתים מונעות ביצוע פעולות חקירה חשובות שיכולות אף לייתר הארכת מעצר או לתת בידי בית המשפט תמונה טובה יותר לצורך קבלת החלטה. </w:t>
      </w:r>
      <w:r w:rsidRPr="00F13DA5">
        <w:rPr>
          <w:rFonts w:hint="cs"/>
          <w:rtl/>
        </w:rPr>
        <w:t xml:space="preserve">עוד נאמר כי יש לבחון אפשרות של קיום משמרת ב' בבתי המשפט </w:t>
      </w:r>
      <w:r>
        <w:rPr>
          <w:rFonts w:hint="cs"/>
          <w:rtl/>
        </w:rPr>
        <w:t>על מנת</w:t>
      </w:r>
      <w:r w:rsidRPr="00F13DA5">
        <w:rPr>
          <w:rFonts w:hint="cs"/>
          <w:rtl/>
        </w:rPr>
        <w:t xml:space="preserve"> שניתן יהיה לדון בהליכי מעצרים גם בשעות הערב המאוחרות.</w:t>
      </w:r>
    </w:p>
    <w:p w14:paraId="3C1297A6" w14:textId="77777777" w:rsidR="00BA23AE" w:rsidRPr="00F13DA5" w:rsidRDefault="00BA23AE" w:rsidP="00DD503F">
      <w:pPr>
        <w:pStyle w:val="a1"/>
        <w:rPr>
          <w:rtl/>
        </w:rPr>
      </w:pPr>
      <w:r w:rsidRPr="00F13DA5">
        <w:rPr>
          <w:rFonts w:hint="cs"/>
          <w:rtl/>
        </w:rPr>
        <w:t xml:space="preserve">הנהלת בתי המשפט טענה בתשובתה כי ניתן להגיש בקשות למעצר ימים בהתאם לחוק בכל שעות הפעילות של בתי המשפט ולאחר קבלת אישור מתאים - מתקבלות בקשות גם בשעות מאוחרות יותר וכי לא הובאה בדוח אף דוגמה </w:t>
      </w:r>
      <w:r>
        <w:rPr>
          <w:rFonts w:hint="cs"/>
          <w:rtl/>
        </w:rPr>
        <w:t>לסירוב של</w:t>
      </w:r>
      <w:r w:rsidRPr="00F13DA5">
        <w:rPr>
          <w:rFonts w:hint="cs"/>
          <w:rtl/>
        </w:rPr>
        <w:t xml:space="preserve"> בתי המשפט לקבל בקשת מעצר. עם זאת טענה כי עד </w:t>
      </w:r>
      <w:r>
        <w:rPr>
          <w:rFonts w:hint="cs"/>
          <w:rtl/>
        </w:rPr>
        <w:t>ה</w:t>
      </w:r>
      <w:r w:rsidRPr="00F13DA5">
        <w:rPr>
          <w:rFonts w:hint="cs"/>
          <w:rtl/>
        </w:rPr>
        <w:t xml:space="preserve">שעה 8:30 ידוע למשטרה מי נעצר ב-24 השעות שחלפו </w:t>
      </w:r>
      <w:r w:rsidRPr="00F13DA5">
        <w:rPr>
          <w:rFonts w:hint="cs"/>
          <w:rtl/>
        </w:rPr>
        <w:lastRenderedPageBreak/>
        <w:t>ובעניינו של מי מהעצורים בכוונת המשטרה לבקש הארכת מעצר</w:t>
      </w:r>
      <w:r>
        <w:rPr>
          <w:rFonts w:hint="cs"/>
          <w:rtl/>
        </w:rPr>
        <w:t>,</w:t>
      </w:r>
      <w:r w:rsidRPr="00F13DA5">
        <w:rPr>
          <w:rFonts w:hint="cs"/>
          <w:rtl/>
        </w:rPr>
        <w:t xml:space="preserve"> וכי "ככלל, יש להגיש בקשות להארכת מעצר בשעות הבוקר". </w:t>
      </w:r>
    </w:p>
    <w:p w14:paraId="1B1824EA" w14:textId="77777777" w:rsidR="00BA23AE" w:rsidRDefault="00BA23AE" w:rsidP="00DD503F">
      <w:pPr>
        <w:pStyle w:val="af4"/>
        <w:rPr>
          <w:rtl/>
        </w:rPr>
      </w:pPr>
      <w:r w:rsidRPr="00F13DA5">
        <w:rPr>
          <w:rFonts w:hint="eastAsia"/>
          <w:rtl/>
        </w:rPr>
        <w:t>יצוין</w:t>
      </w:r>
      <w:r w:rsidRPr="00F13DA5">
        <w:rPr>
          <w:rtl/>
        </w:rPr>
        <w:t xml:space="preserve"> כי </w:t>
      </w:r>
      <w:r w:rsidRPr="00F13DA5">
        <w:rPr>
          <w:rFonts w:hint="eastAsia"/>
          <w:rtl/>
        </w:rPr>
        <w:t>גם</w:t>
      </w:r>
      <w:r w:rsidRPr="00F13DA5">
        <w:rPr>
          <w:rtl/>
        </w:rPr>
        <w:t xml:space="preserve"> אם על פי </w:t>
      </w:r>
      <w:r w:rsidRPr="00F13DA5">
        <w:rPr>
          <w:rFonts w:hint="cs"/>
          <w:rtl/>
        </w:rPr>
        <w:t xml:space="preserve">התקנות </w:t>
      </w:r>
      <w:r w:rsidRPr="00F13DA5">
        <w:rPr>
          <w:rtl/>
        </w:rPr>
        <w:t xml:space="preserve">שעות </w:t>
      </w:r>
      <w:r w:rsidRPr="00F13DA5">
        <w:rPr>
          <w:rFonts w:hint="cs"/>
          <w:rtl/>
        </w:rPr>
        <w:t>ה</w:t>
      </w:r>
      <w:r w:rsidRPr="00F13DA5">
        <w:rPr>
          <w:rtl/>
        </w:rPr>
        <w:t xml:space="preserve">פעילות </w:t>
      </w:r>
      <w:r w:rsidRPr="00F13DA5">
        <w:rPr>
          <w:rFonts w:hint="cs"/>
          <w:rtl/>
        </w:rPr>
        <w:t>במזכירות הן עד 13:30</w:t>
      </w:r>
      <w:r w:rsidRPr="00F13DA5">
        <w:rPr>
          <w:rtl/>
        </w:rPr>
        <w:t xml:space="preserve">, בפועל </w:t>
      </w:r>
      <w:r w:rsidRPr="00F13DA5">
        <w:rPr>
          <w:rFonts w:hint="eastAsia"/>
          <w:rtl/>
        </w:rPr>
        <w:t>נוהלי</w:t>
      </w:r>
      <w:r w:rsidRPr="00F13DA5">
        <w:rPr>
          <w:rtl/>
        </w:rPr>
        <w:t xml:space="preserve"> </w:t>
      </w:r>
      <w:r w:rsidRPr="00F13DA5">
        <w:rPr>
          <w:rFonts w:hint="eastAsia"/>
          <w:rtl/>
        </w:rPr>
        <w:t>המעצרים</w:t>
      </w:r>
      <w:r w:rsidRPr="00F13DA5">
        <w:rPr>
          <w:rtl/>
        </w:rPr>
        <w:t xml:space="preserve"> מצמצמים אותן. </w:t>
      </w:r>
      <w:r w:rsidRPr="00F13DA5">
        <w:rPr>
          <w:rFonts w:hint="eastAsia"/>
          <w:rtl/>
        </w:rPr>
        <w:t>עובדה</w:t>
      </w:r>
      <w:r w:rsidRPr="00F13DA5">
        <w:rPr>
          <w:rtl/>
        </w:rPr>
        <w:t xml:space="preserve"> זו הועלתה בדיונים </w:t>
      </w:r>
      <w:r>
        <w:rPr>
          <w:rFonts w:hint="cs"/>
          <w:rtl/>
        </w:rPr>
        <w:t>וכפי שנאמר</w:t>
      </w:r>
      <w:r w:rsidRPr="00F13DA5">
        <w:rPr>
          <w:rtl/>
        </w:rPr>
        <w:t xml:space="preserve"> לעיל, אף סוכם בדיון בין המשטרה להנהלת בתי המשפט שהנושא ייבחן במסגרת פורום נשיאי בתי המשפט. הקשיים מהגבלת שעות הפעילות בכל הנוגע לבקשות מעצר </w:t>
      </w:r>
      <w:r w:rsidRPr="00F13DA5">
        <w:rPr>
          <w:rFonts w:hint="cs"/>
          <w:rtl/>
        </w:rPr>
        <w:t xml:space="preserve">וההשפעה שלה על העצורים, המשטרה ושב"ס </w:t>
      </w:r>
      <w:r w:rsidRPr="00F13DA5">
        <w:rPr>
          <w:rFonts w:hint="eastAsia"/>
          <w:rtl/>
        </w:rPr>
        <w:t>עולים</w:t>
      </w:r>
      <w:r w:rsidRPr="00F13DA5">
        <w:rPr>
          <w:rFonts w:hint="cs"/>
          <w:rtl/>
        </w:rPr>
        <w:t xml:space="preserve"> בדיונים רבים ובהזדמנויות שונות, כפי שפורט לעיל. עובדה זו אף עמדה ביסוד הצעתה של המשטרה ממרץ 2019 </w:t>
      </w:r>
      <w:r w:rsidRPr="00F13DA5">
        <w:rPr>
          <w:rFonts w:hint="eastAsia"/>
          <w:rtl/>
        </w:rPr>
        <w:t>לבנות</w:t>
      </w:r>
      <w:r w:rsidRPr="00F13DA5">
        <w:rPr>
          <w:rtl/>
        </w:rPr>
        <w:t xml:space="preserve"> </w:t>
      </w:r>
      <w:r w:rsidRPr="00F13DA5">
        <w:rPr>
          <w:rFonts w:hint="eastAsia"/>
          <w:rtl/>
        </w:rPr>
        <w:t>מתווה</w:t>
      </w:r>
      <w:r w:rsidRPr="00F13DA5">
        <w:rPr>
          <w:rtl/>
        </w:rPr>
        <w:t xml:space="preserve"> </w:t>
      </w:r>
      <w:r w:rsidRPr="00F13DA5">
        <w:rPr>
          <w:rFonts w:hint="eastAsia"/>
          <w:rtl/>
        </w:rPr>
        <w:t>מדורג</w:t>
      </w:r>
      <w:r w:rsidRPr="00F13DA5">
        <w:rPr>
          <w:rtl/>
        </w:rPr>
        <w:t xml:space="preserve"> </w:t>
      </w:r>
      <w:r w:rsidRPr="00F13DA5">
        <w:rPr>
          <w:rFonts w:hint="eastAsia"/>
          <w:rtl/>
        </w:rPr>
        <w:t>של</w:t>
      </w:r>
      <w:r w:rsidRPr="00F13DA5">
        <w:rPr>
          <w:rtl/>
        </w:rPr>
        <w:t xml:space="preserve"> </w:t>
      </w:r>
      <w:r w:rsidRPr="00F13DA5">
        <w:rPr>
          <w:rFonts w:hint="eastAsia"/>
          <w:rtl/>
        </w:rPr>
        <w:t>הבאת</w:t>
      </w:r>
      <w:r w:rsidRPr="00F13DA5">
        <w:rPr>
          <w:rtl/>
        </w:rPr>
        <w:t xml:space="preserve"> </w:t>
      </w:r>
      <w:r w:rsidRPr="00F13DA5">
        <w:rPr>
          <w:rFonts w:hint="eastAsia"/>
          <w:rtl/>
        </w:rPr>
        <w:t>בקשות</w:t>
      </w:r>
      <w:r w:rsidRPr="00F13DA5">
        <w:rPr>
          <w:rtl/>
        </w:rPr>
        <w:t xml:space="preserve"> </w:t>
      </w:r>
      <w:r>
        <w:rPr>
          <w:rFonts w:hint="cs"/>
          <w:rtl/>
        </w:rPr>
        <w:t>ל</w:t>
      </w:r>
      <w:r w:rsidRPr="00F13DA5">
        <w:rPr>
          <w:rFonts w:hint="eastAsia"/>
          <w:rtl/>
        </w:rPr>
        <w:t>פני</w:t>
      </w:r>
      <w:r w:rsidRPr="00F13DA5">
        <w:rPr>
          <w:rtl/>
        </w:rPr>
        <w:t xml:space="preserve"> </w:t>
      </w:r>
      <w:r w:rsidRPr="00F13DA5">
        <w:rPr>
          <w:rFonts w:hint="eastAsia"/>
          <w:rtl/>
        </w:rPr>
        <w:t>בית</w:t>
      </w:r>
      <w:r w:rsidRPr="00F13DA5">
        <w:rPr>
          <w:rtl/>
        </w:rPr>
        <w:t xml:space="preserve"> </w:t>
      </w:r>
      <w:r w:rsidRPr="00F13DA5">
        <w:rPr>
          <w:rFonts w:hint="eastAsia"/>
          <w:rtl/>
        </w:rPr>
        <w:t>המשפט</w:t>
      </w:r>
      <w:r w:rsidRPr="00F13DA5">
        <w:rPr>
          <w:rFonts w:hint="cs"/>
          <w:rtl/>
        </w:rPr>
        <w:t>.</w:t>
      </w:r>
      <w:r>
        <w:rPr>
          <w:rFonts w:hint="cs"/>
          <w:rtl/>
        </w:rPr>
        <w:t xml:space="preserve"> </w:t>
      </w:r>
    </w:p>
    <w:p w14:paraId="0856107F" w14:textId="77777777" w:rsidR="00BA23AE" w:rsidRPr="00F13DA5" w:rsidRDefault="00BA23AE" w:rsidP="00DD503F">
      <w:pPr>
        <w:pStyle w:val="af4"/>
        <w:rPr>
          <w:rtl/>
        </w:rPr>
      </w:pPr>
      <w:r w:rsidRPr="00F13DA5">
        <w:rPr>
          <w:rFonts w:hint="cs"/>
          <w:rtl/>
        </w:rPr>
        <w:t>לגופו של עניין, הגבלת שעות הקבלה של בקשות המעצר בבתי המשפט לשעות הבוקר המוקדמות משפיעה באופן ממשי ומשמעותי על כל הפועלים בתחום המעצרים</w:t>
      </w:r>
      <w:r>
        <w:rPr>
          <w:rFonts w:hint="cs"/>
          <w:rtl/>
        </w:rPr>
        <w:t>,</w:t>
      </w:r>
      <w:r w:rsidRPr="00F13DA5">
        <w:rPr>
          <w:rFonts w:hint="cs"/>
          <w:rtl/>
        </w:rPr>
        <w:t xml:space="preserve"> וכתוצאה מכך על זכויות העצור. יחידות החקירה נאלצות לתכנן את פעולות החקירה ולבחון את המשך החזקת העצור במעצר בהתאם לאילוצי המערכת; יחידות התביעה צריכות לבחון את התיקים בסד זמנים קצר; ומספר הדיונים הרב מטיל עומס על גורמי </w:t>
      </w:r>
      <w:r>
        <w:rPr>
          <w:rFonts w:hint="cs"/>
          <w:rtl/>
        </w:rPr>
        <w:t>ה</w:t>
      </w:r>
      <w:r w:rsidRPr="00F13DA5">
        <w:rPr>
          <w:rFonts w:hint="cs"/>
          <w:rtl/>
        </w:rPr>
        <w:t xml:space="preserve">שב"ס המלווים את העצור לבית המשפט. מצב דברים זה גם עלול להגביר את עומס העבודה על שופטי המעצרים ועל מזכירויות בתי המשפט. </w:t>
      </w:r>
    </w:p>
    <w:p w14:paraId="31CCCC54" w14:textId="77777777" w:rsidR="00BA23AE" w:rsidRPr="00F13DA5" w:rsidDel="009D24CD" w:rsidRDefault="00BA23AE" w:rsidP="00DD503F">
      <w:pPr>
        <w:pStyle w:val="af4"/>
        <w:rPr>
          <w:rtl/>
        </w:rPr>
      </w:pPr>
      <w:r w:rsidRPr="00F13DA5" w:rsidDel="009D24CD">
        <w:rPr>
          <w:rFonts w:hint="cs"/>
          <w:rtl/>
        </w:rPr>
        <w:t xml:space="preserve">מוצע כי הנהלת בתי המשפט תבחן את הטענות המועלות בקשר למועדי הגשת בקשות במזכירויות בתי המשפט ואת השפעתם למעשה על פעולתם של כל גורמי אכיפת החוק המעורבים. נראה כי גמישות נוספת בשעות קבלת בקשות המעצר יכולה להקל על העומסים וליצור הגנה מקיפה על זכותם של עצורים, שכן יובאו לפני שופט רק אלו שמוצדק לקיים דיון בעניינם. בהינתן שמדובר במשאבים מוגבלים, מן הראוי שיישקל מתווה מדורג של הבאת בקשות בפני בית המשפט, ככל הניתן. כמו כן, יש לשקול קביעת הנחיות ונהלים אחידים ברמה הארצית לטיפול בבקשות בהליכי מעצרים חלף הנהלים הנפרדים בכל מחוז. </w:t>
      </w:r>
    </w:p>
    <w:p w14:paraId="37B42F83" w14:textId="77777777" w:rsidR="00BA23AE" w:rsidRPr="00F13DA5" w:rsidRDefault="00BA23AE" w:rsidP="00DD503F">
      <w:pPr>
        <w:pStyle w:val="100"/>
        <w:rPr>
          <w:rtl/>
        </w:rPr>
      </w:pPr>
      <w:r w:rsidRPr="00F13DA5">
        <w:rPr>
          <w:rFonts w:hint="cs"/>
          <w:rtl/>
        </w:rPr>
        <w:t xml:space="preserve">יצוין כי באפריל 2018 פרסם "צוות בדיקה בכיר לבחינת ההיבטים המערכתיים של ממשק העבודה בין שופטים הדנים בבקשות לפני הגשת כתב אישום ובין גורמי תביעה", שהקימה הנהלת בתי המשפט, את המלצותיו. בפתח ההמלצות נכתב שמן הראוי לקבוע ולהחיל נוהל אחיד בכל בתי המשפט בנושא אופן עריכתם של דיוני מעצרים ובנוגע לאופן הטיפול בבקשות לצווים במסגרת חקירה סמויה. לגישת הצוות, אין להסתפק במצב של נהלים או הסדרים פנימיים בכל בית משפט. </w:t>
      </w:r>
    </w:p>
    <w:p w14:paraId="0AF38585" w14:textId="760B00A1" w:rsidR="00BA23AE" w:rsidRPr="00F13DA5" w:rsidRDefault="00DD503F" w:rsidP="00DD503F">
      <w:pPr>
        <w:pStyle w:val="100"/>
        <w:rPr>
          <w:rtl/>
        </w:rPr>
      </w:pPr>
      <w:r>
        <w:rPr>
          <w:rFonts w:hint="cs"/>
          <w:rtl/>
        </w:rPr>
        <w:t>ה</w:t>
      </w:r>
      <w:r w:rsidR="00BA23AE" w:rsidRPr="00F13DA5">
        <w:rPr>
          <w:rFonts w:hint="cs"/>
          <w:rtl/>
        </w:rPr>
        <w:t xml:space="preserve">נהלת בתי המשפט מסרה למשרד מבקר המדינה ביולי 2019 כי חטיבת מזכירויות שוקלת להכין נוהל אחיד שירכז את כלל ההנחיות וההוראות הקשורות לנושא המעצרים, אך התהליך טרם החל. </w:t>
      </w:r>
    </w:p>
    <w:p w14:paraId="6E8C022B" w14:textId="77777777" w:rsidR="00BA23AE" w:rsidRPr="00F13DA5" w:rsidRDefault="00BA23AE" w:rsidP="00DD503F">
      <w:pPr>
        <w:pStyle w:val="100"/>
        <w:rPr>
          <w:rtl/>
        </w:rPr>
      </w:pPr>
      <w:bookmarkStart w:id="27" w:name="_Toc6326446"/>
      <w:r w:rsidRPr="00F13DA5">
        <w:rPr>
          <w:rFonts w:hint="cs"/>
          <w:rtl/>
        </w:rPr>
        <w:t>יצוין עוד כי בדיון מינואר 2019 הדגיש מנהל בתי המשפט בפני רח"ט חקירות את חשיבות</w:t>
      </w:r>
      <w:r>
        <w:rPr>
          <w:rFonts w:hint="cs"/>
          <w:rtl/>
        </w:rPr>
        <w:t>ה</w:t>
      </w:r>
      <w:r w:rsidRPr="00F13DA5">
        <w:rPr>
          <w:rFonts w:hint="cs"/>
          <w:rtl/>
        </w:rPr>
        <w:t xml:space="preserve"> של </w:t>
      </w:r>
      <w:r>
        <w:rPr>
          <w:rFonts w:hint="cs"/>
          <w:rtl/>
        </w:rPr>
        <w:t>ה</w:t>
      </w:r>
      <w:r w:rsidRPr="00F13DA5">
        <w:rPr>
          <w:rFonts w:hint="cs"/>
          <w:rtl/>
        </w:rPr>
        <w:t xml:space="preserve">התקדמות בהיבטים הטכנולוגיים, וכי גם מערכת בתי המשפט עושה מאמצים על מנת לקדם </w:t>
      </w:r>
      <w:r w:rsidRPr="00F13DA5">
        <w:rPr>
          <w:rFonts w:hint="cs"/>
          <w:rtl/>
        </w:rPr>
        <w:lastRenderedPageBreak/>
        <w:t xml:space="preserve">תחומים אלה בסוגיות הרלוונטיות. אוזכר כי קיים צוות ממשקים משותף להנהלת בתי המשפט ולמשטרה, וכי נכון יהיה לרכז את הדרישות הטכנולוגיות במסגרת צוות זה. </w:t>
      </w:r>
    </w:p>
    <w:p w14:paraId="7BB4CC09" w14:textId="77777777" w:rsidR="00BA23AE" w:rsidRPr="00F13DA5" w:rsidRDefault="00BA23AE" w:rsidP="00DD503F">
      <w:pPr>
        <w:pStyle w:val="af4"/>
        <w:rPr>
          <w:rtl/>
        </w:rPr>
      </w:pPr>
      <w:r w:rsidRPr="00F13DA5">
        <w:rPr>
          <w:rFonts w:hint="cs"/>
          <w:rtl/>
        </w:rPr>
        <w:t xml:space="preserve">לצד המלצות הביקורת שהובאו לעיל, מוצע להנהלת בתי המשפט בשיתוף עם משטרת ישראל לשקול לקדם פתרון טכנולוגי של הגשת בקשות מרחוק בהליכי מעצרים. פתרון זה יוכל לסייע בצמצום העומסים בהליכים אלו על מזכירויות בתי המשפט ולאפשר את הרחבת זמינותם. </w:t>
      </w:r>
    </w:p>
    <w:p w14:paraId="5C867DE2" w14:textId="77777777" w:rsidR="00BA23AE" w:rsidRPr="00F13DA5" w:rsidRDefault="00BA23AE" w:rsidP="002F79A5">
      <w:pPr>
        <w:pStyle w:val="100"/>
        <w:rPr>
          <w:rtl/>
        </w:rPr>
      </w:pPr>
      <w:r w:rsidRPr="00F13DA5">
        <w:rPr>
          <w:rFonts w:hint="cs"/>
          <w:rtl/>
        </w:rPr>
        <w:t>הנהלת בתי המשפט כתבה בתשובתה כי מערכת "נט המשפט" מאפשרת להגיש בקשות בתיקי מעצרים מרחוק</w:t>
      </w:r>
      <w:r>
        <w:rPr>
          <w:rFonts w:hint="cs"/>
          <w:rtl/>
        </w:rPr>
        <w:t>,</w:t>
      </w:r>
      <w:r w:rsidRPr="00F13DA5">
        <w:rPr>
          <w:rFonts w:hint="cs"/>
          <w:rtl/>
        </w:rPr>
        <w:t xml:space="preserve"> אך משטרת ישראל אינה משתמשת באפשרות זו חרף ניסיונות חוזרים ונשנים לעודד אותה לעשות שימוש בכלי זה. </w:t>
      </w:r>
    </w:p>
    <w:p w14:paraId="1EAD1E49" w14:textId="77777777" w:rsidR="00BA23AE" w:rsidRPr="00F13DA5" w:rsidRDefault="00BA23AE" w:rsidP="00DD503F">
      <w:pPr>
        <w:pStyle w:val="100"/>
        <w:rPr>
          <w:rtl/>
        </w:rPr>
      </w:pPr>
      <w:r w:rsidRPr="00F13DA5">
        <w:rPr>
          <w:rFonts w:hint="cs"/>
          <w:rtl/>
        </w:rPr>
        <w:t>המשטרה כתבה בתשובתה כי זה כחצי שנה קיים הסדר ניסיוני ביחידת ההונאה בירושלים</w:t>
      </w:r>
      <w:r>
        <w:rPr>
          <w:rFonts w:hint="cs"/>
          <w:rtl/>
        </w:rPr>
        <w:t>,</w:t>
      </w:r>
      <w:r w:rsidRPr="00F13DA5">
        <w:rPr>
          <w:rFonts w:hint="cs"/>
          <w:rtl/>
        </w:rPr>
        <w:t xml:space="preserve"> </w:t>
      </w:r>
      <w:r>
        <w:rPr>
          <w:rFonts w:hint="cs"/>
          <w:rtl/>
        </w:rPr>
        <w:t>ו</w:t>
      </w:r>
      <w:r w:rsidRPr="00F13DA5">
        <w:rPr>
          <w:rFonts w:hint="cs"/>
          <w:rtl/>
        </w:rPr>
        <w:t xml:space="preserve">במסגרתו מגישה היחידה בקשות מעצר באופן מקוון למערכת "נט המשפט" ומגיבה לבקשות שונות במערכת. המשטרה ציינה כי בישיבה שהתקיימה לאחרונה בהנהלת בתי המשפט היא ביקשה להרחיב את ההסדר לתחנות נוספות. </w:t>
      </w:r>
    </w:p>
    <w:p w14:paraId="3B9232DF" w14:textId="77777777" w:rsidR="00BA23AE" w:rsidRPr="00F13DA5" w:rsidRDefault="00BA23AE" w:rsidP="00DD503F">
      <w:pPr>
        <w:pStyle w:val="af4"/>
        <w:rPr>
          <w:rtl/>
        </w:rPr>
      </w:pPr>
      <w:r w:rsidRPr="00F13DA5">
        <w:rPr>
          <w:rFonts w:hint="cs"/>
          <w:rtl/>
        </w:rPr>
        <w:t xml:space="preserve">בהינתן שהנהלת בתי המשפט והמשטרה תומכים בקידום הגשת בקשות מרחוק ובאופן מקוון בהליכי מעצרים, מוצע שיבחנו את התובנות העולות מההסדר הניסיוני ויפעלו להטמיע דרך הגשה זו בהליכי המעצרים בהקדם האפשרי. </w:t>
      </w:r>
    </w:p>
    <w:p w14:paraId="59888CBB" w14:textId="77777777" w:rsidR="00BA23AE" w:rsidRPr="00F13DA5" w:rsidRDefault="00BA23AE" w:rsidP="0017146B">
      <w:pPr>
        <w:pStyle w:val="316"/>
        <w:rPr>
          <w:rtl/>
        </w:rPr>
      </w:pPr>
      <w:r w:rsidRPr="00F13DA5">
        <w:rPr>
          <w:rFonts w:hint="cs"/>
          <w:rtl/>
        </w:rPr>
        <w:t>ניהול הדיונים באולם המעצרים</w:t>
      </w:r>
    </w:p>
    <w:p w14:paraId="1C6CCD0C" w14:textId="77777777" w:rsidR="00BA23AE" w:rsidRPr="00F13DA5" w:rsidRDefault="00BA23AE" w:rsidP="0017146B">
      <w:pPr>
        <w:pStyle w:val="100"/>
        <w:rPr>
          <w:rtl/>
        </w:rPr>
      </w:pPr>
      <w:r w:rsidRPr="00F13DA5">
        <w:rPr>
          <w:rFonts w:hint="cs"/>
          <w:rtl/>
        </w:rPr>
        <w:t xml:space="preserve">ככלל, בדיוני המעצרים נוכחים גורמים רבים ובהם נציגי המשטרה, העצור, הסנגור ולוחמי יחידת נחשון השומרים על העצור. </w:t>
      </w:r>
    </w:p>
    <w:p w14:paraId="328907F2" w14:textId="77777777" w:rsidR="00BA23AE" w:rsidRPr="00F13DA5" w:rsidRDefault="00BA23AE" w:rsidP="0017146B">
      <w:pPr>
        <w:pStyle w:val="100"/>
        <w:rPr>
          <w:rtl/>
        </w:rPr>
      </w:pPr>
      <w:r w:rsidRPr="00F13DA5">
        <w:rPr>
          <w:rFonts w:hint="cs"/>
          <w:rtl/>
        </w:rPr>
        <w:t>בשנת 2017 התקיימו בבתי משפט השלום ברחבי הארץ 132,623 דיונים בהליכי מעצר ימים ומעצר עד תום ההליכים, ובשנת 2018 התקיימו 125,029 דיונים בהליכים אלה. מספר התיקים שנפתחו בהליכים אלו עמד בשנת 2017 על 62,175 תיקים</w:t>
      </w:r>
      <w:r>
        <w:rPr>
          <w:rFonts w:hint="cs"/>
          <w:rtl/>
        </w:rPr>
        <w:t>,</w:t>
      </w:r>
      <w:r w:rsidRPr="00F13DA5">
        <w:rPr>
          <w:rFonts w:hint="cs"/>
          <w:rtl/>
        </w:rPr>
        <w:t xml:space="preserve"> ובשנת 2018 על 57,047 תיקים. </w:t>
      </w:r>
    </w:p>
    <w:p w14:paraId="52A9F87B" w14:textId="77777777" w:rsidR="00BA23AE" w:rsidRPr="00F13DA5" w:rsidRDefault="00BA23AE" w:rsidP="0017146B">
      <w:pPr>
        <w:pStyle w:val="100"/>
        <w:rPr>
          <w:rtl/>
        </w:rPr>
      </w:pPr>
      <w:r w:rsidRPr="00F13DA5">
        <w:rPr>
          <w:rFonts w:hint="cs"/>
          <w:rtl/>
        </w:rPr>
        <w:t xml:space="preserve">עומסי העבודה על השופטים גדולים במיוחד כאשר מדובר בהליכי מעצר. כך למשל, במחקר משנת 2010 נמצא כי שופט מעצרים בבית משפט השלום בתל אביב מטפל בממוצע בכ-50 תיקים ליום, וממוצע משך הדיון בתיק </w:t>
      </w:r>
      <w:r>
        <w:rPr>
          <w:rFonts w:hint="cs"/>
          <w:rtl/>
        </w:rPr>
        <w:t>הוא</w:t>
      </w:r>
      <w:r w:rsidRPr="00F13DA5">
        <w:rPr>
          <w:rFonts w:hint="cs"/>
          <w:rtl/>
        </w:rPr>
        <w:t xml:space="preserve"> 6.7 דקות</w:t>
      </w:r>
      <w:r w:rsidRPr="00F13DA5">
        <w:rPr>
          <w:vertAlign w:val="superscript"/>
          <w:rtl/>
        </w:rPr>
        <w:footnoteReference w:id="81"/>
      </w:r>
      <w:r w:rsidRPr="00F13DA5">
        <w:rPr>
          <w:rFonts w:hint="cs"/>
          <w:rtl/>
        </w:rPr>
        <w:t>. מנתונים ארציים של יחידת נחשון עולה, כי בשנת 2018 טיפל שופט מעצרים ב-21 עצורים ליום בממוצע. בבית משפט השלום בתל אביב הממוצע היומי הוא 78 עצורים לשופט</w:t>
      </w:r>
      <w:r w:rsidRPr="00F13DA5">
        <w:rPr>
          <w:vertAlign w:val="superscript"/>
          <w:rtl/>
        </w:rPr>
        <w:footnoteReference w:id="82"/>
      </w:r>
      <w:r w:rsidRPr="00F13DA5">
        <w:rPr>
          <w:rFonts w:hint="cs"/>
          <w:rtl/>
        </w:rPr>
        <w:t xml:space="preserve">. סד הזמנים הקצר המאפיין את דיון המעצר, לחץ הדיונים </w:t>
      </w:r>
      <w:r w:rsidRPr="00F13DA5">
        <w:rPr>
          <w:rFonts w:hint="cs"/>
          <w:rtl/>
        </w:rPr>
        <w:lastRenderedPageBreak/>
        <w:t xml:space="preserve">והמולת ההבאה של עצורים אל אולם הדיונים וממנו מחייבים ארגון וניהול ממוקדים של יום הדיונים. </w:t>
      </w:r>
    </w:p>
    <w:p w14:paraId="06497FE4" w14:textId="77777777" w:rsidR="00BA23AE" w:rsidRPr="00F13DA5" w:rsidRDefault="00BA23AE" w:rsidP="0017146B">
      <w:pPr>
        <w:pStyle w:val="af4"/>
        <w:rPr>
          <w:rtl/>
        </w:rPr>
      </w:pPr>
      <w:r w:rsidRPr="00F13DA5">
        <w:rPr>
          <w:rFonts w:hint="cs"/>
          <w:rtl/>
        </w:rPr>
        <w:t>בביקורת ובדיונים שוטפים בין המשטרה ובתי המשפט במחוזות עלה</w:t>
      </w:r>
      <w:r>
        <w:rPr>
          <w:rFonts w:hint="cs"/>
          <w:rtl/>
        </w:rPr>
        <w:t>,</w:t>
      </w:r>
      <w:r w:rsidRPr="00F13DA5">
        <w:rPr>
          <w:rFonts w:hint="cs"/>
          <w:rtl/>
        </w:rPr>
        <w:t xml:space="preserve"> כי ככלל סדר הבאת העצורים לאולמות הדיונים נעשה על ידי נציג שב"ס, ולא על ידי גורם מהנהלת בתי המשפט. על פי רוב, מפקד המתחם האחראי לתאי המעצר בבית המשפט או מי מטעמו מנהל את סדר הבאת העצורים לאולם, וזאת בהתאם לאילוצים הנוגעים לליוויים: שעות המעצר, בקשות השופטים והצדדים (סנגורים, חוקרים, תובעים ועוד) ואילוצי אבטחה שונים של שב"ס.</w:t>
      </w:r>
      <w:r>
        <w:rPr>
          <w:rFonts w:hint="cs"/>
          <w:rtl/>
        </w:rPr>
        <w:t xml:space="preserve"> </w:t>
      </w:r>
    </w:p>
    <w:p w14:paraId="6157785B" w14:textId="77777777" w:rsidR="00BA23AE" w:rsidRPr="00F13DA5" w:rsidRDefault="00BA23AE" w:rsidP="0017146B">
      <w:pPr>
        <w:pStyle w:val="100"/>
        <w:rPr>
          <w:rtl/>
        </w:rPr>
      </w:pPr>
      <w:r w:rsidRPr="00F13DA5">
        <w:rPr>
          <w:rFonts w:hint="cs"/>
          <w:rtl/>
        </w:rPr>
        <w:t>הנהלת בתי המשפט מסרה למשרד מבקר המדינה כי סדר הבאת העצורים נקבע בידי בית המשפט לפי נוכחות הסנגור, נציג המשטרה ו</w:t>
      </w:r>
      <w:r>
        <w:rPr>
          <w:rFonts w:hint="cs"/>
          <w:rtl/>
        </w:rPr>
        <w:t xml:space="preserve">על פי </w:t>
      </w:r>
      <w:r w:rsidRPr="00F13DA5">
        <w:rPr>
          <w:rFonts w:hint="cs"/>
          <w:rtl/>
        </w:rPr>
        <w:t xml:space="preserve">שיקולים נוספים </w:t>
      </w:r>
      <w:r>
        <w:rPr>
          <w:rFonts w:hint="cs"/>
          <w:rtl/>
        </w:rPr>
        <w:t xml:space="preserve">תוך </w:t>
      </w:r>
      <w:r w:rsidRPr="00F13DA5">
        <w:rPr>
          <w:rFonts w:hint="cs"/>
          <w:rtl/>
        </w:rPr>
        <w:t xml:space="preserve">התייעצות עם גורמים שונים, </w:t>
      </w:r>
      <w:r>
        <w:rPr>
          <w:rFonts w:hint="cs"/>
          <w:rtl/>
        </w:rPr>
        <w:t>ו</w:t>
      </w:r>
      <w:r w:rsidRPr="00F13DA5">
        <w:rPr>
          <w:rFonts w:hint="cs"/>
          <w:rtl/>
        </w:rPr>
        <w:t xml:space="preserve">בהם יחידת נחשון. </w:t>
      </w:r>
    </w:p>
    <w:p w14:paraId="6BBACA61" w14:textId="77777777" w:rsidR="00BA23AE" w:rsidRPr="00F13DA5" w:rsidRDefault="00BA23AE" w:rsidP="0017146B">
      <w:pPr>
        <w:pStyle w:val="af4"/>
        <w:rPr>
          <w:rtl/>
        </w:rPr>
      </w:pPr>
      <w:r w:rsidRPr="00F13DA5">
        <w:rPr>
          <w:rFonts w:hint="cs"/>
          <w:rtl/>
        </w:rPr>
        <w:t>מהאמור לעיל מתבקש שימונה גורם מטעם בית המשפט לניהול אולמות המעצרים</w:t>
      </w:r>
      <w:r>
        <w:rPr>
          <w:rFonts w:hint="cs"/>
          <w:rtl/>
        </w:rPr>
        <w:t>,</w:t>
      </w:r>
      <w:r w:rsidRPr="00F13DA5">
        <w:rPr>
          <w:rFonts w:hint="cs"/>
          <w:rtl/>
        </w:rPr>
        <w:t xml:space="preserve"> ושתיקבע באופן ברור חלוקת העבודה בין הגורמים האחרא</w:t>
      </w:r>
      <w:r>
        <w:rPr>
          <w:rFonts w:hint="cs"/>
          <w:rtl/>
        </w:rPr>
        <w:t>י</w:t>
      </w:r>
      <w:r w:rsidRPr="00F13DA5">
        <w:rPr>
          <w:rFonts w:hint="cs"/>
          <w:rtl/>
        </w:rPr>
        <w:t xml:space="preserve">ים מטעם בית המשפט ובין יחידת נחשון. </w:t>
      </w:r>
    </w:p>
    <w:bookmarkEnd w:id="27"/>
    <w:p w14:paraId="3B1738A1" w14:textId="7EC5CEA5" w:rsidR="00BA23AE" w:rsidRPr="00F13DA5" w:rsidRDefault="00BA23AE" w:rsidP="0017146B">
      <w:pPr>
        <w:pStyle w:val="316"/>
        <w:rPr>
          <w:rtl/>
        </w:rPr>
      </w:pPr>
      <w:r w:rsidRPr="00F13DA5">
        <w:rPr>
          <w:rFonts w:hint="cs"/>
          <w:rtl/>
        </w:rPr>
        <w:t>היוועדות חזותית</w:t>
      </w:r>
    </w:p>
    <w:p w14:paraId="450C3FA3" w14:textId="77777777" w:rsidR="00BA23AE" w:rsidRPr="00F13DA5" w:rsidRDefault="00BA23AE" w:rsidP="00F40E48">
      <w:pPr>
        <w:pStyle w:val="100"/>
        <w:rPr>
          <w:rtl/>
        </w:rPr>
      </w:pPr>
      <w:r w:rsidRPr="00F13DA5">
        <w:rPr>
          <w:rFonts w:hint="cs"/>
          <w:rtl/>
        </w:rPr>
        <w:t xml:space="preserve">מדי יום ביומו מנוידים בכבישי ישראל אלפי עצורים לדיונים משפטיים. עריכת דיון באמצעות היוועדות חזותית משמעותה כי בעת הדיון המשפטי בעניינו של עצור הוא נותר בבית המעצר, באולם מיוחד המוקצה לכך, ובו ציוד אלקטרוני המותאם לקליטה במראה ובקול של הדיון המשפטי המתקיים באולם בית המשפט. כמו כן, באולם בית המשפט מותקן מוקד המאפשר למשתתפים בדיון לצפות בעצור ולשמוע את דבריו. באורח זה נשמרות זכויות העצור להיות נוכח בדיון המשפטי, לממש את זכויותיו הדיוניות ולהיוועץ בסנגורו, ובמקביל נמנע ממנו טלטול מכביד מבית המעצר לאולם בית המשפט והמתנה ממושכת שם. אם כן, היוועדות חזותית נועדה להקל על העצורים ועל מערכת אכיפת החוק בהיבטים השונים, </w:t>
      </w:r>
      <w:r>
        <w:rPr>
          <w:rFonts w:hint="cs"/>
          <w:rtl/>
        </w:rPr>
        <w:t>ו</w:t>
      </w:r>
      <w:r w:rsidRPr="00F13DA5">
        <w:rPr>
          <w:rFonts w:hint="cs"/>
          <w:rtl/>
        </w:rPr>
        <w:t xml:space="preserve">אולם ברור שקיום דיונים בשיטה זו מעורר שאלות חוקתיות מהותיות בקשר למעמדו ולזכויותיו של העצור בהליך הפלילי. </w:t>
      </w:r>
    </w:p>
    <w:p w14:paraId="432FE227" w14:textId="77777777" w:rsidR="00BA23AE" w:rsidRPr="00F13DA5" w:rsidRDefault="00BA23AE" w:rsidP="008A0C03">
      <w:pPr>
        <w:pStyle w:val="a1"/>
        <w:numPr>
          <w:ilvl w:val="0"/>
          <w:numId w:val="29"/>
        </w:numPr>
        <w:rPr>
          <w:rtl/>
        </w:rPr>
      </w:pPr>
      <w:r w:rsidRPr="00F13DA5">
        <w:rPr>
          <w:rFonts w:hint="cs"/>
          <w:rtl/>
        </w:rPr>
        <w:t>בשנת 2007 התקבל בכנסת תיקון לחוק המעצרים, ונוספה לו הוראת שעה המסדירה את האפשרות לערוך דיון בבקשה להארכת מעצר של עצור או לשחרורו בערובה באמצעות היוועדות חזותית</w:t>
      </w:r>
      <w:r w:rsidRPr="00F13DA5">
        <w:rPr>
          <w:vertAlign w:val="superscript"/>
          <w:rtl/>
        </w:rPr>
        <w:footnoteReference w:id="83"/>
      </w:r>
      <w:r w:rsidRPr="00F13DA5">
        <w:rPr>
          <w:rFonts w:hint="cs"/>
          <w:rtl/>
        </w:rPr>
        <w:t xml:space="preserve"> בהתקיים מספר תנאים (להלן - הוראת השעה). באותה שנה תוקנו גם תקנות שנועדו להסדיר את ההליך מבחינה פרוצדורלית, ונקבע בהן הסדר ניסיוני לתקופה של שנה לעריכת דיונים משפטיים באמצעות היוועדות חזותית. </w:t>
      </w:r>
    </w:p>
    <w:p w14:paraId="70BEC580" w14:textId="77777777" w:rsidR="00BA23AE" w:rsidRPr="00F13DA5" w:rsidRDefault="00BA23AE" w:rsidP="00F40E48">
      <w:pPr>
        <w:pStyle w:val="af3"/>
        <w:rPr>
          <w:rtl/>
        </w:rPr>
      </w:pPr>
      <w:r w:rsidRPr="00F13DA5">
        <w:rPr>
          <w:rFonts w:hint="cs"/>
          <w:rtl/>
        </w:rPr>
        <w:lastRenderedPageBreak/>
        <w:t>במסגרת הליך החקיקה נקבע כי הוראת השעה תלווה במחקר הערכה בנושא היוועדות חזותית (להלן - מחקר ההערכה). מחקר ההערכה נעשה בשנת 2010 ועל פי תוצאותיו, ההיוועדות החזותית משמשת תחליף ראוי לנוכחות הפיזית של העצור בדיוני המעצרים</w:t>
      </w:r>
      <w:r>
        <w:rPr>
          <w:rFonts w:hint="cs"/>
          <w:rtl/>
        </w:rPr>
        <w:t>,</w:t>
      </w:r>
      <w:r w:rsidRPr="00F13DA5">
        <w:rPr>
          <w:rFonts w:hint="cs"/>
          <w:rtl/>
        </w:rPr>
        <w:t xml:space="preserve"> והזכויות המהותיות שלו נשמרות. עוד נמצא כי היה מיצוי נמוך של דיוני היוועדות חזותית (6.2% מכלל המעצרים)</w:t>
      </w:r>
      <w:r>
        <w:rPr>
          <w:rFonts w:hint="cs"/>
          <w:rtl/>
        </w:rPr>
        <w:t>,</w:t>
      </w:r>
      <w:r w:rsidRPr="00F13DA5">
        <w:rPr>
          <w:rFonts w:hint="cs"/>
          <w:rtl/>
        </w:rPr>
        <w:t xml:space="preserve"> והתקיימה שביעות רצון גבוהה יותר מהדיון בהיוועדות חזותית בהשוואה לדיון הפרונטלי. </w:t>
      </w:r>
    </w:p>
    <w:p w14:paraId="142596BB" w14:textId="77777777" w:rsidR="00BA23AE" w:rsidRPr="00F13DA5" w:rsidRDefault="00BA23AE" w:rsidP="00F40E48">
      <w:pPr>
        <w:pStyle w:val="af3"/>
        <w:rPr>
          <w:rtl/>
        </w:rPr>
      </w:pPr>
      <w:r w:rsidRPr="00F13DA5">
        <w:rPr>
          <w:rFonts w:hint="cs"/>
          <w:rtl/>
        </w:rPr>
        <w:t>שאלות מרכזיות לבחינה בקשר להיוועדות חזותית הן שאלת סוגי ההליכים שניתן לעשות בהם שימוש בהיוועדות חזותית ושאלת ההסכמה הנדרשת מהעצור לדיון במתכונת זאת. על פי ממצאי מחקר ההערכה, השימוש בשיטה זו במדינות מפותחות נפוץ בדיוני מעצרים ובדיונים פליליים נוספים</w:t>
      </w:r>
      <w:r>
        <w:rPr>
          <w:rFonts w:hint="cs"/>
          <w:rtl/>
        </w:rPr>
        <w:t>,</w:t>
      </w:r>
      <w:r w:rsidRPr="00F13DA5">
        <w:rPr>
          <w:rFonts w:hint="cs"/>
          <w:rtl/>
        </w:rPr>
        <w:t xml:space="preserve"> ללא צורך בהסכמת העצור. </w:t>
      </w:r>
    </w:p>
    <w:p w14:paraId="00AF9C89" w14:textId="77777777" w:rsidR="00BA23AE" w:rsidRPr="00F13DA5" w:rsidRDefault="00BA23AE" w:rsidP="00F40E48">
      <w:pPr>
        <w:pStyle w:val="af3"/>
        <w:rPr>
          <w:rtl/>
        </w:rPr>
      </w:pPr>
      <w:r w:rsidRPr="00F13DA5">
        <w:rPr>
          <w:rFonts w:hint="cs"/>
          <w:rtl/>
        </w:rPr>
        <w:t xml:space="preserve">הוראת השעה הוארכה פעמים מספר עד לשנת 2011, ואז הוחלט </w:t>
      </w:r>
      <w:r>
        <w:rPr>
          <w:rFonts w:hint="cs"/>
          <w:rtl/>
        </w:rPr>
        <w:t>להפסיק את</w:t>
      </w:r>
      <w:r w:rsidRPr="00F13DA5">
        <w:rPr>
          <w:rFonts w:hint="cs"/>
          <w:rtl/>
        </w:rPr>
        <w:t xml:space="preserve"> ההסדר הניסיוני של ההיוועדות החזותית</w:t>
      </w:r>
      <w:r w:rsidRPr="00F13DA5">
        <w:rPr>
          <w:vertAlign w:val="superscript"/>
          <w:rtl/>
        </w:rPr>
        <w:footnoteReference w:id="84"/>
      </w:r>
      <w:r w:rsidRPr="00F13DA5">
        <w:rPr>
          <w:rFonts w:hint="cs"/>
          <w:rtl/>
        </w:rPr>
        <w:t xml:space="preserve">. </w:t>
      </w:r>
    </w:p>
    <w:p w14:paraId="77B92769" w14:textId="4C4C0342" w:rsidR="00BA23AE" w:rsidRPr="00F13DA5" w:rsidRDefault="00BA23AE" w:rsidP="00F40E48">
      <w:pPr>
        <w:pStyle w:val="a1"/>
      </w:pPr>
      <w:r w:rsidRPr="00F13DA5">
        <w:rPr>
          <w:rFonts w:hint="cs"/>
          <w:rtl/>
        </w:rPr>
        <w:t xml:space="preserve">בתחילת 2011 החליט שר המשפטים להקים צוות בראשות המשנה ליועמ"ש (פלילי), על מנת שיציע דיונים שבהם ניתן ליישם את ההיוועדות החזותית (להלן - צוות גוטליב). צוות גוטליב הציע לשר המשפטים בשנת 2013 כי ברירת המחדל תהא לקיים דיון בהיוועדות חזותית בלי לבקש את הסכמת העצור. זאת למעט ארבעה דיונים ראשוניים, שבהם לא ניתן לוותר על נוכחות הנאשם בהליך אלא בהסכמתו ובהסכמת בא כוחו - </w:t>
      </w:r>
      <w:r w:rsidRPr="00F13DA5">
        <w:rPr>
          <w:rtl/>
        </w:rPr>
        <w:t>מעצר ימים, מעצר עד תום ההליכים, שלב הקראת כתב האישום ודיון ראשוני לפני השופט הדן בתיק</w:t>
      </w:r>
      <w:r w:rsidRPr="00F13DA5">
        <w:rPr>
          <w:rFonts w:hint="cs"/>
          <w:rtl/>
        </w:rPr>
        <w:t xml:space="preserve">. </w:t>
      </w:r>
    </w:p>
    <w:p w14:paraId="01DCA742" w14:textId="77777777" w:rsidR="00BA23AE" w:rsidRPr="00373CE2" w:rsidRDefault="00BA23AE" w:rsidP="00373CE2">
      <w:pPr>
        <w:pStyle w:val="a4"/>
        <w:ind w:left="397" w:hanging="397"/>
        <w:rPr>
          <w:rtl/>
        </w:rPr>
      </w:pPr>
      <w:r w:rsidRPr="00373CE2">
        <w:rPr>
          <w:rFonts w:hint="eastAsia"/>
          <w:rtl/>
        </w:rPr>
        <w:t>רק</w:t>
      </w:r>
      <w:r w:rsidRPr="00373CE2">
        <w:rPr>
          <w:rtl/>
        </w:rPr>
        <w:t xml:space="preserve"> ב</w:t>
      </w:r>
      <w:r w:rsidRPr="00373CE2">
        <w:rPr>
          <w:rFonts w:hint="cs"/>
          <w:rtl/>
        </w:rPr>
        <w:t xml:space="preserve">שנת </w:t>
      </w:r>
      <w:r w:rsidRPr="00373CE2">
        <w:rPr>
          <w:rtl/>
        </w:rPr>
        <w:t>2015 שבה ועלתה אפשרות השימוש בהיוועדות חזותית</w:t>
      </w:r>
      <w:r w:rsidRPr="00373CE2">
        <w:rPr>
          <w:rFonts w:hint="cs"/>
          <w:rtl/>
        </w:rPr>
        <w:t>,</w:t>
      </w:r>
      <w:r w:rsidRPr="00373CE2">
        <w:rPr>
          <w:rtl/>
        </w:rPr>
        <w:t xml:space="preserve"> ומשרד המשפטים חזר לדון בדרכי ההסדרה של הנושא בהתאם ל</w:t>
      </w:r>
      <w:r w:rsidRPr="00373CE2">
        <w:rPr>
          <w:rFonts w:hint="cs"/>
          <w:rtl/>
        </w:rPr>
        <w:t xml:space="preserve">המלצות צוות </w:t>
      </w:r>
      <w:r w:rsidRPr="00373CE2">
        <w:rPr>
          <w:rtl/>
        </w:rPr>
        <w:t xml:space="preserve">גוטליב, כפי שיפורט להלן: </w:t>
      </w:r>
    </w:p>
    <w:p w14:paraId="42DCD29A" w14:textId="391807AE" w:rsidR="00BA23AE" w:rsidRPr="00F13DA5" w:rsidRDefault="00BA23AE" w:rsidP="0056099A">
      <w:pPr>
        <w:pStyle w:val="af3"/>
        <w:rPr>
          <w:rtl/>
        </w:rPr>
      </w:pPr>
      <w:r w:rsidRPr="00F13DA5">
        <w:rPr>
          <w:rFonts w:hint="cs"/>
          <w:rtl/>
        </w:rPr>
        <w:t xml:space="preserve">בנובמבר 2015 התקיים דיון בראשות המשנה ליועמ"ש (פלילי) דאז ובהשתתפות נציגים מטעם המשרד לבט"פ, משרד האוצר, שב"ס והסנגוריה הציבורית. </w:t>
      </w:r>
      <w:r w:rsidRPr="00F13DA5">
        <w:rPr>
          <w:rFonts w:hint="cs"/>
          <w:sz w:val="24"/>
          <w:rtl/>
        </w:rPr>
        <w:t>בדיון סוכם</w:t>
      </w:r>
      <w:r w:rsidRPr="00F13DA5">
        <w:rPr>
          <w:rFonts w:hint="cs"/>
          <w:rtl/>
        </w:rPr>
        <w:t xml:space="preserve"> כי יש ליישם את המלצות צוות גוטליב באמצעות קידום חקיקה, בכפוף להוכחת התועלת הכלכלית של השימוש בהיוועדות חזותית בדיוני מעצר. בעקבות זאת מסרה הנהלת בתי המשפט למשנה ליועמ"ש את התנגדותה הנחרצת לאפשרות לקיים דיוני מעצרים בהיוועדות חזותית. </w:t>
      </w:r>
    </w:p>
    <w:p w14:paraId="7E4CACA5" w14:textId="77777777" w:rsidR="00BA23AE" w:rsidRPr="00F13DA5" w:rsidRDefault="00BA23AE" w:rsidP="0056099A">
      <w:pPr>
        <w:pStyle w:val="af3"/>
        <w:rPr>
          <w:rtl/>
        </w:rPr>
      </w:pPr>
      <w:r w:rsidRPr="00F13DA5">
        <w:rPr>
          <w:rFonts w:hint="cs"/>
          <w:rtl/>
        </w:rPr>
        <w:t xml:space="preserve">ביולי 2016, ולאחר שמשרד האוצר ביקש ליישם את המלצות צוות גוטליב במסגרת חוק ההסדרים במשק המדינה, החליט היועץ המשפטי לממשלה דאז לעגן בחקיקה את המלצות הצוות. נגד </w:t>
      </w:r>
      <w:r>
        <w:rPr>
          <w:rFonts w:hint="cs"/>
          <w:rtl/>
        </w:rPr>
        <w:t>האמור ב</w:t>
      </w:r>
      <w:r w:rsidRPr="00F13DA5">
        <w:rPr>
          <w:rFonts w:hint="cs"/>
          <w:rtl/>
        </w:rPr>
        <w:t xml:space="preserve">תזכיר החוק הועלו השגות מצד חלק מהגורמים - ובהם הסנגוריה הציבורית, הנהלת בתי המשפט ולשכת עורכי הדין - ואלו טעמיהם העיקריים: ההסכמה של העצור לוויתור על נוכחותו בדיון מביאה למעשה לפגיעה בלתי מידתית בזכויותיו רק בשל טעמים תקציביים; נוכחות פיזית של עצור היא תנאי הכרחי לקיום הליך משפטי הוגן, בעיקר בהליך פלילי הנוגע לחירות האדם וכאשר העצור עצמו חפץ להיות נוכח באולם בית המשפט; ישנה חשיבות רבה להתרשמות בלתי אמצעית של השופט מהעצור; השימוש </w:t>
      </w:r>
      <w:r w:rsidRPr="00F13DA5">
        <w:rPr>
          <w:rFonts w:hint="cs"/>
          <w:rtl/>
        </w:rPr>
        <w:lastRenderedPageBreak/>
        <w:t xml:space="preserve">בהיוועדות חזותית יוצר קושי בתקשורת בין החשוד לבין עורך דינו, באופן שעלול לפגוע ביכולת החקירה והטיעון של עורך הדין בדיון. </w:t>
      </w:r>
      <w:r>
        <w:rPr>
          <w:rFonts w:hint="cs"/>
          <w:rtl/>
        </w:rPr>
        <w:t>כמו כן</w:t>
      </w:r>
      <w:r w:rsidRPr="00F13DA5">
        <w:rPr>
          <w:rFonts w:hint="cs"/>
          <w:rtl/>
        </w:rPr>
        <w:t>, קיימים טעמים הנוגעים להשלכות התקציביות בגין הקמת תשתית מתאימה לדיונים באולמות בית המשפט, התחזוקה השוטפת של המערכת, עלות הביקורים הנוספים שיידרשו סנגורים לעשות בבתי המעצר בגלל היעדר המפגש בבית המשפט ועוד.</w:t>
      </w:r>
      <w:r>
        <w:rPr>
          <w:rFonts w:hint="cs"/>
          <w:rtl/>
        </w:rPr>
        <w:t xml:space="preserve"> </w:t>
      </w:r>
    </w:p>
    <w:p w14:paraId="2A8C3B73" w14:textId="77777777" w:rsidR="00BA23AE" w:rsidRPr="00F13DA5" w:rsidRDefault="00BA23AE" w:rsidP="0056099A">
      <w:pPr>
        <w:pStyle w:val="af3"/>
        <w:rPr>
          <w:rtl/>
        </w:rPr>
      </w:pPr>
      <w:r w:rsidRPr="00F13DA5">
        <w:rPr>
          <w:rFonts w:hint="cs"/>
          <w:rtl/>
        </w:rPr>
        <w:t>בנובמבר 2016 פנה הממונה על התקציבים במשרד האוצר ליועץ המשפטי לממשלה בבקשה לקדם את הצעת החוק בהקדם האפשרי. בפנייה נוספת ממרץ 2017 לשרת המשפטים דאז ציין משרד האוצר כי שימוש בהיוועדות חזותית עשוי לשפר את רווחת העצור, בכך שימנע סבל מיותר הנובע כיום מנסיעה בתנאים קשים לבית המשפט, זמן המתנה ארוך בתאי כליאה ארעיים והשכמה בשעות מוקדמות לצורך הנסיעה. כמו כן, יופקו מכך תועלות כלכליות למערכת אכיפת החוק. בלוח להלן סיכום הניתוח הכלכלי שהציג משרד האוצר לשרת המשפטים דאז:</w:t>
      </w:r>
    </w:p>
    <w:p w14:paraId="5D4FFBCE" w14:textId="64631B12" w:rsidR="00BA23AE" w:rsidRPr="0056099A" w:rsidRDefault="00BA23AE" w:rsidP="0056099A">
      <w:pPr>
        <w:pStyle w:val="a9"/>
        <w:rPr>
          <w:b/>
          <w:bCs/>
          <w:rtl/>
        </w:rPr>
      </w:pPr>
      <w:r w:rsidRPr="00F13DA5">
        <w:rPr>
          <w:rFonts w:hint="cs"/>
          <w:rtl/>
        </w:rPr>
        <w:t>לוח 1</w:t>
      </w:r>
      <w:r>
        <w:rPr>
          <w:rFonts w:hint="cs"/>
          <w:rtl/>
        </w:rPr>
        <w:t>3</w:t>
      </w:r>
      <w:r w:rsidRPr="00F13DA5">
        <w:rPr>
          <w:rFonts w:hint="cs"/>
          <w:rtl/>
        </w:rPr>
        <w:t xml:space="preserve">: </w:t>
      </w:r>
      <w:r w:rsidRPr="0056099A">
        <w:rPr>
          <w:rFonts w:hint="cs"/>
          <w:b/>
          <w:bCs/>
          <w:rtl/>
        </w:rPr>
        <w:t>ניתוח כלכלי של השימוש בהיוועדות חזותית (במיליוני ש"ח)</w:t>
      </w:r>
    </w:p>
    <w:tbl>
      <w:tblPr>
        <w:tblStyle w:val="111"/>
        <w:bidiVisual/>
        <w:tblW w:w="0" w:type="auto"/>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835"/>
        <w:gridCol w:w="2114"/>
      </w:tblGrid>
      <w:tr w:rsidR="00BA23AE" w:rsidRPr="008641A1" w14:paraId="5FC5D5C2" w14:textId="77777777" w:rsidTr="00CB5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6" w:type="dxa"/>
            <w:tcBorders>
              <w:bottom w:val="none" w:sz="0" w:space="0" w:color="auto"/>
            </w:tcBorders>
            <w:shd w:val="clear" w:color="auto" w:fill="C6D9F1"/>
            <w:vAlign w:val="bottom"/>
          </w:tcPr>
          <w:p w14:paraId="607C075E" w14:textId="77777777" w:rsidR="00BA23AE" w:rsidRPr="0056099A" w:rsidRDefault="00BA23AE" w:rsidP="0056099A">
            <w:pPr>
              <w:pStyle w:val="af0"/>
              <w:rPr>
                <w:b/>
                <w:bCs/>
                <w:rtl/>
              </w:rPr>
            </w:pPr>
          </w:p>
          <w:p w14:paraId="113392D1" w14:textId="77777777" w:rsidR="00BA23AE" w:rsidRPr="0056099A" w:rsidRDefault="00BA23AE" w:rsidP="0056099A">
            <w:pPr>
              <w:pStyle w:val="af0"/>
              <w:rPr>
                <w:b/>
                <w:bCs/>
                <w:rtl/>
              </w:rPr>
            </w:pPr>
            <w:r w:rsidRPr="0056099A">
              <w:rPr>
                <w:rFonts w:hint="cs"/>
                <w:b/>
                <w:bCs/>
                <w:rtl/>
              </w:rPr>
              <w:t>נושא</w:t>
            </w:r>
          </w:p>
        </w:tc>
        <w:tc>
          <w:tcPr>
            <w:tcW w:w="2835" w:type="dxa"/>
            <w:tcBorders>
              <w:bottom w:val="none" w:sz="0" w:space="0" w:color="auto"/>
            </w:tcBorders>
            <w:shd w:val="clear" w:color="auto" w:fill="C6D9F1"/>
            <w:vAlign w:val="bottom"/>
          </w:tcPr>
          <w:p w14:paraId="02942476" w14:textId="77777777" w:rsidR="00BA23AE" w:rsidRPr="0056099A" w:rsidRDefault="00BA23AE" w:rsidP="0056099A">
            <w:pPr>
              <w:pStyle w:val="af0"/>
              <w:cnfStyle w:val="100000000000" w:firstRow="1" w:lastRow="0" w:firstColumn="0" w:lastColumn="0" w:oddVBand="0" w:evenVBand="0" w:oddHBand="0" w:evenHBand="0" w:firstRowFirstColumn="0" w:firstRowLastColumn="0" w:lastRowFirstColumn="0" w:lastRowLastColumn="0"/>
              <w:rPr>
                <w:b/>
                <w:bCs/>
                <w:rtl/>
              </w:rPr>
            </w:pPr>
          </w:p>
          <w:p w14:paraId="08476FC1" w14:textId="77777777" w:rsidR="00BA23AE" w:rsidRPr="0056099A" w:rsidRDefault="00BA23AE" w:rsidP="0056099A">
            <w:pPr>
              <w:pStyle w:val="af0"/>
              <w:cnfStyle w:val="100000000000" w:firstRow="1" w:lastRow="0" w:firstColumn="0" w:lastColumn="0" w:oddVBand="0" w:evenVBand="0" w:oddHBand="0" w:evenHBand="0" w:firstRowFirstColumn="0" w:firstRowLastColumn="0" w:lastRowFirstColumn="0" w:lastRowLastColumn="0"/>
              <w:rPr>
                <w:b/>
                <w:bCs/>
                <w:rtl/>
              </w:rPr>
            </w:pPr>
            <w:r w:rsidRPr="0056099A">
              <w:rPr>
                <w:rFonts w:hint="cs"/>
                <w:b/>
                <w:bCs/>
                <w:rtl/>
              </w:rPr>
              <w:t>חיסכון שנתי/עלות שנתית (במיליוני ש"ח)</w:t>
            </w:r>
          </w:p>
        </w:tc>
        <w:tc>
          <w:tcPr>
            <w:tcW w:w="2114" w:type="dxa"/>
            <w:tcBorders>
              <w:bottom w:val="none" w:sz="0" w:space="0" w:color="auto"/>
            </w:tcBorders>
            <w:shd w:val="clear" w:color="auto" w:fill="C6D9F1"/>
            <w:vAlign w:val="bottom"/>
          </w:tcPr>
          <w:p w14:paraId="3796EB06" w14:textId="77777777" w:rsidR="00BA23AE" w:rsidRPr="0056099A" w:rsidRDefault="00BA23AE" w:rsidP="0056099A">
            <w:pPr>
              <w:pStyle w:val="af0"/>
              <w:cnfStyle w:val="100000000000" w:firstRow="1" w:lastRow="0" w:firstColumn="0" w:lastColumn="0" w:oddVBand="0" w:evenVBand="0" w:oddHBand="0" w:evenHBand="0" w:firstRowFirstColumn="0" w:firstRowLastColumn="0" w:lastRowFirstColumn="0" w:lastRowLastColumn="0"/>
              <w:rPr>
                <w:b/>
                <w:bCs/>
                <w:rtl/>
              </w:rPr>
            </w:pPr>
          </w:p>
          <w:p w14:paraId="33C32095" w14:textId="77777777" w:rsidR="00BA23AE" w:rsidRPr="0056099A" w:rsidRDefault="00BA23AE" w:rsidP="0056099A">
            <w:pPr>
              <w:pStyle w:val="af0"/>
              <w:cnfStyle w:val="100000000000" w:firstRow="1" w:lastRow="0" w:firstColumn="0" w:lastColumn="0" w:oddVBand="0" w:evenVBand="0" w:oddHBand="0" w:evenHBand="0" w:firstRowFirstColumn="0" w:firstRowLastColumn="0" w:lastRowFirstColumn="0" w:lastRowLastColumn="0"/>
              <w:rPr>
                <w:b/>
                <w:bCs/>
                <w:rtl/>
              </w:rPr>
            </w:pPr>
            <w:r w:rsidRPr="0056099A">
              <w:rPr>
                <w:rFonts w:hint="cs"/>
                <w:b/>
                <w:bCs/>
                <w:rtl/>
              </w:rPr>
              <w:t>חיסכון מהוון/עלות מהוונת (במיליוני ש"ח)</w:t>
            </w:r>
            <w:r w:rsidRPr="0056099A">
              <w:rPr>
                <w:rStyle w:val="FootnoteReference"/>
                <w:b/>
                <w:bCs/>
                <w:rtl/>
              </w:rPr>
              <w:footnoteReference w:id="85"/>
            </w:r>
          </w:p>
        </w:tc>
      </w:tr>
      <w:tr w:rsidR="00BA23AE" w:rsidRPr="008641A1" w14:paraId="1307BC8C" w14:textId="77777777" w:rsidTr="00CB5D07">
        <w:tc>
          <w:tcPr>
            <w:cnfStyle w:val="001000000000" w:firstRow="0" w:lastRow="0" w:firstColumn="1" w:lastColumn="0" w:oddVBand="0" w:evenVBand="0" w:oddHBand="0" w:evenHBand="0" w:firstRowFirstColumn="0" w:firstRowLastColumn="0" w:lastRowFirstColumn="0" w:lastRowLastColumn="0"/>
            <w:tcW w:w="2846" w:type="dxa"/>
            <w:shd w:val="clear" w:color="auto" w:fill="auto"/>
            <w:vAlign w:val="bottom"/>
          </w:tcPr>
          <w:p w14:paraId="43A66751" w14:textId="77777777" w:rsidR="00BA23AE" w:rsidRPr="00F74AA8" w:rsidRDefault="00BA23AE" w:rsidP="00F74AA8">
            <w:pPr>
              <w:pStyle w:val="B"/>
              <w:rPr>
                <w:szCs w:val="20"/>
                <w:rtl/>
              </w:rPr>
            </w:pPr>
            <w:r w:rsidRPr="00F74AA8">
              <w:rPr>
                <w:rFonts w:hint="cs"/>
                <w:szCs w:val="20"/>
                <w:rtl/>
              </w:rPr>
              <w:t>חיסכון ביחידת נחשון</w:t>
            </w:r>
          </w:p>
        </w:tc>
        <w:tc>
          <w:tcPr>
            <w:tcW w:w="2835" w:type="dxa"/>
            <w:shd w:val="clear" w:color="auto" w:fill="auto"/>
            <w:vAlign w:val="bottom"/>
          </w:tcPr>
          <w:p w14:paraId="61D66138"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15 - 25 לשנה בבסיס התקציב</w:t>
            </w:r>
          </w:p>
        </w:tc>
        <w:tc>
          <w:tcPr>
            <w:tcW w:w="2114" w:type="dxa"/>
            <w:shd w:val="clear" w:color="auto" w:fill="auto"/>
            <w:vAlign w:val="bottom"/>
          </w:tcPr>
          <w:p w14:paraId="785C9687"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214 - 357</w:t>
            </w:r>
          </w:p>
        </w:tc>
      </w:tr>
      <w:tr w:rsidR="00BA23AE" w:rsidRPr="008641A1" w14:paraId="1B7C3893" w14:textId="77777777" w:rsidTr="00CB5D07">
        <w:tc>
          <w:tcPr>
            <w:cnfStyle w:val="001000000000" w:firstRow="0" w:lastRow="0" w:firstColumn="1" w:lastColumn="0" w:oddVBand="0" w:evenVBand="0" w:oddHBand="0" w:evenHBand="0" w:firstRowFirstColumn="0" w:firstRowLastColumn="0" w:lastRowFirstColumn="0" w:lastRowLastColumn="0"/>
            <w:tcW w:w="2846" w:type="dxa"/>
            <w:shd w:val="clear" w:color="auto" w:fill="auto"/>
            <w:vAlign w:val="bottom"/>
          </w:tcPr>
          <w:p w14:paraId="2AD8F1F2" w14:textId="77777777" w:rsidR="00BA23AE" w:rsidRPr="00F74AA8" w:rsidRDefault="00BA23AE" w:rsidP="00F74AA8">
            <w:pPr>
              <w:pStyle w:val="B"/>
              <w:rPr>
                <w:szCs w:val="20"/>
                <w:rtl/>
              </w:rPr>
            </w:pPr>
            <w:r w:rsidRPr="00F74AA8">
              <w:rPr>
                <w:rFonts w:hint="cs"/>
                <w:szCs w:val="20"/>
                <w:rtl/>
              </w:rPr>
              <w:t>חיסכון בהנהלת בתי המשפט</w:t>
            </w:r>
          </w:p>
        </w:tc>
        <w:tc>
          <w:tcPr>
            <w:tcW w:w="2835" w:type="dxa"/>
            <w:shd w:val="clear" w:color="auto" w:fill="auto"/>
            <w:vAlign w:val="bottom"/>
          </w:tcPr>
          <w:p w14:paraId="5FC69566"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2- 3.2 לשנה בבסיס התקציב</w:t>
            </w:r>
          </w:p>
        </w:tc>
        <w:tc>
          <w:tcPr>
            <w:tcW w:w="2114" w:type="dxa"/>
            <w:shd w:val="clear" w:color="auto" w:fill="auto"/>
            <w:vAlign w:val="bottom"/>
          </w:tcPr>
          <w:p w14:paraId="605E44A4"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28 - 45</w:t>
            </w:r>
          </w:p>
        </w:tc>
      </w:tr>
      <w:tr w:rsidR="00BA23AE" w:rsidRPr="008641A1" w14:paraId="6D219912" w14:textId="77777777" w:rsidTr="00CB5D07">
        <w:tc>
          <w:tcPr>
            <w:cnfStyle w:val="001000000000" w:firstRow="0" w:lastRow="0" w:firstColumn="1" w:lastColumn="0" w:oddVBand="0" w:evenVBand="0" w:oddHBand="0" w:evenHBand="0" w:firstRowFirstColumn="0" w:firstRowLastColumn="0" w:lastRowFirstColumn="0" w:lastRowLastColumn="0"/>
            <w:tcW w:w="2846" w:type="dxa"/>
            <w:shd w:val="clear" w:color="auto" w:fill="auto"/>
            <w:vAlign w:val="bottom"/>
          </w:tcPr>
          <w:p w14:paraId="07930F96" w14:textId="77777777" w:rsidR="00BA23AE" w:rsidRPr="00F74AA8" w:rsidRDefault="00BA23AE" w:rsidP="00F74AA8">
            <w:pPr>
              <w:pStyle w:val="B"/>
              <w:rPr>
                <w:szCs w:val="20"/>
                <w:rtl/>
              </w:rPr>
            </w:pPr>
            <w:r w:rsidRPr="00F74AA8">
              <w:rPr>
                <w:rFonts w:hint="cs"/>
                <w:szCs w:val="20"/>
                <w:rtl/>
              </w:rPr>
              <w:t>הפחתת סיכונים ביטחוניים</w:t>
            </w:r>
          </w:p>
        </w:tc>
        <w:tc>
          <w:tcPr>
            <w:tcW w:w="2835" w:type="dxa"/>
            <w:shd w:val="clear" w:color="auto" w:fill="auto"/>
            <w:vAlign w:val="bottom"/>
          </w:tcPr>
          <w:p w14:paraId="2FC9991A"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w:t>
            </w:r>
          </w:p>
        </w:tc>
        <w:tc>
          <w:tcPr>
            <w:tcW w:w="2114" w:type="dxa"/>
            <w:shd w:val="clear" w:color="auto" w:fill="auto"/>
            <w:vAlign w:val="bottom"/>
          </w:tcPr>
          <w:p w14:paraId="64034958"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5 - 20</w:t>
            </w:r>
          </w:p>
        </w:tc>
      </w:tr>
      <w:tr w:rsidR="00BA23AE" w:rsidRPr="008641A1" w14:paraId="6C054D06" w14:textId="77777777" w:rsidTr="00CB5D07">
        <w:tc>
          <w:tcPr>
            <w:cnfStyle w:val="001000000000" w:firstRow="0" w:lastRow="0" w:firstColumn="1" w:lastColumn="0" w:oddVBand="0" w:evenVBand="0" w:oddHBand="0" w:evenHBand="0" w:firstRowFirstColumn="0" w:firstRowLastColumn="0" w:lastRowFirstColumn="0" w:lastRowLastColumn="0"/>
            <w:tcW w:w="2846" w:type="dxa"/>
            <w:shd w:val="clear" w:color="auto" w:fill="auto"/>
            <w:vAlign w:val="bottom"/>
          </w:tcPr>
          <w:p w14:paraId="3CFA3B27" w14:textId="77777777" w:rsidR="00BA23AE" w:rsidRPr="00F74AA8" w:rsidRDefault="00BA23AE" w:rsidP="00F74AA8">
            <w:pPr>
              <w:pStyle w:val="B"/>
              <w:rPr>
                <w:szCs w:val="20"/>
                <w:rtl/>
              </w:rPr>
            </w:pPr>
            <w:r w:rsidRPr="00F74AA8">
              <w:rPr>
                <w:rFonts w:hint="cs"/>
                <w:szCs w:val="20"/>
                <w:rtl/>
              </w:rPr>
              <w:t>עלויות שב"ס</w:t>
            </w:r>
          </w:p>
        </w:tc>
        <w:tc>
          <w:tcPr>
            <w:tcW w:w="2835" w:type="dxa"/>
            <w:shd w:val="clear" w:color="auto" w:fill="auto"/>
            <w:vAlign w:val="bottom"/>
          </w:tcPr>
          <w:p w14:paraId="66BC2B7F"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1 - 1.5 לשנה בבסיס התקציב;</w:t>
            </w:r>
          </w:p>
          <w:p w14:paraId="5BDD894B"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4.5 חד-פעמי</w:t>
            </w:r>
          </w:p>
        </w:tc>
        <w:tc>
          <w:tcPr>
            <w:tcW w:w="2114" w:type="dxa"/>
            <w:shd w:val="clear" w:color="auto" w:fill="auto"/>
            <w:vAlign w:val="bottom"/>
          </w:tcPr>
          <w:p w14:paraId="5CE8DA23"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21</w:t>
            </w:r>
          </w:p>
        </w:tc>
      </w:tr>
      <w:tr w:rsidR="00BA23AE" w:rsidRPr="008641A1" w14:paraId="54013294" w14:textId="77777777" w:rsidTr="00CB5D07">
        <w:tc>
          <w:tcPr>
            <w:cnfStyle w:val="001000000000" w:firstRow="0" w:lastRow="0" w:firstColumn="1" w:lastColumn="0" w:oddVBand="0" w:evenVBand="0" w:oddHBand="0" w:evenHBand="0" w:firstRowFirstColumn="0" w:firstRowLastColumn="0" w:lastRowFirstColumn="0" w:lastRowLastColumn="0"/>
            <w:tcW w:w="2846" w:type="dxa"/>
            <w:shd w:val="clear" w:color="auto" w:fill="auto"/>
            <w:vAlign w:val="bottom"/>
          </w:tcPr>
          <w:p w14:paraId="2268D6FE" w14:textId="77777777" w:rsidR="00BA23AE" w:rsidRPr="00F74AA8" w:rsidRDefault="00BA23AE" w:rsidP="00F74AA8">
            <w:pPr>
              <w:pStyle w:val="B"/>
              <w:rPr>
                <w:szCs w:val="20"/>
                <w:rtl/>
              </w:rPr>
            </w:pPr>
            <w:r w:rsidRPr="00F74AA8">
              <w:rPr>
                <w:rFonts w:hint="cs"/>
                <w:szCs w:val="20"/>
                <w:rtl/>
              </w:rPr>
              <w:t>עלויות בתי המשפט</w:t>
            </w:r>
          </w:p>
        </w:tc>
        <w:tc>
          <w:tcPr>
            <w:tcW w:w="2835" w:type="dxa"/>
            <w:shd w:val="clear" w:color="auto" w:fill="auto"/>
            <w:vAlign w:val="bottom"/>
          </w:tcPr>
          <w:p w14:paraId="2B0C92D6"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0.5 לשנה בבסיס התקציב;</w:t>
            </w:r>
          </w:p>
          <w:p w14:paraId="1C69D6F0"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2.8 חד-פעמי</w:t>
            </w:r>
          </w:p>
        </w:tc>
        <w:tc>
          <w:tcPr>
            <w:tcW w:w="2114" w:type="dxa"/>
            <w:shd w:val="clear" w:color="auto" w:fill="auto"/>
            <w:vAlign w:val="bottom"/>
          </w:tcPr>
          <w:p w14:paraId="23677BB2" w14:textId="77777777" w:rsidR="00BA23AE" w:rsidRPr="00F74AA8" w:rsidRDefault="00BA23AE" w:rsidP="00F74AA8">
            <w:pPr>
              <w:pStyle w:val="R"/>
              <w:cnfStyle w:val="000000000000" w:firstRow="0" w:lastRow="0" w:firstColumn="0" w:lastColumn="0" w:oddVBand="0" w:evenVBand="0" w:oddHBand="0" w:evenHBand="0" w:firstRowFirstColumn="0" w:firstRowLastColumn="0" w:lastRowFirstColumn="0" w:lastRowLastColumn="0"/>
              <w:rPr>
                <w:rtl/>
              </w:rPr>
            </w:pPr>
            <w:r w:rsidRPr="00F74AA8">
              <w:rPr>
                <w:rFonts w:hint="cs"/>
                <w:rtl/>
              </w:rPr>
              <w:t>7</w:t>
            </w:r>
          </w:p>
        </w:tc>
      </w:tr>
      <w:tr w:rsidR="00BA23AE" w:rsidRPr="008641A1" w14:paraId="37F714A0" w14:textId="77777777" w:rsidTr="00CB5D07">
        <w:tc>
          <w:tcPr>
            <w:cnfStyle w:val="001000000000" w:firstRow="0" w:lastRow="0" w:firstColumn="1" w:lastColumn="0" w:oddVBand="0" w:evenVBand="0" w:oddHBand="0" w:evenHBand="0" w:firstRowFirstColumn="0" w:firstRowLastColumn="0" w:lastRowFirstColumn="0" w:lastRowLastColumn="0"/>
            <w:tcW w:w="2846" w:type="dxa"/>
            <w:shd w:val="clear" w:color="auto" w:fill="C6D9F1"/>
            <w:vAlign w:val="bottom"/>
          </w:tcPr>
          <w:p w14:paraId="4CFE4C94" w14:textId="77777777" w:rsidR="00BA23AE" w:rsidRPr="00F74AA8" w:rsidRDefault="00BA23AE" w:rsidP="00F74AA8">
            <w:pPr>
              <w:pStyle w:val="R"/>
              <w:rPr>
                <w:rtl/>
              </w:rPr>
            </w:pPr>
            <w:r w:rsidRPr="00F74AA8">
              <w:rPr>
                <w:rFonts w:hint="cs"/>
                <w:rtl/>
              </w:rPr>
              <w:t>סך הכול</w:t>
            </w:r>
          </w:p>
        </w:tc>
        <w:tc>
          <w:tcPr>
            <w:tcW w:w="2835" w:type="dxa"/>
            <w:shd w:val="clear" w:color="auto" w:fill="C6D9F1"/>
            <w:vAlign w:val="bottom"/>
          </w:tcPr>
          <w:p w14:paraId="52CCAA6C" w14:textId="77777777" w:rsidR="00BA23AE" w:rsidRPr="00F74AA8" w:rsidRDefault="00BA23AE" w:rsidP="00F74AA8">
            <w:pPr>
              <w:pStyle w:val="B"/>
              <w:cnfStyle w:val="000000000000" w:firstRow="0" w:lastRow="0" w:firstColumn="0" w:lastColumn="0" w:oddVBand="0" w:evenVBand="0" w:oddHBand="0" w:evenHBand="0" w:firstRowFirstColumn="0" w:firstRowLastColumn="0" w:lastRowFirstColumn="0" w:lastRowLastColumn="0"/>
              <w:rPr>
                <w:szCs w:val="20"/>
                <w:rtl/>
              </w:rPr>
            </w:pPr>
            <w:r w:rsidRPr="00F74AA8">
              <w:rPr>
                <w:rFonts w:hint="cs"/>
                <w:szCs w:val="20"/>
                <w:rtl/>
              </w:rPr>
              <w:t>26 - 37</w:t>
            </w:r>
          </w:p>
        </w:tc>
        <w:tc>
          <w:tcPr>
            <w:tcW w:w="2114" w:type="dxa"/>
            <w:shd w:val="clear" w:color="auto" w:fill="C6D9F1"/>
            <w:vAlign w:val="bottom"/>
          </w:tcPr>
          <w:p w14:paraId="10B2D737" w14:textId="77777777" w:rsidR="00BA23AE" w:rsidRPr="00F74AA8" w:rsidRDefault="00BA23AE" w:rsidP="00F74AA8">
            <w:pPr>
              <w:pStyle w:val="B"/>
              <w:cnfStyle w:val="000000000000" w:firstRow="0" w:lastRow="0" w:firstColumn="0" w:lastColumn="0" w:oddVBand="0" w:evenVBand="0" w:oddHBand="0" w:evenHBand="0" w:firstRowFirstColumn="0" w:firstRowLastColumn="0" w:lastRowFirstColumn="0" w:lastRowLastColumn="0"/>
              <w:rPr>
                <w:szCs w:val="20"/>
                <w:rtl/>
              </w:rPr>
            </w:pPr>
            <w:r w:rsidRPr="00F74AA8">
              <w:rPr>
                <w:rFonts w:hint="cs"/>
                <w:szCs w:val="20"/>
                <w:rtl/>
              </w:rPr>
              <w:t>275 - 450</w:t>
            </w:r>
          </w:p>
        </w:tc>
      </w:tr>
    </w:tbl>
    <w:p w14:paraId="1CDF0815" w14:textId="77777777" w:rsidR="00BA23AE" w:rsidRPr="00F13DA5" w:rsidRDefault="00BA23AE" w:rsidP="00F70DE9">
      <w:pPr>
        <w:pStyle w:val="ab"/>
        <w:rPr>
          <w:rtl/>
        </w:rPr>
      </w:pPr>
      <w:r w:rsidRPr="00F13DA5">
        <w:rPr>
          <w:rFonts w:hint="eastAsia"/>
          <w:rtl/>
        </w:rPr>
        <w:t>המקור</w:t>
      </w:r>
      <w:r w:rsidRPr="00F13DA5">
        <w:rPr>
          <w:rtl/>
        </w:rPr>
        <w:t xml:space="preserve">: </w:t>
      </w:r>
      <w:r w:rsidRPr="00F13DA5">
        <w:rPr>
          <w:rFonts w:hint="eastAsia"/>
          <w:rtl/>
        </w:rPr>
        <w:t>ניתוח</w:t>
      </w:r>
      <w:r w:rsidRPr="00F13DA5">
        <w:rPr>
          <w:rtl/>
        </w:rPr>
        <w:t xml:space="preserve"> </w:t>
      </w:r>
      <w:r w:rsidRPr="00F13DA5">
        <w:rPr>
          <w:rFonts w:hint="eastAsia"/>
          <w:rtl/>
        </w:rPr>
        <w:t>כלכלי</w:t>
      </w:r>
      <w:r w:rsidRPr="00F13DA5">
        <w:rPr>
          <w:rtl/>
        </w:rPr>
        <w:t xml:space="preserve"> </w:t>
      </w:r>
      <w:r w:rsidRPr="00F13DA5">
        <w:rPr>
          <w:rFonts w:hint="eastAsia"/>
          <w:rtl/>
        </w:rPr>
        <w:t>של</w:t>
      </w:r>
      <w:r w:rsidRPr="00F13DA5">
        <w:rPr>
          <w:rtl/>
        </w:rPr>
        <w:t xml:space="preserve"> </w:t>
      </w:r>
      <w:r w:rsidRPr="00F13DA5">
        <w:rPr>
          <w:rFonts w:hint="eastAsia"/>
          <w:rtl/>
        </w:rPr>
        <w:t>משרד</w:t>
      </w:r>
      <w:r w:rsidRPr="00F13DA5">
        <w:rPr>
          <w:rtl/>
        </w:rPr>
        <w:t xml:space="preserve"> </w:t>
      </w:r>
      <w:r w:rsidRPr="00F13DA5">
        <w:rPr>
          <w:rFonts w:hint="eastAsia"/>
          <w:rtl/>
        </w:rPr>
        <w:t>האוצר</w:t>
      </w:r>
      <w:r w:rsidRPr="00F13DA5">
        <w:rPr>
          <w:rtl/>
        </w:rPr>
        <w:t xml:space="preserve"> </w:t>
      </w:r>
      <w:r w:rsidRPr="00F13DA5">
        <w:rPr>
          <w:rFonts w:hint="eastAsia"/>
          <w:rtl/>
        </w:rPr>
        <w:t>ממרץ</w:t>
      </w:r>
      <w:r w:rsidRPr="00F13DA5">
        <w:rPr>
          <w:rtl/>
        </w:rPr>
        <w:t xml:space="preserve"> 2017. </w:t>
      </w:r>
    </w:p>
    <w:p w14:paraId="3345CBD2" w14:textId="4DB52475" w:rsidR="00BA23AE" w:rsidRPr="00F13DA5" w:rsidRDefault="00BA23AE" w:rsidP="00F70DE9">
      <w:pPr>
        <w:pStyle w:val="100"/>
        <w:rPr>
          <w:rtl/>
        </w:rPr>
      </w:pPr>
    </w:p>
    <w:p w14:paraId="17A907FD" w14:textId="77777777" w:rsidR="00BA23AE" w:rsidRPr="00F13DA5" w:rsidRDefault="00BA23AE" w:rsidP="00F70DE9">
      <w:pPr>
        <w:pStyle w:val="ad"/>
        <w:rPr>
          <w:rtl/>
        </w:rPr>
      </w:pPr>
      <w:r w:rsidRPr="00F13DA5">
        <w:rPr>
          <w:rFonts w:hint="cs"/>
          <w:rtl/>
        </w:rPr>
        <w:t>גם פניות אלו לא הובילו להתקדמות בהסדרת נושא ההיוועדות החזותית בדיוני מעצר, והצעת החוק לא קודמה.</w:t>
      </w:r>
    </w:p>
    <w:p w14:paraId="79B12081" w14:textId="77777777" w:rsidR="00BA23AE" w:rsidRPr="00F13DA5" w:rsidRDefault="00BA23AE" w:rsidP="00F70DE9">
      <w:pPr>
        <w:pStyle w:val="af3"/>
        <w:rPr>
          <w:rtl/>
        </w:rPr>
      </w:pPr>
      <w:r w:rsidRPr="00F13DA5">
        <w:rPr>
          <w:rFonts w:hint="cs"/>
          <w:rtl/>
        </w:rPr>
        <w:lastRenderedPageBreak/>
        <w:t>בדצמבר 2018 התקיים דיון במשרד המשפטים בהשתתפות נציגים מהנהלת בתי המשפט, הסנגוריה הציבורית, משרד האוצר, המשרד לבט"פ ושב"ס. בסיכום הדיון פורטו, בין היתר, ההחלטות האלה: הסכמת עצור או נאשם צריכה להיות פוזיטיבית לאחר התייעצות עם סנגור ולא להפך. עוד נקבע שתיעשה במשרד המשפטים בדיקה בין-לאומית משווה בקשר להסדרים דומים בעולם.</w:t>
      </w:r>
    </w:p>
    <w:p w14:paraId="72272A0B" w14:textId="77777777" w:rsidR="00BA23AE" w:rsidRDefault="00BA23AE" w:rsidP="00F70DE9">
      <w:pPr>
        <w:pStyle w:val="ad"/>
        <w:rPr>
          <w:rtl/>
        </w:rPr>
      </w:pPr>
      <w:r w:rsidRPr="00F13DA5">
        <w:rPr>
          <w:rFonts w:hint="cs"/>
          <w:rtl/>
        </w:rPr>
        <w:t xml:space="preserve">מאז הדיון במשרד המשפטים בדצמבר 2018 ועד למועד סיום הביקורת, וככל הנראה בהיעדר הסכמה של כלל הגורמים המעורבים בנושא, לא הוכרע ולא קוּדם נושא ההיוועדות החזותית בדיוני מעצר. כללו של דבר, במשך שנים - מאז שהוגש דוח צוות גוטליב בשנת 2013 - לא הוכרעו המחלוקות אף שנדונו באופן חוזר ונשנה, ולא קודם הליך של חקיקה. </w:t>
      </w:r>
    </w:p>
    <w:p w14:paraId="7965C562" w14:textId="4732C058" w:rsidR="00BA23AE" w:rsidRPr="00F13DA5" w:rsidRDefault="00BA23AE" w:rsidP="00DF58F4">
      <w:pPr>
        <w:pStyle w:val="af3"/>
        <w:rPr>
          <w:rtl/>
        </w:rPr>
      </w:pPr>
      <w:r w:rsidRPr="00F13DA5">
        <w:rPr>
          <w:rFonts w:hint="cs"/>
          <w:rtl/>
        </w:rPr>
        <w:t>הנהלת בתי המשפט מסרה למשרד מבקר המדינה ביוני 2019 כי בימים אלה היא בוחנת את עמדתה מחדש</w:t>
      </w:r>
      <w:r>
        <w:rPr>
          <w:rFonts w:hint="cs"/>
          <w:rtl/>
        </w:rPr>
        <w:t>.</w:t>
      </w:r>
      <w:r w:rsidRPr="00F13DA5">
        <w:rPr>
          <w:rFonts w:hint="cs"/>
          <w:rtl/>
        </w:rPr>
        <w:t xml:space="preserve"> יחד עם זאת</w:t>
      </w:r>
      <w:r>
        <w:rPr>
          <w:rFonts w:hint="cs"/>
          <w:rtl/>
        </w:rPr>
        <w:t>,</w:t>
      </w:r>
      <w:r w:rsidRPr="00F13DA5">
        <w:rPr>
          <w:rFonts w:hint="cs"/>
          <w:rtl/>
        </w:rPr>
        <w:t xml:space="preserve"> היכולת הטכנולוגית לקיים דיונים במתכונת זו קיימת אצלם. </w:t>
      </w:r>
    </w:p>
    <w:p w14:paraId="7BE3AF4E" w14:textId="77777777" w:rsidR="00BA23AE" w:rsidRPr="00F13DA5" w:rsidRDefault="00BA23AE" w:rsidP="00DF58F4">
      <w:pPr>
        <w:pStyle w:val="af3"/>
        <w:rPr>
          <w:rtl/>
        </w:rPr>
      </w:pPr>
      <w:r w:rsidRPr="00F13DA5">
        <w:rPr>
          <w:rFonts w:hint="cs"/>
          <w:rtl/>
        </w:rPr>
        <w:t>אגף תקציבים במשרד האוצר מסר בתשובתו כי הוא פועל בשיתוף המשרד לביטחון פנים ושירות בתי הסוהר להערכה מחודשת של החיסכון במשאבים הנובע מקיום דיונים באמצעות היוועדות חזותית.</w:t>
      </w:r>
      <w:r>
        <w:rPr>
          <w:rFonts w:hint="cs"/>
          <w:rtl/>
        </w:rPr>
        <w:t>האגף</w:t>
      </w:r>
      <w:r w:rsidRPr="00F13DA5">
        <w:rPr>
          <w:rFonts w:hint="cs"/>
          <w:rtl/>
        </w:rPr>
        <w:t xml:space="preserve"> מסר</w:t>
      </w:r>
      <w:r>
        <w:rPr>
          <w:rFonts w:hint="cs"/>
          <w:rtl/>
        </w:rPr>
        <w:t xml:space="preserve"> עוד</w:t>
      </w:r>
      <w:r w:rsidRPr="00F13DA5">
        <w:rPr>
          <w:rFonts w:hint="cs"/>
          <w:rtl/>
        </w:rPr>
        <w:t xml:space="preserve"> כי הוא פועל לקידום המהלך עם כל הגורמים הרלוונטיים מי</w:t>
      </w:r>
      <w:r>
        <w:rPr>
          <w:rFonts w:hint="cs"/>
          <w:rtl/>
        </w:rPr>
        <w:t>י</w:t>
      </w:r>
      <w:r w:rsidRPr="00F13DA5">
        <w:rPr>
          <w:rFonts w:hint="cs"/>
          <w:rtl/>
        </w:rPr>
        <w:t xml:space="preserve">ד עם כינון הממשלה הבאה. </w:t>
      </w:r>
    </w:p>
    <w:p w14:paraId="0B1A0381" w14:textId="77777777" w:rsidR="00BA23AE" w:rsidRPr="00F13DA5" w:rsidRDefault="00BA23AE" w:rsidP="00DF58F4">
      <w:pPr>
        <w:pStyle w:val="af3"/>
        <w:rPr>
          <w:rtl/>
        </w:rPr>
      </w:pPr>
      <w:r w:rsidRPr="00F13DA5">
        <w:rPr>
          <w:rFonts w:hint="cs"/>
          <w:rtl/>
        </w:rPr>
        <w:t xml:space="preserve">המשטרה ציינה בתשובתה כי היוועדות חזותית תייעל את הדיונים ותקצר משכי זמן. </w:t>
      </w:r>
      <w:r>
        <w:rPr>
          <w:rFonts w:hint="cs"/>
          <w:rtl/>
        </w:rPr>
        <w:t>באופן זה</w:t>
      </w:r>
      <w:r w:rsidRPr="00F13DA5">
        <w:rPr>
          <w:rFonts w:hint="cs"/>
          <w:rtl/>
        </w:rPr>
        <w:t xml:space="preserve"> יתפנה זמן לצורך חקירת עצורים, הנמצאים רוב שעות היממה בבתי המשפט בהמתנה לדיונים. גם שב"ס ציין בתשובתו כי הוא רואה חשיבות בקידום פרויקט </w:t>
      </w:r>
      <w:r>
        <w:rPr>
          <w:rFonts w:hint="cs"/>
          <w:rtl/>
        </w:rPr>
        <w:t>ה</w:t>
      </w:r>
      <w:r w:rsidRPr="00F13DA5">
        <w:rPr>
          <w:rFonts w:hint="cs"/>
          <w:rtl/>
        </w:rPr>
        <w:t xml:space="preserve">היוועדות </w:t>
      </w:r>
      <w:r>
        <w:rPr>
          <w:rFonts w:hint="cs"/>
          <w:rtl/>
        </w:rPr>
        <w:t>ה</w:t>
      </w:r>
      <w:r w:rsidRPr="00F13DA5">
        <w:rPr>
          <w:rFonts w:hint="cs"/>
          <w:rtl/>
        </w:rPr>
        <w:t xml:space="preserve">חזותית מטעמי תנאי מחיה נאותים, ביטחון ובטיחות וככל שיידרש, </w:t>
      </w:r>
      <w:r>
        <w:rPr>
          <w:rFonts w:hint="cs"/>
          <w:rtl/>
        </w:rPr>
        <w:t>הוא</w:t>
      </w:r>
      <w:r w:rsidRPr="00F13DA5">
        <w:rPr>
          <w:rFonts w:hint="cs"/>
          <w:rtl/>
        </w:rPr>
        <w:t xml:space="preserve"> יסייע בקידום המהלך.</w:t>
      </w:r>
      <w:r>
        <w:rPr>
          <w:rFonts w:hint="cs"/>
          <w:rtl/>
        </w:rPr>
        <w:t xml:space="preserve"> </w:t>
      </w:r>
    </w:p>
    <w:p w14:paraId="5E3FCD68" w14:textId="77777777" w:rsidR="00BA23AE" w:rsidRPr="00F13DA5" w:rsidRDefault="00BA23AE" w:rsidP="008A0C03">
      <w:pPr>
        <w:pStyle w:val="a1"/>
        <w:numPr>
          <w:ilvl w:val="0"/>
          <w:numId w:val="30"/>
        </w:numPr>
        <w:rPr>
          <w:rtl/>
        </w:rPr>
      </w:pPr>
      <w:r w:rsidRPr="00316385">
        <w:rPr>
          <w:rStyle w:val="Heading5Char"/>
          <w:color w:val="387026"/>
          <w:spacing w:val="0"/>
          <w:rtl/>
        </w:rPr>
        <w:t xml:space="preserve">היוועדות חזותית כמענה לבית </w:t>
      </w:r>
      <w:r w:rsidRPr="00316385">
        <w:rPr>
          <w:rStyle w:val="Heading5Char"/>
          <w:rFonts w:hint="cs"/>
          <w:color w:val="387026"/>
          <w:spacing w:val="0"/>
          <w:rtl/>
        </w:rPr>
        <w:t>ה</w:t>
      </w:r>
      <w:r w:rsidRPr="00316385">
        <w:rPr>
          <w:rStyle w:val="Heading5Char"/>
          <w:color w:val="387026"/>
          <w:spacing w:val="0"/>
          <w:rtl/>
        </w:rPr>
        <w:t>מעצר אילת</w:t>
      </w:r>
      <w:r w:rsidRPr="00316385">
        <w:rPr>
          <w:rFonts w:hint="cs"/>
          <w:color w:val="387026"/>
          <w:rtl/>
        </w:rPr>
        <w:t xml:space="preserve">: </w:t>
      </w:r>
      <w:r w:rsidRPr="00F13DA5">
        <w:rPr>
          <w:rtl/>
        </w:rPr>
        <w:t>דוגמ</w:t>
      </w:r>
      <w:r w:rsidRPr="00F13DA5">
        <w:rPr>
          <w:rFonts w:hint="cs"/>
          <w:rtl/>
        </w:rPr>
        <w:t>ה</w:t>
      </w:r>
      <w:r w:rsidRPr="00F13DA5">
        <w:rPr>
          <w:rtl/>
        </w:rPr>
        <w:t xml:space="preserve"> מובהקת ליתרונות שבהיוועדות חזותית ולמענה שהיא עשויה לתת בשטח ניתן לראות לגבי בית המעצר באילת</w:t>
      </w:r>
      <w:r w:rsidRPr="00F13DA5">
        <w:rPr>
          <w:rFonts w:hint="cs"/>
          <w:rtl/>
        </w:rPr>
        <w:t>, שפועל כיחידה של בית הסוהר דקל, המצוי במתחם כלא באר שבע</w:t>
      </w:r>
      <w:r w:rsidRPr="00F13DA5">
        <w:rPr>
          <w:vertAlign w:val="superscript"/>
          <w:rtl/>
        </w:rPr>
        <w:footnoteReference w:id="86"/>
      </w:r>
      <w:r w:rsidRPr="00F13DA5">
        <w:rPr>
          <w:rFonts w:hint="cs"/>
          <w:rtl/>
        </w:rPr>
        <w:t xml:space="preserve">. שוהים בו עצורי ימים ועצורים עד תום ההליכים שהדיון בעניינם נדחה לתקופה קצרה שאינה עולה על שבוע ימים. בית המעצר משמש גם כמעבר שבו שוהים עצורים ממתקני כליאה מחוץ לעיר, המוזמנים לדיונים בבית משפט השלום באילת, בימים שלפני הדיון בעניינם ובמשך תקופת ההמתנה לדיון. במהלך שנת 2018 התקבלו בבית המעצר באילת כ-1,000 עצורים. ממוצע העצורים המובאים לדיונים בבית המשפט באילת ביום הוא כ-19 עצורים, וממוצע מצבת העצורים היומית בבית המעצר </w:t>
      </w:r>
      <w:r>
        <w:rPr>
          <w:rFonts w:hint="cs"/>
          <w:rtl/>
        </w:rPr>
        <w:t>הוא</w:t>
      </w:r>
      <w:r w:rsidRPr="00F13DA5">
        <w:rPr>
          <w:rFonts w:hint="cs"/>
          <w:rtl/>
        </w:rPr>
        <w:t xml:space="preserve"> כ-17 עצורים</w:t>
      </w:r>
      <w:r w:rsidRPr="00F13DA5">
        <w:rPr>
          <w:vertAlign w:val="superscript"/>
          <w:rtl/>
        </w:rPr>
        <w:footnoteReference w:id="87"/>
      </w:r>
      <w:r w:rsidRPr="00F13DA5">
        <w:rPr>
          <w:rFonts w:hint="cs"/>
          <w:rtl/>
        </w:rPr>
        <w:t xml:space="preserve">. </w:t>
      </w:r>
    </w:p>
    <w:p w14:paraId="3D973670" w14:textId="77777777" w:rsidR="00BA23AE" w:rsidRPr="00F13DA5" w:rsidRDefault="00BA23AE" w:rsidP="0042091E">
      <w:pPr>
        <w:pStyle w:val="af3"/>
        <w:rPr>
          <w:rtl/>
        </w:rPr>
      </w:pPr>
      <w:r w:rsidRPr="00F13DA5">
        <w:rPr>
          <w:rFonts w:hint="cs"/>
          <w:rtl/>
        </w:rPr>
        <w:t xml:space="preserve">על פי האמנה בין המשטרה לשב"ס במחוז דרום, שב"ס מלווה את העצורים מבית הסוהר דקל בבאר שבע לדיונים משפטיים בבית משפט השלום באילת וחזרה. באוגוסט 2017 היה </w:t>
      </w:r>
      <w:r w:rsidRPr="00F13DA5">
        <w:rPr>
          <w:rFonts w:hint="cs"/>
          <w:rtl/>
        </w:rPr>
        <w:lastRenderedPageBreak/>
        <w:t xml:space="preserve">בבית המעצר באילת רכב ליווי אחד. כאשר נעשה באמצעותו ליווי מחוץ לאילת, לא ניתן </w:t>
      </w:r>
      <w:r>
        <w:rPr>
          <w:rFonts w:hint="cs"/>
          <w:rtl/>
        </w:rPr>
        <w:t xml:space="preserve">היה </w:t>
      </w:r>
      <w:r w:rsidRPr="00F13DA5">
        <w:rPr>
          <w:rFonts w:hint="cs"/>
          <w:rtl/>
        </w:rPr>
        <w:t xml:space="preserve">ללוות עצורים לבית המשפט באילת או לבית חולים. על בית המעצר באילת נאמר כי הוא יחידה רחוקה בעלת משאבים שאינם מספיקים למשימות בהיקף מעבר לשגרה (פינויים, ליווי מחוץ לאילת, ביצוע שתי משימות במקביל). יש לתת את הדעת לכך שזמן הנסיעה מבאר שבע לאילת אורך כשלוש שעות, ואילו זמן הדיון הממוצע </w:t>
      </w:r>
      <w:r>
        <w:rPr>
          <w:rFonts w:hint="cs"/>
          <w:rtl/>
        </w:rPr>
        <w:t>הוא</w:t>
      </w:r>
      <w:r w:rsidRPr="00F13DA5">
        <w:rPr>
          <w:rFonts w:hint="cs"/>
          <w:rtl/>
        </w:rPr>
        <w:t xml:space="preserve"> כ-6.7 דקות. </w:t>
      </w:r>
    </w:p>
    <w:p w14:paraId="2365CE45" w14:textId="77777777" w:rsidR="00BA23AE" w:rsidRPr="00F13DA5" w:rsidRDefault="00BA23AE" w:rsidP="0042091E">
      <w:pPr>
        <w:pStyle w:val="af3"/>
        <w:rPr>
          <w:rtl/>
        </w:rPr>
      </w:pPr>
      <w:r w:rsidRPr="00F13DA5">
        <w:rPr>
          <w:rFonts w:hint="cs"/>
          <w:rtl/>
        </w:rPr>
        <w:t xml:space="preserve">שב"ס ציין בתשובתו כי בבית </w:t>
      </w:r>
      <w:r>
        <w:rPr>
          <w:rFonts w:hint="cs"/>
          <w:rtl/>
        </w:rPr>
        <w:t>ה</w:t>
      </w:r>
      <w:r w:rsidRPr="00F13DA5">
        <w:rPr>
          <w:rFonts w:hint="cs"/>
          <w:rtl/>
        </w:rPr>
        <w:t>מעצר אילת תוקנן צוות ליווי נוסף</w:t>
      </w:r>
      <w:r>
        <w:rPr>
          <w:rFonts w:hint="cs"/>
          <w:rtl/>
        </w:rPr>
        <w:t>,</w:t>
      </w:r>
      <w:r w:rsidRPr="00F13DA5">
        <w:rPr>
          <w:rFonts w:hint="cs"/>
          <w:rtl/>
        </w:rPr>
        <w:t xml:space="preserve"> לרבות רכב ליווי</w:t>
      </w:r>
      <w:r>
        <w:rPr>
          <w:rFonts w:hint="cs"/>
          <w:rtl/>
        </w:rPr>
        <w:t>,</w:t>
      </w:r>
      <w:r w:rsidRPr="00F13DA5">
        <w:rPr>
          <w:rFonts w:hint="cs"/>
          <w:rtl/>
        </w:rPr>
        <w:t xml:space="preserve"> על מנת לאפשר ליוויים בתוך העיר אילת. </w:t>
      </w:r>
    </w:p>
    <w:p w14:paraId="095A5384" w14:textId="77777777" w:rsidR="00BA23AE" w:rsidRPr="00F13DA5" w:rsidRDefault="00BA23AE" w:rsidP="0042091E">
      <w:pPr>
        <w:pStyle w:val="af3"/>
        <w:rPr>
          <w:rtl/>
        </w:rPr>
      </w:pPr>
      <w:r w:rsidRPr="00F13DA5">
        <w:rPr>
          <w:rFonts w:hint="cs"/>
          <w:rtl/>
        </w:rPr>
        <w:t xml:space="preserve">במרץ 2019 ביקש שב"ס לקדם את האפשרות לשימוש בהיוועדות חזותית בדיונים משפטיים של עצורים המנהלים את משפטם בבית המשפט באילת וכמענה נקודתי לבית המעצר. זאת </w:t>
      </w:r>
      <w:r>
        <w:rPr>
          <w:rFonts w:hint="cs"/>
          <w:rtl/>
        </w:rPr>
        <w:t>נוכח</w:t>
      </w:r>
      <w:r w:rsidRPr="00F13DA5">
        <w:rPr>
          <w:rFonts w:hint="cs"/>
          <w:rtl/>
        </w:rPr>
        <w:t xml:space="preserve"> הנתונים הבאים: בכל יום מבוצעים 2 - 3 ליוויים בציר הנסיעה באר שבע-אילת, המהווה סיכון בטיחותי; בכל יום מבוצע ליווי לבית משפט השלום באילת וחזרה לבית המעצר; הצורך לעבור לשטח מחיה של שלושה מ"ר לעצור בבית המעצר אילת</w:t>
      </w:r>
      <w:r w:rsidRPr="00F13DA5">
        <w:rPr>
          <w:vertAlign w:val="superscript"/>
          <w:rtl/>
        </w:rPr>
        <w:footnoteReference w:id="88"/>
      </w:r>
      <w:r w:rsidRPr="00F13DA5">
        <w:rPr>
          <w:rFonts w:hint="cs"/>
          <w:rtl/>
        </w:rPr>
        <w:t xml:space="preserve">, אשר יקטין את מספר העצורים שיוכלו להיות מוחזקים בו, </w:t>
      </w:r>
      <w:r>
        <w:rPr>
          <w:rFonts w:hint="cs"/>
          <w:rtl/>
        </w:rPr>
        <w:t>בד בבד</w:t>
      </w:r>
      <w:r w:rsidRPr="00F13DA5">
        <w:rPr>
          <w:rFonts w:hint="cs"/>
          <w:rtl/>
        </w:rPr>
        <w:t xml:space="preserve"> עם הפגיעה בתנאי המחיה של העצורים המנוידים בתדירות גבוהה מבאר שבע. על פי ההצעה, עצור ישהה בבית המעצר במתחם אשל מבלי שיובא לאילת. בכך ייחסכו ליוויים בציר באר שבע-אילת, והמשטרה תתפנה לממש את אחריותה במרחב העיר אילת. </w:t>
      </w:r>
    </w:p>
    <w:p w14:paraId="3EBF8C37" w14:textId="77777777" w:rsidR="00BA23AE" w:rsidRPr="00F13DA5" w:rsidRDefault="00BA23AE" w:rsidP="0042091E">
      <w:pPr>
        <w:pStyle w:val="ad"/>
        <w:rPr>
          <w:rtl/>
        </w:rPr>
      </w:pPr>
      <w:r w:rsidRPr="00486464">
        <w:rPr>
          <w:rFonts w:hint="eastAsia"/>
          <w:rtl/>
        </w:rPr>
        <w:t>לא</w:t>
      </w:r>
      <w:r w:rsidRPr="004D5F89">
        <w:rPr>
          <w:rtl/>
        </w:rPr>
        <w:t xml:space="preserve"> </w:t>
      </w:r>
      <w:r w:rsidRPr="004D5F89">
        <w:rPr>
          <w:rFonts w:hint="eastAsia"/>
          <w:rtl/>
        </w:rPr>
        <w:t>נמצא</w:t>
      </w:r>
      <w:r w:rsidRPr="004D5F89">
        <w:rPr>
          <w:rtl/>
        </w:rPr>
        <w:t xml:space="preserve"> </w:t>
      </w:r>
      <w:r w:rsidRPr="002A29CE">
        <w:rPr>
          <w:rFonts w:hint="eastAsia"/>
          <w:rtl/>
        </w:rPr>
        <w:t>כי</w:t>
      </w:r>
      <w:r w:rsidRPr="002A29CE">
        <w:rPr>
          <w:rtl/>
        </w:rPr>
        <w:t xml:space="preserve"> </w:t>
      </w:r>
      <w:r w:rsidRPr="002A29CE">
        <w:rPr>
          <w:rFonts w:hint="eastAsia"/>
          <w:rtl/>
        </w:rPr>
        <w:t>ניתן</w:t>
      </w:r>
      <w:r w:rsidRPr="002A29CE">
        <w:rPr>
          <w:rtl/>
        </w:rPr>
        <w:t xml:space="preserve"> </w:t>
      </w:r>
      <w:r w:rsidRPr="002A29CE">
        <w:rPr>
          <w:rFonts w:hint="eastAsia"/>
          <w:rtl/>
        </w:rPr>
        <w:t>מענה</w:t>
      </w:r>
      <w:r w:rsidRPr="00486464">
        <w:rPr>
          <w:rtl/>
        </w:rPr>
        <w:t xml:space="preserve"> </w:t>
      </w:r>
      <w:r w:rsidRPr="00486464">
        <w:rPr>
          <w:rFonts w:hint="eastAsia"/>
          <w:rtl/>
        </w:rPr>
        <w:t>לפנייה</w:t>
      </w:r>
      <w:r w:rsidRPr="00486464">
        <w:rPr>
          <w:rtl/>
        </w:rPr>
        <w:t xml:space="preserve"> </w:t>
      </w:r>
      <w:r w:rsidRPr="00486464">
        <w:rPr>
          <w:rFonts w:hint="eastAsia"/>
          <w:rtl/>
        </w:rPr>
        <w:t>האמורה</w:t>
      </w:r>
      <w:r w:rsidRPr="00486464">
        <w:rPr>
          <w:rtl/>
        </w:rPr>
        <w:t>.</w:t>
      </w:r>
      <w:r w:rsidRPr="00F13DA5">
        <w:rPr>
          <w:rFonts w:hint="cs"/>
          <w:rtl/>
        </w:rPr>
        <w:t xml:space="preserve"> </w:t>
      </w:r>
    </w:p>
    <w:p w14:paraId="2FD18773" w14:textId="77777777" w:rsidR="00B34DE8" w:rsidRDefault="00BA23AE" w:rsidP="00B34DE8">
      <w:pPr>
        <w:pStyle w:val="af4"/>
        <w:rPr>
          <w:rFonts w:ascii="Segoe UI Symbol" w:hAnsi="Segoe UI Symbol" w:cs="Segoe UI Symbol"/>
          <w:rtl/>
        </w:rPr>
      </w:pPr>
      <w:r w:rsidRPr="00F13DA5">
        <w:rPr>
          <w:rFonts w:hint="cs"/>
          <w:rtl/>
        </w:rPr>
        <w:t xml:space="preserve">רוב הגורמים המעורבים סבורים שיש יתרונות רבים לקיומם של דיוני מעצר בתנאים מסוימים באמצעות היוועדות חזותית. שיטה זו מקובלת בעולם, והיא עשויה להביא תועלת לעצורים ולחסוך במשאבים למערכת בתי המשפט, לשב"ס ולתקציב המדינה בכללותו. </w:t>
      </w:r>
      <w:r>
        <w:rPr>
          <w:rFonts w:hint="cs"/>
          <w:rtl/>
        </w:rPr>
        <w:t>כמו כן, היא תוכל</w:t>
      </w:r>
      <w:r w:rsidRPr="00093662">
        <w:rPr>
          <w:rtl/>
        </w:rPr>
        <w:t xml:space="preserve"> לסייע בהפחתת הצפיפות בתאי ההמתנה בבתי המשפט</w:t>
      </w:r>
      <w:r>
        <w:rPr>
          <w:rFonts w:hint="cs"/>
          <w:rtl/>
        </w:rPr>
        <w:t xml:space="preserve"> </w:t>
      </w:r>
      <w:r w:rsidRPr="00093662">
        <w:rPr>
          <w:rtl/>
        </w:rPr>
        <w:t>ולצמצם</w:t>
      </w:r>
      <w:r>
        <w:rPr>
          <w:rFonts w:hint="cs"/>
          <w:rtl/>
        </w:rPr>
        <w:t xml:space="preserve"> את</w:t>
      </w:r>
      <w:r w:rsidRPr="00093662">
        <w:rPr>
          <w:rtl/>
        </w:rPr>
        <w:t xml:space="preserve"> כמויות הליוויים. </w:t>
      </w:r>
      <w:r w:rsidRPr="00F13DA5">
        <w:rPr>
          <w:rFonts w:hint="cs"/>
          <w:rtl/>
        </w:rPr>
        <w:t>האמור בפרק זה ממחיש את הצורך בהכרעה בהקדם בסוגיית ההיוועדות החזותית. על משרד המשפטים לשקול לקדם את הסדרת ההיוועדות החזותית בחקיקה, ובמסגרתה לדון ולהכריע במחלוקות שהועלו לאורך השנים</w:t>
      </w:r>
      <w:r>
        <w:rPr>
          <w:rFonts w:hint="cs"/>
          <w:rtl/>
        </w:rPr>
        <w:t>, תוך שקילת מכלול השיקולים כאמור</w:t>
      </w:r>
      <w:r w:rsidRPr="00F13DA5">
        <w:rPr>
          <w:rFonts w:hint="cs"/>
          <w:rtl/>
        </w:rPr>
        <w:t xml:space="preserve">. בחלוף הזמן מאז ההסדר הניסיוני הקודם ועם התקדמות הטכנולוגיה, מוצע לכל הפחות לשקול מתווה מחודש של הסדר ניסיוני. </w:t>
      </w:r>
    </w:p>
    <w:p w14:paraId="4C939B6E" w14:textId="77777777" w:rsidR="008C1E1E" w:rsidRDefault="008C1E1E">
      <w:pPr>
        <w:bidi w:val="0"/>
        <w:spacing w:after="200" w:line="276" w:lineRule="auto"/>
        <w:rPr>
          <w:rFonts w:ascii="Segoe UI Symbol" w:hAnsi="Segoe UI Symbol" w:cs="Segoe UI Symbol"/>
          <w:szCs w:val="20"/>
          <w:rtl/>
        </w:rPr>
      </w:pPr>
      <w:r>
        <w:rPr>
          <w:rFonts w:cs="Times New Roman"/>
          <w:rtl/>
        </w:rPr>
        <w:br w:type="page"/>
      </w:r>
    </w:p>
    <w:p w14:paraId="08C88502" w14:textId="79F524D9" w:rsidR="00BA23AE" w:rsidRDefault="00BA23AE" w:rsidP="00B34DE8">
      <w:pPr>
        <w:pStyle w:val="aff"/>
        <w:rPr>
          <w:rFonts w:ascii="Arial" w:hAnsi="Arial" w:cs="Arial" w:hint="cs"/>
          <w:rtl/>
        </w:rPr>
      </w:pPr>
      <w:r w:rsidRPr="00F13DA5">
        <w:rPr>
          <w:rFonts w:hint="cs"/>
          <w:rtl/>
        </w:rPr>
        <w:lastRenderedPageBreak/>
        <w:t>✰</w:t>
      </w:r>
    </w:p>
    <w:p w14:paraId="7F0CA7C8" w14:textId="77777777" w:rsidR="00B34DE8" w:rsidRDefault="00B34DE8" w:rsidP="00B34DE8">
      <w:pPr>
        <w:pStyle w:val="aff"/>
        <w:rPr>
          <w:rFonts w:ascii="Arial" w:hAnsi="Arial" w:cs="Arial"/>
          <w:rtl/>
        </w:rPr>
      </w:pPr>
    </w:p>
    <w:p w14:paraId="0A82A621" w14:textId="77777777" w:rsidR="00BA23AE" w:rsidRPr="00B34DE8" w:rsidRDefault="00BA23AE" w:rsidP="00B34DE8">
      <w:pPr>
        <w:pStyle w:val="af4"/>
        <w:rPr>
          <w:rtl/>
        </w:rPr>
      </w:pPr>
      <w:r w:rsidRPr="00B34DE8">
        <w:rPr>
          <w:rFonts w:hint="cs"/>
          <w:rtl/>
        </w:rPr>
        <w:t xml:space="preserve">פרק זה בחן את תחומי האחריות הנוגעים לשימוש בסמכות המעצר של משטרת ישראל ואת השפעת הפעולות וההחלטות הנוגעות לעניין. נוסף על כך, נבחנו פעולותיה של הנהלת בתי המשפט הקשורות להליכי מעצרים, ונבדקה זמינות בתי המשפט לקבלת בקשות מעצר ולקיום דיונים בהליכים אלו, הדחופים מעצם טבעם. </w:t>
      </w:r>
    </w:p>
    <w:p w14:paraId="2158492D" w14:textId="77777777" w:rsidR="00BA23AE" w:rsidRPr="00F13DA5" w:rsidRDefault="00BA23AE" w:rsidP="0042091E">
      <w:pPr>
        <w:pStyle w:val="af4"/>
        <w:rPr>
          <w:rtl/>
        </w:rPr>
      </w:pPr>
      <w:r>
        <w:rPr>
          <w:rFonts w:hint="cs"/>
          <w:rtl/>
        </w:rPr>
        <w:t>המשטרה</w:t>
      </w:r>
      <w:r w:rsidRPr="00F13DA5">
        <w:rPr>
          <w:rFonts w:hint="cs"/>
          <w:rtl/>
        </w:rPr>
        <w:t xml:space="preserve"> נדרשת </w:t>
      </w:r>
      <w:r>
        <w:rPr>
          <w:rFonts w:hint="cs"/>
          <w:rtl/>
        </w:rPr>
        <w:t xml:space="preserve">במסגרת הליכי מעצר </w:t>
      </w:r>
      <w:r w:rsidRPr="00F13DA5">
        <w:rPr>
          <w:rFonts w:hint="cs"/>
          <w:rtl/>
        </w:rPr>
        <w:t>ל</w:t>
      </w:r>
      <w:r>
        <w:rPr>
          <w:rFonts w:hint="cs"/>
          <w:rtl/>
        </w:rPr>
        <w:t xml:space="preserve">אזן </w:t>
      </w:r>
      <w:r w:rsidRPr="00F13DA5">
        <w:rPr>
          <w:rFonts w:hint="cs"/>
          <w:rtl/>
        </w:rPr>
        <w:t>בין חובותיה - קיום חקירה יעילה וחתירה לחקר האמת, עמידתה על קיום זכויות העצור ותיעוד פעולותיה כנדרש בדין.</w:t>
      </w:r>
      <w:r>
        <w:rPr>
          <w:rFonts w:hint="cs"/>
          <w:rtl/>
        </w:rPr>
        <w:t xml:space="preserve"> תיעוד הפעולות מהווה כלי פיקוח ובקרה יחידי המאפשר למשטרה להתמודד עם מחלוקות העולות בתחום המעצרים במקרים ספציפיים ובסוגיות של מדיניות. </w:t>
      </w:r>
      <w:r w:rsidRPr="00F13DA5">
        <w:rPr>
          <w:rFonts w:hint="cs"/>
          <w:rtl/>
        </w:rPr>
        <w:t>נמצא שאין די נתונים המלמדים ברמה הארצית על היקף השימוש בסמכות המעצר ובסמכות השחרור. נמצאו פערים מקצועיים במשטרת ישראל, היעדר הקפדה על זכויות עצורים</w:t>
      </w:r>
      <w:r>
        <w:rPr>
          <w:rFonts w:hint="cs"/>
          <w:rtl/>
        </w:rPr>
        <w:t>, תיעודן</w:t>
      </w:r>
      <w:r w:rsidRPr="00F13DA5">
        <w:rPr>
          <w:rFonts w:hint="cs"/>
          <w:rtl/>
        </w:rPr>
        <w:t xml:space="preserve"> ואי-שימוש מספק בפיקוח ובבקרה המקצועית בתחום המעצרים חרף התקדמות משמעותית באיכותם בשנים האחרונות. </w:t>
      </w:r>
      <w:r>
        <w:rPr>
          <w:rFonts w:hint="cs"/>
          <w:rtl/>
        </w:rPr>
        <w:t>נמצא כי</w:t>
      </w:r>
      <w:r w:rsidRPr="00F13DA5">
        <w:rPr>
          <w:rFonts w:hint="cs"/>
          <w:rtl/>
        </w:rPr>
        <w:t xml:space="preserve"> הנהלת בתי המשפט מגבילה את זמינותה למשטרה, לא הסדירה את אופן ניהול הדיון באולם בית המשפט ואינה פועלת באופן אחיד ברמה הארצית. כמו כן, פתרונות להקלה על תנאי החזקתם של עצורים ולשמירה על זכויותיהם, כמו היוועדות חזותית והחזרת כספי ערובה לזכאים, לא קודמו דיים. </w:t>
      </w:r>
    </w:p>
    <w:p w14:paraId="29FBEE83" w14:textId="77777777" w:rsidR="00BA23AE" w:rsidRDefault="00BA23AE" w:rsidP="0042091E">
      <w:pPr>
        <w:pStyle w:val="af4"/>
        <w:rPr>
          <w:rtl/>
        </w:rPr>
      </w:pPr>
      <w:r w:rsidRPr="00F13DA5">
        <w:rPr>
          <w:rFonts w:hint="cs"/>
          <w:rtl/>
        </w:rPr>
        <w:t xml:space="preserve">על כל </w:t>
      </w:r>
      <w:r>
        <w:rPr>
          <w:rFonts w:hint="cs"/>
          <w:rtl/>
        </w:rPr>
        <w:t>גורם המעורב</w:t>
      </w:r>
      <w:r w:rsidRPr="00F13DA5">
        <w:rPr>
          <w:rFonts w:hint="cs"/>
          <w:rtl/>
        </w:rPr>
        <w:t xml:space="preserve"> </w:t>
      </w:r>
      <w:r>
        <w:rPr>
          <w:rFonts w:hint="cs"/>
          <w:rtl/>
        </w:rPr>
        <w:t xml:space="preserve">בתחום המעצרים </w:t>
      </w:r>
      <w:r w:rsidRPr="00F13DA5">
        <w:rPr>
          <w:rFonts w:hint="cs"/>
          <w:rtl/>
        </w:rPr>
        <w:t xml:space="preserve">להביא בחשבון שההחלטות שהוא מקבל בתחום </w:t>
      </w:r>
      <w:r>
        <w:rPr>
          <w:rFonts w:hint="cs"/>
          <w:rtl/>
        </w:rPr>
        <w:t>זה</w:t>
      </w:r>
      <w:r w:rsidRPr="00F13DA5">
        <w:rPr>
          <w:rFonts w:hint="cs"/>
          <w:rtl/>
        </w:rPr>
        <w:t xml:space="preserve"> משפיעות במישרין על זכויותיו החוקתיות של העצור ועל פעילות הגורמים האחרים, לרבות המשאבים שיידרשו למימוש ההחלטות</w:t>
      </w:r>
      <w:r>
        <w:rPr>
          <w:rFonts w:hint="cs"/>
          <w:rtl/>
        </w:rPr>
        <w:t xml:space="preserve"> באופן שלא יפגע בזכויות אלו</w:t>
      </w:r>
      <w:r w:rsidRPr="00F13DA5">
        <w:rPr>
          <w:rFonts w:hint="cs"/>
          <w:rtl/>
        </w:rPr>
        <w:t>.</w:t>
      </w:r>
      <w:r>
        <w:rPr>
          <w:rFonts w:hint="cs"/>
          <w:rtl/>
        </w:rPr>
        <w:t xml:space="preserve"> בעניין זה, עומסי עבודה אינם שקולים למול זכותו של עצור לחירות, במיוחד במקרים בהם אין עוד הצדקה להחזיקו במעצר.</w:t>
      </w:r>
      <w:r w:rsidRPr="00421DA2">
        <w:rPr>
          <w:rFonts w:hint="cs"/>
          <w:rtl/>
        </w:rPr>
        <w:t xml:space="preserve"> </w:t>
      </w:r>
    </w:p>
    <w:p w14:paraId="6E4E45A5" w14:textId="77777777" w:rsidR="00074533" w:rsidRDefault="00074533" w:rsidP="00BA23AE">
      <w:pPr>
        <w:pStyle w:val="Heading1"/>
        <w:rPr>
          <w:rtl/>
        </w:rPr>
      </w:pPr>
    </w:p>
    <w:p w14:paraId="5FFD4C93" w14:textId="3469985D" w:rsidR="00BA23AE" w:rsidRPr="0059796B" w:rsidRDefault="00BA23AE" w:rsidP="004E3775">
      <w:pPr>
        <w:bidi w:val="0"/>
        <w:spacing w:after="200" w:line="276" w:lineRule="auto"/>
      </w:pPr>
    </w:p>
    <w:sectPr w:rsidR="00BA23AE" w:rsidRPr="0059796B" w:rsidSect="00CA4D91">
      <w:headerReference w:type="even" r:id="rId35"/>
      <w:headerReference w:type="default" r:id="rId36"/>
      <w:footerReference w:type="even" r:id="rId37"/>
      <w:footerReference w:type="default" r:id="rId38"/>
      <w:headerReference w:type="first" r:id="rId39"/>
      <w:footerReference w:type="first" r:id="rId40"/>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4E3775" w:rsidRDefault="004E3775">
      <w:pPr>
        <w:spacing w:line="240" w:lineRule="auto"/>
      </w:pPr>
      <w:r>
        <w:separator/>
      </w:r>
    </w:p>
    <w:p w14:paraId="7FDB7CBE" w14:textId="77777777" w:rsidR="004E3775" w:rsidRDefault="004E3775"/>
  </w:endnote>
  <w:endnote w:type="continuationSeparator" w:id="0">
    <w:p w14:paraId="6956BE62" w14:textId="77777777" w:rsidR="004E3775" w:rsidRDefault="004E3775">
      <w:pPr>
        <w:spacing w:line="240" w:lineRule="auto"/>
      </w:pPr>
      <w:r>
        <w:continuationSeparator/>
      </w:r>
    </w:p>
    <w:p w14:paraId="2BC251DF" w14:textId="77777777" w:rsidR="004E3775" w:rsidRDefault="004E37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2E26" w14:textId="77777777" w:rsidR="00A96948" w:rsidRDefault="00A96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08B920F" w:rsidR="004E3775" w:rsidRPr="009B1690" w:rsidRDefault="004E3775" w:rsidP="009B1690">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מעצרים פליליים בישראל</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4E3775" w:rsidRPr="00D15500" w:rsidRDefault="004E3775" w:rsidP="00D15500">
    <w:pPr>
      <w:pStyle w:val="Footer"/>
      <w:spacing w:after="120" w:line="312" w:lineRule="auto"/>
      <w:jc w:val="right"/>
      <w:rPr>
        <w:rFonts w:ascii="Tahoma" w:hAnsi="Tahoma" w:cs="Tahoma"/>
        <w:color w:val="002060"/>
        <w:sz w:val="18"/>
        <w:szCs w:val="18"/>
      </w:rPr>
    </w:pPr>
    <w:bookmarkStart w:id="28" w:name="tempMark"/>
    <w:bookmarkEnd w:id="28"/>
    <w:r w:rsidRPr="00D15500">
      <w:rPr>
        <w:rFonts w:ascii="Tahoma" w:hAnsi="Tahoma" w:cs="Tahoma"/>
        <w:color w:val="002060"/>
        <w:sz w:val="18"/>
        <w:szCs w:val="18"/>
        <w:rtl/>
      </w:rPr>
      <w:t>ה</w:t>
    </w:r>
    <w:r>
      <w:rPr>
        <w:rFonts w:ascii="Tahoma" w:hAnsi="Tahoma" w:cs="Tahoma"/>
        <w:color w:val="002060"/>
        <w:sz w:val="18"/>
        <w:szCs w:val="18"/>
        <w:rtl/>
      </w:rPr>
      <w:t xml:space="preserve">היערכות </w:t>
    </w:r>
    <w:r>
      <w:rPr>
        <w:rFonts w:ascii="Tahoma" w:hAnsi="Tahoma" w:cs="Tahoma"/>
        <w:color w:val="002060"/>
        <w:sz w:val="18"/>
        <w:szCs w:val="18"/>
        <w:rtl/>
      </w:rPr>
      <w:t>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4E3775" w:rsidRDefault="004E3775" w:rsidP="00C23CC9">
      <w:pPr>
        <w:spacing w:line="240" w:lineRule="auto"/>
      </w:pPr>
      <w:r>
        <w:separator/>
      </w:r>
    </w:p>
  </w:footnote>
  <w:footnote w:type="continuationSeparator" w:id="0">
    <w:p w14:paraId="10B5AFA0" w14:textId="77777777" w:rsidR="004E3775" w:rsidRDefault="004E3775" w:rsidP="00C23CC9">
      <w:pPr>
        <w:spacing w:line="240" w:lineRule="auto"/>
      </w:pPr>
      <w:r>
        <w:continuationSeparator/>
      </w:r>
    </w:p>
    <w:p w14:paraId="095B6F42" w14:textId="77777777" w:rsidR="004E3775" w:rsidRDefault="004E3775"/>
  </w:footnote>
  <w:footnote w:id="1">
    <w:p w14:paraId="19F756FA" w14:textId="77777777" w:rsidR="004E3775" w:rsidRPr="00FD3B87" w:rsidRDefault="004E3775" w:rsidP="00FD3B87">
      <w:pPr>
        <w:pStyle w:val="a8"/>
      </w:pPr>
      <w:r w:rsidRPr="00FD3B87">
        <w:rPr>
          <w:rStyle w:val="FootnoteReference"/>
          <w:vertAlign w:val="baseline"/>
        </w:rPr>
        <w:footnoteRef/>
      </w:r>
      <w:r w:rsidRPr="00FD3B87">
        <w:rPr>
          <w:rtl/>
        </w:rPr>
        <w:t xml:space="preserve"> </w:t>
      </w:r>
      <w:r w:rsidRPr="00FD3B87">
        <w:rPr>
          <w:rtl/>
        </w:rPr>
        <w:tab/>
      </w:r>
      <w:r w:rsidRPr="00FD3B87">
        <w:rPr>
          <w:rFonts w:hint="cs"/>
          <w:rtl/>
        </w:rPr>
        <w:t>השנתונים הסטטיסטיים מתבססים על מאגר נתוני המעצרים שבמערכת הבינה העסקית (</w:t>
      </w:r>
      <w:r w:rsidRPr="00FD3B87">
        <w:rPr>
          <w:rFonts w:hint="cs"/>
        </w:rPr>
        <w:t>BI</w:t>
      </w:r>
      <w:r w:rsidRPr="00FD3B87">
        <w:rPr>
          <w:rFonts w:hint="cs"/>
          <w:rtl/>
        </w:rPr>
        <w:t xml:space="preserve">) של מדור מחקר וסטטיסטיקה במחלקת אסטרטגיה (להלן - מחלקת אסטרטגיה) שבאג"ת. מערכת זו שואבת נתונים ממערכות שונות במשטרת ישראל. </w:t>
      </w:r>
    </w:p>
  </w:footnote>
  <w:footnote w:id="2">
    <w:p w14:paraId="40D07E2D" w14:textId="77777777" w:rsidR="004E3775" w:rsidRPr="00FD3B87" w:rsidRDefault="004E3775" w:rsidP="00FD3B87">
      <w:pPr>
        <w:pStyle w:val="a8"/>
      </w:pPr>
      <w:r w:rsidRPr="00FD3B87">
        <w:rPr>
          <w:rStyle w:val="FootnoteReference"/>
          <w:vertAlign w:val="baseline"/>
        </w:rPr>
        <w:footnoteRef/>
      </w:r>
      <w:r w:rsidRPr="00FD3B87">
        <w:rPr>
          <w:rtl/>
        </w:rPr>
        <w:t xml:space="preserve"> </w:t>
      </w:r>
      <w:r w:rsidRPr="00FD3B87">
        <w:rPr>
          <w:rtl/>
        </w:rPr>
        <w:tab/>
      </w:r>
      <w:r w:rsidRPr="00FD3B87">
        <w:rPr>
          <w:rFonts w:hint="cs"/>
          <w:rtl/>
        </w:rPr>
        <w:t xml:space="preserve">מדובר </w:t>
      </w:r>
      <w:r w:rsidRPr="00FD3B87">
        <w:rPr>
          <w:rFonts w:hint="cs"/>
          <w:rtl/>
        </w:rPr>
        <w:t>בשלושה</w:t>
      </w:r>
      <w:r w:rsidRPr="00FD3B87">
        <w:rPr>
          <w:rtl/>
        </w:rPr>
        <w:t xml:space="preserve"> מאגרי </w:t>
      </w:r>
      <w:r w:rsidRPr="00FD3B87">
        <w:rPr>
          <w:rFonts w:hint="cs"/>
          <w:rtl/>
        </w:rPr>
        <w:t>מידע</w:t>
      </w:r>
      <w:r w:rsidRPr="00FD3B87">
        <w:rPr>
          <w:rtl/>
        </w:rPr>
        <w:t xml:space="preserve"> נפרדים </w:t>
      </w:r>
      <w:r w:rsidRPr="00FD3B87">
        <w:rPr>
          <w:rFonts w:hint="cs"/>
          <w:rtl/>
        </w:rPr>
        <w:t xml:space="preserve">שהועברו </w:t>
      </w:r>
      <w:r w:rsidRPr="00FD3B87">
        <w:rPr>
          <w:rtl/>
        </w:rPr>
        <w:t>מאגף הטכנולוגיה והמחשוב (לשעבר מ</w:t>
      </w:r>
      <w:r w:rsidRPr="00FD3B87">
        <w:rPr>
          <w:rFonts w:hint="cs"/>
          <w:rtl/>
        </w:rPr>
        <w:t>י</w:t>
      </w:r>
      <w:r w:rsidRPr="00FD3B87">
        <w:rPr>
          <w:rtl/>
        </w:rPr>
        <w:t>נהל טכנולוגיות</w:t>
      </w:r>
      <w:r w:rsidRPr="00FD3B87">
        <w:rPr>
          <w:rFonts w:hint="cs"/>
          <w:rtl/>
        </w:rPr>
        <w:t>;</w:t>
      </w:r>
      <w:r w:rsidRPr="00FD3B87">
        <w:rPr>
          <w:rtl/>
        </w:rPr>
        <w:t xml:space="preserve"> להלן - אטו"ב) במשטרת ישראל</w:t>
      </w:r>
      <w:r w:rsidRPr="00FD3B87">
        <w:rPr>
          <w:rFonts w:hint="cs"/>
          <w:rtl/>
        </w:rPr>
        <w:t xml:space="preserve">. </w:t>
      </w:r>
    </w:p>
  </w:footnote>
  <w:footnote w:id="3">
    <w:p w14:paraId="19855785" w14:textId="77777777" w:rsidR="004E3775" w:rsidRPr="00FD3B87" w:rsidRDefault="004E3775" w:rsidP="00FD3B87">
      <w:pPr>
        <w:pStyle w:val="a8"/>
        <w:rPr>
          <w:rtl/>
        </w:rPr>
      </w:pPr>
      <w:r w:rsidRPr="00FD3B87">
        <w:rPr>
          <w:rStyle w:val="FootnoteReference"/>
          <w:vertAlign w:val="baseline"/>
        </w:rPr>
        <w:footnoteRef/>
      </w:r>
      <w:r w:rsidRPr="00FD3B87">
        <w:rPr>
          <w:rtl/>
        </w:rPr>
        <w:t xml:space="preserve"> </w:t>
      </w:r>
      <w:r w:rsidRPr="00FD3B87">
        <w:rPr>
          <w:rtl/>
        </w:rPr>
        <w:tab/>
      </w:r>
      <w:r w:rsidRPr="00FD3B87">
        <w:rPr>
          <w:rFonts w:hint="cs"/>
          <w:rtl/>
        </w:rPr>
        <w:t>ישנן נסיבות משפיעות על הספירה: עצור יכול להיעצר יותר מפעם אחת במהלך תקופה נמדדת בשל ביצוע עבירות חוזרות; עצור יכול להיעצר יותר מפעם אחת באותו תיק חקירה; עצור יכול להיעצר פעם אחת בגין כמה תיקי חקירה נפרדים.</w:t>
      </w:r>
    </w:p>
  </w:footnote>
  <w:footnote w:id="4">
    <w:p w14:paraId="2B7B549F" w14:textId="77777777" w:rsidR="004E3775" w:rsidRPr="00FD3B87" w:rsidRDefault="004E3775" w:rsidP="00FD3B87">
      <w:pPr>
        <w:pStyle w:val="a8"/>
        <w:rPr>
          <w:rtl/>
        </w:rPr>
      </w:pPr>
      <w:r w:rsidRPr="00FD3B87">
        <w:rPr>
          <w:rStyle w:val="FootnoteReference"/>
          <w:vertAlign w:val="baseline"/>
        </w:rPr>
        <w:footnoteRef/>
      </w:r>
      <w:r w:rsidRPr="00FD3B87">
        <w:rPr>
          <w:rtl/>
        </w:rPr>
        <w:t xml:space="preserve"> </w:t>
      </w:r>
      <w:r w:rsidRPr="00FD3B87">
        <w:rPr>
          <w:rtl/>
        </w:rPr>
        <w:tab/>
      </w:r>
      <w:r w:rsidRPr="00FD3B87">
        <w:rPr>
          <w:rFonts w:hint="cs"/>
          <w:rtl/>
        </w:rPr>
        <w:t xml:space="preserve">לפי </w:t>
      </w:r>
      <w:r w:rsidRPr="00FD3B87">
        <w:rPr>
          <w:rFonts w:hint="cs"/>
          <w:rtl/>
        </w:rPr>
        <w:t>נתוני המעצרים של המשטרה.</w:t>
      </w:r>
    </w:p>
  </w:footnote>
  <w:footnote w:id="5">
    <w:p w14:paraId="356A204B" w14:textId="77777777" w:rsidR="004E3775" w:rsidRDefault="004E3775" w:rsidP="00FD3B87">
      <w:pPr>
        <w:pStyle w:val="a8"/>
      </w:pPr>
      <w:r w:rsidRPr="00FD3B87">
        <w:rPr>
          <w:rStyle w:val="FootnoteReference"/>
          <w:vertAlign w:val="baseline"/>
        </w:rPr>
        <w:footnoteRef/>
      </w:r>
      <w:r w:rsidRPr="00FD3B87">
        <w:rPr>
          <w:rtl/>
        </w:rPr>
        <w:t xml:space="preserve"> </w:t>
      </w:r>
      <w:r w:rsidRPr="00FD3B87">
        <w:rPr>
          <w:rtl/>
        </w:rPr>
        <w:tab/>
      </w:r>
      <w:r w:rsidRPr="00FD3B87">
        <w:rPr>
          <w:rFonts w:hint="cs"/>
          <w:rtl/>
        </w:rPr>
        <w:t>לפי</w:t>
      </w:r>
      <w:r>
        <w:rPr>
          <w:rFonts w:hint="cs"/>
          <w:rtl/>
        </w:rPr>
        <w:t xml:space="preserve"> </w:t>
      </w:r>
      <w:r>
        <w:rPr>
          <w:rFonts w:hint="cs"/>
          <w:rtl/>
        </w:rPr>
        <w:t>מאגר ההחלטות של המשטרה.</w:t>
      </w:r>
    </w:p>
  </w:footnote>
  <w:footnote w:id="6">
    <w:p w14:paraId="4365B07E" w14:textId="77777777" w:rsidR="004E3775" w:rsidRDefault="004E3775" w:rsidP="00263DB7">
      <w:pPr>
        <w:pStyle w:val="a8"/>
      </w:pPr>
      <w:r w:rsidRPr="00263DB7">
        <w:footnoteRef/>
      </w:r>
      <w:r w:rsidRPr="00263DB7">
        <w:rPr>
          <w:rtl/>
        </w:rPr>
        <w:t xml:space="preserve"> </w:t>
      </w:r>
      <w:r w:rsidRPr="00263DB7">
        <w:rPr>
          <w:rtl/>
        </w:rPr>
        <w:tab/>
      </w:r>
      <w:r w:rsidRPr="00263DB7">
        <w:rPr>
          <w:rFonts w:hint="cs"/>
          <w:rtl/>
        </w:rPr>
        <w:t>בתרשים זה ההגדרה של מעצר עד תום ההליכים כוללת שני שלבים דיוניים - מעצר עד החלטה אחרת ומעצר עד</w:t>
      </w:r>
      <w:r>
        <w:rPr>
          <w:rFonts w:hint="cs"/>
          <w:rtl/>
        </w:rPr>
        <w:t xml:space="preserve"> תום ההליכים - שכן בבסיסם בקשה של התביעה למעצר עד תום ההליכים המשפטיים. </w:t>
      </w:r>
    </w:p>
  </w:footnote>
  <w:footnote w:id="7">
    <w:p w14:paraId="2F30A40C" w14:textId="77777777" w:rsidR="004E3775" w:rsidRDefault="004E3775" w:rsidP="00263DB7">
      <w:pPr>
        <w:pStyle w:val="a8"/>
      </w:pPr>
      <w:r w:rsidRPr="00263DB7">
        <w:footnoteRef/>
      </w:r>
      <w:r w:rsidRPr="00263DB7">
        <w:rPr>
          <w:rtl/>
        </w:rPr>
        <w:t xml:space="preserve"> </w:t>
      </w:r>
      <w:r w:rsidRPr="00263DB7">
        <w:rPr>
          <w:rtl/>
        </w:rPr>
        <w:tab/>
      </w:r>
      <w:r w:rsidRPr="00263DB7">
        <w:rPr>
          <w:rFonts w:hint="cs"/>
          <w:rtl/>
        </w:rPr>
        <w:t>קביעת</w:t>
      </w:r>
      <w:r>
        <w:rPr>
          <w:rFonts w:hint="cs"/>
          <w:rtl/>
        </w:rPr>
        <w:t xml:space="preserve"> </w:t>
      </w:r>
      <w:r>
        <w:rPr>
          <w:rFonts w:hint="cs"/>
          <w:rtl/>
        </w:rPr>
        <w:t>סוג הדיון המשפטי נעשתה לפי בדיקת סוג המעצר האחרון שהוזן ביחס לעצור. אם לא הוזן סוג המעצר בהחלטה האחרונה, נבדקה ההחלטה שלפני האחרונה.</w:t>
      </w:r>
    </w:p>
  </w:footnote>
  <w:footnote w:id="8">
    <w:p w14:paraId="781224C4" w14:textId="77777777" w:rsidR="004E3775" w:rsidRDefault="004E3775" w:rsidP="0084668B">
      <w:pPr>
        <w:pStyle w:val="a8"/>
        <w:rPr>
          <w:rtl/>
        </w:rPr>
      </w:pPr>
      <w:r w:rsidRPr="0084668B">
        <w:footnoteRef/>
      </w:r>
      <w:r w:rsidRPr="0084668B">
        <w:rPr>
          <w:rtl/>
        </w:rPr>
        <w:t xml:space="preserve"> </w:t>
      </w:r>
      <w:r w:rsidRPr="0084668B">
        <w:rPr>
          <w:rtl/>
        </w:rPr>
        <w:tab/>
      </w:r>
      <w:r w:rsidRPr="0084668B">
        <w:rPr>
          <w:rFonts w:hint="cs"/>
          <w:rtl/>
        </w:rPr>
        <w:t>ההחלטה</w:t>
      </w:r>
      <w:r>
        <w:rPr>
          <w:rFonts w:hint="cs"/>
          <w:rtl/>
        </w:rPr>
        <w:t xml:space="preserve"> </w:t>
      </w:r>
      <w:r>
        <w:rPr>
          <w:rFonts w:hint="cs"/>
          <w:rtl/>
        </w:rPr>
        <w:t xml:space="preserve">האחרונה שהתקבלה בשאלת המעצר, וזאת בלי להביא בחשבון את מספר התיקים שבגינם נעצר העצור. בשל מגבלות במאגרי הנתונים לא ניתן היה לבחון את השינויים בהחלטות המעצר בשלבים השונים בהליך, אלא את שתי ההחלטות האחרונות בעניינו של העצור. משתי ההחלטות האחרונות מתקבל מידע אודות סיבת השחרור והגורם המשחרר ואלו משלימות האחת את השנייה. </w:t>
      </w:r>
    </w:p>
  </w:footnote>
  <w:footnote w:id="9">
    <w:p w14:paraId="6B196D2F" w14:textId="77777777" w:rsidR="004E3775" w:rsidRPr="00491D1E" w:rsidRDefault="004E3775" w:rsidP="00491D1E">
      <w:pPr>
        <w:pStyle w:val="a8"/>
        <w:rPr>
          <w:rtl/>
        </w:rPr>
      </w:pPr>
      <w:r w:rsidRPr="00491D1E">
        <w:footnoteRef/>
      </w:r>
      <w:r w:rsidRPr="00491D1E">
        <w:rPr>
          <w:rtl/>
        </w:rPr>
        <w:t xml:space="preserve"> </w:t>
      </w:r>
      <w:r w:rsidRPr="00491D1E">
        <w:rPr>
          <w:rtl/>
        </w:rPr>
        <w:tab/>
      </w:r>
      <w:r w:rsidRPr="00F16077">
        <w:rPr>
          <w:rFonts w:hint="cs"/>
          <w:b/>
          <w:bCs/>
          <w:rtl/>
        </w:rPr>
        <w:t xml:space="preserve">הועבר </w:t>
      </w:r>
      <w:r w:rsidRPr="00F16077">
        <w:rPr>
          <w:rFonts w:hint="cs"/>
          <w:b/>
          <w:bCs/>
          <w:rtl/>
        </w:rPr>
        <w:t>לגורמי חוץ</w:t>
      </w:r>
      <w:r>
        <w:rPr>
          <w:rFonts w:hint="cs"/>
          <w:rtl/>
        </w:rPr>
        <w:t xml:space="preserve"> - מ</w:t>
      </w:r>
      <w:r w:rsidRPr="00491D1E">
        <w:rPr>
          <w:rFonts w:hint="cs"/>
          <w:rtl/>
        </w:rPr>
        <w:t xml:space="preserve">י שבדיוני המעצרים נמצא כי קיימת עילה נוספת מנהלית להחזיקו במשמורת ולכן מעצרו הסתיים. ניתן להעביר עצור לגורמי צה"ל, למעצר מינהלי, לביצוע צו גירוש וכיוצא באלו. </w:t>
      </w:r>
    </w:p>
  </w:footnote>
  <w:footnote w:id="10">
    <w:p w14:paraId="497E9930" w14:textId="77777777" w:rsidR="004E3775" w:rsidRDefault="004E3775" w:rsidP="00491D1E">
      <w:pPr>
        <w:pStyle w:val="a8"/>
        <w:rPr>
          <w:rtl/>
        </w:rPr>
      </w:pPr>
      <w:r w:rsidRPr="00491D1E">
        <w:rPr>
          <w:rStyle w:val="FootnoteReference"/>
          <w:vertAlign w:val="baseline"/>
        </w:rPr>
        <w:footnoteRef/>
      </w:r>
      <w:r w:rsidRPr="00491D1E">
        <w:rPr>
          <w:rtl/>
        </w:rPr>
        <w:t xml:space="preserve"> </w:t>
      </w:r>
      <w:r>
        <w:rPr>
          <w:rtl/>
        </w:rPr>
        <w:tab/>
      </w:r>
      <w:r w:rsidRPr="009D3EAA">
        <w:rPr>
          <w:rFonts w:hint="eastAsia"/>
          <w:b/>
          <w:bCs/>
          <w:rtl/>
        </w:rPr>
        <w:t>נשפט</w:t>
      </w:r>
      <w:r>
        <w:rPr>
          <w:rFonts w:hint="cs"/>
          <w:rtl/>
        </w:rPr>
        <w:t xml:space="preserve"> </w:t>
      </w:r>
      <w:r>
        <w:rPr>
          <w:rFonts w:hint="cs"/>
          <w:rtl/>
        </w:rPr>
        <w:t xml:space="preserve">- מי שבדיוני מעצרים הגיע להסדר טיעון שהוגש לבית המשפט, וחלף המשך הדיון בשאלת מעצרו נגזר דינו. לעומת זאת, אם עצור שוחרר ממעצר ורק לאחר שחרורו נגזר עליו גזר דין הכולל מאסר בפועל </w:t>
      </w:r>
      <w:r w:rsidRPr="00491D1E">
        <w:rPr>
          <w:rFonts w:hint="cs"/>
          <w:rtl/>
        </w:rPr>
        <w:t>(מאסר</w:t>
      </w:r>
      <w:r>
        <w:rPr>
          <w:rFonts w:hint="cs"/>
          <w:rtl/>
        </w:rPr>
        <w:t xml:space="preserve"> נדחה), סיום המעצר נקבע על פי </w:t>
      </w:r>
      <w:r w:rsidRPr="001B7705">
        <w:rPr>
          <w:rFonts w:hint="eastAsia"/>
          <w:u w:val="single"/>
          <w:rtl/>
        </w:rPr>
        <w:t>החלטת</w:t>
      </w:r>
      <w:r w:rsidRPr="001B7705">
        <w:rPr>
          <w:u w:val="single"/>
          <w:rtl/>
        </w:rPr>
        <w:t xml:space="preserve"> </w:t>
      </w:r>
      <w:r w:rsidRPr="001B7705">
        <w:rPr>
          <w:rFonts w:hint="eastAsia"/>
          <w:u w:val="single"/>
          <w:rtl/>
        </w:rPr>
        <w:t>סיום</w:t>
      </w:r>
      <w:r w:rsidRPr="001B7705">
        <w:rPr>
          <w:u w:val="single"/>
          <w:rtl/>
        </w:rPr>
        <w:t xml:space="preserve"> </w:t>
      </w:r>
      <w:r w:rsidRPr="001B7705">
        <w:rPr>
          <w:rFonts w:hint="eastAsia"/>
          <w:u w:val="single"/>
          <w:rtl/>
        </w:rPr>
        <w:t>המעצר</w:t>
      </w:r>
      <w:r>
        <w:rPr>
          <w:rFonts w:hint="cs"/>
          <w:rtl/>
        </w:rPr>
        <w:t xml:space="preserve">, ההחלטה שלפני האחרונה, ולא לפי גזר הדין, שהוא ההחלטה האחרונה בעניינו. </w:t>
      </w:r>
    </w:p>
  </w:footnote>
  <w:footnote w:id="11">
    <w:p w14:paraId="18C79CAF" w14:textId="77777777" w:rsidR="004E3775" w:rsidRPr="00D920CA" w:rsidRDefault="004E3775" w:rsidP="00D920CA">
      <w:pPr>
        <w:pStyle w:val="a8"/>
      </w:pPr>
      <w:r w:rsidRPr="00D920CA">
        <w:rPr>
          <w:rStyle w:val="FootnoteReference"/>
          <w:vertAlign w:val="baseline"/>
        </w:rPr>
        <w:footnoteRef/>
      </w:r>
      <w:r w:rsidRPr="00D920CA">
        <w:rPr>
          <w:rtl/>
        </w:rPr>
        <w:t xml:space="preserve"> </w:t>
      </w:r>
      <w:r w:rsidRPr="00D920CA">
        <w:rPr>
          <w:rtl/>
        </w:rPr>
        <w:tab/>
      </w:r>
      <w:r w:rsidRPr="00D920CA">
        <w:rPr>
          <w:rFonts w:hint="cs"/>
          <w:rtl/>
        </w:rPr>
        <w:t xml:space="preserve">עבירות </w:t>
      </w:r>
      <w:r w:rsidRPr="00D920CA">
        <w:rPr>
          <w:rFonts w:hint="cs"/>
          <w:rtl/>
        </w:rPr>
        <w:t xml:space="preserve">מתחומי סרסרות, זנות או סמים. </w:t>
      </w:r>
    </w:p>
  </w:footnote>
  <w:footnote w:id="12">
    <w:p w14:paraId="3CD29BAC" w14:textId="77777777" w:rsidR="004E3775" w:rsidRPr="001701ED" w:rsidRDefault="004E3775" w:rsidP="00D920CA">
      <w:pPr>
        <w:pStyle w:val="a8"/>
        <w:rPr>
          <w:rtl/>
        </w:rPr>
      </w:pPr>
      <w:r w:rsidRPr="00D920CA">
        <w:rPr>
          <w:rStyle w:val="FootnoteReference"/>
          <w:vertAlign w:val="baseline"/>
        </w:rPr>
        <w:footnoteRef/>
      </w:r>
      <w:r w:rsidRPr="00D920CA">
        <w:rPr>
          <w:rtl/>
        </w:rPr>
        <w:t xml:space="preserve"> </w:t>
      </w:r>
      <w:r w:rsidRPr="00D920CA">
        <w:rPr>
          <w:rtl/>
        </w:rPr>
        <w:tab/>
      </w:r>
      <w:r w:rsidRPr="00A96692">
        <w:rPr>
          <w:rFonts w:hint="eastAsia"/>
          <w:b/>
          <w:bCs/>
          <w:rtl/>
        </w:rPr>
        <w:t>לפנות</w:t>
      </w:r>
      <w:r w:rsidRPr="00A96692">
        <w:rPr>
          <w:b/>
          <w:bCs/>
          <w:rtl/>
        </w:rPr>
        <w:t xml:space="preserve"> </w:t>
      </w:r>
      <w:r w:rsidRPr="00A96692">
        <w:rPr>
          <w:rFonts w:hint="eastAsia"/>
          <w:b/>
          <w:bCs/>
          <w:rtl/>
        </w:rPr>
        <w:t>בוקר</w:t>
      </w:r>
      <w:r w:rsidRPr="00A96692">
        <w:rPr>
          <w:b/>
          <w:bCs/>
          <w:rtl/>
        </w:rPr>
        <w:t xml:space="preserve"> </w:t>
      </w:r>
      <w:r w:rsidRPr="00A96692">
        <w:rPr>
          <w:rFonts w:hint="eastAsia"/>
          <w:b/>
          <w:bCs/>
          <w:rtl/>
        </w:rPr>
        <w:t>עד</w:t>
      </w:r>
      <w:r w:rsidRPr="00A96692">
        <w:rPr>
          <w:b/>
          <w:bCs/>
          <w:rtl/>
        </w:rPr>
        <w:t xml:space="preserve"> </w:t>
      </w:r>
      <w:r w:rsidRPr="00A96692">
        <w:rPr>
          <w:rFonts w:hint="eastAsia"/>
          <w:b/>
          <w:bCs/>
          <w:rtl/>
        </w:rPr>
        <w:t>בוקר</w:t>
      </w:r>
      <w:r w:rsidRPr="001701ED">
        <w:rPr>
          <w:rtl/>
        </w:rPr>
        <w:t xml:space="preserve"> (3:00 - 9:00) - עד </w:t>
      </w:r>
      <w:r>
        <w:rPr>
          <w:rFonts w:hint="cs"/>
          <w:rtl/>
        </w:rPr>
        <w:t>ה</w:t>
      </w:r>
      <w:r w:rsidRPr="001701ED">
        <w:rPr>
          <w:rtl/>
        </w:rPr>
        <w:t xml:space="preserve">שעה 3:00 המשטרה רשאית לבקש </w:t>
      </w:r>
      <w:r>
        <w:rPr>
          <w:rFonts w:hint="cs"/>
          <w:rtl/>
        </w:rPr>
        <w:t>ש</w:t>
      </w:r>
      <w:r w:rsidRPr="001701ED">
        <w:rPr>
          <w:rtl/>
        </w:rPr>
        <w:t xml:space="preserve">ייאספו עצורים מתחנות המשטרה, ובזמן </w:t>
      </w:r>
      <w:r>
        <w:rPr>
          <w:rFonts w:hint="cs"/>
          <w:rtl/>
        </w:rPr>
        <w:t>ה</w:t>
      </w:r>
      <w:r w:rsidRPr="001701ED">
        <w:rPr>
          <w:rtl/>
        </w:rPr>
        <w:t xml:space="preserve">זה מתקיים סבב בוקר (סבב א') לאיסוף העצורים על ידי יחידת נחשון. במקביל, החל </w:t>
      </w:r>
      <w:r>
        <w:rPr>
          <w:rFonts w:hint="cs"/>
          <w:rtl/>
        </w:rPr>
        <w:t>ב</w:t>
      </w:r>
      <w:r w:rsidRPr="001701ED">
        <w:rPr>
          <w:rtl/>
        </w:rPr>
        <w:t xml:space="preserve">שעה 6:30 לערך ניתן להגיש בקשות להוצאת צווי מעצר במזכירויות בתי </w:t>
      </w:r>
      <w:r>
        <w:rPr>
          <w:rFonts w:hint="cs"/>
          <w:rtl/>
        </w:rPr>
        <w:t>ה</w:t>
      </w:r>
      <w:r w:rsidRPr="001701ED">
        <w:rPr>
          <w:rtl/>
        </w:rPr>
        <w:t>משפט</w:t>
      </w:r>
      <w:r>
        <w:rPr>
          <w:rFonts w:hint="cs"/>
          <w:rtl/>
        </w:rPr>
        <w:t>;</w:t>
      </w:r>
      <w:r w:rsidRPr="001701ED">
        <w:rPr>
          <w:rtl/>
        </w:rPr>
        <w:t xml:space="preserve"> </w:t>
      </w:r>
      <w:r w:rsidRPr="00A96692">
        <w:rPr>
          <w:rFonts w:hint="eastAsia"/>
          <w:b/>
          <w:bCs/>
          <w:rtl/>
        </w:rPr>
        <w:t>בוקר</w:t>
      </w:r>
      <w:r w:rsidRPr="00A96692">
        <w:rPr>
          <w:b/>
          <w:bCs/>
          <w:rtl/>
        </w:rPr>
        <w:t xml:space="preserve"> </w:t>
      </w:r>
      <w:r w:rsidRPr="00A96692">
        <w:rPr>
          <w:rFonts w:hint="eastAsia"/>
          <w:b/>
          <w:bCs/>
          <w:rtl/>
        </w:rPr>
        <w:t>עד</w:t>
      </w:r>
      <w:r w:rsidRPr="00A96692">
        <w:rPr>
          <w:b/>
          <w:bCs/>
          <w:rtl/>
        </w:rPr>
        <w:t xml:space="preserve"> </w:t>
      </w:r>
      <w:r w:rsidRPr="00A96692">
        <w:rPr>
          <w:rFonts w:hint="eastAsia"/>
          <w:b/>
          <w:bCs/>
          <w:rtl/>
        </w:rPr>
        <w:t>צ</w:t>
      </w:r>
      <w:r>
        <w:rPr>
          <w:rFonts w:hint="cs"/>
          <w:b/>
          <w:bCs/>
          <w:rtl/>
        </w:rPr>
        <w:t>ו</w:t>
      </w:r>
      <w:r w:rsidRPr="00A96692">
        <w:rPr>
          <w:rFonts w:hint="eastAsia"/>
          <w:b/>
          <w:bCs/>
          <w:rtl/>
        </w:rPr>
        <w:t>הריים</w:t>
      </w:r>
      <w:r w:rsidRPr="001701ED">
        <w:rPr>
          <w:rtl/>
        </w:rPr>
        <w:t xml:space="preserve"> (9:00 - 15:00) - בשעות אלו מתקיים סבב איסוף צ</w:t>
      </w:r>
      <w:r>
        <w:rPr>
          <w:rFonts w:hint="cs"/>
          <w:rtl/>
        </w:rPr>
        <w:t>ו</w:t>
      </w:r>
      <w:r w:rsidRPr="001701ED">
        <w:rPr>
          <w:rtl/>
        </w:rPr>
        <w:t xml:space="preserve">הריים (סבב ב') לאיסוף עצורים מתחנות המשטרה ובתי המשפט. עד </w:t>
      </w:r>
      <w:r>
        <w:rPr>
          <w:rFonts w:hint="cs"/>
          <w:rtl/>
        </w:rPr>
        <w:t>ה</w:t>
      </w:r>
      <w:r w:rsidRPr="001701ED">
        <w:rPr>
          <w:rtl/>
        </w:rPr>
        <w:t xml:space="preserve">שעה 15:00 המשטרה רשאית לבקש </w:t>
      </w:r>
      <w:r>
        <w:rPr>
          <w:rFonts w:hint="cs"/>
          <w:rtl/>
        </w:rPr>
        <w:t>ש</w:t>
      </w:r>
      <w:r w:rsidRPr="001701ED">
        <w:rPr>
          <w:rtl/>
        </w:rPr>
        <w:t>ייאספו עצורים מתחנות המשטרה בסבב הערב (סבב ג'). אין קבלת קהל במזכירויות בתי המשפט</w:t>
      </w:r>
      <w:r>
        <w:rPr>
          <w:rFonts w:hint="cs"/>
          <w:rtl/>
        </w:rPr>
        <w:t>,</w:t>
      </w:r>
      <w:r w:rsidRPr="001701ED">
        <w:rPr>
          <w:rtl/>
        </w:rPr>
        <w:t xml:space="preserve"> והגשת בקשות להוצאת צווי מעצר נעשית </w:t>
      </w:r>
      <w:r>
        <w:rPr>
          <w:rFonts w:hint="cs"/>
          <w:rtl/>
        </w:rPr>
        <w:t xml:space="preserve">כפעולה </w:t>
      </w:r>
      <w:r w:rsidRPr="001701ED">
        <w:rPr>
          <w:rtl/>
        </w:rPr>
        <w:t>חריג</w:t>
      </w:r>
      <w:r>
        <w:rPr>
          <w:rFonts w:hint="cs"/>
          <w:rtl/>
        </w:rPr>
        <w:t>ה</w:t>
      </w:r>
      <w:r w:rsidRPr="001701ED">
        <w:rPr>
          <w:rtl/>
        </w:rPr>
        <w:t>. בזמן הזה מתקיימים דיוני המעצרים בבתי המשפט</w:t>
      </w:r>
      <w:r>
        <w:rPr>
          <w:rFonts w:hint="cs"/>
          <w:rtl/>
        </w:rPr>
        <w:t>;</w:t>
      </w:r>
      <w:r w:rsidRPr="001701ED">
        <w:rPr>
          <w:rtl/>
        </w:rPr>
        <w:t xml:space="preserve"> </w:t>
      </w:r>
      <w:r w:rsidRPr="00A96692">
        <w:rPr>
          <w:rFonts w:hint="eastAsia"/>
          <w:b/>
          <w:bCs/>
          <w:rtl/>
        </w:rPr>
        <w:t>צ</w:t>
      </w:r>
      <w:r>
        <w:rPr>
          <w:rFonts w:hint="cs"/>
          <w:b/>
          <w:bCs/>
          <w:rtl/>
        </w:rPr>
        <w:t>ו</w:t>
      </w:r>
      <w:r w:rsidRPr="00A96692">
        <w:rPr>
          <w:rFonts w:hint="eastAsia"/>
          <w:b/>
          <w:bCs/>
          <w:rtl/>
        </w:rPr>
        <w:t>הריים</w:t>
      </w:r>
      <w:r w:rsidRPr="00A96692">
        <w:rPr>
          <w:b/>
          <w:bCs/>
          <w:rtl/>
        </w:rPr>
        <w:t xml:space="preserve"> </w:t>
      </w:r>
      <w:r w:rsidRPr="00A96692">
        <w:rPr>
          <w:rFonts w:hint="eastAsia"/>
          <w:b/>
          <w:bCs/>
          <w:rtl/>
        </w:rPr>
        <w:t>עד</w:t>
      </w:r>
      <w:r w:rsidRPr="00A96692">
        <w:rPr>
          <w:b/>
          <w:bCs/>
          <w:rtl/>
        </w:rPr>
        <w:t xml:space="preserve"> </w:t>
      </w:r>
      <w:r w:rsidRPr="00A96692">
        <w:rPr>
          <w:rFonts w:hint="eastAsia"/>
          <w:b/>
          <w:bCs/>
          <w:rtl/>
        </w:rPr>
        <w:t>לילה</w:t>
      </w:r>
      <w:r w:rsidRPr="001701ED">
        <w:rPr>
          <w:rtl/>
        </w:rPr>
        <w:t xml:space="preserve"> (15:00 - 23:30) - בשעות אלו מתקיים סבב איסוף ערב (סבב ג'). עד </w:t>
      </w:r>
      <w:r>
        <w:rPr>
          <w:rFonts w:hint="cs"/>
          <w:rtl/>
        </w:rPr>
        <w:t>ה</w:t>
      </w:r>
      <w:r w:rsidRPr="001701ED">
        <w:rPr>
          <w:rtl/>
        </w:rPr>
        <w:t xml:space="preserve">שעה 23:30 המשטרה רשאית לבקש </w:t>
      </w:r>
      <w:r>
        <w:rPr>
          <w:rFonts w:hint="cs"/>
          <w:rtl/>
        </w:rPr>
        <w:t>ש</w:t>
      </w:r>
      <w:r w:rsidRPr="001701ED">
        <w:rPr>
          <w:rtl/>
        </w:rPr>
        <w:t>ייאספו עצורים מתחנות המשטרה בסבב ערב נוסף וחריג (סבב ג' השני). בשעות אלו אין קבלת קהל במזכירויות בתי המשפט</w:t>
      </w:r>
      <w:r>
        <w:rPr>
          <w:rFonts w:hint="cs"/>
          <w:rtl/>
        </w:rPr>
        <w:t>,</w:t>
      </w:r>
      <w:r w:rsidRPr="001701ED">
        <w:rPr>
          <w:rtl/>
        </w:rPr>
        <w:t xml:space="preserve"> ודיוני המעצרים </w:t>
      </w:r>
      <w:r>
        <w:rPr>
          <w:rFonts w:hint="cs"/>
          <w:rtl/>
        </w:rPr>
        <w:t>עומדים</w:t>
      </w:r>
      <w:r w:rsidRPr="001701ED">
        <w:rPr>
          <w:rtl/>
        </w:rPr>
        <w:t xml:space="preserve"> לקראת סיום</w:t>
      </w:r>
      <w:r>
        <w:rPr>
          <w:rFonts w:hint="cs"/>
          <w:rtl/>
        </w:rPr>
        <w:t>;</w:t>
      </w:r>
      <w:r w:rsidRPr="001701ED">
        <w:rPr>
          <w:rtl/>
        </w:rPr>
        <w:t xml:space="preserve"> </w:t>
      </w:r>
      <w:r w:rsidRPr="00A96692">
        <w:rPr>
          <w:rFonts w:hint="eastAsia"/>
          <w:b/>
          <w:bCs/>
          <w:rtl/>
        </w:rPr>
        <w:t>לילה</w:t>
      </w:r>
      <w:r w:rsidRPr="00A96692">
        <w:rPr>
          <w:b/>
          <w:bCs/>
          <w:rtl/>
        </w:rPr>
        <w:t xml:space="preserve"> </w:t>
      </w:r>
      <w:r w:rsidRPr="00A96692">
        <w:rPr>
          <w:rFonts w:hint="eastAsia"/>
          <w:b/>
          <w:bCs/>
          <w:rtl/>
        </w:rPr>
        <w:t>עד</w:t>
      </w:r>
      <w:r w:rsidRPr="00A96692">
        <w:rPr>
          <w:b/>
          <w:bCs/>
          <w:rtl/>
        </w:rPr>
        <w:t xml:space="preserve"> </w:t>
      </w:r>
      <w:r w:rsidRPr="00A96692">
        <w:rPr>
          <w:rFonts w:hint="eastAsia"/>
          <w:b/>
          <w:bCs/>
          <w:rtl/>
        </w:rPr>
        <w:t>לפנות</w:t>
      </w:r>
      <w:r w:rsidRPr="00A96692">
        <w:rPr>
          <w:b/>
          <w:bCs/>
          <w:rtl/>
        </w:rPr>
        <w:t xml:space="preserve"> </w:t>
      </w:r>
      <w:r w:rsidRPr="00A96692">
        <w:rPr>
          <w:rFonts w:hint="eastAsia"/>
          <w:b/>
          <w:bCs/>
          <w:rtl/>
        </w:rPr>
        <w:t>בוקר</w:t>
      </w:r>
      <w:r w:rsidRPr="001701ED">
        <w:rPr>
          <w:rtl/>
        </w:rPr>
        <w:t xml:space="preserve"> (23:30 - 3:00) - בשעות אלו מתקיים סבב איסו</w:t>
      </w:r>
      <w:r>
        <w:rPr>
          <w:rFonts w:hint="cs"/>
          <w:rtl/>
        </w:rPr>
        <w:t>ף</w:t>
      </w:r>
      <w:r w:rsidRPr="001701ED">
        <w:rPr>
          <w:rtl/>
        </w:rPr>
        <w:t xml:space="preserve"> נוסף וחריג (סבב ג' השני). עד </w:t>
      </w:r>
      <w:r>
        <w:rPr>
          <w:rFonts w:hint="cs"/>
          <w:rtl/>
        </w:rPr>
        <w:t>ה</w:t>
      </w:r>
      <w:r w:rsidRPr="001701ED">
        <w:rPr>
          <w:rtl/>
        </w:rPr>
        <w:t>שעה 3:</w:t>
      </w:r>
      <w:r w:rsidRPr="00044523">
        <w:rPr>
          <w:rFonts w:hint="cs"/>
          <w:rtl/>
        </w:rPr>
        <w:t xml:space="preserve">00 </w:t>
      </w:r>
      <w:r>
        <w:rPr>
          <w:rFonts w:hint="cs"/>
          <w:rtl/>
        </w:rPr>
        <w:t xml:space="preserve">כאמור </w:t>
      </w:r>
      <w:r w:rsidRPr="00044523">
        <w:rPr>
          <w:rFonts w:hint="cs"/>
          <w:rtl/>
        </w:rPr>
        <w:t xml:space="preserve">המשטרה רשאית לבקש </w:t>
      </w:r>
      <w:r>
        <w:rPr>
          <w:rFonts w:hint="cs"/>
          <w:rtl/>
        </w:rPr>
        <w:t>ש</w:t>
      </w:r>
      <w:r w:rsidRPr="00044523">
        <w:rPr>
          <w:rFonts w:hint="cs"/>
          <w:rtl/>
        </w:rPr>
        <w:t>י</w:t>
      </w:r>
      <w:r>
        <w:rPr>
          <w:rFonts w:hint="cs"/>
          <w:rtl/>
        </w:rPr>
        <w:t>י</w:t>
      </w:r>
      <w:r w:rsidRPr="00044523">
        <w:rPr>
          <w:rFonts w:hint="cs"/>
          <w:rtl/>
        </w:rPr>
        <w:t>א</w:t>
      </w:r>
      <w:r w:rsidRPr="001701ED">
        <w:rPr>
          <w:rFonts w:hint="eastAsia"/>
          <w:rtl/>
        </w:rPr>
        <w:t>ספו</w:t>
      </w:r>
      <w:r w:rsidRPr="001701ED">
        <w:rPr>
          <w:rtl/>
        </w:rPr>
        <w:t xml:space="preserve"> עצורים מתחנות המשטרה בסבב בוקר (סבב א'). </w:t>
      </w:r>
    </w:p>
  </w:footnote>
  <w:footnote w:id="13">
    <w:p w14:paraId="76AAF4DD" w14:textId="77777777" w:rsidR="004E3775" w:rsidRDefault="004E3775" w:rsidP="005C608E">
      <w:pPr>
        <w:pStyle w:val="a8"/>
      </w:pPr>
      <w:r w:rsidRPr="005C608E">
        <w:footnoteRef/>
      </w:r>
      <w:r w:rsidRPr="005C608E">
        <w:rPr>
          <w:rtl/>
        </w:rPr>
        <w:t xml:space="preserve"> </w:t>
      </w:r>
      <w:r w:rsidRPr="005C608E">
        <w:rPr>
          <w:rtl/>
        </w:rPr>
        <w:tab/>
      </w:r>
      <w:r w:rsidRPr="005C608E">
        <w:rPr>
          <w:rFonts w:hint="cs"/>
          <w:rtl/>
        </w:rPr>
        <w:t>בכל</w:t>
      </w:r>
      <w:r>
        <w:rPr>
          <w:rFonts w:hint="cs"/>
          <w:rtl/>
        </w:rPr>
        <w:t xml:space="preserve"> </w:t>
      </w:r>
      <w:r>
        <w:rPr>
          <w:rFonts w:hint="cs"/>
          <w:rtl/>
        </w:rPr>
        <w:t xml:space="preserve">שלב בבחינה נבדקו כ-30 אלף מעצרים שונים, שהיה לגביהם די מידע במערכות הממוחשבות. </w:t>
      </w:r>
    </w:p>
  </w:footnote>
  <w:footnote w:id="14">
    <w:p w14:paraId="1780CB42" w14:textId="77777777" w:rsidR="004E3775" w:rsidRPr="00701441" w:rsidRDefault="004E3775" w:rsidP="00701441">
      <w:pPr>
        <w:pStyle w:val="a8"/>
        <w:rPr>
          <w:rtl/>
        </w:rPr>
      </w:pPr>
      <w:r w:rsidRPr="00701441">
        <w:footnoteRef/>
      </w:r>
      <w:r w:rsidRPr="00701441">
        <w:rPr>
          <w:rtl/>
        </w:rPr>
        <w:t xml:space="preserve"> </w:t>
      </w:r>
      <w:r w:rsidRPr="00701441">
        <w:rPr>
          <w:rtl/>
        </w:rPr>
        <w:tab/>
      </w:r>
      <w:r w:rsidRPr="00701441">
        <w:rPr>
          <w:rFonts w:hint="cs"/>
          <w:rtl/>
        </w:rPr>
        <w:t>משטרת</w:t>
      </w:r>
      <w:r>
        <w:rPr>
          <w:rFonts w:hint="cs"/>
          <w:rtl/>
        </w:rPr>
        <w:t xml:space="preserve"> </w:t>
      </w:r>
      <w:r>
        <w:rPr>
          <w:rFonts w:hint="cs"/>
          <w:rtl/>
        </w:rPr>
        <w:t>ישראל - מדור מחקר ואסטרטגיה, אג"ת</w:t>
      </w:r>
      <w:r>
        <w:rPr>
          <w:rFonts w:hint="cs"/>
          <w:b/>
          <w:bCs/>
          <w:rtl/>
        </w:rPr>
        <w:t>,</w:t>
      </w:r>
      <w:r w:rsidRPr="00FA1DDD">
        <w:rPr>
          <w:rFonts w:hint="cs"/>
          <w:b/>
          <w:bCs/>
          <w:rtl/>
        </w:rPr>
        <w:t xml:space="preserve"> השנתון הסטטיסטי של משטרת ישראל לשנת 2018</w:t>
      </w:r>
      <w:r>
        <w:rPr>
          <w:rFonts w:hint="cs"/>
          <w:rtl/>
        </w:rPr>
        <w:t xml:space="preserve"> </w:t>
      </w:r>
      <w:r w:rsidRPr="00701441">
        <w:rPr>
          <w:rFonts w:hint="cs"/>
          <w:rtl/>
        </w:rPr>
        <w:t>(פורסם במאי 2019).</w:t>
      </w:r>
    </w:p>
  </w:footnote>
  <w:footnote w:id="15">
    <w:p w14:paraId="430257F3" w14:textId="77777777" w:rsidR="004E3775" w:rsidRDefault="004E3775" w:rsidP="00701441">
      <w:pPr>
        <w:pStyle w:val="a8"/>
      </w:pPr>
      <w:r w:rsidRPr="00701441">
        <w:rPr>
          <w:rStyle w:val="FootnoteReference"/>
          <w:vertAlign w:val="baseline"/>
        </w:rPr>
        <w:footnoteRef/>
      </w:r>
      <w:r w:rsidRPr="00701441">
        <w:rPr>
          <w:rtl/>
        </w:rPr>
        <w:t xml:space="preserve"> </w:t>
      </w:r>
      <w:r w:rsidRPr="00701441">
        <w:rPr>
          <w:rtl/>
        </w:rPr>
        <w:tab/>
      </w:r>
      <w:r w:rsidRPr="00701441">
        <w:rPr>
          <w:rtl/>
        </w:rPr>
        <w:t>זאת</w:t>
      </w:r>
      <w:r w:rsidRPr="001C4614">
        <w:rPr>
          <w:rtl/>
        </w:rPr>
        <w:t xml:space="preserve"> </w:t>
      </w:r>
      <w:r w:rsidRPr="001C4614">
        <w:rPr>
          <w:rtl/>
        </w:rPr>
        <w:t xml:space="preserve">על בסיס התאמה בין מועד העיכוב ומספר תעודת </w:t>
      </w:r>
      <w:r>
        <w:rPr>
          <w:rFonts w:hint="cs"/>
          <w:rtl/>
        </w:rPr>
        <w:t>ה</w:t>
      </w:r>
      <w:r w:rsidRPr="001C4614">
        <w:rPr>
          <w:rtl/>
        </w:rPr>
        <w:t xml:space="preserve">זהות </w:t>
      </w:r>
      <w:r>
        <w:rPr>
          <w:rFonts w:hint="cs"/>
          <w:rtl/>
        </w:rPr>
        <w:t xml:space="preserve">של </w:t>
      </w:r>
      <w:r w:rsidRPr="001C4614">
        <w:rPr>
          <w:rtl/>
        </w:rPr>
        <w:t xml:space="preserve">המעוכב במאגר דוחות העיכוב לבין מועד המעצר ומספר תעודת </w:t>
      </w:r>
      <w:r>
        <w:rPr>
          <w:rFonts w:hint="cs"/>
          <w:rtl/>
        </w:rPr>
        <w:t>ה</w:t>
      </w:r>
      <w:r w:rsidRPr="001C4614">
        <w:rPr>
          <w:rtl/>
        </w:rPr>
        <w:t xml:space="preserve">זהות </w:t>
      </w:r>
      <w:r>
        <w:rPr>
          <w:rFonts w:hint="cs"/>
          <w:rtl/>
        </w:rPr>
        <w:t xml:space="preserve">של </w:t>
      </w:r>
      <w:r w:rsidRPr="001C4614">
        <w:rPr>
          <w:rtl/>
        </w:rPr>
        <w:t>העצור בנתוני מאגר המעצרים</w:t>
      </w:r>
      <w:r>
        <w:rPr>
          <w:rFonts w:hint="cs"/>
          <w:rtl/>
        </w:rPr>
        <w:t>.</w:t>
      </w:r>
    </w:p>
  </w:footnote>
  <w:footnote w:id="16">
    <w:p w14:paraId="4BF4EF3A" w14:textId="77777777" w:rsidR="004E3775" w:rsidRDefault="004E3775" w:rsidP="00B10B1F">
      <w:pPr>
        <w:pStyle w:val="a8"/>
        <w:rPr>
          <w:rtl/>
        </w:rPr>
      </w:pPr>
      <w:r w:rsidRPr="00B10B1F">
        <w:footnoteRef/>
      </w:r>
      <w:r w:rsidRPr="00B10B1F">
        <w:rPr>
          <w:rtl/>
        </w:rPr>
        <w:t xml:space="preserve"> </w:t>
      </w:r>
      <w:r w:rsidRPr="00B10B1F">
        <w:rPr>
          <w:rtl/>
        </w:rPr>
        <w:tab/>
      </w:r>
      <w:r w:rsidRPr="00903BF5">
        <w:rPr>
          <w:rFonts w:hint="eastAsia"/>
          <w:b/>
          <w:bCs/>
          <w:rtl/>
        </w:rPr>
        <w:t>פ</w:t>
      </w:r>
      <w:r w:rsidRPr="00903BF5">
        <w:rPr>
          <w:b/>
          <w:bCs/>
          <w:rtl/>
        </w:rPr>
        <w:t>"א</w:t>
      </w:r>
      <w:r>
        <w:rPr>
          <w:rFonts w:hint="cs"/>
          <w:rtl/>
        </w:rPr>
        <w:t xml:space="preserve"> - הסיווג העיקרי לתיקי חקירה פליליים, ופירושו פנקס אשמות; </w:t>
      </w:r>
      <w:r w:rsidRPr="00903BF5">
        <w:rPr>
          <w:rFonts w:hint="eastAsia"/>
          <w:b/>
          <w:bCs/>
          <w:rtl/>
        </w:rPr>
        <w:t>ט</w:t>
      </w:r>
      <w:r w:rsidRPr="00903BF5">
        <w:rPr>
          <w:b/>
          <w:bCs/>
          <w:rtl/>
        </w:rPr>
        <w:t>"מ</w:t>
      </w:r>
      <w:r>
        <w:rPr>
          <w:rFonts w:hint="cs"/>
          <w:rtl/>
        </w:rPr>
        <w:t xml:space="preserve"> - הסיווג העיקרי לתיקי חקירה </w:t>
      </w:r>
      <w:r w:rsidRPr="00B10B1F">
        <w:rPr>
          <w:rFonts w:hint="cs"/>
          <w:rtl/>
        </w:rPr>
        <w:t>פליליים שבהם חשודים קטינים, ופירושו</w:t>
      </w:r>
      <w:r>
        <w:rPr>
          <w:rFonts w:hint="cs"/>
          <w:rtl/>
        </w:rPr>
        <w:t xml:space="preserve"> טיפול מותנה. </w:t>
      </w:r>
    </w:p>
  </w:footnote>
  <w:footnote w:id="17">
    <w:p w14:paraId="0E8A57C5" w14:textId="77777777" w:rsidR="004E3775" w:rsidRDefault="004E3775" w:rsidP="00E262A9">
      <w:pPr>
        <w:pStyle w:val="a8"/>
        <w:rPr>
          <w:rtl/>
        </w:rPr>
      </w:pPr>
      <w:r w:rsidRPr="00E262A9">
        <w:footnoteRef/>
      </w:r>
      <w:r w:rsidRPr="00E262A9">
        <w:rPr>
          <w:rtl/>
        </w:rPr>
        <w:t xml:space="preserve"> </w:t>
      </w:r>
      <w:r w:rsidRPr="00E262A9">
        <w:rPr>
          <w:rtl/>
        </w:rPr>
        <w:tab/>
      </w:r>
      <w:r w:rsidRPr="00E262A9">
        <w:rPr>
          <w:rFonts w:hint="cs"/>
          <w:rtl/>
        </w:rPr>
        <w:t>במאגר</w:t>
      </w:r>
      <w:r>
        <w:rPr>
          <w:rFonts w:hint="cs"/>
          <w:rtl/>
        </w:rPr>
        <w:t xml:space="preserve"> </w:t>
      </w:r>
      <w:r>
        <w:rPr>
          <w:rFonts w:hint="cs"/>
          <w:rtl/>
        </w:rPr>
        <w:t>דוחות מעצר שוטר הופיעו 1,261 דוחות מעצר ללא פרטי זיהוי העצור. בהיעדר נתונים נוספים הנחנו שכל עצור הוא אדם שונה. על כל פנים, ייתכן שמספר העצורים נמוך יותר.</w:t>
      </w:r>
    </w:p>
  </w:footnote>
  <w:footnote w:id="18">
    <w:p w14:paraId="6C55CFEB" w14:textId="77777777" w:rsidR="004E3775" w:rsidRPr="00CD02C6" w:rsidRDefault="004E3775" w:rsidP="00CD02C6">
      <w:pPr>
        <w:pStyle w:val="a8"/>
      </w:pPr>
      <w:r w:rsidRPr="00CD02C6">
        <w:rPr>
          <w:rStyle w:val="FootnoteReference"/>
          <w:vertAlign w:val="baseline"/>
        </w:rPr>
        <w:footnoteRef/>
      </w:r>
      <w:r w:rsidRPr="00CD02C6">
        <w:rPr>
          <w:rtl/>
        </w:rPr>
        <w:t xml:space="preserve"> </w:t>
      </w:r>
      <w:r w:rsidRPr="00CD02C6">
        <w:rPr>
          <w:rtl/>
        </w:rPr>
        <w:tab/>
      </w:r>
      <w:r w:rsidRPr="00CD02C6">
        <w:rPr>
          <w:rFonts w:hint="cs"/>
          <w:rtl/>
        </w:rPr>
        <w:t xml:space="preserve">21,477 </w:t>
      </w:r>
      <w:r w:rsidRPr="00CD02C6">
        <w:rPr>
          <w:rFonts w:hint="cs"/>
          <w:rtl/>
        </w:rPr>
        <w:t xml:space="preserve">מעצרים ועוד 68,277 מעצרים מתוך 174,173 מעצרים. </w:t>
      </w:r>
    </w:p>
  </w:footnote>
  <w:footnote w:id="19">
    <w:p w14:paraId="331662C8" w14:textId="77777777" w:rsidR="004E3775" w:rsidRDefault="004E3775" w:rsidP="00CD02C6">
      <w:pPr>
        <w:pStyle w:val="a8"/>
        <w:rPr>
          <w:rtl/>
        </w:rPr>
      </w:pPr>
      <w:r w:rsidRPr="00CD02C6">
        <w:rPr>
          <w:rStyle w:val="FootnoteReference"/>
          <w:vertAlign w:val="baseline"/>
        </w:rPr>
        <w:footnoteRef/>
      </w:r>
      <w:r w:rsidRPr="00CD02C6">
        <w:rPr>
          <w:rtl/>
        </w:rPr>
        <w:t xml:space="preserve"> </w:t>
      </w:r>
      <w:r w:rsidRPr="00CD02C6">
        <w:rPr>
          <w:rtl/>
        </w:rPr>
        <w:tab/>
      </w:r>
      <w:r>
        <w:rPr>
          <w:rFonts w:hint="cs"/>
          <w:rtl/>
        </w:rPr>
        <w:t xml:space="preserve">21,477 </w:t>
      </w:r>
      <w:r>
        <w:rPr>
          <w:rFonts w:hint="cs"/>
          <w:rtl/>
        </w:rPr>
        <w:t xml:space="preserve">מעצרים ועוד 12,802 מעצרים מתוך 166,716 מעצרים שבהם לא הוצא צו שיפוטי בטרם המעצר. </w:t>
      </w:r>
      <w:r>
        <w:rPr>
          <w:rtl/>
        </w:rPr>
        <w:tab/>
      </w:r>
    </w:p>
  </w:footnote>
  <w:footnote w:id="20">
    <w:p w14:paraId="7CD86898" w14:textId="77777777" w:rsidR="004E3775" w:rsidRDefault="004E3775" w:rsidP="00D33197">
      <w:pPr>
        <w:pStyle w:val="a8"/>
        <w:rPr>
          <w:rtl/>
        </w:rPr>
      </w:pPr>
      <w:r w:rsidRPr="00D33197">
        <w:footnoteRef/>
      </w:r>
      <w:r w:rsidRPr="00D33197">
        <w:rPr>
          <w:rtl/>
        </w:rPr>
        <w:t xml:space="preserve"> </w:t>
      </w:r>
      <w:r w:rsidRPr="00D33197">
        <w:rPr>
          <w:rtl/>
        </w:rPr>
        <w:tab/>
      </w:r>
      <w:r w:rsidRPr="00D33197">
        <w:rPr>
          <w:rFonts w:hint="cs"/>
          <w:rtl/>
        </w:rPr>
        <w:t>משרד</w:t>
      </w:r>
      <w:r>
        <w:rPr>
          <w:rFonts w:hint="cs"/>
          <w:rtl/>
        </w:rPr>
        <w:t xml:space="preserve"> </w:t>
      </w:r>
      <w:r>
        <w:rPr>
          <w:rFonts w:hint="cs"/>
          <w:rtl/>
        </w:rPr>
        <w:t xml:space="preserve">המשפטים - נציבות תלונות הציבור </w:t>
      </w:r>
      <w:r w:rsidRPr="00293283">
        <w:rPr>
          <w:rFonts w:hint="eastAsia"/>
          <w:rtl/>
        </w:rPr>
        <w:t>על</w:t>
      </w:r>
      <w:r w:rsidRPr="00293283">
        <w:rPr>
          <w:rtl/>
        </w:rPr>
        <w:t xml:space="preserve"> </w:t>
      </w:r>
      <w:r w:rsidRPr="00293283">
        <w:rPr>
          <w:rFonts w:hint="eastAsia"/>
          <w:rtl/>
        </w:rPr>
        <w:t>מייצגי</w:t>
      </w:r>
      <w:r w:rsidRPr="00293283">
        <w:rPr>
          <w:rtl/>
        </w:rPr>
        <w:t xml:space="preserve"> </w:t>
      </w:r>
      <w:r w:rsidRPr="00293283">
        <w:rPr>
          <w:rFonts w:hint="eastAsia"/>
          <w:rtl/>
        </w:rPr>
        <w:t>המדינה</w:t>
      </w:r>
      <w:r w:rsidRPr="00293283">
        <w:rPr>
          <w:rtl/>
        </w:rPr>
        <w:t xml:space="preserve"> </w:t>
      </w:r>
      <w:r w:rsidRPr="00293283">
        <w:rPr>
          <w:rFonts w:hint="eastAsia"/>
          <w:rtl/>
        </w:rPr>
        <w:t>בערכאות</w:t>
      </w:r>
      <w:r>
        <w:rPr>
          <w:rFonts w:hint="cs"/>
          <w:rtl/>
        </w:rPr>
        <w:t xml:space="preserve"> (נת"ם), החלטה מס' 122/17 "תלונת סנגורים על התנהלות בלתי קבילה של טועני מעצרים בבית משפט המובילה למעצרי שווא" (17.7.18). </w:t>
      </w:r>
    </w:p>
  </w:footnote>
  <w:footnote w:id="21">
    <w:p w14:paraId="15319C89" w14:textId="77777777" w:rsidR="004E3775" w:rsidRDefault="004E3775" w:rsidP="00527B92">
      <w:pPr>
        <w:pStyle w:val="a8"/>
      </w:pPr>
      <w:r w:rsidRPr="00527B92">
        <w:footnoteRef/>
      </w:r>
      <w:r w:rsidRPr="00527B92">
        <w:rPr>
          <w:rtl/>
        </w:rPr>
        <w:t xml:space="preserve"> </w:t>
      </w:r>
      <w:r w:rsidRPr="00527B92">
        <w:rPr>
          <w:rtl/>
        </w:rPr>
        <w:tab/>
      </w:r>
      <w:r w:rsidRPr="00527B92">
        <w:rPr>
          <w:rtl/>
        </w:rPr>
        <w:t>על</w:t>
      </w:r>
      <w:r w:rsidRPr="00AB5172">
        <w:rPr>
          <w:rtl/>
        </w:rPr>
        <w:t xml:space="preserve"> </w:t>
      </w:r>
      <w:r w:rsidRPr="00AB5172">
        <w:rPr>
          <w:rtl/>
        </w:rPr>
        <w:t xml:space="preserve">התביעה לבחון את הדוחות הסודיים שהוגשו בדיוני המעצר ולקבוע אם הדוחות </w:t>
      </w:r>
      <w:r>
        <w:rPr>
          <w:rFonts w:hint="cs"/>
          <w:rtl/>
        </w:rPr>
        <w:t>הם</w:t>
      </w:r>
      <w:r w:rsidRPr="00AB5172">
        <w:rPr>
          <w:rtl/>
        </w:rPr>
        <w:t xml:space="preserve"> חלק מחומר החקירה שנדרש להעבירו לידי הנאשם. התביעה נדרשת לבחון, בין היתר, אם מבין פעולות החקירה שצוינו בדוח הסודי ולא בוצעו יש פעולות שאי</w:t>
      </w:r>
      <w:r>
        <w:rPr>
          <w:rFonts w:hint="cs"/>
          <w:rtl/>
        </w:rPr>
        <w:t>-</w:t>
      </w:r>
      <w:r w:rsidRPr="00AB5172">
        <w:rPr>
          <w:rtl/>
        </w:rPr>
        <w:t>ביצוען עלול לבסס טענ</w:t>
      </w:r>
      <w:r>
        <w:rPr>
          <w:rFonts w:hint="cs"/>
          <w:rtl/>
        </w:rPr>
        <w:t>ת</w:t>
      </w:r>
      <w:r w:rsidRPr="00AB5172">
        <w:rPr>
          <w:rtl/>
        </w:rPr>
        <w:t xml:space="preserve"> הגנה מן הצדק.</w:t>
      </w:r>
    </w:p>
  </w:footnote>
  <w:footnote w:id="22">
    <w:p w14:paraId="2B4EFD6D" w14:textId="77777777" w:rsidR="004E3775" w:rsidRPr="00931E55" w:rsidRDefault="004E3775" w:rsidP="00931E55">
      <w:pPr>
        <w:pStyle w:val="a8"/>
        <w:rPr>
          <w:rtl/>
        </w:rPr>
      </w:pPr>
      <w:r w:rsidRPr="00931E55">
        <w:rPr>
          <w:rStyle w:val="FootnoteReference"/>
          <w:vertAlign w:val="baseline"/>
        </w:rPr>
        <w:footnoteRef/>
      </w:r>
      <w:r w:rsidRPr="00931E55">
        <w:rPr>
          <w:rtl/>
        </w:rPr>
        <w:t xml:space="preserve"> </w:t>
      </w:r>
      <w:r w:rsidRPr="00931E55">
        <w:rPr>
          <w:rtl/>
        </w:rPr>
        <w:tab/>
      </w:r>
      <w:r w:rsidRPr="00931E55">
        <w:rPr>
          <w:rFonts w:hint="cs"/>
          <w:rtl/>
        </w:rPr>
        <w:t xml:space="preserve">סך </w:t>
      </w:r>
      <w:r w:rsidRPr="00931E55">
        <w:rPr>
          <w:rFonts w:hint="cs"/>
          <w:rtl/>
        </w:rPr>
        <w:t xml:space="preserve">הכול ישנן כ-80 תחנות משטרה. </w:t>
      </w:r>
    </w:p>
  </w:footnote>
  <w:footnote w:id="23">
    <w:p w14:paraId="105D0748" w14:textId="77777777" w:rsidR="004E3775" w:rsidRPr="00931E55" w:rsidRDefault="004E3775" w:rsidP="00931E55">
      <w:pPr>
        <w:pStyle w:val="a8"/>
        <w:rPr>
          <w:rtl/>
        </w:rPr>
      </w:pPr>
      <w:r w:rsidRPr="00931E55">
        <w:rPr>
          <w:rStyle w:val="FootnoteReference"/>
          <w:vertAlign w:val="baseline"/>
        </w:rPr>
        <w:footnoteRef/>
      </w:r>
      <w:r w:rsidRPr="00931E55">
        <w:rPr>
          <w:rtl/>
        </w:rPr>
        <w:t xml:space="preserve"> </w:t>
      </w:r>
      <w:r w:rsidRPr="00931E55">
        <w:rPr>
          <w:rtl/>
        </w:rPr>
        <w:tab/>
      </w:r>
      <w:r w:rsidRPr="00931E55">
        <w:rPr>
          <w:rFonts w:hint="cs"/>
          <w:rtl/>
        </w:rPr>
        <w:t xml:space="preserve">על </w:t>
      </w:r>
      <w:r w:rsidRPr="00931E55">
        <w:rPr>
          <w:rFonts w:hint="cs"/>
          <w:rtl/>
        </w:rPr>
        <w:t>פי תקנות סדר הדין הפלילי (סמכויות אכיפה מעצרים) (תנאי החזקה במעצר), התשנ"ז-1997, ופקודת המטה הארצי בנושא "</w:t>
      </w:r>
      <w:r w:rsidRPr="00931E55">
        <w:rPr>
          <w:rFonts w:hint="eastAsia"/>
          <w:rtl/>
        </w:rPr>
        <w:t>הטיפול</w:t>
      </w:r>
      <w:r w:rsidRPr="00931E55">
        <w:rPr>
          <w:rtl/>
        </w:rPr>
        <w:t xml:space="preserve"> </w:t>
      </w:r>
      <w:r w:rsidRPr="00931E55">
        <w:rPr>
          <w:rFonts w:hint="eastAsia"/>
          <w:rtl/>
        </w:rPr>
        <w:t>בכלואים</w:t>
      </w:r>
      <w:r w:rsidRPr="00931E55">
        <w:rPr>
          <w:rtl/>
        </w:rPr>
        <w:t xml:space="preserve"> </w:t>
      </w:r>
      <w:r w:rsidRPr="00931E55">
        <w:rPr>
          <w:rFonts w:hint="eastAsia"/>
          <w:rtl/>
        </w:rPr>
        <w:t>בתאי</w:t>
      </w:r>
      <w:r w:rsidRPr="00931E55">
        <w:rPr>
          <w:rtl/>
        </w:rPr>
        <w:t xml:space="preserve"> </w:t>
      </w:r>
      <w:r w:rsidRPr="00931E55">
        <w:rPr>
          <w:rFonts w:hint="eastAsia"/>
          <w:rtl/>
        </w:rPr>
        <w:t>מעצר</w:t>
      </w:r>
      <w:r w:rsidRPr="00931E55">
        <w:rPr>
          <w:rtl/>
        </w:rPr>
        <w:t xml:space="preserve"> </w:t>
      </w:r>
      <w:r w:rsidRPr="00931E55">
        <w:rPr>
          <w:rFonts w:hint="eastAsia"/>
          <w:rtl/>
        </w:rPr>
        <w:t>שבאחריות</w:t>
      </w:r>
      <w:r w:rsidRPr="00931E55">
        <w:rPr>
          <w:rtl/>
        </w:rPr>
        <w:t xml:space="preserve"> </w:t>
      </w:r>
      <w:r w:rsidRPr="00931E55">
        <w:rPr>
          <w:rFonts w:hint="eastAsia"/>
          <w:rtl/>
        </w:rPr>
        <w:t>משטרת</w:t>
      </w:r>
      <w:r w:rsidRPr="00931E55">
        <w:rPr>
          <w:rtl/>
        </w:rPr>
        <w:t xml:space="preserve"> </w:t>
      </w:r>
      <w:r w:rsidRPr="00931E55">
        <w:rPr>
          <w:rFonts w:hint="eastAsia"/>
          <w:rtl/>
        </w:rPr>
        <w:t>ישראל</w:t>
      </w:r>
      <w:r w:rsidRPr="00931E55">
        <w:rPr>
          <w:rFonts w:hint="cs"/>
          <w:rtl/>
        </w:rPr>
        <w:t xml:space="preserve">". </w:t>
      </w:r>
    </w:p>
  </w:footnote>
  <w:footnote w:id="24">
    <w:p w14:paraId="5BED0FF9" w14:textId="77777777" w:rsidR="004E3775" w:rsidRDefault="004E3775" w:rsidP="00931E55">
      <w:pPr>
        <w:pStyle w:val="a8"/>
        <w:rPr>
          <w:rtl/>
        </w:rPr>
      </w:pPr>
      <w:r w:rsidRPr="00931E55">
        <w:rPr>
          <w:rStyle w:val="FootnoteReference"/>
          <w:vertAlign w:val="baseline"/>
        </w:rPr>
        <w:footnoteRef/>
      </w:r>
      <w:r w:rsidRPr="00931E55">
        <w:rPr>
          <w:rtl/>
        </w:rPr>
        <w:t xml:space="preserve"> </w:t>
      </w:r>
      <w:r w:rsidRPr="00931E55">
        <w:rPr>
          <w:rtl/>
        </w:rPr>
        <w:tab/>
      </w:r>
      <w:r w:rsidRPr="006F6360">
        <w:rPr>
          <w:rFonts w:hint="eastAsia"/>
          <w:b/>
          <w:bCs/>
          <w:rtl/>
        </w:rPr>
        <w:t>דוח</w:t>
      </w:r>
      <w:r w:rsidRPr="006F6360">
        <w:rPr>
          <w:b/>
          <w:bCs/>
          <w:rtl/>
        </w:rPr>
        <w:t xml:space="preserve"> המבקר על העברת הטיפול</w:t>
      </w:r>
      <w:r>
        <w:rPr>
          <w:rFonts w:hint="cs"/>
          <w:rtl/>
        </w:rPr>
        <w:t>, עמ' 364.</w:t>
      </w:r>
      <w:r w:rsidRPr="00AD6256">
        <w:rPr>
          <w:rtl/>
        </w:rPr>
        <w:t xml:space="preserve"> </w:t>
      </w:r>
    </w:p>
  </w:footnote>
  <w:footnote w:id="25">
    <w:p w14:paraId="308AB3DA" w14:textId="77777777" w:rsidR="004E3775" w:rsidRDefault="004E3775" w:rsidP="00EE11C7">
      <w:pPr>
        <w:pStyle w:val="a8"/>
      </w:pPr>
      <w:r w:rsidRPr="00EE11C7">
        <w:footnoteRef/>
      </w:r>
      <w:r w:rsidRPr="00EE11C7">
        <w:rPr>
          <w:rtl/>
        </w:rPr>
        <w:t xml:space="preserve"> </w:t>
      </w:r>
      <w:r w:rsidRPr="00EE11C7">
        <w:rPr>
          <w:rtl/>
        </w:rPr>
        <w:tab/>
      </w:r>
      <w:r w:rsidRPr="00EE11C7">
        <w:rPr>
          <w:rFonts w:hint="cs"/>
          <w:rtl/>
        </w:rPr>
        <w:t xml:space="preserve">ע"פ </w:t>
      </w:r>
      <w:r w:rsidRPr="00EE11C7">
        <w:rPr>
          <w:rFonts w:hint="cs"/>
          <w:rtl/>
        </w:rPr>
        <w:t>2868/</w:t>
      </w:r>
      <w:r>
        <w:rPr>
          <w:rFonts w:hint="cs"/>
          <w:rtl/>
        </w:rPr>
        <w:t xml:space="preserve">13 </w:t>
      </w:r>
      <w:r w:rsidRPr="00C52913">
        <w:rPr>
          <w:rFonts w:hint="cs"/>
          <w:b/>
          <w:bCs/>
          <w:rtl/>
        </w:rPr>
        <w:t>אלישע חייבטוב נ' מדינת ישראל</w:t>
      </w:r>
      <w:r>
        <w:rPr>
          <w:rFonts w:hint="cs"/>
          <w:rtl/>
        </w:rPr>
        <w:t xml:space="preserve"> (פורסם במאגר ממוחשב, 2.8.18) (להלן - </w:t>
      </w:r>
      <w:r w:rsidRPr="00F1627B">
        <w:rPr>
          <w:rFonts w:hint="eastAsia"/>
          <w:b/>
          <w:bCs/>
          <w:rtl/>
        </w:rPr>
        <w:t>פרשת</w:t>
      </w:r>
      <w:r w:rsidRPr="00F1627B">
        <w:rPr>
          <w:b/>
          <w:bCs/>
          <w:rtl/>
        </w:rPr>
        <w:t xml:space="preserve"> </w:t>
      </w:r>
      <w:r w:rsidRPr="00F1627B">
        <w:rPr>
          <w:rFonts w:hint="eastAsia"/>
          <w:b/>
          <w:bCs/>
          <w:rtl/>
        </w:rPr>
        <w:t>חייבטוב</w:t>
      </w:r>
      <w:r>
        <w:rPr>
          <w:rFonts w:hint="cs"/>
          <w:rtl/>
        </w:rPr>
        <w:t>). ראו לעניין זה את פסק דינו של כב' השופט שהם, עמ' 89 - 91.</w:t>
      </w:r>
    </w:p>
  </w:footnote>
  <w:footnote w:id="26">
    <w:p w14:paraId="5422775A" w14:textId="77777777" w:rsidR="004E3775" w:rsidRPr="003B7A94" w:rsidRDefault="004E3775" w:rsidP="003B7A94">
      <w:pPr>
        <w:pStyle w:val="a8"/>
        <w:rPr>
          <w:rtl/>
        </w:rPr>
      </w:pPr>
      <w:r w:rsidRPr="003B7A94">
        <w:rPr>
          <w:rStyle w:val="FootnoteReference"/>
          <w:vertAlign w:val="baseline"/>
        </w:rPr>
        <w:footnoteRef/>
      </w:r>
      <w:r w:rsidRPr="003B7A94">
        <w:rPr>
          <w:rtl/>
        </w:rPr>
        <w:t xml:space="preserve"> </w:t>
      </w:r>
      <w:r w:rsidRPr="003B7A94">
        <w:rPr>
          <w:rtl/>
        </w:rPr>
        <w:tab/>
      </w:r>
      <w:r w:rsidRPr="003B7A94">
        <w:rPr>
          <w:rFonts w:hint="cs"/>
          <w:rtl/>
        </w:rPr>
        <w:t xml:space="preserve">האישור </w:t>
      </w:r>
      <w:r w:rsidRPr="003B7A94">
        <w:rPr>
          <w:rFonts w:hint="cs"/>
          <w:rtl/>
        </w:rPr>
        <w:t xml:space="preserve">בחתימת ידו יינתן ביחס למתן ההודעות הבאות: הודעה על דבר המעצר וסיבת המעצר, זכותו שתימסר הודעה על מעצרו, זכותו להיפגש עם עורך דין, זכותו להיות מיוצג על ידי סנגור, ומשך הזמן שניתן להחזיק בו עד שישוחרר או יובא בפני שופט. </w:t>
      </w:r>
    </w:p>
  </w:footnote>
  <w:footnote w:id="27">
    <w:p w14:paraId="4949AAA3" w14:textId="77777777" w:rsidR="004E3775" w:rsidRDefault="004E3775" w:rsidP="003B7A94">
      <w:pPr>
        <w:pStyle w:val="a8"/>
      </w:pPr>
      <w:r w:rsidRPr="003B7A94">
        <w:rPr>
          <w:rStyle w:val="FootnoteReference"/>
          <w:vertAlign w:val="baseline"/>
        </w:rPr>
        <w:footnoteRef/>
      </w:r>
      <w:r w:rsidRPr="003B7A94">
        <w:rPr>
          <w:rtl/>
        </w:rPr>
        <w:t xml:space="preserve"> </w:t>
      </w:r>
      <w:r w:rsidRPr="003B7A94">
        <w:rPr>
          <w:rtl/>
        </w:rPr>
        <w:tab/>
      </w:r>
      <w:r w:rsidRPr="00732455">
        <w:rPr>
          <w:rFonts w:hint="cs"/>
          <w:b/>
          <w:bCs/>
          <w:rtl/>
        </w:rPr>
        <w:t xml:space="preserve">פרשת </w:t>
      </w:r>
      <w:r w:rsidRPr="00732455">
        <w:rPr>
          <w:rFonts w:hint="cs"/>
          <w:b/>
          <w:bCs/>
          <w:rtl/>
        </w:rPr>
        <w:t>חייבטוב.</w:t>
      </w:r>
    </w:p>
  </w:footnote>
  <w:footnote w:id="28">
    <w:p w14:paraId="2A23FB1E" w14:textId="77777777" w:rsidR="004E3775" w:rsidRDefault="004E3775" w:rsidP="003B7A94">
      <w:pPr>
        <w:pStyle w:val="a8"/>
        <w:rPr>
          <w:rtl/>
        </w:rPr>
      </w:pPr>
      <w:r w:rsidRPr="003B7A94">
        <w:footnoteRef/>
      </w:r>
      <w:r w:rsidRPr="003B7A94">
        <w:rPr>
          <w:rtl/>
        </w:rPr>
        <w:t xml:space="preserve"> </w:t>
      </w:r>
      <w:r w:rsidRPr="003B7A94">
        <w:rPr>
          <w:rtl/>
        </w:rPr>
        <w:tab/>
      </w:r>
      <w:r w:rsidRPr="003B7A94">
        <w:rPr>
          <w:rFonts w:hint="cs"/>
          <w:rtl/>
        </w:rPr>
        <w:t xml:space="preserve">ע"פ </w:t>
      </w:r>
      <w:r w:rsidRPr="003B7A94">
        <w:rPr>
          <w:rFonts w:hint="cs"/>
          <w:rtl/>
        </w:rPr>
        <w:t>10049</w:t>
      </w:r>
      <w:r>
        <w:rPr>
          <w:rFonts w:hint="cs"/>
          <w:rtl/>
        </w:rPr>
        <w:t xml:space="preserve">/08 </w:t>
      </w:r>
      <w:r w:rsidRPr="004C1106">
        <w:rPr>
          <w:rFonts w:hint="cs"/>
          <w:b/>
          <w:bCs/>
          <w:rtl/>
        </w:rPr>
        <w:t xml:space="preserve">אבו עצא נ' </w:t>
      </w:r>
      <w:r w:rsidRPr="007D6308">
        <w:rPr>
          <w:rFonts w:hint="cs"/>
          <w:b/>
          <w:bCs/>
          <w:rtl/>
        </w:rPr>
        <w:t>מ</w:t>
      </w:r>
      <w:r w:rsidRPr="00547D02">
        <w:rPr>
          <w:rFonts w:hint="eastAsia"/>
          <w:b/>
          <w:bCs/>
          <w:rtl/>
        </w:rPr>
        <w:t>דינת</w:t>
      </w:r>
      <w:r w:rsidRPr="00547D02">
        <w:rPr>
          <w:b/>
          <w:bCs/>
          <w:rtl/>
        </w:rPr>
        <w:t xml:space="preserve"> </w:t>
      </w:r>
      <w:r w:rsidRPr="00547D02">
        <w:rPr>
          <w:rFonts w:hint="eastAsia"/>
          <w:b/>
          <w:bCs/>
          <w:rtl/>
        </w:rPr>
        <w:t>ישראל</w:t>
      </w:r>
      <w:r>
        <w:rPr>
          <w:rFonts w:hint="cs"/>
          <w:rtl/>
        </w:rPr>
        <w:t xml:space="preserve"> (פורסם במאגר ממוחשב, 23.8.12).</w:t>
      </w:r>
    </w:p>
  </w:footnote>
  <w:footnote w:id="29">
    <w:p w14:paraId="416587D0" w14:textId="77777777" w:rsidR="004E3775" w:rsidRPr="003405D2" w:rsidRDefault="004E3775" w:rsidP="003405D2">
      <w:pPr>
        <w:pStyle w:val="a8"/>
      </w:pPr>
      <w:r w:rsidRPr="003405D2">
        <w:footnoteRef/>
      </w:r>
      <w:r w:rsidRPr="003405D2">
        <w:rPr>
          <w:rtl/>
        </w:rPr>
        <w:t xml:space="preserve"> </w:t>
      </w:r>
      <w:r w:rsidRPr="003405D2">
        <w:rPr>
          <w:rtl/>
        </w:rPr>
        <w:tab/>
      </w:r>
      <w:r w:rsidRPr="003405D2">
        <w:rPr>
          <w:rFonts w:hint="cs"/>
          <w:rtl/>
        </w:rPr>
        <w:t>ע</w:t>
      </w:r>
      <w:r>
        <w:rPr>
          <w:rFonts w:hint="cs"/>
          <w:rtl/>
        </w:rPr>
        <w:t xml:space="preserve">"פ </w:t>
      </w:r>
      <w:r>
        <w:rPr>
          <w:rFonts w:hint="cs"/>
          <w:rtl/>
        </w:rPr>
        <w:t xml:space="preserve">10049/08 </w:t>
      </w:r>
      <w:r w:rsidRPr="00C52913">
        <w:rPr>
          <w:rFonts w:hint="cs"/>
          <w:b/>
          <w:bCs/>
          <w:rtl/>
        </w:rPr>
        <w:t>אבו עצא נ' מדינת ישראל</w:t>
      </w:r>
      <w:r>
        <w:rPr>
          <w:rFonts w:hint="cs"/>
          <w:rtl/>
        </w:rPr>
        <w:t xml:space="preserve"> (</w:t>
      </w:r>
      <w:r w:rsidRPr="003405D2">
        <w:rPr>
          <w:rFonts w:hint="cs"/>
          <w:rtl/>
        </w:rPr>
        <w:t>פורסם במאגר ממוחשב, 23.8.12).</w:t>
      </w:r>
    </w:p>
  </w:footnote>
  <w:footnote w:id="30">
    <w:p w14:paraId="6F180F33" w14:textId="77777777" w:rsidR="004E3775" w:rsidRDefault="004E3775" w:rsidP="003405D2">
      <w:pPr>
        <w:pStyle w:val="a8"/>
        <w:rPr>
          <w:rtl/>
        </w:rPr>
      </w:pPr>
      <w:r w:rsidRPr="003405D2">
        <w:rPr>
          <w:rStyle w:val="FootnoteReference"/>
          <w:vertAlign w:val="baseline"/>
        </w:rPr>
        <w:footnoteRef/>
      </w:r>
      <w:r w:rsidRPr="003405D2">
        <w:rPr>
          <w:rtl/>
        </w:rPr>
        <w:t xml:space="preserve"> </w:t>
      </w:r>
      <w:r w:rsidRPr="003405D2">
        <w:rPr>
          <w:rtl/>
        </w:rPr>
        <w:tab/>
      </w:r>
      <w:r w:rsidRPr="00940BE0">
        <w:rPr>
          <w:rFonts w:hint="cs"/>
          <w:b/>
          <w:bCs/>
          <w:rtl/>
        </w:rPr>
        <w:t xml:space="preserve">פרשת </w:t>
      </w:r>
      <w:r w:rsidRPr="00940BE0">
        <w:rPr>
          <w:rFonts w:hint="cs"/>
          <w:b/>
          <w:bCs/>
          <w:rtl/>
        </w:rPr>
        <w:t>חייבטוב</w:t>
      </w:r>
      <w:r>
        <w:rPr>
          <w:rFonts w:hint="cs"/>
          <w:b/>
          <w:bCs/>
          <w:rtl/>
        </w:rPr>
        <w:t xml:space="preserve">, </w:t>
      </w:r>
      <w:r w:rsidRPr="00547D02">
        <w:rPr>
          <w:rFonts w:hint="eastAsia"/>
          <w:rtl/>
        </w:rPr>
        <w:t>ו</w:t>
      </w:r>
      <w:r w:rsidRPr="00AF563D">
        <w:rPr>
          <w:rFonts w:hint="cs"/>
          <w:rtl/>
        </w:rPr>
        <w:t>ראו</w:t>
      </w:r>
      <w:r w:rsidRPr="00AF563D">
        <w:rPr>
          <w:rtl/>
        </w:rPr>
        <w:t xml:space="preserve"> </w:t>
      </w:r>
      <w:r w:rsidRPr="00AF563D">
        <w:rPr>
          <w:rFonts w:hint="cs"/>
          <w:rtl/>
        </w:rPr>
        <w:t>דבריו</w:t>
      </w:r>
      <w:r w:rsidRPr="00AF563D">
        <w:rPr>
          <w:rtl/>
        </w:rPr>
        <w:t xml:space="preserve"> של</w:t>
      </w:r>
      <w:r>
        <w:rPr>
          <w:rFonts w:hint="cs"/>
          <w:rtl/>
        </w:rPr>
        <w:t xml:space="preserve"> כב'</w:t>
      </w:r>
      <w:r w:rsidRPr="00AF563D">
        <w:rPr>
          <w:rtl/>
        </w:rPr>
        <w:t xml:space="preserve"> השופט </w:t>
      </w:r>
      <w:r w:rsidRPr="00AF563D">
        <w:rPr>
          <w:rFonts w:hint="cs"/>
          <w:rtl/>
        </w:rPr>
        <w:t>שהם</w:t>
      </w:r>
      <w:r w:rsidRPr="00AF563D">
        <w:rPr>
          <w:rtl/>
        </w:rPr>
        <w:t>,</w:t>
      </w:r>
      <w:r w:rsidRPr="001336FC">
        <w:rPr>
          <w:rFonts w:hint="cs"/>
          <w:rtl/>
        </w:rPr>
        <w:t xml:space="preserve"> עמ' 75</w:t>
      </w:r>
      <w:r>
        <w:rPr>
          <w:rFonts w:hint="cs"/>
          <w:rtl/>
        </w:rPr>
        <w:t xml:space="preserve"> -</w:t>
      </w:r>
      <w:r w:rsidRPr="001336FC">
        <w:rPr>
          <w:rFonts w:hint="cs"/>
          <w:rtl/>
        </w:rPr>
        <w:t xml:space="preserve"> 76</w:t>
      </w:r>
      <w:r>
        <w:rPr>
          <w:rFonts w:hint="cs"/>
          <w:rtl/>
        </w:rPr>
        <w:t>.</w:t>
      </w:r>
    </w:p>
  </w:footnote>
  <w:footnote w:id="31">
    <w:p w14:paraId="090C132A" w14:textId="77777777" w:rsidR="004E3775" w:rsidRDefault="004E3775" w:rsidP="00471FC6">
      <w:pPr>
        <w:pStyle w:val="a8"/>
        <w:rPr>
          <w:rtl/>
        </w:rPr>
      </w:pPr>
      <w:r w:rsidRPr="00471FC6">
        <w:footnoteRef/>
      </w:r>
      <w:r w:rsidRPr="00471FC6">
        <w:rPr>
          <w:rtl/>
        </w:rPr>
        <w:t xml:space="preserve"> </w:t>
      </w:r>
      <w:r w:rsidRPr="00471FC6">
        <w:rPr>
          <w:rtl/>
        </w:rPr>
        <w:tab/>
      </w:r>
      <w:r w:rsidRPr="00471FC6">
        <w:rPr>
          <w:rFonts w:hint="cs"/>
          <w:rtl/>
        </w:rPr>
        <w:t>תקנות</w:t>
      </w:r>
      <w:r>
        <w:rPr>
          <w:rFonts w:hint="cs"/>
          <w:rtl/>
        </w:rPr>
        <w:t xml:space="preserve"> הסניגוריה הציבורית, התשנ"ו-1996. </w:t>
      </w:r>
    </w:p>
  </w:footnote>
  <w:footnote w:id="32">
    <w:p w14:paraId="2F47DAA5" w14:textId="77777777" w:rsidR="004E3775" w:rsidRDefault="004E3775" w:rsidP="00B242E1">
      <w:pPr>
        <w:pStyle w:val="a8"/>
      </w:pPr>
      <w:r w:rsidRPr="00B242E1">
        <w:footnoteRef/>
      </w:r>
      <w:r w:rsidRPr="00B242E1">
        <w:rPr>
          <w:rtl/>
        </w:rPr>
        <w:t xml:space="preserve"> </w:t>
      </w:r>
      <w:r w:rsidRPr="00B242E1">
        <w:rPr>
          <w:rtl/>
        </w:rPr>
        <w:tab/>
      </w:r>
      <w:r w:rsidRPr="00B242E1">
        <w:rPr>
          <w:rFonts w:hint="cs"/>
          <w:rtl/>
        </w:rPr>
        <w:t xml:space="preserve">מ"י </w:t>
      </w:r>
      <w:r w:rsidRPr="00B242E1">
        <w:rPr>
          <w:rFonts w:hint="cs"/>
          <w:rtl/>
        </w:rPr>
        <w:t>(ב"ש) 16529-08-18</w:t>
      </w:r>
      <w:r>
        <w:rPr>
          <w:rFonts w:hint="cs"/>
          <w:rtl/>
        </w:rPr>
        <w:t xml:space="preserve"> </w:t>
      </w:r>
      <w:r w:rsidRPr="001034A9">
        <w:rPr>
          <w:rFonts w:hint="cs"/>
          <w:b/>
          <w:bCs/>
          <w:rtl/>
        </w:rPr>
        <w:t>מדינת ישראל נ' בורשטיין</w:t>
      </w:r>
      <w:r>
        <w:rPr>
          <w:rFonts w:hint="cs"/>
          <w:rtl/>
        </w:rPr>
        <w:t xml:space="preserve"> (החלטה מיום 8.8.18); עמ"ת (מחוזי מרכז) 2099-02-19 </w:t>
      </w:r>
      <w:r w:rsidRPr="001034A9">
        <w:rPr>
          <w:rFonts w:hint="cs"/>
          <w:b/>
          <w:bCs/>
          <w:rtl/>
        </w:rPr>
        <w:t>אבו נציר נ' מדינת ישראל</w:t>
      </w:r>
      <w:r>
        <w:rPr>
          <w:rFonts w:hint="cs"/>
          <w:rtl/>
        </w:rPr>
        <w:t xml:space="preserve"> (החלטה מיום 24.2.19); מ"י (שלום ראשל"צ) 28171-11-18 </w:t>
      </w:r>
      <w:r w:rsidRPr="001034A9">
        <w:rPr>
          <w:rFonts w:hint="cs"/>
          <w:b/>
          <w:bCs/>
          <w:rtl/>
        </w:rPr>
        <w:t>מדינת ישראל נ' פלוני</w:t>
      </w:r>
      <w:r>
        <w:rPr>
          <w:rFonts w:hint="cs"/>
          <w:rtl/>
        </w:rPr>
        <w:t xml:space="preserve"> (החלטה מ-13.11.18); מ"י (שלום ב"ש) 6960-06-18 </w:t>
      </w:r>
      <w:r w:rsidRPr="001034A9">
        <w:rPr>
          <w:rFonts w:hint="cs"/>
          <w:b/>
          <w:bCs/>
          <w:rtl/>
        </w:rPr>
        <w:t>מדינת ישראל נ' פלוני</w:t>
      </w:r>
      <w:r>
        <w:rPr>
          <w:rFonts w:hint="cs"/>
          <w:rtl/>
        </w:rPr>
        <w:t xml:space="preserve"> (החלטה מ-5.6.18).</w:t>
      </w:r>
    </w:p>
  </w:footnote>
  <w:footnote w:id="33">
    <w:p w14:paraId="729BC21B" w14:textId="77777777" w:rsidR="004E3775" w:rsidRPr="007A521B" w:rsidRDefault="004E3775" w:rsidP="007A521B">
      <w:pPr>
        <w:pStyle w:val="a8"/>
        <w:rPr>
          <w:rtl/>
        </w:rPr>
      </w:pPr>
      <w:r w:rsidRPr="007A521B">
        <w:footnoteRef/>
      </w:r>
      <w:r w:rsidRPr="007A521B">
        <w:rPr>
          <w:rtl/>
        </w:rPr>
        <w:t xml:space="preserve"> </w:t>
      </w:r>
      <w:r w:rsidRPr="007A521B">
        <w:rPr>
          <w:rtl/>
        </w:rPr>
        <w:tab/>
      </w:r>
      <w:r w:rsidRPr="007A521B">
        <w:rPr>
          <w:rFonts w:hint="cs"/>
          <w:rtl/>
        </w:rPr>
        <w:t xml:space="preserve">וראו: </w:t>
      </w:r>
      <w:r w:rsidRPr="007A521B">
        <w:rPr>
          <w:rFonts w:hint="cs"/>
          <w:rtl/>
        </w:rPr>
        <w:t>בג</w:t>
      </w:r>
      <w:r>
        <w:rPr>
          <w:rFonts w:hint="cs"/>
          <w:rtl/>
        </w:rPr>
        <w:t xml:space="preserve">"ץ 1892/14 </w:t>
      </w:r>
      <w:r w:rsidRPr="00C23C30">
        <w:rPr>
          <w:rFonts w:hint="cs"/>
          <w:b/>
          <w:bCs/>
          <w:rtl/>
        </w:rPr>
        <w:t>האגודה לזכויות האזרח בישראל ואח' נ' השר לבט"פ ואח'</w:t>
      </w:r>
      <w:r>
        <w:rPr>
          <w:rFonts w:hint="cs"/>
          <w:rtl/>
        </w:rPr>
        <w:t xml:space="preserve"> (פורסם במאגר ממוחשב, 13.</w:t>
      </w:r>
      <w:r w:rsidRPr="007A521B">
        <w:rPr>
          <w:rFonts w:hint="cs"/>
          <w:rtl/>
        </w:rPr>
        <w:t xml:space="preserve">6.17). </w:t>
      </w:r>
    </w:p>
  </w:footnote>
  <w:footnote w:id="34">
    <w:p w14:paraId="5C7281AA" w14:textId="77777777" w:rsidR="004E3775" w:rsidRDefault="004E3775" w:rsidP="007A521B">
      <w:pPr>
        <w:pStyle w:val="a8"/>
        <w:rPr>
          <w:rtl/>
        </w:rPr>
      </w:pPr>
      <w:r w:rsidRPr="007A521B">
        <w:rPr>
          <w:rStyle w:val="FootnoteReference"/>
          <w:vertAlign w:val="baseline"/>
        </w:rPr>
        <w:footnoteRef/>
      </w:r>
      <w:r w:rsidRPr="007A521B">
        <w:rPr>
          <w:rtl/>
        </w:rPr>
        <w:t xml:space="preserve"> </w:t>
      </w:r>
      <w:r w:rsidRPr="007A521B">
        <w:rPr>
          <w:rtl/>
        </w:rPr>
        <w:tab/>
      </w:r>
      <w:r w:rsidRPr="00F1627B">
        <w:rPr>
          <w:rFonts w:hint="eastAsia"/>
          <w:b/>
          <w:bCs/>
          <w:rtl/>
        </w:rPr>
        <w:t>דוח</w:t>
      </w:r>
      <w:r w:rsidRPr="00F1627B">
        <w:rPr>
          <w:b/>
          <w:bCs/>
          <w:rtl/>
        </w:rPr>
        <w:t xml:space="preserve"> </w:t>
      </w:r>
      <w:r w:rsidRPr="00F1627B">
        <w:rPr>
          <w:rFonts w:hint="eastAsia"/>
          <w:b/>
          <w:bCs/>
          <w:rtl/>
        </w:rPr>
        <w:t>המבקר</w:t>
      </w:r>
      <w:r w:rsidRPr="00F1627B">
        <w:rPr>
          <w:b/>
          <w:bCs/>
          <w:rtl/>
        </w:rPr>
        <w:t xml:space="preserve"> </w:t>
      </w:r>
      <w:r w:rsidRPr="00F1627B">
        <w:rPr>
          <w:rFonts w:hint="eastAsia"/>
          <w:b/>
          <w:bCs/>
          <w:rtl/>
        </w:rPr>
        <w:t>על</w:t>
      </w:r>
      <w:r w:rsidRPr="00F1627B">
        <w:rPr>
          <w:b/>
          <w:bCs/>
          <w:rtl/>
        </w:rPr>
        <w:t xml:space="preserve"> </w:t>
      </w:r>
      <w:r w:rsidRPr="00F1627B">
        <w:rPr>
          <w:rFonts w:hint="eastAsia"/>
          <w:b/>
          <w:bCs/>
          <w:rtl/>
        </w:rPr>
        <w:t>העברת</w:t>
      </w:r>
      <w:r w:rsidRPr="00F1627B">
        <w:rPr>
          <w:b/>
          <w:bCs/>
          <w:rtl/>
        </w:rPr>
        <w:t xml:space="preserve"> </w:t>
      </w:r>
      <w:r w:rsidRPr="00F1627B">
        <w:rPr>
          <w:rFonts w:hint="eastAsia"/>
          <w:b/>
          <w:bCs/>
          <w:rtl/>
        </w:rPr>
        <w:t>הטיפול</w:t>
      </w:r>
      <w:r>
        <w:rPr>
          <w:rFonts w:hint="cs"/>
          <w:rtl/>
        </w:rPr>
        <w:t>, עמ' 379.</w:t>
      </w:r>
    </w:p>
  </w:footnote>
  <w:footnote w:id="35">
    <w:p w14:paraId="2FE53A57" w14:textId="77777777" w:rsidR="004E3775" w:rsidRPr="00926EC9" w:rsidRDefault="004E3775" w:rsidP="00926EC9">
      <w:pPr>
        <w:pStyle w:val="a8"/>
      </w:pPr>
      <w:r w:rsidRPr="00926EC9">
        <w:rPr>
          <w:rStyle w:val="FootnoteReference"/>
          <w:vertAlign w:val="baseline"/>
        </w:rPr>
        <w:footnoteRef/>
      </w:r>
      <w:r w:rsidRPr="00926EC9">
        <w:rPr>
          <w:rtl/>
        </w:rPr>
        <w:t xml:space="preserve"> </w:t>
      </w:r>
      <w:r w:rsidRPr="00926EC9">
        <w:rPr>
          <w:rtl/>
        </w:rPr>
        <w:tab/>
      </w:r>
      <w:r w:rsidRPr="00926EC9">
        <w:rPr>
          <w:rFonts w:hint="cs"/>
          <w:rtl/>
        </w:rPr>
        <w:t xml:space="preserve">מען </w:t>
      </w:r>
      <w:r w:rsidRPr="00926EC9">
        <w:rPr>
          <w:rFonts w:hint="cs"/>
          <w:rtl/>
        </w:rPr>
        <w:t xml:space="preserve">המגורים ומקום העבודה. </w:t>
      </w:r>
    </w:p>
  </w:footnote>
  <w:footnote w:id="36">
    <w:p w14:paraId="07FBDE72" w14:textId="77777777" w:rsidR="004E3775" w:rsidRPr="00926EC9" w:rsidRDefault="004E3775" w:rsidP="00926EC9">
      <w:pPr>
        <w:pStyle w:val="a8"/>
      </w:pPr>
      <w:r w:rsidRPr="00926EC9">
        <w:rPr>
          <w:rStyle w:val="FootnoteReference"/>
          <w:vertAlign w:val="baseline"/>
        </w:rPr>
        <w:footnoteRef/>
      </w:r>
      <w:r w:rsidRPr="00926EC9">
        <w:rPr>
          <w:rtl/>
        </w:rPr>
        <w:t xml:space="preserve"> </w:t>
      </w:r>
      <w:r w:rsidRPr="00926EC9">
        <w:rPr>
          <w:rtl/>
        </w:rPr>
        <w:tab/>
      </w:r>
      <w:r w:rsidRPr="00926EC9">
        <w:rPr>
          <w:rtl/>
        </w:rPr>
        <w:t xml:space="preserve">לעניין </w:t>
      </w:r>
      <w:r w:rsidRPr="00926EC9">
        <w:rPr>
          <w:rtl/>
        </w:rPr>
        <w:t>חשוד בעבירת אלימות</w:t>
      </w:r>
      <w:r w:rsidRPr="00926EC9">
        <w:rPr>
          <w:rFonts w:hint="cs"/>
          <w:rtl/>
        </w:rPr>
        <w:t xml:space="preserve"> שברשותו כלי נשק.</w:t>
      </w:r>
    </w:p>
  </w:footnote>
  <w:footnote w:id="37">
    <w:p w14:paraId="64916FC9" w14:textId="77777777" w:rsidR="004E3775" w:rsidRPr="00926EC9" w:rsidRDefault="004E3775" w:rsidP="00926EC9">
      <w:pPr>
        <w:pStyle w:val="a8"/>
        <w:rPr>
          <w:rtl/>
        </w:rPr>
      </w:pPr>
      <w:r w:rsidRPr="00926EC9">
        <w:rPr>
          <w:rStyle w:val="FootnoteReference"/>
          <w:vertAlign w:val="baseline"/>
        </w:rPr>
        <w:footnoteRef/>
      </w:r>
      <w:r w:rsidRPr="00926EC9">
        <w:rPr>
          <w:rtl/>
        </w:rPr>
        <w:t xml:space="preserve"> </w:t>
      </w:r>
      <w:r w:rsidRPr="00926EC9">
        <w:rPr>
          <w:rtl/>
        </w:rPr>
        <w:tab/>
      </w:r>
      <w:r w:rsidRPr="00926EC9">
        <w:rPr>
          <w:rFonts w:hint="cs"/>
          <w:rtl/>
        </w:rPr>
        <w:t xml:space="preserve">בהתאם </w:t>
      </w:r>
      <w:r w:rsidRPr="00926EC9">
        <w:rPr>
          <w:rFonts w:hint="cs"/>
          <w:rtl/>
        </w:rPr>
        <w:t>ל</w:t>
      </w:r>
      <w:r w:rsidRPr="00926EC9">
        <w:rPr>
          <w:rtl/>
        </w:rPr>
        <w:t>מועדים ש</w:t>
      </w:r>
      <w:r w:rsidRPr="00926EC9">
        <w:rPr>
          <w:rFonts w:hint="cs"/>
          <w:rtl/>
        </w:rPr>
        <w:t>י</w:t>
      </w:r>
      <w:r w:rsidRPr="00926EC9">
        <w:rPr>
          <w:rtl/>
        </w:rPr>
        <w:t>יקבע</w:t>
      </w:r>
      <w:r w:rsidRPr="00926EC9">
        <w:rPr>
          <w:rFonts w:hint="cs"/>
          <w:rtl/>
        </w:rPr>
        <w:t>ו.</w:t>
      </w:r>
    </w:p>
  </w:footnote>
  <w:footnote w:id="38">
    <w:p w14:paraId="3A7A70F3" w14:textId="77777777" w:rsidR="004E3775" w:rsidRPr="00926EC9" w:rsidRDefault="004E3775" w:rsidP="00926EC9">
      <w:pPr>
        <w:pStyle w:val="a8"/>
      </w:pPr>
      <w:r w:rsidRPr="00926EC9">
        <w:rPr>
          <w:rStyle w:val="FootnoteReference"/>
          <w:vertAlign w:val="baseline"/>
        </w:rPr>
        <w:footnoteRef/>
      </w:r>
      <w:r w:rsidRPr="00926EC9">
        <w:rPr>
          <w:rtl/>
        </w:rPr>
        <w:t xml:space="preserve"> </w:t>
      </w:r>
      <w:r w:rsidRPr="00926EC9">
        <w:rPr>
          <w:rtl/>
        </w:rPr>
        <w:tab/>
      </w:r>
      <w:r w:rsidRPr="00926EC9">
        <w:rPr>
          <w:rFonts w:hint="cs"/>
          <w:rtl/>
        </w:rPr>
        <w:t>כולל הפקדת דרכון.</w:t>
      </w:r>
    </w:p>
  </w:footnote>
  <w:footnote w:id="39">
    <w:p w14:paraId="064BE895" w14:textId="77777777" w:rsidR="004E3775" w:rsidRDefault="004E3775" w:rsidP="00926EC9">
      <w:pPr>
        <w:pStyle w:val="a8"/>
        <w:rPr>
          <w:rtl/>
        </w:rPr>
      </w:pPr>
      <w:r w:rsidRPr="00926EC9">
        <w:rPr>
          <w:rStyle w:val="FootnoteReference"/>
          <w:vertAlign w:val="baseline"/>
        </w:rPr>
        <w:footnoteRef/>
      </w:r>
      <w:r w:rsidRPr="00926EC9">
        <w:rPr>
          <w:rtl/>
        </w:rPr>
        <w:t xml:space="preserve"> </w:t>
      </w:r>
      <w:r w:rsidRPr="00926EC9">
        <w:rPr>
          <w:rtl/>
        </w:rPr>
        <w:tab/>
      </w:r>
      <w:r w:rsidRPr="001D4F50">
        <w:rPr>
          <w:rFonts w:hint="cs"/>
          <w:b/>
          <w:bCs/>
          <w:rtl/>
        </w:rPr>
        <w:t xml:space="preserve">סמכות </w:t>
      </w:r>
      <w:r w:rsidRPr="001D4F50">
        <w:rPr>
          <w:rFonts w:hint="cs"/>
          <w:b/>
          <w:bCs/>
          <w:rtl/>
        </w:rPr>
        <w:t>מקבילה</w:t>
      </w:r>
      <w:r>
        <w:rPr>
          <w:rFonts w:hint="cs"/>
          <w:b/>
          <w:bCs/>
          <w:rtl/>
        </w:rPr>
        <w:t>-</w:t>
      </w:r>
      <w:r w:rsidRPr="001D4F50">
        <w:rPr>
          <w:rFonts w:hint="cs"/>
          <w:b/>
          <w:bCs/>
          <w:rtl/>
        </w:rPr>
        <w:t>חלקית</w:t>
      </w:r>
      <w:r w:rsidRPr="001D4F50">
        <w:rPr>
          <w:rFonts w:hint="cs"/>
          <w:rtl/>
        </w:rPr>
        <w:t xml:space="preserve"> -</w:t>
      </w:r>
      <w:r>
        <w:rPr>
          <w:rFonts w:hint="cs"/>
          <w:rtl/>
        </w:rPr>
        <w:t xml:space="preserve"> בית המשפט והקצין הממונה מוסמכים לקבוע את התנאי, אבל בית המשפט רשאי </w:t>
      </w:r>
      <w:r w:rsidRPr="001D4F50">
        <w:rPr>
          <w:rFonts w:hint="cs"/>
          <w:rtl/>
        </w:rPr>
        <w:t>ל</w:t>
      </w:r>
      <w:r>
        <w:rPr>
          <w:rFonts w:hint="cs"/>
          <w:rtl/>
        </w:rPr>
        <w:t>קבוע את משך התנאי ל</w:t>
      </w:r>
      <w:r w:rsidRPr="001D4F50">
        <w:rPr>
          <w:rFonts w:hint="cs"/>
          <w:rtl/>
        </w:rPr>
        <w:t>תקופה ארוכה יות</w:t>
      </w:r>
      <w:r>
        <w:rPr>
          <w:rFonts w:hint="cs"/>
          <w:rtl/>
        </w:rPr>
        <w:t>ר מהתקופה שקצין רשאי להורות עליה.</w:t>
      </w:r>
    </w:p>
  </w:footnote>
  <w:footnote w:id="40">
    <w:p w14:paraId="2926487D" w14:textId="77777777" w:rsidR="004E3775" w:rsidRDefault="004E3775" w:rsidP="00926EC9">
      <w:pPr>
        <w:pStyle w:val="a8"/>
      </w:pPr>
      <w:r w:rsidRPr="00AA1E6C">
        <w:footnoteRef/>
      </w:r>
      <w:r w:rsidRPr="00AA1E6C">
        <w:rPr>
          <w:rtl/>
        </w:rPr>
        <w:t xml:space="preserve"> </w:t>
      </w:r>
      <w:r w:rsidRPr="00AA1E6C">
        <w:rPr>
          <w:rtl/>
        </w:rPr>
        <w:tab/>
      </w:r>
      <w:r w:rsidRPr="00AA1E6C">
        <w:rPr>
          <w:rtl/>
        </w:rPr>
        <w:t xml:space="preserve">לאזור, </w:t>
      </w:r>
      <w:r w:rsidRPr="00AA1E6C">
        <w:rPr>
          <w:rtl/>
        </w:rPr>
        <w:t>ל</w:t>
      </w:r>
      <w:r w:rsidRPr="00AA1E6C">
        <w:rPr>
          <w:rFonts w:hint="cs"/>
          <w:rtl/>
        </w:rPr>
        <w:t>י</w:t>
      </w:r>
      <w:r w:rsidRPr="00AA1E6C">
        <w:rPr>
          <w:rtl/>
        </w:rPr>
        <w:t>ישוב</w:t>
      </w:r>
      <w:r w:rsidRPr="00504394">
        <w:rPr>
          <w:rFonts w:ascii="Arial" w:eastAsia="Times New Roman" w:hAnsi="Arial"/>
          <w:color w:val="000000"/>
          <w:sz w:val="24"/>
          <w:rtl/>
        </w:rPr>
        <w:t xml:space="preserve"> או למקום בארץ</w:t>
      </w:r>
      <w:r>
        <w:rPr>
          <w:rFonts w:hint="cs"/>
          <w:rtl/>
        </w:rPr>
        <w:t>.</w:t>
      </w:r>
    </w:p>
  </w:footnote>
  <w:footnote w:id="41">
    <w:p w14:paraId="3CB7AB44" w14:textId="77777777" w:rsidR="004E3775" w:rsidRPr="00AA3259" w:rsidRDefault="004E3775" w:rsidP="00AA3259">
      <w:pPr>
        <w:pStyle w:val="a8"/>
      </w:pPr>
      <w:r w:rsidRPr="00AA3259">
        <w:rPr>
          <w:rStyle w:val="FootnoteReference"/>
          <w:vertAlign w:val="baseline"/>
        </w:rPr>
        <w:footnoteRef/>
      </w:r>
      <w:r w:rsidRPr="00AA3259">
        <w:rPr>
          <w:rtl/>
        </w:rPr>
        <w:t xml:space="preserve"> </w:t>
      </w:r>
      <w:r w:rsidRPr="00AA3259">
        <w:rPr>
          <w:rtl/>
        </w:rPr>
        <w:tab/>
      </w:r>
      <w:r w:rsidRPr="00AA3259">
        <w:rPr>
          <w:rFonts w:hint="cs"/>
          <w:rtl/>
        </w:rPr>
        <w:t xml:space="preserve">לרבות </w:t>
      </w:r>
      <w:r w:rsidRPr="00AA3259">
        <w:rPr>
          <w:rtl/>
        </w:rPr>
        <w:t>להיפגש עם מי שיקבע</w:t>
      </w:r>
      <w:r w:rsidRPr="00AA3259">
        <w:rPr>
          <w:rFonts w:hint="cs"/>
          <w:rtl/>
        </w:rPr>
        <w:t>.</w:t>
      </w:r>
    </w:p>
  </w:footnote>
  <w:footnote w:id="42">
    <w:p w14:paraId="6D3230F5" w14:textId="77777777" w:rsidR="004E3775" w:rsidRDefault="004E3775" w:rsidP="00AA3259">
      <w:pPr>
        <w:pStyle w:val="a8"/>
      </w:pPr>
      <w:r w:rsidRPr="00AA3259">
        <w:rPr>
          <w:rStyle w:val="FootnoteReference"/>
          <w:vertAlign w:val="baseline"/>
        </w:rPr>
        <w:footnoteRef/>
      </w:r>
      <w:r w:rsidRPr="00AA3259">
        <w:rPr>
          <w:rtl/>
        </w:rPr>
        <w:t xml:space="preserve"> </w:t>
      </w:r>
      <w:r w:rsidRPr="00AA3259">
        <w:rPr>
          <w:rtl/>
        </w:rPr>
        <w:tab/>
      </w:r>
      <w:r w:rsidRPr="00AA3259">
        <w:rPr>
          <w:rFonts w:hint="cs"/>
          <w:rtl/>
        </w:rPr>
        <w:t>לרבות</w:t>
      </w:r>
      <w:r>
        <w:rPr>
          <w:rFonts w:hint="cs"/>
          <w:rtl/>
        </w:rPr>
        <w:t xml:space="preserve"> מגורים </w:t>
      </w:r>
      <w:r w:rsidRPr="00504394">
        <w:rPr>
          <w:rtl/>
        </w:rPr>
        <w:t>באזור, בי</w:t>
      </w:r>
      <w:r>
        <w:rPr>
          <w:rFonts w:hint="cs"/>
          <w:rtl/>
        </w:rPr>
        <w:t>י</w:t>
      </w:r>
      <w:r w:rsidRPr="00504394">
        <w:rPr>
          <w:rtl/>
        </w:rPr>
        <w:t>שוב או במקום בארץ</w:t>
      </w:r>
      <w:r>
        <w:rPr>
          <w:rFonts w:hint="cs"/>
          <w:rtl/>
        </w:rPr>
        <w:t>.</w:t>
      </w:r>
    </w:p>
  </w:footnote>
  <w:footnote w:id="43">
    <w:p w14:paraId="398D1E5E" w14:textId="77777777" w:rsidR="004E3775" w:rsidRPr="006B0630" w:rsidRDefault="004E3775" w:rsidP="006B0630">
      <w:pPr>
        <w:pStyle w:val="a8"/>
      </w:pPr>
      <w:r w:rsidRPr="006B0630">
        <w:rPr>
          <w:rStyle w:val="FootnoteReference"/>
          <w:vertAlign w:val="baseline"/>
        </w:rPr>
        <w:footnoteRef/>
      </w:r>
      <w:r w:rsidRPr="006B0630">
        <w:rPr>
          <w:rtl/>
        </w:rPr>
        <w:t xml:space="preserve"> </w:t>
      </w:r>
      <w:r w:rsidRPr="006B0630">
        <w:rPr>
          <w:rtl/>
        </w:rPr>
        <w:tab/>
      </w:r>
      <w:r w:rsidRPr="006B0630">
        <w:rPr>
          <w:rtl/>
        </w:rPr>
        <w:t>במשך כל שעות היממה או חלק ממנה</w:t>
      </w:r>
      <w:r w:rsidRPr="006B0630">
        <w:rPr>
          <w:rFonts w:hint="cs"/>
          <w:rtl/>
        </w:rPr>
        <w:t>.</w:t>
      </w:r>
    </w:p>
  </w:footnote>
  <w:footnote w:id="44">
    <w:p w14:paraId="75D2BD42" w14:textId="77777777" w:rsidR="004E3775" w:rsidRPr="006B0630" w:rsidRDefault="004E3775" w:rsidP="006B0630">
      <w:pPr>
        <w:pStyle w:val="a8"/>
      </w:pPr>
      <w:r w:rsidRPr="006B0630">
        <w:rPr>
          <w:rStyle w:val="FootnoteReference"/>
          <w:vertAlign w:val="baseline"/>
        </w:rPr>
        <w:footnoteRef/>
      </w:r>
      <w:r w:rsidRPr="006B0630">
        <w:rPr>
          <w:rtl/>
        </w:rPr>
        <w:t xml:space="preserve"> </w:t>
      </w:r>
      <w:r w:rsidRPr="006B0630">
        <w:rPr>
          <w:rtl/>
        </w:rPr>
        <w:tab/>
      </w:r>
      <w:r w:rsidRPr="006B0630">
        <w:rPr>
          <w:rFonts w:hint="cs"/>
          <w:rtl/>
        </w:rPr>
        <w:t xml:space="preserve">חובה להימצא בפיקוחו של קצין מבחן </w:t>
      </w:r>
      <w:r w:rsidRPr="006B0630">
        <w:rPr>
          <w:rtl/>
        </w:rPr>
        <w:t>לאחר קבלת תסקיר מעצר.</w:t>
      </w:r>
      <w:r w:rsidRPr="006B0630">
        <w:rPr>
          <w:rFonts w:hint="cs"/>
          <w:rtl/>
        </w:rPr>
        <w:t xml:space="preserve"> </w:t>
      </w:r>
    </w:p>
  </w:footnote>
  <w:footnote w:id="45">
    <w:p w14:paraId="30B38743" w14:textId="77777777" w:rsidR="004E3775" w:rsidRPr="006B0630" w:rsidRDefault="004E3775" w:rsidP="006B0630">
      <w:pPr>
        <w:pStyle w:val="a8"/>
      </w:pPr>
      <w:r w:rsidRPr="006B0630">
        <w:rPr>
          <w:rStyle w:val="FootnoteReference"/>
          <w:vertAlign w:val="baseline"/>
        </w:rPr>
        <w:footnoteRef/>
      </w:r>
      <w:r w:rsidRPr="006B0630">
        <w:rPr>
          <w:rtl/>
        </w:rPr>
        <w:t xml:space="preserve"> </w:t>
      </w:r>
      <w:r w:rsidRPr="006B0630">
        <w:rPr>
          <w:rtl/>
        </w:rPr>
        <w:tab/>
      </w:r>
      <w:r w:rsidRPr="006B0630">
        <w:rPr>
          <w:rtl/>
        </w:rPr>
        <w:t xml:space="preserve">ובלבד </w:t>
      </w:r>
      <w:r w:rsidRPr="006B0630">
        <w:rPr>
          <w:rtl/>
        </w:rPr>
        <w:t>שהטיפול אושר על ידי קצין מבחן</w:t>
      </w:r>
      <w:r w:rsidRPr="006B0630">
        <w:rPr>
          <w:rFonts w:hint="cs"/>
          <w:rtl/>
        </w:rPr>
        <w:t>.</w:t>
      </w:r>
    </w:p>
  </w:footnote>
  <w:footnote w:id="46">
    <w:p w14:paraId="7258D999" w14:textId="77777777" w:rsidR="004E3775" w:rsidRDefault="004E3775" w:rsidP="006B0630">
      <w:pPr>
        <w:pStyle w:val="a8"/>
        <w:rPr>
          <w:rtl/>
        </w:rPr>
      </w:pPr>
      <w:r w:rsidRPr="006B0630">
        <w:rPr>
          <w:rStyle w:val="FootnoteReference"/>
          <w:vertAlign w:val="baseline"/>
        </w:rPr>
        <w:footnoteRef/>
      </w:r>
      <w:r w:rsidRPr="006B0630">
        <w:rPr>
          <w:rtl/>
        </w:rPr>
        <w:t xml:space="preserve"> </w:t>
      </w:r>
      <w:r w:rsidRPr="006B0630">
        <w:rPr>
          <w:rtl/>
        </w:rPr>
        <w:tab/>
      </w:r>
      <w:r w:rsidRPr="006B0630">
        <w:rPr>
          <w:rtl/>
        </w:rPr>
        <w:t>חובה</w:t>
      </w:r>
      <w:r w:rsidRPr="001C0A74">
        <w:rPr>
          <w:rtl/>
        </w:rPr>
        <w:t xml:space="preserve"> להתייצב לבדיקה פסיכיאטרית</w:t>
      </w:r>
      <w:r>
        <w:rPr>
          <w:rFonts w:hint="cs"/>
          <w:rtl/>
        </w:rPr>
        <w:t>.</w:t>
      </w:r>
      <w:r w:rsidRPr="001C0A74">
        <w:rPr>
          <w:rtl/>
        </w:rPr>
        <w:t xml:space="preserve"> אם </w:t>
      </w:r>
      <w:r w:rsidRPr="001C0A74">
        <w:rPr>
          <w:rFonts w:hint="eastAsia"/>
          <w:rtl/>
        </w:rPr>
        <w:t>העצור</w:t>
      </w:r>
      <w:r w:rsidRPr="001C0A74">
        <w:rPr>
          <w:rFonts w:hint="cs"/>
          <w:rtl/>
        </w:rPr>
        <w:t xml:space="preserve"> </w:t>
      </w:r>
      <w:r w:rsidRPr="001C0A74">
        <w:rPr>
          <w:rtl/>
        </w:rPr>
        <w:t xml:space="preserve">הסכים לכך </w:t>
      </w:r>
      <w:r>
        <w:rPr>
          <w:rFonts w:hint="cs"/>
          <w:rtl/>
        </w:rPr>
        <w:t xml:space="preserve">ניתן גם </w:t>
      </w:r>
      <w:r>
        <w:rPr>
          <w:rtl/>
        </w:rPr>
        <w:t>לקבל טיפול</w:t>
      </w:r>
      <w:r>
        <w:rPr>
          <w:rFonts w:hint="cs"/>
          <w:rtl/>
        </w:rPr>
        <w:t xml:space="preserve"> במקום שייקבע.</w:t>
      </w:r>
    </w:p>
  </w:footnote>
  <w:footnote w:id="47">
    <w:p w14:paraId="55A0AEA1" w14:textId="77777777" w:rsidR="004E3775" w:rsidRDefault="004E3775" w:rsidP="00547C0F">
      <w:pPr>
        <w:pStyle w:val="a8"/>
        <w:rPr>
          <w:rtl/>
        </w:rPr>
      </w:pPr>
      <w:r w:rsidRPr="00547C0F">
        <w:footnoteRef/>
      </w:r>
      <w:r w:rsidRPr="00547C0F">
        <w:rPr>
          <w:rtl/>
        </w:rPr>
        <w:t xml:space="preserve"> </w:t>
      </w:r>
      <w:r w:rsidRPr="00547C0F">
        <w:rPr>
          <w:rtl/>
        </w:rPr>
        <w:tab/>
      </w:r>
      <w:r w:rsidRPr="00F1627B">
        <w:rPr>
          <w:rFonts w:hint="eastAsia"/>
          <w:b/>
          <w:bCs/>
          <w:rtl/>
        </w:rPr>
        <w:t>דוח</w:t>
      </w:r>
      <w:r w:rsidRPr="00F1627B">
        <w:rPr>
          <w:b/>
          <w:bCs/>
          <w:rtl/>
        </w:rPr>
        <w:t xml:space="preserve"> </w:t>
      </w:r>
      <w:r w:rsidRPr="00F1627B">
        <w:rPr>
          <w:rFonts w:hint="eastAsia"/>
          <w:b/>
          <w:bCs/>
          <w:rtl/>
        </w:rPr>
        <w:t>המבקר</w:t>
      </w:r>
      <w:r w:rsidRPr="00F1627B">
        <w:rPr>
          <w:b/>
          <w:bCs/>
          <w:rtl/>
        </w:rPr>
        <w:t xml:space="preserve"> </w:t>
      </w:r>
      <w:r w:rsidRPr="00F1627B">
        <w:rPr>
          <w:rFonts w:hint="eastAsia"/>
          <w:b/>
          <w:bCs/>
          <w:rtl/>
        </w:rPr>
        <w:t>על</w:t>
      </w:r>
      <w:r w:rsidRPr="00F1627B">
        <w:rPr>
          <w:b/>
          <w:bCs/>
          <w:rtl/>
        </w:rPr>
        <w:t xml:space="preserve"> </w:t>
      </w:r>
      <w:r w:rsidRPr="00F1627B">
        <w:rPr>
          <w:rFonts w:hint="eastAsia"/>
          <w:b/>
          <w:bCs/>
          <w:rtl/>
        </w:rPr>
        <w:t>העברת</w:t>
      </w:r>
      <w:r w:rsidRPr="00F1627B">
        <w:rPr>
          <w:b/>
          <w:bCs/>
          <w:rtl/>
        </w:rPr>
        <w:t xml:space="preserve"> </w:t>
      </w:r>
      <w:r w:rsidRPr="00F1627B">
        <w:rPr>
          <w:rFonts w:hint="eastAsia"/>
          <w:b/>
          <w:bCs/>
          <w:rtl/>
        </w:rPr>
        <w:t>הטיפול</w:t>
      </w:r>
      <w:r>
        <w:rPr>
          <w:rFonts w:hint="cs"/>
          <w:rtl/>
        </w:rPr>
        <w:t xml:space="preserve">, עמ' 380. הנושא עלה גם בדיון בוועדת הפנים והגנת הסביבה של הכנסת בנושא "מעצרי לילה מיותרים של נחקרים", 29.5.13, 8.7.13. </w:t>
      </w:r>
    </w:p>
  </w:footnote>
  <w:footnote w:id="48">
    <w:p w14:paraId="10582DA2" w14:textId="77777777" w:rsidR="004E3775" w:rsidRPr="00FE6955" w:rsidRDefault="004E3775" w:rsidP="00951EFA">
      <w:pPr>
        <w:pStyle w:val="a8"/>
      </w:pPr>
      <w:r w:rsidRPr="00951EFA">
        <w:footnoteRef/>
      </w:r>
      <w:r w:rsidRPr="00951EFA">
        <w:rPr>
          <w:rtl/>
        </w:rPr>
        <w:t xml:space="preserve"> </w:t>
      </w:r>
      <w:r w:rsidRPr="00951EFA">
        <w:rPr>
          <w:rtl/>
        </w:rPr>
        <w:tab/>
      </w:r>
      <w:r w:rsidRPr="00951EFA">
        <w:rPr>
          <w:rFonts w:hint="eastAsia"/>
          <w:rtl/>
        </w:rPr>
        <w:t>סוג</w:t>
      </w:r>
      <w:r w:rsidRPr="00951EFA">
        <w:rPr>
          <w:rtl/>
        </w:rPr>
        <w:t xml:space="preserve"> </w:t>
      </w:r>
      <w:r w:rsidRPr="00951EFA">
        <w:rPr>
          <w:rFonts w:hint="eastAsia"/>
          <w:rtl/>
        </w:rPr>
        <w:t>התנאי</w:t>
      </w:r>
      <w:r w:rsidRPr="00170D71">
        <w:rPr>
          <w:rtl/>
        </w:rPr>
        <w:t xml:space="preserve"> </w:t>
      </w:r>
      <w:r w:rsidRPr="00170D71">
        <w:rPr>
          <w:rFonts w:hint="eastAsia"/>
          <w:rtl/>
        </w:rPr>
        <w:t>מצוי</w:t>
      </w:r>
      <w:r w:rsidRPr="00170D71">
        <w:rPr>
          <w:rtl/>
        </w:rPr>
        <w:t xml:space="preserve"> </w:t>
      </w:r>
      <w:r w:rsidRPr="00170D71">
        <w:rPr>
          <w:rFonts w:hint="eastAsia"/>
          <w:rtl/>
        </w:rPr>
        <w:t>בסמכות</w:t>
      </w:r>
      <w:r w:rsidRPr="00170D71">
        <w:rPr>
          <w:rtl/>
        </w:rPr>
        <w:t xml:space="preserve"> </w:t>
      </w:r>
      <w:r w:rsidRPr="00170D71">
        <w:rPr>
          <w:rFonts w:hint="eastAsia"/>
          <w:rtl/>
        </w:rPr>
        <w:t>קצין</w:t>
      </w:r>
      <w:r w:rsidRPr="00170D71">
        <w:rPr>
          <w:rtl/>
        </w:rPr>
        <w:t xml:space="preserve"> </w:t>
      </w:r>
      <w:r w:rsidRPr="00170D71">
        <w:rPr>
          <w:rFonts w:hint="eastAsia"/>
          <w:rtl/>
        </w:rPr>
        <w:t>ממונה</w:t>
      </w:r>
      <w:r>
        <w:rPr>
          <w:rFonts w:hint="cs"/>
          <w:rtl/>
        </w:rPr>
        <w:t>,</w:t>
      </w:r>
      <w:r w:rsidRPr="00170D71">
        <w:rPr>
          <w:rtl/>
        </w:rPr>
        <w:t xml:space="preserve"> </w:t>
      </w:r>
      <w:r w:rsidRPr="00170D71">
        <w:rPr>
          <w:rFonts w:hint="eastAsia"/>
          <w:rtl/>
        </w:rPr>
        <w:t>אבל</w:t>
      </w:r>
      <w:r w:rsidRPr="00170D71">
        <w:rPr>
          <w:rtl/>
        </w:rPr>
        <w:t xml:space="preserve"> </w:t>
      </w:r>
      <w:r w:rsidRPr="00170D71">
        <w:rPr>
          <w:rFonts w:hint="eastAsia"/>
          <w:rtl/>
        </w:rPr>
        <w:t>תקופת</w:t>
      </w:r>
      <w:r w:rsidRPr="00170D71">
        <w:rPr>
          <w:rtl/>
        </w:rPr>
        <w:t xml:space="preserve"> </w:t>
      </w:r>
      <w:r w:rsidRPr="00170D71">
        <w:rPr>
          <w:rFonts w:hint="eastAsia"/>
          <w:rtl/>
        </w:rPr>
        <w:t>התנאי</w:t>
      </w:r>
      <w:r w:rsidRPr="00170D71">
        <w:rPr>
          <w:rtl/>
        </w:rPr>
        <w:t xml:space="preserve"> </w:t>
      </w:r>
      <w:r w:rsidRPr="00170D71">
        <w:rPr>
          <w:rFonts w:hint="eastAsia"/>
          <w:rtl/>
        </w:rPr>
        <w:t>ארוכה</w:t>
      </w:r>
      <w:r w:rsidRPr="00170D71">
        <w:rPr>
          <w:rtl/>
        </w:rPr>
        <w:t xml:space="preserve"> </w:t>
      </w:r>
      <w:r w:rsidRPr="00170D71">
        <w:rPr>
          <w:rFonts w:hint="eastAsia"/>
          <w:rtl/>
        </w:rPr>
        <w:t>מהתקופה</w:t>
      </w:r>
      <w:r w:rsidRPr="00170D71">
        <w:rPr>
          <w:rtl/>
        </w:rPr>
        <w:t xml:space="preserve"> </w:t>
      </w:r>
      <w:r w:rsidRPr="00170D71">
        <w:rPr>
          <w:rFonts w:hint="eastAsia"/>
          <w:rtl/>
        </w:rPr>
        <w:t>שקצין</w:t>
      </w:r>
      <w:r w:rsidRPr="00170D71">
        <w:rPr>
          <w:rtl/>
        </w:rPr>
        <w:t xml:space="preserve"> </w:t>
      </w:r>
      <w:r w:rsidRPr="00170D71">
        <w:rPr>
          <w:rFonts w:hint="eastAsia"/>
          <w:rtl/>
        </w:rPr>
        <w:t>רשאי</w:t>
      </w:r>
      <w:r w:rsidRPr="00170D71">
        <w:rPr>
          <w:rtl/>
        </w:rPr>
        <w:t xml:space="preserve"> </w:t>
      </w:r>
      <w:r w:rsidRPr="00170D71">
        <w:rPr>
          <w:rFonts w:hint="eastAsia"/>
          <w:rtl/>
        </w:rPr>
        <w:t>להורות</w:t>
      </w:r>
      <w:r w:rsidRPr="00170D71">
        <w:rPr>
          <w:rtl/>
        </w:rPr>
        <w:t xml:space="preserve"> </w:t>
      </w:r>
      <w:r w:rsidRPr="00170D71">
        <w:rPr>
          <w:rFonts w:hint="eastAsia"/>
          <w:rtl/>
        </w:rPr>
        <w:t>עלי</w:t>
      </w:r>
      <w:r>
        <w:rPr>
          <w:rFonts w:hint="cs"/>
          <w:rtl/>
        </w:rPr>
        <w:t>ה</w:t>
      </w:r>
      <w:r w:rsidRPr="00170D71">
        <w:rPr>
          <w:rtl/>
        </w:rPr>
        <w:t>.</w:t>
      </w:r>
    </w:p>
  </w:footnote>
  <w:footnote w:id="49">
    <w:p w14:paraId="21DB5CD8" w14:textId="77777777" w:rsidR="004E3775" w:rsidRPr="007F53B3" w:rsidRDefault="004E3775" w:rsidP="007F53B3">
      <w:pPr>
        <w:pStyle w:val="a8"/>
        <w:rPr>
          <w:rtl/>
        </w:rPr>
      </w:pPr>
      <w:r w:rsidRPr="007F53B3">
        <w:rPr>
          <w:rStyle w:val="FootnoteReference"/>
          <w:vertAlign w:val="baseline"/>
        </w:rPr>
        <w:footnoteRef/>
      </w:r>
      <w:r w:rsidRPr="007F53B3">
        <w:rPr>
          <w:rtl/>
        </w:rPr>
        <w:t xml:space="preserve"> </w:t>
      </w:r>
      <w:r w:rsidRPr="007F53B3">
        <w:rPr>
          <w:rtl/>
        </w:rPr>
        <w:tab/>
      </w:r>
      <w:r w:rsidRPr="007F53B3">
        <w:rPr>
          <w:rFonts w:hint="cs"/>
          <w:rtl/>
        </w:rPr>
        <w:t xml:space="preserve">כלומר, הפקדת כסף מזומן בתחנת המשטרה. </w:t>
      </w:r>
    </w:p>
  </w:footnote>
  <w:footnote w:id="50">
    <w:p w14:paraId="77859EC3" w14:textId="77777777" w:rsidR="004E3775" w:rsidRPr="007F53B3" w:rsidRDefault="004E3775" w:rsidP="007F53B3">
      <w:pPr>
        <w:pStyle w:val="a8"/>
      </w:pPr>
      <w:r w:rsidRPr="007F53B3">
        <w:rPr>
          <w:rStyle w:val="FootnoteReference"/>
          <w:vertAlign w:val="baseline"/>
        </w:rPr>
        <w:footnoteRef/>
      </w:r>
      <w:r w:rsidRPr="007F53B3">
        <w:rPr>
          <w:rtl/>
        </w:rPr>
        <w:t xml:space="preserve"> </w:t>
      </w:r>
      <w:r w:rsidRPr="007F53B3">
        <w:rPr>
          <w:rtl/>
        </w:rPr>
        <w:tab/>
      </w:r>
      <w:r w:rsidRPr="007F53B3">
        <w:rPr>
          <w:rFonts w:hint="cs"/>
          <w:rtl/>
        </w:rPr>
        <w:t xml:space="preserve">כלומר, חתימה על התחייבות. </w:t>
      </w:r>
    </w:p>
  </w:footnote>
  <w:footnote w:id="51">
    <w:p w14:paraId="5C2885F1" w14:textId="77777777" w:rsidR="004E3775" w:rsidRPr="007F53B3" w:rsidRDefault="004E3775" w:rsidP="007F53B3">
      <w:pPr>
        <w:pStyle w:val="a8"/>
      </w:pPr>
      <w:r w:rsidRPr="007F53B3">
        <w:rPr>
          <w:rStyle w:val="FootnoteReference"/>
          <w:vertAlign w:val="baseline"/>
        </w:rPr>
        <w:footnoteRef/>
      </w:r>
      <w:r w:rsidRPr="007F53B3">
        <w:rPr>
          <w:rtl/>
        </w:rPr>
        <w:t xml:space="preserve"> </w:t>
      </w:r>
      <w:r w:rsidRPr="007F53B3">
        <w:rPr>
          <w:rtl/>
        </w:rPr>
        <w:tab/>
      </w:r>
      <w:r w:rsidRPr="007F53B3">
        <w:rPr>
          <w:rFonts w:hint="cs"/>
          <w:rtl/>
        </w:rPr>
        <w:t xml:space="preserve">גם </w:t>
      </w:r>
      <w:r w:rsidRPr="007F53B3">
        <w:rPr>
          <w:rFonts w:hint="cs"/>
          <w:rtl/>
        </w:rPr>
        <w:t xml:space="preserve">הכספים המשולמים בהנהלת בתי המשפט מופקדים בחשבון החשב הכללי בבנק ישראל. </w:t>
      </w:r>
    </w:p>
  </w:footnote>
  <w:footnote w:id="52">
    <w:p w14:paraId="19A745FF" w14:textId="77777777" w:rsidR="004E3775" w:rsidRDefault="004E3775" w:rsidP="007F53B3">
      <w:pPr>
        <w:pStyle w:val="a8"/>
        <w:rPr>
          <w:rtl/>
        </w:rPr>
      </w:pPr>
      <w:r w:rsidRPr="007F53B3">
        <w:rPr>
          <w:rStyle w:val="FootnoteReference"/>
          <w:vertAlign w:val="baseline"/>
        </w:rPr>
        <w:footnoteRef/>
      </w:r>
      <w:r w:rsidRPr="007F53B3">
        <w:rPr>
          <w:rtl/>
        </w:rPr>
        <w:t xml:space="preserve"> </w:t>
      </w:r>
      <w:r w:rsidRPr="007F53B3">
        <w:rPr>
          <w:rtl/>
        </w:rPr>
        <w:tab/>
      </w:r>
      <w:r w:rsidRPr="007F53B3">
        <w:rPr>
          <w:rFonts w:hint="cs"/>
          <w:rtl/>
        </w:rPr>
        <w:t xml:space="preserve">כפוף </w:t>
      </w:r>
      <w:r w:rsidRPr="007F53B3">
        <w:rPr>
          <w:rFonts w:hint="cs"/>
          <w:rtl/>
        </w:rPr>
        <w:t>להזנת</w:t>
      </w:r>
      <w:r>
        <w:rPr>
          <w:rFonts w:hint="cs"/>
          <w:rtl/>
        </w:rPr>
        <w:t xml:space="preserve"> מספר תעודת זהות ומספר כתב הערובה ב"מערכת לבירור החזרים כספיים" באתר המשטרה. </w:t>
      </w:r>
    </w:p>
  </w:footnote>
  <w:footnote w:id="53">
    <w:p w14:paraId="11E827F5" w14:textId="77777777" w:rsidR="004E3775" w:rsidRDefault="004E3775" w:rsidP="002B6FB4">
      <w:pPr>
        <w:pStyle w:val="a8"/>
        <w:rPr>
          <w:rtl/>
        </w:rPr>
      </w:pPr>
      <w:r w:rsidRPr="00F11F70">
        <w:footnoteRef/>
      </w:r>
      <w:r w:rsidRPr="00F11F70">
        <w:rPr>
          <w:rtl/>
        </w:rPr>
        <w:t xml:space="preserve"> </w:t>
      </w:r>
      <w:r w:rsidRPr="00F11F70">
        <w:rPr>
          <w:rtl/>
        </w:rPr>
        <w:tab/>
      </w:r>
      <w:r w:rsidRPr="00F11F70">
        <w:rPr>
          <w:rFonts w:hint="cs"/>
          <w:rtl/>
        </w:rPr>
        <w:t>ההחזרים</w:t>
      </w:r>
      <w:r>
        <w:rPr>
          <w:rFonts w:hint="cs"/>
          <w:rtl/>
        </w:rPr>
        <w:t xml:space="preserve"> </w:t>
      </w:r>
      <w:r>
        <w:rPr>
          <w:rFonts w:hint="cs"/>
          <w:rtl/>
        </w:rPr>
        <w:t xml:space="preserve">בשנה נתונה אינם בהכרח מתוך הכספים שהתקבלו באותה השנה. </w:t>
      </w:r>
    </w:p>
  </w:footnote>
  <w:footnote w:id="54">
    <w:p w14:paraId="286CFAE4" w14:textId="77777777" w:rsidR="004E3775" w:rsidRPr="00F11F70" w:rsidRDefault="004E3775" w:rsidP="00F11F70">
      <w:pPr>
        <w:pStyle w:val="a8"/>
      </w:pPr>
      <w:r w:rsidRPr="00F11F70">
        <w:rPr>
          <w:rStyle w:val="FootnoteReference"/>
          <w:vertAlign w:val="baseline"/>
        </w:rPr>
        <w:footnoteRef/>
      </w:r>
      <w:r w:rsidRPr="00F11F70">
        <w:rPr>
          <w:rtl/>
        </w:rPr>
        <w:t xml:space="preserve"> </w:t>
      </w:r>
      <w:r w:rsidRPr="00F11F70">
        <w:rPr>
          <w:rtl/>
        </w:rPr>
        <w:tab/>
      </w:r>
      <w:r w:rsidRPr="00F11F70">
        <w:rPr>
          <w:rFonts w:hint="cs"/>
          <w:rtl/>
        </w:rPr>
        <w:t xml:space="preserve">יצוין </w:t>
      </w:r>
      <w:r w:rsidRPr="00F11F70">
        <w:rPr>
          <w:rFonts w:hint="cs"/>
          <w:rtl/>
        </w:rPr>
        <w:t xml:space="preserve">שעל גבי השובר מופיעה הודעה בדבר הזכות לקבלת הכספים בחלוף 180 יום בתנאים המתאימים. </w:t>
      </w:r>
    </w:p>
  </w:footnote>
  <w:footnote w:id="55">
    <w:p w14:paraId="77E1BF10" w14:textId="77777777" w:rsidR="004E3775" w:rsidRDefault="004E3775" w:rsidP="00F11F70">
      <w:pPr>
        <w:pStyle w:val="a8"/>
      </w:pPr>
      <w:r w:rsidRPr="00F11F70">
        <w:rPr>
          <w:rStyle w:val="FootnoteReference"/>
          <w:vertAlign w:val="baseline"/>
        </w:rPr>
        <w:footnoteRef/>
      </w:r>
      <w:r w:rsidRPr="00F11F70">
        <w:rPr>
          <w:rtl/>
        </w:rPr>
        <w:t xml:space="preserve"> </w:t>
      </w:r>
      <w:r w:rsidRPr="00F11F70">
        <w:rPr>
          <w:rtl/>
        </w:rPr>
        <w:tab/>
      </w:r>
      <w:r w:rsidRPr="00F11F70">
        <w:rPr>
          <w:rFonts w:hint="cs"/>
          <w:rtl/>
        </w:rPr>
        <w:t>תשובת</w:t>
      </w:r>
      <w:r>
        <w:rPr>
          <w:rFonts w:hint="cs"/>
          <w:rtl/>
        </w:rPr>
        <w:t xml:space="preserve"> </w:t>
      </w:r>
      <w:r>
        <w:rPr>
          <w:rFonts w:hint="cs"/>
          <w:rtl/>
        </w:rPr>
        <w:t xml:space="preserve">הנהלת בתי המשפט מינואר 2020. </w:t>
      </w:r>
    </w:p>
  </w:footnote>
  <w:footnote w:id="56">
    <w:p w14:paraId="2A6BB888" w14:textId="77777777" w:rsidR="004E3775" w:rsidRPr="00F11F70" w:rsidRDefault="004E3775" w:rsidP="00F11F70">
      <w:pPr>
        <w:pStyle w:val="a8"/>
        <w:rPr>
          <w:rtl/>
        </w:rPr>
      </w:pPr>
      <w:r w:rsidRPr="00F11F70">
        <w:rPr>
          <w:rStyle w:val="FootnoteReference"/>
          <w:vertAlign w:val="baseline"/>
        </w:rPr>
        <w:footnoteRef/>
      </w:r>
      <w:r w:rsidRPr="00F11F70">
        <w:rPr>
          <w:rtl/>
        </w:rPr>
        <w:t xml:space="preserve"> </w:t>
      </w:r>
      <w:r w:rsidRPr="00F11F70">
        <w:rPr>
          <w:rtl/>
        </w:rPr>
        <w:tab/>
      </w:r>
      <w:r w:rsidRPr="00F11F70">
        <w:rPr>
          <w:rFonts w:hint="cs"/>
          <w:rtl/>
        </w:rPr>
        <w:t xml:space="preserve">לדברי </w:t>
      </w:r>
      <w:r w:rsidRPr="00F11F70">
        <w:rPr>
          <w:rFonts w:hint="cs"/>
          <w:rtl/>
        </w:rPr>
        <w:t xml:space="preserve">הנהלת בתי המשפט, ישנם מצבים נוספים: זכאים שכספיהם עוקלו ולא ניתן להשיבם, זכאים שסירבו לקבל את הכספים למרות פניות של מזכירויות בתי המשפט, נפטרים שאין להם עיזבון או שהעיזבון לא אותר, יתרת פיקדון של פחות מ-50 ש"ח ללא חשבון בנק ועוד. </w:t>
      </w:r>
    </w:p>
  </w:footnote>
  <w:footnote w:id="57">
    <w:p w14:paraId="01930CA8" w14:textId="77777777" w:rsidR="004E3775" w:rsidRPr="00F11F70" w:rsidRDefault="004E3775" w:rsidP="00F11F70">
      <w:pPr>
        <w:pStyle w:val="a8"/>
        <w:rPr>
          <w:rtl/>
        </w:rPr>
      </w:pPr>
      <w:r w:rsidRPr="00F11F70">
        <w:rPr>
          <w:rStyle w:val="FootnoteReference"/>
          <w:vertAlign w:val="baseline"/>
        </w:rPr>
        <w:footnoteRef/>
      </w:r>
      <w:r w:rsidRPr="00F11F70">
        <w:rPr>
          <w:rtl/>
        </w:rPr>
        <w:t xml:space="preserve"> </w:t>
      </w:r>
      <w:r w:rsidRPr="00F11F70">
        <w:rPr>
          <w:rtl/>
        </w:rPr>
        <w:tab/>
      </w:r>
      <w:r w:rsidRPr="00F11F70">
        <w:rPr>
          <w:rFonts w:hint="cs"/>
          <w:rtl/>
        </w:rPr>
        <w:t xml:space="preserve">סכומים אלו אינם כוללים כ-4,000 תיקים שבהם מדובר בפיקדונות מכלל סוגי ההליכים (אזרחי ופלילי) בסכומים שעד 50 ש"ח, המגיעים לסכום כולל של 37,241 ש"ח. </w:t>
      </w:r>
    </w:p>
  </w:footnote>
  <w:footnote w:id="58">
    <w:p w14:paraId="015934F2" w14:textId="77777777" w:rsidR="004E3775" w:rsidRDefault="004E3775" w:rsidP="00F11F70">
      <w:pPr>
        <w:pStyle w:val="a8"/>
        <w:rPr>
          <w:rtl/>
        </w:rPr>
      </w:pPr>
      <w:r w:rsidRPr="00F11F70">
        <w:rPr>
          <w:rStyle w:val="FootnoteReference"/>
          <w:vertAlign w:val="baseline"/>
        </w:rPr>
        <w:footnoteRef/>
      </w:r>
      <w:r w:rsidRPr="00F11F70">
        <w:rPr>
          <w:rtl/>
        </w:rPr>
        <w:t xml:space="preserve"> </w:t>
      </w:r>
      <w:r w:rsidRPr="00F11F70">
        <w:rPr>
          <w:rtl/>
        </w:rPr>
        <w:tab/>
      </w:r>
      <w:r w:rsidRPr="00F11F70">
        <w:rPr>
          <w:rFonts w:hint="cs"/>
          <w:rtl/>
        </w:rPr>
        <w:t>מתוכם</w:t>
      </w:r>
      <w:r>
        <w:rPr>
          <w:rFonts w:hint="cs"/>
          <w:rtl/>
        </w:rPr>
        <w:t xml:space="preserve"> </w:t>
      </w:r>
      <w:r>
        <w:rPr>
          <w:rFonts w:hint="cs"/>
          <w:rtl/>
        </w:rPr>
        <w:t xml:space="preserve">ב-6,338 תיקים היו 29 מיליון ש"ח שטרם הגיע מועד ההחזר שלהם, שכן טרם חלפו 180 יום. </w:t>
      </w:r>
    </w:p>
  </w:footnote>
  <w:footnote w:id="59">
    <w:p w14:paraId="5650C5F6" w14:textId="77777777" w:rsidR="004E3775" w:rsidRDefault="004E3775" w:rsidP="00477F44">
      <w:pPr>
        <w:pStyle w:val="a8"/>
      </w:pPr>
      <w:r w:rsidRPr="00477F44">
        <w:footnoteRef/>
      </w:r>
      <w:r w:rsidRPr="00477F44">
        <w:rPr>
          <w:rtl/>
        </w:rPr>
        <w:t xml:space="preserve"> </w:t>
      </w:r>
      <w:r w:rsidRPr="00477F44">
        <w:rPr>
          <w:rtl/>
        </w:rPr>
        <w:tab/>
      </w:r>
      <w:r w:rsidRPr="00477F44">
        <w:rPr>
          <w:rFonts w:hint="cs"/>
          <w:rtl/>
        </w:rPr>
        <w:t xml:space="preserve">חוק </w:t>
      </w:r>
      <w:r w:rsidRPr="00477F44">
        <w:rPr>
          <w:rFonts w:hint="cs"/>
          <w:rtl/>
        </w:rPr>
        <w:t>האפוטרופוס</w:t>
      </w:r>
      <w:r>
        <w:rPr>
          <w:rFonts w:hint="cs"/>
          <w:rtl/>
        </w:rPr>
        <w:t xml:space="preserve"> הכללי, התשל"ח-1978, מגדיר </w:t>
      </w:r>
      <w:r w:rsidRPr="00381200">
        <w:rPr>
          <w:rFonts w:hint="cs"/>
          <w:rtl/>
        </w:rPr>
        <w:t>"</w:t>
      </w:r>
      <w:r w:rsidRPr="00381200">
        <w:rPr>
          <w:rtl/>
        </w:rPr>
        <w:t>נכס עזוב</w:t>
      </w:r>
      <w:r w:rsidRPr="00381200">
        <w:rPr>
          <w:rFonts w:hint="cs"/>
          <w:rtl/>
        </w:rPr>
        <w:t xml:space="preserve">" </w:t>
      </w:r>
      <w:r>
        <w:rPr>
          <w:rFonts w:hint="cs"/>
          <w:rtl/>
        </w:rPr>
        <w:t>כ</w:t>
      </w:r>
      <w:r w:rsidRPr="00C77779">
        <w:rPr>
          <w:rtl/>
        </w:rPr>
        <w:t>נכס ש</w:t>
      </w:r>
      <w:r>
        <w:rPr>
          <w:rFonts w:hint="cs"/>
          <w:rtl/>
        </w:rPr>
        <w:t>"</w:t>
      </w:r>
      <w:r w:rsidRPr="00C77779">
        <w:rPr>
          <w:rtl/>
        </w:rPr>
        <w:t>לא נמצא גורם שרשאי ומסוגל לנהוג בו מנהג בעלים</w:t>
      </w:r>
      <w:r>
        <w:rPr>
          <w:rFonts w:hint="cs"/>
          <w:rtl/>
        </w:rPr>
        <w:t xml:space="preserve"> או לנהלו, או שבעלו אינו ידוע" וכי "הנכס נמצא בארץ, ובנכס של אזרח ישראלי, של תושב ישראל או של תאגיד הרשום בישראל או שהוקם בה - גם נכס שנמצא בחוץ לארץ".</w:t>
      </w:r>
    </w:p>
  </w:footnote>
  <w:footnote w:id="60">
    <w:p w14:paraId="73C74D7C" w14:textId="77777777" w:rsidR="004E3775" w:rsidRDefault="004E3775" w:rsidP="00477F44">
      <w:pPr>
        <w:pStyle w:val="a8"/>
      </w:pPr>
      <w:r w:rsidRPr="00477F44">
        <w:footnoteRef/>
      </w:r>
      <w:r w:rsidRPr="00477F44">
        <w:rPr>
          <w:rtl/>
        </w:rPr>
        <w:t xml:space="preserve"> </w:t>
      </w:r>
      <w:r w:rsidRPr="00477F44">
        <w:rPr>
          <w:rtl/>
        </w:rPr>
        <w:tab/>
      </w:r>
      <w:r w:rsidRPr="00477F44">
        <w:rPr>
          <w:rFonts w:hint="cs"/>
          <w:rtl/>
        </w:rPr>
        <w:t xml:space="preserve">למשל, </w:t>
      </w:r>
      <w:r w:rsidRPr="00477F44">
        <w:rPr>
          <w:rFonts w:hint="cs"/>
          <w:rtl/>
        </w:rPr>
        <w:t>כך על</w:t>
      </w:r>
      <w:r>
        <w:rPr>
          <w:rFonts w:hint="cs"/>
          <w:rtl/>
        </w:rPr>
        <w:t xml:space="preserve"> פי תגובת המשטרה, אם לא מדובר בישראלים או בפלסטינים בעלי תעודת זהות. </w:t>
      </w:r>
    </w:p>
  </w:footnote>
  <w:footnote w:id="61">
    <w:p w14:paraId="3FF47AD8" w14:textId="77777777" w:rsidR="004E3775" w:rsidRPr="00891183" w:rsidRDefault="004E3775" w:rsidP="00477F44">
      <w:pPr>
        <w:pStyle w:val="a8"/>
      </w:pPr>
      <w:r w:rsidRPr="00477F44">
        <w:footnoteRef/>
      </w:r>
      <w:r w:rsidRPr="00477F44">
        <w:rPr>
          <w:rtl/>
        </w:rPr>
        <w:t xml:space="preserve"> </w:t>
      </w:r>
      <w:r w:rsidRPr="00477F44">
        <w:rPr>
          <w:rtl/>
        </w:rPr>
        <w:tab/>
      </w:r>
      <w:r w:rsidRPr="00477F44">
        <w:rPr>
          <w:rtl/>
        </w:rPr>
        <w:t xml:space="preserve">בנושא </w:t>
      </w:r>
      <w:r w:rsidRPr="00477F44">
        <w:rPr>
          <w:rtl/>
        </w:rPr>
        <w:t>"</w:t>
      </w:r>
      <w:r w:rsidRPr="00891183">
        <w:rPr>
          <w:rtl/>
        </w:rPr>
        <w:t>פניות ציבור בנושא הפקדת ערבויות בבתי המשפט ואופן החזרתם לערבים".</w:t>
      </w:r>
    </w:p>
  </w:footnote>
  <w:footnote w:id="62">
    <w:p w14:paraId="2119806B" w14:textId="77777777" w:rsidR="004E3775" w:rsidRPr="00B5445A" w:rsidRDefault="004E3775" w:rsidP="00B5445A">
      <w:pPr>
        <w:pStyle w:val="a8"/>
      </w:pPr>
      <w:r w:rsidRPr="00B5445A">
        <w:footnoteRef/>
      </w:r>
      <w:r w:rsidRPr="00B5445A">
        <w:rPr>
          <w:rtl/>
        </w:rPr>
        <w:t xml:space="preserve"> </w:t>
      </w:r>
      <w:r w:rsidRPr="00B5445A">
        <w:rPr>
          <w:rtl/>
        </w:rPr>
        <w:tab/>
      </w:r>
      <w:r w:rsidRPr="00B5445A">
        <w:rPr>
          <w:rFonts w:hint="eastAsia"/>
          <w:b/>
          <w:bCs/>
          <w:rtl/>
        </w:rPr>
        <w:t>בקרה</w:t>
      </w:r>
      <w:r w:rsidRPr="00B5445A">
        <w:rPr>
          <w:rFonts w:hint="cs"/>
          <w:rtl/>
        </w:rPr>
        <w:t xml:space="preserve"> </w:t>
      </w:r>
      <w:r w:rsidRPr="00B5445A">
        <w:rPr>
          <w:rFonts w:hint="cs"/>
          <w:rtl/>
        </w:rPr>
        <w:t>- בדיקת</w:t>
      </w:r>
      <w:r>
        <w:rPr>
          <w:rFonts w:hint="cs"/>
          <w:rtl/>
        </w:rPr>
        <w:t xml:space="preserve"> איכות החקירה בעת ביצועה. ככלל, בקרה נדרשת להתבצע באופן יום-יומי, אולם ישנן ב</w:t>
      </w:r>
      <w:r w:rsidRPr="00B5445A">
        <w:rPr>
          <w:rFonts w:hint="cs"/>
          <w:rtl/>
        </w:rPr>
        <w:t xml:space="preserve">קרות נושאיות תקופתיות הנערכות בתדירות נמוכה יותר, הקבועה מראש בנוהל (אחת לשבוע, לחודש או כנדרש). </w:t>
      </w:r>
    </w:p>
  </w:footnote>
  <w:footnote w:id="63">
    <w:p w14:paraId="6A605B71" w14:textId="77777777" w:rsidR="004E3775" w:rsidRDefault="004E3775" w:rsidP="00B5445A">
      <w:pPr>
        <w:pStyle w:val="a8"/>
      </w:pPr>
      <w:r w:rsidRPr="00B5445A">
        <w:rPr>
          <w:rStyle w:val="FootnoteReference"/>
          <w:vertAlign w:val="baseline"/>
        </w:rPr>
        <w:footnoteRef/>
      </w:r>
      <w:r w:rsidRPr="00B5445A">
        <w:rPr>
          <w:rtl/>
        </w:rPr>
        <w:t xml:space="preserve"> </w:t>
      </w:r>
      <w:r w:rsidRPr="00B5445A">
        <w:rPr>
          <w:rtl/>
        </w:rPr>
        <w:tab/>
      </w:r>
      <w:r w:rsidRPr="00446F46">
        <w:rPr>
          <w:rFonts w:hint="eastAsia"/>
          <w:b/>
          <w:bCs/>
          <w:rtl/>
        </w:rPr>
        <w:t>ביקורת</w:t>
      </w:r>
      <w:r>
        <w:rPr>
          <w:rFonts w:hint="cs"/>
          <w:rtl/>
        </w:rPr>
        <w:t xml:space="preserve"> </w:t>
      </w:r>
      <w:r>
        <w:rPr>
          <w:rFonts w:hint="cs"/>
          <w:rtl/>
        </w:rPr>
        <w:t xml:space="preserve">- בדיקת איכות שאינה תלויה במועד ביצוע החקירה. ביקורת נערכת על ידי דרג מטה ממונה או גורם מקצועי ברמת המטה. ככלל, ביקורת נעשית במדגם של תיקים ובנושאים נבחרים. </w:t>
      </w:r>
    </w:p>
  </w:footnote>
  <w:footnote w:id="64">
    <w:p w14:paraId="0DA0DE56" w14:textId="77777777" w:rsidR="004E3775" w:rsidRPr="00B5445A" w:rsidRDefault="004E3775" w:rsidP="00B5445A">
      <w:pPr>
        <w:pStyle w:val="a8"/>
      </w:pPr>
      <w:r w:rsidRPr="00B5445A">
        <w:rPr>
          <w:rStyle w:val="FootnoteReference"/>
          <w:vertAlign w:val="baseline"/>
        </w:rPr>
        <w:footnoteRef/>
      </w:r>
      <w:r w:rsidRPr="00B5445A">
        <w:rPr>
          <w:rtl/>
        </w:rPr>
        <w:t xml:space="preserve"> </w:t>
      </w:r>
      <w:r w:rsidRPr="00B5445A">
        <w:rPr>
          <w:rtl/>
        </w:rPr>
        <w:tab/>
      </w:r>
      <w:r w:rsidRPr="00B5445A">
        <w:rPr>
          <w:rFonts w:hint="cs"/>
          <w:rtl/>
        </w:rPr>
        <w:t xml:space="preserve">קביעת </w:t>
      </w:r>
      <w:r w:rsidRPr="00B5445A">
        <w:rPr>
          <w:rFonts w:hint="cs"/>
          <w:rtl/>
        </w:rPr>
        <w:t>המדדים מתבססת על ארבעה עקרונות- שיטור מבוסס בעיות, שבבסיסו זיהוי בעיה, ניתוחה, מתן מענה מבצעי לבעיה והערכת אפקטיביות הטיפול בבעיה; מניעה מצבית, שמטרתה צמצום ההזדמנויות לפשוע והגדלת הסיכונים עבור העבריין; שיטור מוכוון קהילה, המבוסס על מערכת יחסים בין המשטרה לקהילה והעצמת תפקיד הקהילה במניעת פשיעה; חיזוק הלגיטימיות של המשטרה על בסיס שיקוף לציבור של ביצועי המשטרה בפועל ושמירה על הוגנות ההליכים שבהפעלת סמכותה.</w:t>
      </w:r>
    </w:p>
  </w:footnote>
  <w:footnote w:id="65">
    <w:p w14:paraId="6F7E4C60" w14:textId="77777777" w:rsidR="004E3775" w:rsidRPr="00B5445A" w:rsidRDefault="004E3775" w:rsidP="00B5445A">
      <w:pPr>
        <w:pStyle w:val="a8"/>
      </w:pPr>
      <w:r w:rsidRPr="00B5445A">
        <w:rPr>
          <w:rStyle w:val="FootnoteReference"/>
          <w:vertAlign w:val="baseline"/>
        </w:rPr>
        <w:footnoteRef/>
      </w:r>
      <w:r w:rsidRPr="00B5445A">
        <w:rPr>
          <w:rtl/>
        </w:rPr>
        <w:t xml:space="preserve"> </w:t>
      </w:r>
      <w:r w:rsidRPr="00B5445A">
        <w:rPr>
          <w:rtl/>
        </w:rPr>
        <w:tab/>
      </w:r>
      <w:r w:rsidRPr="00B5445A">
        <w:rPr>
          <w:rFonts w:hint="eastAsia"/>
          <w:b/>
          <w:bCs/>
          <w:rtl/>
        </w:rPr>
        <w:t>בעיה</w:t>
      </w:r>
      <w:r w:rsidRPr="00B5445A">
        <w:rPr>
          <w:rFonts w:hint="cs"/>
          <w:rtl/>
        </w:rPr>
        <w:t xml:space="preserve"> </w:t>
      </w:r>
      <w:r w:rsidRPr="00B5445A">
        <w:rPr>
          <w:rFonts w:hint="cs"/>
          <w:rtl/>
        </w:rPr>
        <w:t xml:space="preserve">- תופעה שעימה נדרשת המשטרה להתמודד. על פי רוב מדובר בתופעת פשיעה כלשהי, כגון עבירות ירי או עבירות רכוש. </w:t>
      </w:r>
    </w:p>
  </w:footnote>
  <w:footnote w:id="66">
    <w:p w14:paraId="5B44F57C" w14:textId="77777777" w:rsidR="004E3775" w:rsidRPr="00B5445A" w:rsidRDefault="004E3775" w:rsidP="00B5445A">
      <w:pPr>
        <w:pStyle w:val="a8"/>
      </w:pPr>
      <w:r w:rsidRPr="00B5445A">
        <w:rPr>
          <w:rStyle w:val="FootnoteReference"/>
          <w:vertAlign w:val="baseline"/>
        </w:rPr>
        <w:footnoteRef/>
      </w:r>
      <w:r w:rsidRPr="00B5445A">
        <w:rPr>
          <w:rtl/>
        </w:rPr>
        <w:t xml:space="preserve"> </w:t>
      </w:r>
      <w:r w:rsidRPr="00B5445A">
        <w:rPr>
          <w:rtl/>
        </w:rPr>
        <w:tab/>
      </w:r>
      <w:r w:rsidRPr="00B5445A">
        <w:rPr>
          <w:rFonts w:hint="eastAsia"/>
          <w:b/>
          <w:bCs/>
          <w:rtl/>
        </w:rPr>
        <w:t>מדד</w:t>
      </w:r>
      <w:r w:rsidRPr="00B5445A">
        <w:rPr>
          <w:rFonts w:hint="cs"/>
          <w:rtl/>
        </w:rPr>
        <w:t xml:space="preserve"> </w:t>
      </w:r>
      <w:r w:rsidRPr="00B5445A">
        <w:rPr>
          <w:rFonts w:hint="cs"/>
          <w:rtl/>
        </w:rPr>
        <w:t xml:space="preserve">- קריטריון שעוזר להעריך דבר מה. המדד מציג את רמת הבעיה והאם היא מעל או מתחת ליעד שנקבע. </w:t>
      </w:r>
    </w:p>
  </w:footnote>
  <w:footnote w:id="67">
    <w:p w14:paraId="7F8A8490" w14:textId="77777777" w:rsidR="004E3775" w:rsidRPr="00B5445A" w:rsidRDefault="004E3775" w:rsidP="00B5445A">
      <w:pPr>
        <w:pStyle w:val="a8"/>
      </w:pPr>
      <w:r w:rsidRPr="00B5445A">
        <w:rPr>
          <w:rStyle w:val="FootnoteReference"/>
          <w:vertAlign w:val="baseline"/>
        </w:rPr>
        <w:footnoteRef/>
      </w:r>
      <w:r w:rsidRPr="00B5445A">
        <w:rPr>
          <w:rtl/>
        </w:rPr>
        <w:t xml:space="preserve"> </w:t>
      </w:r>
      <w:r w:rsidRPr="00B5445A">
        <w:rPr>
          <w:rtl/>
        </w:rPr>
        <w:tab/>
      </w:r>
      <w:r w:rsidRPr="00B5445A">
        <w:rPr>
          <w:rFonts w:hint="cs"/>
          <w:rtl/>
        </w:rPr>
        <w:t xml:space="preserve">לדוגמה, </w:t>
      </w:r>
      <w:r w:rsidRPr="00B5445A">
        <w:rPr>
          <w:rFonts w:hint="cs"/>
          <w:rtl/>
        </w:rPr>
        <w:t xml:space="preserve">כמה כתבי אישום הוגשו, כמה מעצרים נערכו, כמה דוחות הונפקו וכיוצא באלו. </w:t>
      </w:r>
    </w:p>
  </w:footnote>
  <w:footnote w:id="68">
    <w:p w14:paraId="000C8572" w14:textId="77777777" w:rsidR="004E3775" w:rsidRPr="00B5445A" w:rsidRDefault="004E3775" w:rsidP="00B5445A">
      <w:pPr>
        <w:pStyle w:val="a8"/>
      </w:pPr>
      <w:r w:rsidRPr="00B5445A">
        <w:rPr>
          <w:rStyle w:val="FootnoteReference"/>
          <w:vertAlign w:val="baseline"/>
        </w:rPr>
        <w:footnoteRef/>
      </w:r>
      <w:r w:rsidRPr="00B5445A">
        <w:rPr>
          <w:rtl/>
        </w:rPr>
        <w:t xml:space="preserve"> </w:t>
      </w:r>
      <w:r w:rsidRPr="00B5445A">
        <w:rPr>
          <w:rtl/>
        </w:rPr>
        <w:tab/>
      </w:r>
      <w:r w:rsidRPr="00B5445A">
        <w:rPr>
          <w:rFonts w:hint="cs"/>
          <w:rtl/>
        </w:rPr>
        <w:t xml:space="preserve">לדוגמה, </w:t>
      </w:r>
      <w:r w:rsidRPr="00B5445A">
        <w:rPr>
          <w:rFonts w:hint="cs"/>
          <w:rtl/>
        </w:rPr>
        <w:t xml:space="preserve">הפשיעה פחתה, או היקף האירועים הצטמצם. </w:t>
      </w:r>
    </w:p>
  </w:footnote>
  <w:footnote w:id="69">
    <w:p w14:paraId="7B682713" w14:textId="77777777" w:rsidR="004E3775" w:rsidRPr="0075190B" w:rsidRDefault="004E3775" w:rsidP="00B5445A">
      <w:pPr>
        <w:pStyle w:val="a8"/>
      </w:pPr>
      <w:r w:rsidRPr="00B5445A">
        <w:rPr>
          <w:rStyle w:val="FootnoteReference"/>
          <w:vertAlign w:val="baseline"/>
        </w:rPr>
        <w:footnoteRef/>
      </w:r>
      <w:r w:rsidRPr="00B5445A">
        <w:rPr>
          <w:rtl/>
        </w:rPr>
        <w:t xml:space="preserve"> </w:t>
      </w:r>
      <w:r w:rsidRPr="00B5445A">
        <w:rPr>
          <w:rtl/>
        </w:rPr>
        <w:tab/>
      </w:r>
      <w:r w:rsidRPr="00B5445A">
        <w:rPr>
          <w:rFonts w:hint="cs"/>
          <w:rtl/>
        </w:rPr>
        <w:t xml:space="preserve">מערכת </w:t>
      </w:r>
      <w:r w:rsidRPr="00B5445A">
        <w:rPr>
          <w:rFonts w:hint="cs"/>
          <w:rtl/>
        </w:rPr>
        <w:t>מנה"ל התמקדה בהגדרת יעדים כמותיים שמטרתם להביא לירידה במספר התיקים. מערכת "מפנה" מדדה את מספר כתבי האישום ומספר המעצרים עד תום ההליכים המשפטיים מתוך סך התיקים שנפתחו</w:t>
      </w:r>
      <w:r>
        <w:rPr>
          <w:rFonts w:hint="cs"/>
          <w:rtl/>
        </w:rPr>
        <w:t>. במערכת "מפנה" אף נכלל היעד "סיכויי העבריין להיתפס", אשר מדד את אחוז התיקים שהוגש בהם כתב אישום מתוך סך התיקים שנפתחו.</w:t>
      </w:r>
    </w:p>
  </w:footnote>
  <w:footnote w:id="70">
    <w:p w14:paraId="65AFFABD" w14:textId="77777777" w:rsidR="004E3775" w:rsidRPr="002B6FB4" w:rsidRDefault="004E3775" w:rsidP="002B6FB4">
      <w:pPr>
        <w:pStyle w:val="a8"/>
        <w:rPr>
          <w:rtl/>
        </w:rPr>
      </w:pPr>
      <w:r w:rsidRPr="002B6FB4">
        <w:footnoteRef/>
      </w:r>
      <w:r w:rsidRPr="002B6FB4">
        <w:rPr>
          <w:rtl/>
        </w:rPr>
        <w:t xml:space="preserve"> </w:t>
      </w:r>
      <w:r w:rsidRPr="002B6FB4">
        <w:rPr>
          <w:rtl/>
        </w:rPr>
        <w:tab/>
      </w:r>
      <w:r w:rsidRPr="00D47B44">
        <w:rPr>
          <w:rFonts w:hint="cs"/>
          <w:b/>
          <w:bCs/>
          <w:rtl/>
        </w:rPr>
        <w:t xml:space="preserve">עבירות </w:t>
      </w:r>
      <w:r w:rsidRPr="00D47B44">
        <w:rPr>
          <w:rFonts w:hint="cs"/>
          <w:b/>
          <w:bCs/>
          <w:rtl/>
        </w:rPr>
        <w:t>חשיפה</w:t>
      </w:r>
      <w:r>
        <w:rPr>
          <w:rFonts w:hint="cs"/>
          <w:rtl/>
        </w:rPr>
        <w:t xml:space="preserve"> - מדובר בעבירות</w:t>
      </w:r>
      <w:r w:rsidRPr="00C138C0">
        <w:rPr>
          <w:rFonts w:hint="cs"/>
          <w:rtl/>
        </w:rPr>
        <w:t xml:space="preserve"> </w:t>
      </w:r>
      <w:r>
        <w:rPr>
          <w:rFonts w:hint="cs"/>
          <w:rtl/>
        </w:rPr>
        <w:t xml:space="preserve">של </w:t>
      </w:r>
      <w:r w:rsidRPr="00C138C0">
        <w:rPr>
          <w:rtl/>
        </w:rPr>
        <w:t xml:space="preserve">מכירת אלכוהול לקטין, הפרת חוק הכניסה לישראל (מעסיק, מלין </w:t>
      </w:r>
      <w:r w:rsidRPr="002B6FB4">
        <w:rPr>
          <w:rtl/>
        </w:rPr>
        <w:t>ומסיע), נשיאת סכין, סחר</w:t>
      </w:r>
      <w:r w:rsidRPr="002B6FB4">
        <w:rPr>
          <w:rFonts w:hint="cs"/>
          <w:rtl/>
        </w:rPr>
        <w:t xml:space="preserve"> </w:t>
      </w:r>
      <w:r w:rsidRPr="002B6FB4">
        <w:rPr>
          <w:rtl/>
        </w:rPr>
        <w:t>בסמים, גידול וייצור סמים, החזקת סמים שלא לצריכה עצמית, סחר בנשים וסרסרות לזנות, שוחד, סחיטה</w:t>
      </w:r>
      <w:r w:rsidRPr="002B6FB4">
        <w:rPr>
          <w:rFonts w:hint="cs"/>
          <w:rtl/>
        </w:rPr>
        <w:t xml:space="preserve"> </w:t>
      </w:r>
      <w:r w:rsidRPr="002B6FB4">
        <w:rPr>
          <w:rtl/>
        </w:rPr>
        <w:t>באיומים, קבלת דבר בפשע, החזקה לא</w:t>
      </w:r>
      <w:r w:rsidRPr="002B6FB4">
        <w:rPr>
          <w:rFonts w:hint="cs"/>
          <w:rtl/>
        </w:rPr>
        <w:t>-</w:t>
      </w:r>
      <w:r w:rsidRPr="002B6FB4">
        <w:rPr>
          <w:rtl/>
        </w:rPr>
        <w:t>חוקית של אמצעי לחימה (אמל"ח) והימורים</w:t>
      </w:r>
      <w:r w:rsidRPr="002B6FB4">
        <w:rPr>
          <w:rFonts w:hint="cs"/>
          <w:rtl/>
        </w:rPr>
        <w:t>.</w:t>
      </w:r>
    </w:p>
  </w:footnote>
  <w:footnote w:id="71">
    <w:p w14:paraId="2B330F6F" w14:textId="77777777" w:rsidR="004E3775" w:rsidRDefault="004E3775" w:rsidP="002B6FB4">
      <w:pPr>
        <w:pStyle w:val="a8"/>
        <w:rPr>
          <w:rtl/>
        </w:rPr>
      </w:pPr>
      <w:r w:rsidRPr="002B6FB4">
        <w:rPr>
          <w:rStyle w:val="FootnoteReference"/>
          <w:vertAlign w:val="baseline"/>
        </w:rPr>
        <w:footnoteRef/>
      </w:r>
      <w:r w:rsidRPr="002B6FB4">
        <w:rPr>
          <w:rtl/>
        </w:rPr>
        <w:t xml:space="preserve"> </w:t>
      </w:r>
      <w:r w:rsidRPr="002B6FB4">
        <w:rPr>
          <w:rtl/>
        </w:rPr>
        <w:tab/>
      </w:r>
      <w:r w:rsidRPr="002B6FB4">
        <w:rPr>
          <w:rFonts w:hint="cs"/>
          <w:rtl/>
        </w:rPr>
        <w:t>תחנות משטרה</w:t>
      </w:r>
      <w:r>
        <w:rPr>
          <w:rFonts w:hint="cs"/>
          <w:rtl/>
        </w:rPr>
        <w:t xml:space="preserve"> ללא יחידות של אגף התנועה. </w:t>
      </w:r>
    </w:p>
  </w:footnote>
  <w:footnote w:id="72">
    <w:p w14:paraId="60E3E8F1" w14:textId="77777777" w:rsidR="004E3775" w:rsidRDefault="004E3775" w:rsidP="001321A1">
      <w:pPr>
        <w:pStyle w:val="a8"/>
      </w:pPr>
      <w:r w:rsidRPr="001321A1">
        <w:footnoteRef/>
      </w:r>
      <w:r w:rsidRPr="001321A1">
        <w:rPr>
          <w:rtl/>
        </w:rPr>
        <w:t xml:space="preserve"> </w:t>
      </w:r>
      <w:r w:rsidRPr="001321A1">
        <w:rPr>
          <w:rtl/>
        </w:rPr>
        <w:tab/>
      </w:r>
      <w:r w:rsidRPr="001321A1">
        <w:rPr>
          <w:rFonts w:hint="eastAsia"/>
          <w:b/>
          <w:bCs/>
          <w:rtl/>
        </w:rPr>
        <w:t>יעד</w:t>
      </w:r>
      <w:r w:rsidRPr="001321A1">
        <w:rPr>
          <w:b/>
          <w:bCs/>
          <w:rtl/>
        </w:rPr>
        <w:t xml:space="preserve"> </w:t>
      </w:r>
      <w:r w:rsidRPr="001321A1">
        <w:rPr>
          <w:rFonts w:hint="eastAsia"/>
          <w:b/>
          <w:bCs/>
          <w:rtl/>
        </w:rPr>
        <w:t>מקום</w:t>
      </w:r>
      <w:r w:rsidRPr="001321A1">
        <w:rPr>
          <w:rFonts w:hint="cs"/>
          <w:rtl/>
        </w:rPr>
        <w:t xml:space="preserve"> - תא שטח</w:t>
      </w:r>
      <w:r>
        <w:rPr>
          <w:rFonts w:hint="cs"/>
          <w:rtl/>
        </w:rPr>
        <w:t xml:space="preserve"> שבו נדרש טיפול ייחודי למניעת פשיעה שאינו מוגבל לעבירות מסוימות. </w:t>
      </w:r>
    </w:p>
  </w:footnote>
  <w:footnote w:id="73">
    <w:p w14:paraId="226C5AAA" w14:textId="77777777" w:rsidR="004E3775" w:rsidRPr="009E3966" w:rsidRDefault="004E3775" w:rsidP="009E3966">
      <w:pPr>
        <w:pStyle w:val="a8"/>
        <w:rPr>
          <w:rtl/>
        </w:rPr>
      </w:pPr>
      <w:r w:rsidRPr="009E3966">
        <w:rPr>
          <w:rStyle w:val="FootnoteReference"/>
          <w:vertAlign w:val="baseline"/>
        </w:rPr>
        <w:footnoteRef/>
      </w:r>
      <w:r w:rsidRPr="009E3966">
        <w:rPr>
          <w:rtl/>
        </w:rPr>
        <w:t xml:space="preserve"> </w:t>
      </w:r>
      <w:r w:rsidRPr="009E3966">
        <w:rPr>
          <w:rtl/>
        </w:rPr>
        <w:tab/>
      </w:r>
      <w:r w:rsidRPr="009E3966">
        <w:rPr>
          <w:rFonts w:hint="cs"/>
          <w:rtl/>
        </w:rPr>
        <w:t xml:space="preserve">מדדים </w:t>
      </w:r>
      <w:r w:rsidRPr="009E3966">
        <w:rPr>
          <w:rFonts w:hint="cs"/>
          <w:rtl/>
        </w:rPr>
        <w:t>אלו נבחנו באמצעות סקרים כחלק מהערכת תדמית המשטרה.</w:t>
      </w:r>
    </w:p>
  </w:footnote>
  <w:footnote w:id="74">
    <w:p w14:paraId="31DF01ED" w14:textId="77777777" w:rsidR="004E3775" w:rsidRDefault="004E3775" w:rsidP="009E3966">
      <w:pPr>
        <w:pStyle w:val="a8"/>
        <w:rPr>
          <w:rtl/>
        </w:rPr>
      </w:pPr>
      <w:r w:rsidRPr="009E3966">
        <w:rPr>
          <w:rStyle w:val="FootnoteReference"/>
          <w:vertAlign w:val="baseline"/>
        </w:rPr>
        <w:footnoteRef/>
      </w:r>
      <w:r w:rsidRPr="009E3966">
        <w:rPr>
          <w:rtl/>
        </w:rPr>
        <w:t xml:space="preserve"> </w:t>
      </w:r>
      <w:r w:rsidRPr="009E3966">
        <w:rPr>
          <w:rtl/>
        </w:rPr>
        <w:tab/>
      </w:r>
      <w:r w:rsidRPr="009E3966">
        <w:rPr>
          <w:rFonts w:hint="cs"/>
          <w:rtl/>
        </w:rPr>
        <w:t>יוזכר</w:t>
      </w:r>
      <w:r>
        <w:rPr>
          <w:rFonts w:hint="cs"/>
          <w:rtl/>
        </w:rPr>
        <w:t xml:space="preserve"> </w:t>
      </w:r>
      <w:r>
        <w:rPr>
          <w:rFonts w:hint="cs"/>
          <w:rtl/>
        </w:rPr>
        <w:t xml:space="preserve">כי מדובר בבקרה שנערכה על 159 תיקים, ומשכך, אין לייחס לה מובהקות סטטיסטית. </w:t>
      </w:r>
    </w:p>
  </w:footnote>
  <w:footnote w:id="75">
    <w:p w14:paraId="5359B697" w14:textId="77777777" w:rsidR="004E3775" w:rsidRDefault="004E3775" w:rsidP="00EC4FF0">
      <w:pPr>
        <w:pStyle w:val="a8"/>
        <w:rPr>
          <w:rtl/>
        </w:rPr>
      </w:pPr>
      <w:r w:rsidRPr="00EC4FF0">
        <w:footnoteRef/>
      </w:r>
      <w:r w:rsidRPr="00EC4FF0">
        <w:rPr>
          <w:rtl/>
        </w:rPr>
        <w:t xml:space="preserve"> </w:t>
      </w:r>
      <w:r w:rsidRPr="00EC4FF0">
        <w:rPr>
          <w:rtl/>
        </w:rPr>
        <w:tab/>
      </w:r>
      <w:r w:rsidRPr="00EC4FF0">
        <w:rPr>
          <w:rFonts w:hint="cs"/>
          <w:rtl/>
        </w:rPr>
        <w:t xml:space="preserve">יצוין </w:t>
      </w:r>
      <w:r w:rsidRPr="00EC4FF0">
        <w:rPr>
          <w:rFonts w:hint="cs"/>
          <w:rtl/>
        </w:rPr>
        <w:t>שבקשות</w:t>
      </w:r>
      <w:r>
        <w:rPr>
          <w:rFonts w:hint="cs"/>
          <w:rtl/>
        </w:rPr>
        <w:t xml:space="preserve"> למעצר עד תום ההליכים מוגשות הן לבתי משפט השלום והן לבתי המשפט המחוזיים. </w:t>
      </w:r>
    </w:p>
  </w:footnote>
  <w:footnote w:id="76">
    <w:p w14:paraId="33BEA25C" w14:textId="77777777" w:rsidR="004E3775" w:rsidRPr="00DD503F" w:rsidRDefault="004E3775" w:rsidP="00DD503F">
      <w:pPr>
        <w:pStyle w:val="a8"/>
        <w:rPr>
          <w:rtl/>
        </w:rPr>
      </w:pPr>
      <w:r w:rsidRPr="00DD503F">
        <w:rPr>
          <w:rStyle w:val="FootnoteReference"/>
          <w:vertAlign w:val="baseline"/>
        </w:rPr>
        <w:footnoteRef/>
      </w:r>
      <w:r w:rsidRPr="00DD503F">
        <w:rPr>
          <w:rtl/>
        </w:rPr>
        <w:t xml:space="preserve"> </w:t>
      </w:r>
      <w:r w:rsidRPr="00DD503F">
        <w:rPr>
          <w:rtl/>
        </w:rPr>
        <w:tab/>
      </w:r>
      <w:r w:rsidRPr="00DD503F">
        <w:rPr>
          <w:rFonts w:hint="cs"/>
          <w:rtl/>
        </w:rPr>
        <w:t xml:space="preserve">יצוין </w:t>
      </w:r>
      <w:r w:rsidRPr="00DD503F">
        <w:rPr>
          <w:rFonts w:hint="cs"/>
          <w:rtl/>
        </w:rPr>
        <w:t xml:space="preserve">כי במהלך הביקורת עסקה ועדה פנימית במערכת בתי המשפט בנושא טיפול בבקשות המוגשות לבתי המשפט לאחר שעות העבודה ובשבתות וחגים. מאחר שפרק זה עוסק בזמינות בתי המשפט במהלך השבוע, לא הובאה התייחסות לפרטי עבודתה של ועדה זו. </w:t>
      </w:r>
    </w:p>
  </w:footnote>
  <w:footnote w:id="77">
    <w:p w14:paraId="757956C1" w14:textId="36E705BC" w:rsidR="004E3775" w:rsidRDefault="004E3775" w:rsidP="00E16E77">
      <w:pPr>
        <w:pStyle w:val="a8"/>
        <w:rPr>
          <w:rFonts w:ascii="Segoe UI" w:hAnsi="Segoe UI" w:cs="Segoe UI"/>
          <w:sz w:val="21"/>
          <w:szCs w:val="21"/>
          <w:rtl/>
        </w:rPr>
      </w:pPr>
      <w:r w:rsidRPr="00DD503F">
        <w:rPr>
          <w:rStyle w:val="FootnoteReference"/>
          <w:vertAlign w:val="baseline"/>
        </w:rPr>
        <w:footnoteRef/>
      </w:r>
      <w:r w:rsidRPr="00DD503F">
        <w:rPr>
          <w:rtl/>
        </w:rPr>
        <w:t xml:space="preserve"> </w:t>
      </w:r>
      <w:r w:rsidRPr="00DD503F">
        <w:rPr>
          <w:rtl/>
        </w:rPr>
        <w:tab/>
      </w:r>
      <w:r w:rsidRPr="00DD503F">
        <w:rPr>
          <w:rFonts w:hint="eastAsia"/>
          <w:rtl/>
        </w:rPr>
        <w:t>מלאה</w:t>
      </w:r>
      <w:r w:rsidRPr="00DD503F">
        <w:rPr>
          <w:rtl/>
        </w:rPr>
        <w:t xml:space="preserve"> </w:t>
      </w:r>
      <w:r w:rsidRPr="00DD503F">
        <w:rPr>
          <w:rFonts w:hint="eastAsia"/>
          <w:rtl/>
        </w:rPr>
        <w:t>או</w:t>
      </w:r>
      <w:r w:rsidRPr="00DD503F">
        <w:rPr>
          <w:rtl/>
        </w:rPr>
        <w:t xml:space="preserve"> </w:t>
      </w:r>
      <w:r w:rsidRPr="00DD503F">
        <w:rPr>
          <w:rFonts w:hint="eastAsia"/>
          <w:rtl/>
        </w:rPr>
        <w:t>חלקית</w:t>
      </w:r>
      <w:r w:rsidRPr="00DD503F">
        <w:rPr>
          <w:rtl/>
        </w:rPr>
        <w:t xml:space="preserve">, </w:t>
      </w:r>
      <w:r w:rsidRPr="00DD503F">
        <w:rPr>
          <w:rFonts w:hint="eastAsia"/>
          <w:rtl/>
        </w:rPr>
        <w:t>בימים</w:t>
      </w:r>
      <w:r w:rsidRPr="00DD503F">
        <w:rPr>
          <w:rtl/>
        </w:rPr>
        <w:t xml:space="preserve"> </w:t>
      </w:r>
      <w:r w:rsidRPr="00DD503F">
        <w:rPr>
          <w:rFonts w:hint="eastAsia"/>
          <w:rtl/>
        </w:rPr>
        <w:t>א</w:t>
      </w:r>
      <w:r w:rsidRPr="00DD503F">
        <w:rPr>
          <w:rtl/>
        </w:rPr>
        <w:t xml:space="preserve">' </w:t>
      </w:r>
      <w:r w:rsidRPr="00DD503F">
        <w:rPr>
          <w:rFonts w:hint="eastAsia"/>
          <w:rtl/>
        </w:rPr>
        <w:t>עד</w:t>
      </w:r>
      <w:r w:rsidRPr="00DD503F">
        <w:rPr>
          <w:rtl/>
        </w:rPr>
        <w:t xml:space="preserve"> </w:t>
      </w:r>
      <w:r w:rsidRPr="00DD503F">
        <w:rPr>
          <w:rFonts w:hint="eastAsia"/>
          <w:rtl/>
        </w:rPr>
        <w:t>ה</w:t>
      </w:r>
      <w:r w:rsidRPr="00DD503F">
        <w:rPr>
          <w:rtl/>
        </w:rPr>
        <w:t xml:space="preserve">' </w:t>
      </w:r>
      <w:r w:rsidRPr="00DD503F">
        <w:rPr>
          <w:rFonts w:hint="eastAsia"/>
          <w:rtl/>
        </w:rPr>
        <w:t>בין</w:t>
      </w:r>
      <w:r w:rsidRPr="00DD503F">
        <w:rPr>
          <w:rtl/>
        </w:rPr>
        <w:t xml:space="preserve"> </w:t>
      </w:r>
      <w:r w:rsidRPr="00DD503F">
        <w:rPr>
          <w:rFonts w:hint="cs"/>
          <w:rtl/>
        </w:rPr>
        <w:t>השעה</w:t>
      </w:r>
      <w:r w:rsidRPr="00DD503F">
        <w:rPr>
          <w:rtl/>
        </w:rPr>
        <w:t xml:space="preserve"> 15:00 </w:t>
      </w:r>
      <w:r w:rsidRPr="00DD503F">
        <w:rPr>
          <w:rFonts w:hint="cs"/>
          <w:rtl/>
        </w:rPr>
        <w:t>לשעה</w:t>
      </w:r>
      <w:r w:rsidRPr="00DD503F">
        <w:rPr>
          <w:rtl/>
        </w:rPr>
        <w:t xml:space="preserve"> 21:00; </w:t>
      </w:r>
      <w:r w:rsidRPr="00DD503F">
        <w:rPr>
          <w:rFonts w:hint="eastAsia"/>
          <w:rtl/>
        </w:rPr>
        <w:t>וראו</w:t>
      </w:r>
      <w:r w:rsidRPr="00DD503F">
        <w:rPr>
          <w:rtl/>
        </w:rPr>
        <w:t xml:space="preserve"> </w:t>
      </w:r>
      <w:r w:rsidRPr="00DD503F">
        <w:rPr>
          <w:rFonts w:hint="eastAsia"/>
          <w:rtl/>
        </w:rPr>
        <w:t>גם</w:t>
      </w:r>
      <w:r w:rsidRPr="00DD503F">
        <w:rPr>
          <w:rtl/>
        </w:rPr>
        <w:t xml:space="preserve"> </w:t>
      </w:r>
      <w:r w:rsidRPr="00DD503F">
        <w:rPr>
          <w:rFonts w:hint="eastAsia"/>
          <w:rtl/>
        </w:rPr>
        <w:t>תקנות</w:t>
      </w:r>
      <w:r w:rsidRPr="00DD503F">
        <w:rPr>
          <w:rtl/>
        </w:rPr>
        <w:t xml:space="preserve"> </w:t>
      </w:r>
      <w:r w:rsidRPr="00DD503F">
        <w:rPr>
          <w:rFonts w:hint="eastAsia"/>
          <w:rtl/>
        </w:rPr>
        <w:t>בתי</w:t>
      </w:r>
      <w:r w:rsidRPr="00DD503F">
        <w:rPr>
          <w:rtl/>
        </w:rPr>
        <w:t xml:space="preserve"> </w:t>
      </w:r>
      <w:r w:rsidRPr="00DD503F">
        <w:rPr>
          <w:rFonts w:hint="eastAsia"/>
          <w:rtl/>
        </w:rPr>
        <w:t>המשפט</w:t>
      </w:r>
      <w:r w:rsidRPr="00DD503F">
        <w:rPr>
          <w:rtl/>
        </w:rPr>
        <w:t xml:space="preserve"> (משמרת </w:t>
      </w:r>
      <w:r w:rsidRPr="00DD503F">
        <w:rPr>
          <w:rFonts w:hint="eastAsia"/>
          <w:rtl/>
        </w:rPr>
        <w:t>שניה</w:t>
      </w:r>
      <w:r w:rsidRPr="00DD503F">
        <w:rPr>
          <w:rtl/>
        </w:rPr>
        <w:t xml:space="preserve">), </w:t>
      </w:r>
      <w:r>
        <w:rPr>
          <w:rFonts w:ascii="Segoe UI" w:hAnsi="Segoe UI" w:cs="Segoe UI"/>
          <w:color w:val="000000"/>
          <w:sz w:val="15"/>
          <w:szCs w:val="15"/>
          <w:rtl/>
          <w:lang w:bidi="he"/>
        </w:rPr>
        <w:t xml:space="preserve">התשס"ד </w:t>
      </w:r>
      <w:r>
        <w:rPr>
          <w:rFonts w:ascii="Segoe UI" w:hAnsi="Segoe UI" w:cs="Segoe UI" w:hint="cs"/>
          <w:color w:val="000000"/>
          <w:sz w:val="15"/>
          <w:szCs w:val="15"/>
          <w:rtl/>
          <w:lang w:bidi="he"/>
        </w:rPr>
        <w:t>-</w:t>
      </w:r>
      <w:r>
        <w:rPr>
          <w:rFonts w:ascii="Segoe UI" w:hAnsi="Segoe UI" w:cs="Segoe UI"/>
          <w:color w:val="000000"/>
          <w:sz w:val="15"/>
          <w:szCs w:val="15"/>
          <w:rtl/>
          <w:lang w:bidi="he"/>
        </w:rPr>
        <w:t xml:space="preserve"> 2004</w:t>
      </w:r>
      <w:r>
        <w:rPr>
          <w:rFonts w:ascii="Segoe UI" w:hAnsi="Segoe UI" w:cs="Segoe UI" w:hint="cs"/>
          <w:color w:val="000000"/>
          <w:sz w:val="15"/>
          <w:szCs w:val="15"/>
          <w:rtl/>
          <w:lang w:bidi="he"/>
        </w:rPr>
        <w:t>.</w:t>
      </w:r>
    </w:p>
    <w:p w14:paraId="336785A7" w14:textId="4B02293B" w:rsidR="004E3775" w:rsidRPr="00DD503F" w:rsidRDefault="004E3775" w:rsidP="00DD503F">
      <w:pPr>
        <w:pStyle w:val="a8"/>
        <w:rPr>
          <w:rtl/>
        </w:rPr>
      </w:pPr>
      <w:r w:rsidRPr="00DD503F">
        <w:rPr>
          <w:rtl/>
        </w:rPr>
        <w:t>.</w:t>
      </w:r>
    </w:p>
  </w:footnote>
  <w:footnote w:id="78">
    <w:p w14:paraId="257F3687" w14:textId="77777777" w:rsidR="004E3775" w:rsidRPr="00DD503F" w:rsidRDefault="004E3775" w:rsidP="00DD503F">
      <w:pPr>
        <w:pStyle w:val="a8"/>
        <w:rPr>
          <w:rtl/>
        </w:rPr>
      </w:pPr>
      <w:r w:rsidRPr="00DD503F">
        <w:rPr>
          <w:rStyle w:val="FootnoteReference"/>
          <w:vertAlign w:val="baseline"/>
        </w:rPr>
        <w:footnoteRef/>
      </w:r>
      <w:r w:rsidRPr="00DD503F">
        <w:rPr>
          <w:rtl/>
        </w:rPr>
        <w:t xml:space="preserve"> </w:t>
      </w:r>
      <w:r w:rsidRPr="00DD503F">
        <w:rPr>
          <w:rtl/>
        </w:rPr>
        <w:tab/>
      </w:r>
      <w:r w:rsidRPr="00DD503F">
        <w:rPr>
          <w:rFonts w:hint="eastAsia"/>
          <w:rtl/>
        </w:rPr>
        <w:t>ההנחיות</w:t>
      </w:r>
      <w:r w:rsidRPr="00DD503F">
        <w:rPr>
          <w:rtl/>
        </w:rPr>
        <w:t xml:space="preserve"> </w:t>
      </w:r>
      <w:r w:rsidRPr="00DD503F">
        <w:rPr>
          <w:rFonts w:hint="eastAsia"/>
          <w:rtl/>
        </w:rPr>
        <w:t>כוללות</w:t>
      </w:r>
      <w:r w:rsidRPr="00DD503F">
        <w:rPr>
          <w:rtl/>
        </w:rPr>
        <w:t xml:space="preserve"> </w:t>
      </w:r>
      <w:r w:rsidRPr="00DD503F">
        <w:rPr>
          <w:rFonts w:hint="eastAsia"/>
          <w:rtl/>
        </w:rPr>
        <w:t>פרטים</w:t>
      </w:r>
      <w:r w:rsidRPr="00DD503F">
        <w:rPr>
          <w:rtl/>
        </w:rPr>
        <w:t xml:space="preserve"> </w:t>
      </w:r>
      <w:r w:rsidRPr="00DD503F">
        <w:rPr>
          <w:rFonts w:hint="eastAsia"/>
          <w:rtl/>
        </w:rPr>
        <w:t>על</w:t>
      </w:r>
      <w:r w:rsidRPr="00DD503F">
        <w:rPr>
          <w:rtl/>
        </w:rPr>
        <w:t xml:space="preserve"> </w:t>
      </w:r>
      <w:r w:rsidRPr="00DD503F">
        <w:rPr>
          <w:rFonts w:hint="eastAsia"/>
          <w:rtl/>
        </w:rPr>
        <w:t>שעות</w:t>
      </w:r>
      <w:r w:rsidRPr="00DD503F">
        <w:rPr>
          <w:rtl/>
        </w:rPr>
        <w:t xml:space="preserve"> </w:t>
      </w:r>
      <w:r w:rsidRPr="00DD503F">
        <w:rPr>
          <w:rFonts w:hint="eastAsia"/>
          <w:rtl/>
        </w:rPr>
        <w:t>קבלת</w:t>
      </w:r>
      <w:r w:rsidRPr="00DD503F">
        <w:rPr>
          <w:rtl/>
        </w:rPr>
        <w:t xml:space="preserve"> </w:t>
      </w:r>
      <w:r w:rsidRPr="00DD503F">
        <w:rPr>
          <w:rFonts w:hint="eastAsia"/>
          <w:rtl/>
        </w:rPr>
        <w:t>הקהל</w:t>
      </w:r>
      <w:r w:rsidRPr="00DD503F">
        <w:rPr>
          <w:rtl/>
        </w:rPr>
        <w:t xml:space="preserve"> </w:t>
      </w:r>
      <w:r w:rsidRPr="00DD503F">
        <w:rPr>
          <w:rFonts w:hint="eastAsia"/>
          <w:rtl/>
        </w:rPr>
        <w:t>במזכירויות</w:t>
      </w:r>
      <w:r w:rsidRPr="00DD503F">
        <w:rPr>
          <w:rtl/>
        </w:rPr>
        <w:t xml:space="preserve"> </w:t>
      </w:r>
      <w:r w:rsidRPr="00DD503F">
        <w:rPr>
          <w:rFonts w:hint="eastAsia"/>
          <w:rtl/>
        </w:rPr>
        <w:t>לצורכי</w:t>
      </w:r>
      <w:r w:rsidRPr="00DD503F">
        <w:rPr>
          <w:rtl/>
        </w:rPr>
        <w:t xml:space="preserve"> </w:t>
      </w:r>
      <w:r w:rsidRPr="00DD503F">
        <w:rPr>
          <w:rFonts w:hint="eastAsia"/>
          <w:rtl/>
        </w:rPr>
        <w:t>הגשת</w:t>
      </w:r>
      <w:r w:rsidRPr="00DD503F">
        <w:rPr>
          <w:rtl/>
        </w:rPr>
        <w:t xml:space="preserve"> </w:t>
      </w:r>
      <w:r w:rsidRPr="00DD503F">
        <w:rPr>
          <w:rFonts w:hint="eastAsia"/>
          <w:rtl/>
        </w:rPr>
        <w:t>בקשות</w:t>
      </w:r>
      <w:r w:rsidRPr="00DD503F">
        <w:rPr>
          <w:rtl/>
        </w:rPr>
        <w:t xml:space="preserve"> </w:t>
      </w:r>
      <w:r w:rsidRPr="00DD503F">
        <w:rPr>
          <w:rFonts w:hint="eastAsia"/>
          <w:rtl/>
        </w:rPr>
        <w:t>מעצר</w:t>
      </w:r>
      <w:r w:rsidRPr="00DD503F">
        <w:rPr>
          <w:rtl/>
        </w:rPr>
        <w:t xml:space="preserve"> </w:t>
      </w:r>
      <w:r w:rsidRPr="00DD503F">
        <w:rPr>
          <w:rFonts w:hint="eastAsia"/>
          <w:rtl/>
        </w:rPr>
        <w:t>והנחיות</w:t>
      </w:r>
      <w:r w:rsidRPr="00DD503F">
        <w:rPr>
          <w:rtl/>
        </w:rPr>
        <w:t xml:space="preserve"> </w:t>
      </w:r>
      <w:r w:rsidRPr="00DD503F">
        <w:rPr>
          <w:rFonts w:hint="eastAsia"/>
          <w:rtl/>
        </w:rPr>
        <w:t>בדבר</w:t>
      </w:r>
      <w:r w:rsidRPr="00DD503F">
        <w:rPr>
          <w:rtl/>
        </w:rPr>
        <w:t xml:space="preserve"> </w:t>
      </w:r>
      <w:r w:rsidRPr="00DD503F">
        <w:rPr>
          <w:rFonts w:hint="eastAsia"/>
          <w:rtl/>
        </w:rPr>
        <w:t>שעות</w:t>
      </w:r>
      <w:r w:rsidRPr="00DD503F">
        <w:rPr>
          <w:rtl/>
        </w:rPr>
        <w:t xml:space="preserve"> </w:t>
      </w:r>
      <w:r w:rsidRPr="00DD503F">
        <w:rPr>
          <w:rFonts w:hint="cs"/>
          <w:rtl/>
        </w:rPr>
        <w:t>ה</w:t>
      </w:r>
      <w:r w:rsidRPr="00DD503F">
        <w:rPr>
          <w:rFonts w:hint="eastAsia"/>
          <w:rtl/>
        </w:rPr>
        <w:t>התייצבות</w:t>
      </w:r>
      <w:r w:rsidRPr="00DD503F">
        <w:rPr>
          <w:rtl/>
        </w:rPr>
        <w:t xml:space="preserve"> </w:t>
      </w:r>
      <w:r w:rsidRPr="00DD503F">
        <w:rPr>
          <w:rFonts w:hint="eastAsia"/>
          <w:rtl/>
        </w:rPr>
        <w:t>בבית</w:t>
      </w:r>
      <w:r w:rsidRPr="00DD503F">
        <w:rPr>
          <w:rtl/>
        </w:rPr>
        <w:t xml:space="preserve"> </w:t>
      </w:r>
      <w:r w:rsidRPr="00DD503F">
        <w:rPr>
          <w:rFonts w:hint="eastAsia"/>
          <w:rtl/>
        </w:rPr>
        <w:t>המשפט</w:t>
      </w:r>
      <w:r w:rsidRPr="00DD503F">
        <w:rPr>
          <w:rtl/>
        </w:rPr>
        <w:t xml:space="preserve"> </w:t>
      </w:r>
      <w:r w:rsidRPr="00DD503F">
        <w:rPr>
          <w:rFonts w:hint="eastAsia"/>
          <w:rtl/>
        </w:rPr>
        <w:t>לגורמים</w:t>
      </w:r>
      <w:r w:rsidRPr="00DD503F">
        <w:rPr>
          <w:rtl/>
        </w:rPr>
        <w:t xml:space="preserve"> </w:t>
      </w:r>
      <w:r w:rsidRPr="00DD503F">
        <w:rPr>
          <w:rFonts w:hint="eastAsia"/>
          <w:rtl/>
        </w:rPr>
        <w:t>השונים</w:t>
      </w:r>
      <w:r w:rsidRPr="00DD503F">
        <w:rPr>
          <w:rtl/>
        </w:rPr>
        <w:t xml:space="preserve"> </w:t>
      </w:r>
      <w:r w:rsidRPr="00DD503F">
        <w:rPr>
          <w:rFonts w:hint="eastAsia"/>
          <w:rtl/>
        </w:rPr>
        <w:t>המעורבים</w:t>
      </w:r>
      <w:r w:rsidRPr="00DD503F">
        <w:rPr>
          <w:rtl/>
        </w:rPr>
        <w:t xml:space="preserve"> </w:t>
      </w:r>
      <w:r w:rsidRPr="00DD503F">
        <w:rPr>
          <w:rFonts w:hint="eastAsia"/>
          <w:rtl/>
        </w:rPr>
        <w:t>בהליך</w:t>
      </w:r>
      <w:r w:rsidRPr="00DD503F">
        <w:rPr>
          <w:rtl/>
        </w:rPr>
        <w:t xml:space="preserve">: </w:t>
      </w:r>
      <w:r w:rsidRPr="00DD503F">
        <w:rPr>
          <w:rFonts w:hint="eastAsia"/>
          <w:rtl/>
        </w:rPr>
        <w:t>טועני</w:t>
      </w:r>
      <w:r w:rsidRPr="00DD503F">
        <w:rPr>
          <w:rtl/>
        </w:rPr>
        <w:t xml:space="preserve"> </w:t>
      </w:r>
      <w:r w:rsidRPr="00DD503F">
        <w:rPr>
          <w:rFonts w:hint="eastAsia"/>
          <w:rtl/>
        </w:rPr>
        <w:t>המעצרים</w:t>
      </w:r>
      <w:r w:rsidRPr="00DD503F">
        <w:rPr>
          <w:rtl/>
        </w:rPr>
        <w:t xml:space="preserve">, </w:t>
      </w:r>
      <w:r w:rsidRPr="00DD503F">
        <w:rPr>
          <w:rFonts w:hint="eastAsia"/>
          <w:rtl/>
        </w:rPr>
        <w:t>הסנגורים</w:t>
      </w:r>
      <w:r w:rsidRPr="00DD503F">
        <w:rPr>
          <w:rtl/>
        </w:rPr>
        <w:t xml:space="preserve"> </w:t>
      </w:r>
      <w:r w:rsidRPr="00DD503F">
        <w:rPr>
          <w:rFonts w:hint="eastAsia"/>
          <w:rtl/>
        </w:rPr>
        <w:t>ויחידת</w:t>
      </w:r>
      <w:r w:rsidRPr="00DD503F">
        <w:rPr>
          <w:rtl/>
        </w:rPr>
        <w:t xml:space="preserve"> </w:t>
      </w:r>
      <w:r w:rsidRPr="00DD503F">
        <w:rPr>
          <w:rFonts w:hint="eastAsia"/>
          <w:rtl/>
        </w:rPr>
        <w:t>נחשון</w:t>
      </w:r>
      <w:r w:rsidRPr="00DD503F">
        <w:rPr>
          <w:rtl/>
        </w:rPr>
        <w:t>.</w:t>
      </w:r>
    </w:p>
  </w:footnote>
  <w:footnote w:id="79">
    <w:p w14:paraId="1C5BB13C" w14:textId="77777777" w:rsidR="004E3775" w:rsidRPr="00DD503F" w:rsidRDefault="004E3775" w:rsidP="00DD503F">
      <w:pPr>
        <w:pStyle w:val="a8"/>
        <w:rPr>
          <w:rtl/>
        </w:rPr>
      </w:pPr>
      <w:r w:rsidRPr="00DD503F">
        <w:rPr>
          <w:rStyle w:val="FootnoteReference"/>
          <w:vertAlign w:val="baseline"/>
        </w:rPr>
        <w:footnoteRef/>
      </w:r>
      <w:r w:rsidRPr="00DD503F">
        <w:rPr>
          <w:rtl/>
        </w:rPr>
        <w:t xml:space="preserve"> </w:t>
      </w:r>
      <w:r w:rsidRPr="00DD503F">
        <w:rPr>
          <w:rtl/>
        </w:rPr>
        <w:tab/>
      </w:r>
      <w:r w:rsidRPr="00DD503F">
        <w:rPr>
          <w:rFonts w:hint="cs"/>
          <w:rtl/>
        </w:rPr>
        <w:t xml:space="preserve">יצוין כי בבית משפט השלום בתל אביב ניתן להגיש בקשות למעצר עד תום ההליכים עד השעה 12:00. </w:t>
      </w:r>
    </w:p>
  </w:footnote>
  <w:footnote w:id="80">
    <w:p w14:paraId="04AB1C9F" w14:textId="77777777" w:rsidR="004E3775" w:rsidRDefault="004E3775" w:rsidP="00DD503F">
      <w:pPr>
        <w:pStyle w:val="a8"/>
      </w:pPr>
      <w:r w:rsidRPr="00DD503F">
        <w:rPr>
          <w:rStyle w:val="FootnoteReference"/>
          <w:vertAlign w:val="baseline"/>
        </w:rPr>
        <w:footnoteRef/>
      </w:r>
      <w:r w:rsidRPr="00DD503F">
        <w:rPr>
          <w:rtl/>
        </w:rPr>
        <w:t xml:space="preserve"> </w:t>
      </w:r>
      <w:r w:rsidRPr="00DD503F">
        <w:rPr>
          <w:rtl/>
        </w:rPr>
        <w:tab/>
      </w:r>
      <w:r w:rsidRPr="00DD503F">
        <w:rPr>
          <w:rFonts w:hint="cs"/>
          <w:rtl/>
        </w:rPr>
        <w:t xml:space="preserve">יצוין </w:t>
      </w:r>
      <w:r w:rsidRPr="00DD503F">
        <w:rPr>
          <w:rFonts w:hint="cs"/>
          <w:rtl/>
        </w:rPr>
        <w:t>שבכל המחוזות קיימים שופטים כוננים, הזמינים לתת מענה במקרים חריגים באמצעות גורם תורן במזכירות</w:t>
      </w:r>
      <w:r>
        <w:rPr>
          <w:rFonts w:hint="cs"/>
          <w:rtl/>
        </w:rPr>
        <w:t>, אך אלו כאמור רק לגבי האירועים החריגים.</w:t>
      </w:r>
    </w:p>
  </w:footnote>
  <w:footnote w:id="81">
    <w:p w14:paraId="3375C0BA" w14:textId="77777777" w:rsidR="004E3775" w:rsidRPr="0017146B" w:rsidRDefault="004E3775" w:rsidP="0017146B">
      <w:pPr>
        <w:pStyle w:val="a8"/>
      </w:pPr>
      <w:r w:rsidRPr="0017146B">
        <w:rPr>
          <w:rStyle w:val="FootnoteReference"/>
          <w:vertAlign w:val="baseline"/>
        </w:rPr>
        <w:footnoteRef/>
      </w:r>
      <w:r w:rsidRPr="0017146B">
        <w:rPr>
          <w:rtl/>
        </w:rPr>
        <w:t xml:space="preserve"> </w:t>
      </w:r>
      <w:r w:rsidRPr="0017146B">
        <w:rPr>
          <w:rtl/>
        </w:rPr>
        <w:tab/>
      </w:r>
      <w:r w:rsidRPr="0017146B">
        <w:rPr>
          <w:rFonts w:hint="cs"/>
          <w:rtl/>
        </w:rPr>
        <w:t xml:space="preserve">מבוסס </w:t>
      </w:r>
      <w:r w:rsidRPr="0017146B">
        <w:rPr>
          <w:rFonts w:hint="cs"/>
          <w:rtl/>
        </w:rPr>
        <w:t xml:space="preserve">על תצפיות שנעשו בין השנים 2000 ל-2010 בכ-2,555 דיוני מעצרים בימי שני בשבוע בבית משפט השלום בתל אביב. התצפיות התקיימו במסגרת מחקר הערכה שנעשה לצורכי בחינת האפשרות לקיים דיונים באמצעות היוועדות חזותית והוגש ב-22.10.10 (ראו להלן). </w:t>
      </w:r>
    </w:p>
  </w:footnote>
  <w:footnote w:id="82">
    <w:p w14:paraId="476F658E" w14:textId="77777777" w:rsidR="004E3775" w:rsidRDefault="004E3775" w:rsidP="0017146B">
      <w:pPr>
        <w:pStyle w:val="a8"/>
        <w:rPr>
          <w:rtl/>
        </w:rPr>
      </w:pPr>
      <w:r w:rsidRPr="0017146B">
        <w:rPr>
          <w:rStyle w:val="FootnoteReference"/>
          <w:vertAlign w:val="baseline"/>
        </w:rPr>
        <w:footnoteRef/>
      </w:r>
      <w:r w:rsidRPr="0017146B">
        <w:rPr>
          <w:rtl/>
        </w:rPr>
        <w:t xml:space="preserve"> </w:t>
      </w:r>
      <w:r w:rsidRPr="0017146B">
        <w:rPr>
          <w:rtl/>
        </w:rPr>
        <w:tab/>
      </w:r>
      <w:r w:rsidRPr="0017146B">
        <w:rPr>
          <w:rFonts w:hint="cs"/>
          <w:rtl/>
        </w:rPr>
        <w:t>מספר</w:t>
      </w:r>
      <w:r>
        <w:rPr>
          <w:rFonts w:hint="cs"/>
          <w:rtl/>
        </w:rPr>
        <w:t xml:space="preserve"> </w:t>
      </w:r>
      <w:r>
        <w:rPr>
          <w:rFonts w:hint="cs"/>
          <w:rtl/>
        </w:rPr>
        <w:t>העצורים נע בין שלושה ארבעה עצורים בבתי המשפט בקריית גת וברחובות לבין 78 בבית המשפט בתל אביב.</w:t>
      </w:r>
    </w:p>
  </w:footnote>
  <w:footnote w:id="83">
    <w:p w14:paraId="1797C517" w14:textId="78119BB2" w:rsidR="004E3775" w:rsidRPr="0017146B" w:rsidRDefault="004E3775" w:rsidP="0017146B">
      <w:pPr>
        <w:pStyle w:val="a8"/>
      </w:pPr>
      <w:r w:rsidRPr="0017146B">
        <w:footnoteRef/>
      </w:r>
      <w:r w:rsidRPr="0017146B">
        <w:rPr>
          <w:rtl/>
        </w:rPr>
        <w:t xml:space="preserve"> </w:t>
      </w:r>
      <w:r w:rsidRPr="0017146B">
        <w:rPr>
          <w:rtl/>
        </w:rPr>
        <w:tab/>
      </w:r>
      <w:r w:rsidRPr="00D64EE0">
        <w:rPr>
          <w:rFonts w:hint="eastAsia"/>
          <w:b/>
          <w:bCs/>
          <w:rtl/>
        </w:rPr>
        <w:t>היוועדות</w:t>
      </w:r>
      <w:r w:rsidRPr="00D64EE0">
        <w:rPr>
          <w:b/>
          <w:bCs/>
          <w:rtl/>
        </w:rPr>
        <w:t xml:space="preserve"> </w:t>
      </w:r>
      <w:r w:rsidRPr="00D64EE0">
        <w:rPr>
          <w:rFonts w:hint="eastAsia"/>
          <w:b/>
          <w:bCs/>
          <w:rtl/>
        </w:rPr>
        <w:t>חזותית</w:t>
      </w:r>
      <w:r>
        <w:rPr>
          <w:rFonts w:hint="cs"/>
          <w:rtl/>
        </w:rPr>
        <w:t xml:space="preserve"> </w:t>
      </w:r>
      <w:r w:rsidRPr="0037483C">
        <w:rPr>
          <w:rFonts w:hint="cs"/>
          <w:rtl/>
        </w:rPr>
        <w:t>(</w:t>
      </w:r>
      <w:r w:rsidRPr="0037483C">
        <w:t>Video-</w:t>
      </w:r>
      <w:r>
        <w:t>c</w:t>
      </w:r>
      <w:r w:rsidRPr="0037483C">
        <w:t>onference</w:t>
      </w:r>
      <w:r>
        <w:rPr>
          <w:rFonts w:hint="cs"/>
          <w:rtl/>
        </w:rPr>
        <w:t xml:space="preserve">) - היא "תקשורת בין שני מוקדים המאפשרת העברת תמונה וקול </w:t>
      </w:r>
      <w:r w:rsidRPr="0017146B">
        <w:rPr>
          <w:rFonts w:hint="cs"/>
          <w:rtl/>
        </w:rPr>
        <w:t xml:space="preserve">בזמן אמת". ראה לעניין זה, ההגדרה בסעיף 65א(א) לחוק </w:t>
      </w:r>
      <w:r w:rsidRPr="0017146B">
        <w:rPr>
          <w:rFonts w:hint="eastAsia"/>
          <w:rtl/>
        </w:rPr>
        <w:t>סדר</w:t>
      </w:r>
      <w:r w:rsidRPr="0017146B">
        <w:rPr>
          <w:rtl/>
        </w:rPr>
        <w:t xml:space="preserve"> </w:t>
      </w:r>
      <w:r w:rsidRPr="0017146B">
        <w:rPr>
          <w:rFonts w:hint="eastAsia"/>
          <w:rtl/>
        </w:rPr>
        <w:t>הדין</w:t>
      </w:r>
      <w:r w:rsidRPr="0017146B">
        <w:rPr>
          <w:rtl/>
        </w:rPr>
        <w:t xml:space="preserve"> </w:t>
      </w:r>
      <w:r w:rsidRPr="0017146B">
        <w:rPr>
          <w:rFonts w:hint="eastAsia"/>
          <w:rtl/>
        </w:rPr>
        <w:t>הפלילי</w:t>
      </w:r>
      <w:r w:rsidRPr="0017146B">
        <w:rPr>
          <w:rtl/>
        </w:rPr>
        <w:t xml:space="preserve"> (סמכויות </w:t>
      </w:r>
      <w:r w:rsidRPr="0017146B">
        <w:rPr>
          <w:rFonts w:hint="eastAsia"/>
          <w:rtl/>
        </w:rPr>
        <w:t>אכיפה</w:t>
      </w:r>
      <w:r w:rsidRPr="0017146B">
        <w:rPr>
          <w:rtl/>
        </w:rPr>
        <w:t xml:space="preserve"> - </w:t>
      </w:r>
      <w:r w:rsidRPr="0017146B">
        <w:rPr>
          <w:rFonts w:hint="eastAsia"/>
          <w:rtl/>
        </w:rPr>
        <w:t>מעצרים</w:t>
      </w:r>
      <w:r w:rsidRPr="0017146B">
        <w:rPr>
          <w:rtl/>
        </w:rPr>
        <w:t xml:space="preserve">) (היוועדות </w:t>
      </w:r>
      <w:r w:rsidRPr="0017146B">
        <w:rPr>
          <w:rFonts w:hint="eastAsia"/>
          <w:rtl/>
        </w:rPr>
        <w:t>חזותית</w:t>
      </w:r>
      <w:r w:rsidRPr="0017146B">
        <w:rPr>
          <w:rtl/>
        </w:rPr>
        <w:t xml:space="preserve"> - </w:t>
      </w:r>
      <w:r w:rsidRPr="0017146B">
        <w:rPr>
          <w:rFonts w:hint="eastAsia"/>
          <w:rtl/>
        </w:rPr>
        <w:t>הוראת</w:t>
      </w:r>
      <w:r w:rsidRPr="0017146B">
        <w:rPr>
          <w:rtl/>
        </w:rPr>
        <w:t xml:space="preserve"> </w:t>
      </w:r>
      <w:r w:rsidRPr="0017146B">
        <w:rPr>
          <w:rFonts w:hint="eastAsia"/>
          <w:rtl/>
        </w:rPr>
        <w:t>שעה</w:t>
      </w:r>
      <w:r w:rsidRPr="0017146B">
        <w:rPr>
          <w:rtl/>
        </w:rPr>
        <w:t xml:space="preserve">), </w:t>
      </w:r>
      <w:r w:rsidRPr="0017146B">
        <w:rPr>
          <w:rFonts w:hint="eastAsia"/>
          <w:rtl/>
        </w:rPr>
        <w:t>התשס</w:t>
      </w:r>
      <w:r w:rsidRPr="0017146B">
        <w:rPr>
          <w:rtl/>
        </w:rPr>
        <w:t xml:space="preserve">"ז-2007, </w:t>
      </w:r>
      <w:r w:rsidRPr="0017146B">
        <w:rPr>
          <w:rFonts w:hint="eastAsia"/>
          <w:rtl/>
        </w:rPr>
        <w:t>אשר</w:t>
      </w:r>
      <w:r w:rsidRPr="0017146B">
        <w:rPr>
          <w:rFonts w:hint="cs"/>
          <w:rtl/>
        </w:rPr>
        <w:t xml:space="preserve"> היה תקף עד לשנת 2011.  </w:t>
      </w:r>
    </w:p>
  </w:footnote>
  <w:footnote w:id="84">
    <w:p w14:paraId="3470C84A" w14:textId="77777777" w:rsidR="004E3775" w:rsidRDefault="004E3775" w:rsidP="0017146B">
      <w:pPr>
        <w:pStyle w:val="a8"/>
        <w:rPr>
          <w:rtl/>
        </w:rPr>
      </w:pPr>
      <w:r w:rsidRPr="0017146B">
        <w:rPr>
          <w:rStyle w:val="FootnoteReference"/>
          <w:vertAlign w:val="baseline"/>
        </w:rPr>
        <w:footnoteRef/>
      </w:r>
      <w:r w:rsidRPr="0017146B">
        <w:rPr>
          <w:rtl/>
        </w:rPr>
        <w:t xml:space="preserve"> </w:t>
      </w:r>
      <w:r w:rsidRPr="0017146B">
        <w:rPr>
          <w:rtl/>
        </w:rPr>
        <w:tab/>
      </w:r>
      <w:r w:rsidRPr="0017146B">
        <w:rPr>
          <w:rFonts w:hint="cs"/>
          <w:rtl/>
        </w:rPr>
        <w:t>הפסקת</w:t>
      </w:r>
      <w:r>
        <w:rPr>
          <w:rFonts w:hint="cs"/>
          <w:rtl/>
        </w:rPr>
        <w:t xml:space="preserve"> </w:t>
      </w:r>
      <w:r>
        <w:rPr>
          <w:rFonts w:hint="cs"/>
          <w:rtl/>
        </w:rPr>
        <w:t>יישומה של ההיוועדות החזותית בהיעדר הארכת תוקף נוספת של הוראת השעה נעשתה החל ב-23.3.11 בהסכמת שר המשפטים, השר לבט"פ, פרקליט המדינה וגורמים נוספים.</w:t>
      </w:r>
    </w:p>
  </w:footnote>
  <w:footnote w:id="85">
    <w:p w14:paraId="65C09CEA" w14:textId="77777777" w:rsidR="004E3775" w:rsidRDefault="004E3775" w:rsidP="00F70DE9">
      <w:pPr>
        <w:pStyle w:val="a8"/>
      </w:pPr>
      <w:r w:rsidRPr="00F70DE9">
        <w:footnoteRef/>
      </w:r>
      <w:r w:rsidRPr="00F70DE9">
        <w:rPr>
          <w:rtl/>
        </w:rPr>
        <w:t xml:space="preserve"> </w:t>
      </w:r>
      <w:r w:rsidRPr="00F70DE9">
        <w:rPr>
          <w:rtl/>
        </w:rPr>
        <w:tab/>
      </w:r>
      <w:r w:rsidRPr="00F70DE9">
        <w:rPr>
          <w:rFonts w:hint="cs"/>
          <w:rtl/>
        </w:rPr>
        <w:t>בריבית</w:t>
      </w:r>
      <w:r>
        <w:rPr>
          <w:rFonts w:hint="cs"/>
          <w:rtl/>
        </w:rPr>
        <w:t xml:space="preserve"> </w:t>
      </w:r>
      <w:r>
        <w:rPr>
          <w:rFonts w:hint="cs"/>
          <w:rtl/>
        </w:rPr>
        <w:t xml:space="preserve">של 7% על פני 14 שנים. </w:t>
      </w:r>
    </w:p>
  </w:footnote>
  <w:footnote w:id="86">
    <w:p w14:paraId="2950BBA3" w14:textId="77777777" w:rsidR="004E3775" w:rsidRPr="0042091E" w:rsidRDefault="004E3775" w:rsidP="0042091E">
      <w:pPr>
        <w:pStyle w:val="a8"/>
        <w:rPr>
          <w:rtl/>
        </w:rPr>
      </w:pPr>
      <w:r w:rsidRPr="0042091E">
        <w:rPr>
          <w:rStyle w:val="FootnoteReference"/>
          <w:vertAlign w:val="baseline"/>
        </w:rPr>
        <w:footnoteRef/>
      </w:r>
      <w:r w:rsidRPr="0042091E">
        <w:rPr>
          <w:rtl/>
        </w:rPr>
        <w:t xml:space="preserve"> </w:t>
      </w:r>
      <w:r w:rsidRPr="0042091E">
        <w:rPr>
          <w:rtl/>
        </w:rPr>
        <w:tab/>
      </w:r>
      <w:r w:rsidRPr="0042091E">
        <w:rPr>
          <w:rFonts w:hint="cs"/>
          <w:rtl/>
        </w:rPr>
        <w:t xml:space="preserve">כלא באר שבע הוא מתחם הכולל ארבעה בתי סוהר דרומית לעיר באר שבע: אוהלי קידר, אשל, דקל ואֵלה. </w:t>
      </w:r>
    </w:p>
  </w:footnote>
  <w:footnote w:id="87">
    <w:p w14:paraId="193B3502" w14:textId="77777777" w:rsidR="004E3775" w:rsidRPr="00F36A18" w:rsidRDefault="004E3775" w:rsidP="0042091E">
      <w:pPr>
        <w:pStyle w:val="a8"/>
        <w:rPr>
          <w:rtl/>
        </w:rPr>
      </w:pPr>
      <w:r w:rsidRPr="0042091E">
        <w:rPr>
          <w:rStyle w:val="FootnoteReference"/>
          <w:vertAlign w:val="baseline"/>
        </w:rPr>
        <w:footnoteRef/>
      </w:r>
      <w:r w:rsidRPr="0042091E">
        <w:rPr>
          <w:rtl/>
        </w:rPr>
        <w:t xml:space="preserve"> </w:t>
      </w:r>
      <w:r w:rsidRPr="0042091E">
        <w:rPr>
          <w:rtl/>
        </w:rPr>
        <w:tab/>
      </w:r>
      <w:r w:rsidRPr="0042091E">
        <w:rPr>
          <w:rFonts w:hint="cs"/>
          <w:rtl/>
        </w:rPr>
        <w:t xml:space="preserve">שב"ס </w:t>
      </w:r>
      <w:r w:rsidRPr="0042091E">
        <w:rPr>
          <w:rtl/>
        </w:rPr>
        <w:t>החל</w:t>
      </w:r>
      <w:r w:rsidRPr="00F36A18">
        <w:rPr>
          <w:rtl/>
        </w:rPr>
        <w:t xml:space="preserve"> </w:t>
      </w:r>
      <w:r>
        <w:rPr>
          <w:rFonts w:hint="cs"/>
          <w:rtl/>
        </w:rPr>
        <w:t>ב</w:t>
      </w:r>
      <w:r w:rsidRPr="00F36A18">
        <w:rPr>
          <w:rtl/>
        </w:rPr>
        <w:t xml:space="preserve">פעולות לבניית בית מעצר חדש באילת שיתאים לסטנדרטים שנקבעו </w:t>
      </w:r>
      <w:r>
        <w:rPr>
          <w:rFonts w:hint="cs"/>
          <w:rtl/>
        </w:rPr>
        <w:t xml:space="preserve">בבג"ץ 1892/14 </w:t>
      </w:r>
      <w:r>
        <w:rPr>
          <w:rFonts w:hint="cs"/>
          <w:b/>
          <w:bCs/>
          <w:rtl/>
        </w:rPr>
        <w:t>האגודה לזכויות האזרח בישראל נ' השר לביטחון פנים</w:t>
      </w:r>
      <w:r>
        <w:rPr>
          <w:rFonts w:hint="cs"/>
          <w:rtl/>
        </w:rPr>
        <w:t xml:space="preserve"> (פורסם במאגר ממוחשב, 13.6.17) </w:t>
      </w:r>
      <w:r w:rsidRPr="00F36A18">
        <w:rPr>
          <w:rtl/>
        </w:rPr>
        <w:t xml:space="preserve">בקשר לשטח המחיה הרצוי </w:t>
      </w:r>
      <w:r>
        <w:rPr>
          <w:rFonts w:hint="cs"/>
          <w:rtl/>
        </w:rPr>
        <w:t>(ראו להלן בפרק "תנאי המעצר בשירות בתי הסוהר").</w:t>
      </w:r>
    </w:p>
  </w:footnote>
  <w:footnote w:id="88">
    <w:p w14:paraId="0F6D4A92" w14:textId="77777777" w:rsidR="004E3775" w:rsidRDefault="004E3775" w:rsidP="0042091E">
      <w:pPr>
        <w:pStyle w:val="a8"/>
        <w:rPr>
          <w:rtl/>
        </w:rPr>
      </w:pPr>
      <w:r w:rsidRPr="0042091E">
        <w:footnoteRef/>
      </w:r>
      <w:r w:rsidRPr="0042091E">
        <w:rPr>
          <w:rtl/>
        </w:rPr>
        <w:t xml:space="preserve"> </w:t>
      </w:r>
      <w:r w:rsidRPr="0042091E">
        <w:rPr>
          <w:rtl/>
        </w:rPr>
        <w:tab/>
      </w:r>
      <w:r w:rsidRPr="0042091E">
        <w:rPr>
          <w:rFonts w:hint="cs"/>
          <w:rtl/>
        </w:rPr>
        <w:t xml:space="preserve">לאור </w:t>
      </w:r>
      <w:r w:rsidRPr="0042091E">
        <w:rPr>
          <w:rFonts w:hint="cs"/>
          <w:rtl/>
        </w:rPr>
        <w:t>בג"ץ תנאי</w:t>
      </w:r>
      <w:r>
        <w:rPr>
          <w:rFonts w:hint="cs"/>
          <w:rtl/>
        </w:rPr>
        <w:t xml:space="preserve"> מחיה.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DA3E6" w14:textId="77777777" w:rsidR="00A96948" w:rsidRDefault="00A969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30C9" w14:textId="77777777" w:rsidR="00A96948" w:rsidRDefault="00A96948" w:rsidP="00A96948">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5408" behindDoc="1" locked="0" layoutInCell="1" allowOverlap="1" wp14:anchorId="46F365B6" wp14:editId="0291D708">
          <wp:simplePos x="0" y="0"/>
          <wp:positionH relativeFrom="column">
            <wp:posOffset>-635</wp:posOffset>
          </wp:positionH>
          <wp:positionV relativeFrom="paragraph">
            <wp:posOffset>-81915</wp:posOffset>
          </wp:positionV>
          <wp:extent cx="5219700" cy="3092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3</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79F731E2" w14:textId="77777777" w:rsidR="00A96948" w:rsidRPr="00A96948" w:rsidRDefault="00A96948" w:rsidP="00A969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4E3775" w:rsidRPr="00D15500" w:rsidRDefault="004E3775"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4E3775" w:rsidRPr="005B4811" w:rsidRDefault="004E377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7"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55538F" w:rsidRPr="005B4811" w:rsidRDefault="0055538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4E3775" w:rsidRPr="005B4811" w:rsidRDefault="004E377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8"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55538F" w:rsidRPr="005B4811" w:rsidRDefault="0055538F"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974AF"/>
    <w:multiLevelType w:val="multilevel"/>
    <w:tmpl w:val="E2E28BC6"/>
    <w:lvl w:ilvl="0">
      <w:start w:val="1"/>
      <w:numFmt w:val="decimal"/>
      <w:lvlText w:val="%1."/>
      <w:lvlJc w:val="left"/>
      <w:pPr>
        <w:ind w:left="3459" w:hanging="340"/>
      </w:pPr>
    </w:lvl>
    <w:lvl w:ilvl="1">
      <w:start w:val="1"/>
      <w:numFmt w:val="hebrew1"/>
      <w:lvlText w:val="%2."/>
      <w:lvlJc w:val="left"/>
      <w:pPr>
        <w:ind w:left="3799" w:hanging="340"/>
      </w:pPr>
    </w:lvl>
    <w:lvl w:ilvl="2">
      <w:start w:val="1"/>
      <w:numFmt w:val="decimal"/>
      <w:lvlText w:val="(%3)"/>
      <w:lvlJc w:val="left"/>
      <w:pPr>
        <w:ind w:left="4196" w:hanging="397"/>
      </w:pPr>
    </w:lvl>
    <w:lvl w:ilvl="3">
      <w:start w:val="1"/>
      <w:numFmt w:val="hebrew1"/>
      <w:lvlText w:val="(%4)"/>
      <w:lvlJc w:val="left"/>
      <w:pPr>
        <w:ind w:left="4593" w:hanging="397"/>
      </w:pPr>
    </w:lvl>
    <w:lvl w:ilvl="4">
      <w:start w:val="1"/>
      <w:numFmt w:val="lowerLetter"/>
      <w:lvlText w:val="(%5)"/>
      <w:lvlJc w:val="left"/>
      <w:pPr>
        <w:ind w:left="4916" w:hanging="357"/>
      </w:pPr>
    </w:lvl>
    <w:lvl w:ilvl="5">
      <w:start w:val="1"/>
      <w:numFmt w:val="lowerRoman"/>
      <w:lvlText w:val="(%6)"/>
      <w:lvlJc w:val="left"/>
      <w:pPr>
        <w:ind w:left="5279" w:hanging="363"/>
      </w:pPr>
    </w:lvl>
    <w:lvl w:ilvl="6">
      <w:start w:val="1"/>
      <w:numFmt w:val="decimal"/>
      <w:lvlText w:val="%7."/>
      <w:lvlJc w:val="left"/>
      <w:pPr>
        <w:ind w:left="5636" w:hanging="357"/>
      </w:pPr>
    </w:lvl>
    <w:lvl w:ilvl="7">
      <w:start w:val="1"/>
      <w:numFmt w:val="lowerLetter"/>
      <w:lvlText w:val="%8."/>
      <w:lvlJc w:val="left"/>
      <w:pPr>
        <w:ind w:left="5999" w:hanging="363"/>
      </w:pPr>
    </w:lvl>
    <w:lvl w:ilvl="8">
      <w:start w:val="1"/>
      <w:numFmt w:val="lowerRoman"/>
      <w:lvlText w:val="%9."/>
      <w:lvlJc w:val="left"/>
      <w:pPr>
        <w:ind w:left="6356" w:hanging="357"/>
      </w:pPr>
    </w:lvl>
  </w:abstractNum>
  <w:abstractNum w:abstractNumId="1" w15:restartNumberingAfterBreak="0">
    <w:nsid w:val="07C54509"/>
    <w:multiLevelType w:val="multilevel"/>
    <w:tmpl w:val="098CAE40"/>
    <w:lvl w:ilvl="0">
      <w:start w:val="1"/>
      <w:numFmt w:val="decimal"/>
      <w:pStyle w:val="a"/>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 w15:restartNumberingAfterBreak="0">
    <w:nsid w:val="2F2438B1"/>
    <w:multiLevelType w:val="multilevel"/>
    <w:tmpl w:val="E2E28B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BC1088C"/>
    <w:multiLevelType w:val="multilevel"/>
    <w:tmpl w:val="8D242E0C"/>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5487158E"/>
    <w:multiLevelType w:val="multilevel"/>
    <w:tmpl w:val="E2E28B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64FC6463"/>
    <w:multiLevelType w:val="multilevel"/>
    <w:tmpl w:val="BE88E54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6A2A0BA8"/>
    <w:multiLevelType w:val="hybridMultilevel"/>
    <w:tmpl w:val="56A2E8A6"/>
    <w:lvl w:ilvl="0" w:tplc="55CCF08E">
      <w:start w:val="1"/>
      <w:numFmt w:val="decimal"/>
      <w:lvlText w:val="%1."/>
      <w:lvlJc w:val="left"/>
      <w:pPr>
        <w:ind w:left="1032" w:hanging="360"/>
      </w:pPr>
      <w:rPr>
        <w:b w:val="0"/>
        <w:bCs w:val="0"/>
      </w:rPr>
    </w:lvl>
    <w:lvl w:ilvl="1" w:tplc="33549BE6" w:tentative="1">
      <w:start w:val="1"/>
      <w:numFmt w:val="lowerLetter"/>
      <w:lvlText w:val="%2."/>
      <w:lvlJc w:val="left"/>
      <w:pPr>
        <w:ind w:left="1752" w:hanging="360"/>
      </w:pPr>
    </w:lvl>
    <w:lvl w:ilvl="2" w:tplc="65143B26" w:tentative="1">
      <w:start w:val="1"/>
      <w:numFmt w:val="lowerRoman"/>
      <w:lvlText w:val="%3."/>
      <w:lvlJc w:val="right"/>
      <w:pPr>
        <w:ind w:left="2472" w:hanging="180"/>
      </w:pPr>
    </w:lvl>
    <w:lvl w:ilvl="3" w:tplc="77AEC762" w:tentative="1">
      <w:start w:val="1"/>
      <w:numFmt w:val="decimal"/>
      <w:lvlText w:val="%4."/>
      <w:lvlJc w:val="left"/>
      <w:pPr>
        <w:ind w:left="3192" w:hanging="360"/>
      </w:pPr>
    </w:lvl>
    <w:lvl w:ilvl="4" w:tplc="B17A2EDC" w:tentative="1">
      <w:start w:val="1"/>
      <w:numFmt w:val="lowerLetter"/>
      <w:lvlText w:val="%5."/>
      <w:lvlJc w:val="left"/>
      <w:pPr>
        <w:ind w:left="3912" w:hanging="360"/>
      </w:pPr>
    </w:lvl>
    <w:lvl w:ilvl="5" w:tplc="176E58DC" w:tentative="1">
      <w:start w:val="1"/>
      <w:numFmt w:val="lowerRoman"/>
      <w:lvlText w:val="%6."/>
      <w:lvlJc w:val="right"/>
      <w:pPr>
        <w:ind w:left="4632" w:hanging="180"/>
      </w:pPr>
    </w:lvl>
    <w:lvl w:ilvl="6" w:tplc="4B1E3AB8" w:tentative="1">
      <w:start w:val="1"/>
      <w:numFmt w:val="decimal"/>
      <w:lvlText w:val="%7."/>
      <w:lvlJc w:val="left"/>
      <w:pPr>
        <w:ind w:left="5352" w:hanging="360"/>
      </w:pPr>
    </w:lvl>
    <w:lvl w:ilvl="7" w:tplc="F76A5AD6" w:tentative="1">
      <w:start w:val="1"/>
      <w:numFmt w:val="lowerLetter"/>
      <w:lvlText w:val="%8."/>
      <w:lvlJc w:val="left"/>
      <w:pPr>
        <w:ind w:left="6072" w:hanging="360"/>
      </w:pPr>
    </w:lvl>
    <w:lvl w:ilvl="8" w:tplc="5384528C" w:tentative="1">
      <w:start w:val="1"/>
      <w:numFmt w:val="lowerRoman"/>
      <w:lvlText w:val="%9."/>
      <w:lvlJc w:val="right"/>
      <w:pPr>
        <w:ind w:left="6792" w:hanging="180"/>
      </w:pPr>
    </w:lvl>
  </w:abstractNum>
  <w:abstractNum w:abstractNumId="12" w15:restartNumberingAfterBreak="0">
    <w:nsid w:val="6DB6403D"/>
    <w:multiLevelType w:val="multilevel"/>
    <w:tmpl w:val="4978EF38"/>
    <w:lvl w:ilvl="0">
      <w:start w:val="1"/>
      <w:numFmt w:val="decimal"/>
      <w:lvlRestart w:val="0"/>
      <w:lvlText w:val="%1."/>
      <w:lvlJc w:val="left"/>
      <w:pPr>
        <w:ind w:left="340" w:hanging="340"/>
      </w:pPr>
      <w:rPr>
        <w:rFonts w:hint="default"/>
        <w:b w:val="0"/>
        <w:bCs w:val="0"/>
      </w:rPr>
    </w:lvl>
    <w:lvl w:ilvl="1">
      <w:start w:val="3"/>
      <w:numFmt w:val="decimal"/>
      <w:pStyle w:val="a4"/>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7D365B29"/>
    <w:multiLevelType w:val="multilevel"/>
    <w:tmpl w:val="1CE4B20E"/>
    <w:lvl w:ilvl="0">
      <w:start w:val="1"/>
      <w:numFmt w:val="hebrew1"/>
      <w:pStyle w:val="a5"/>
      <w:lvlText w:val="%1."/>
      <w:lvlJc w:val="left"/>
      <w:pPr>
        <w:ind w:left="663" w:hanging="340"/>
      </w:pPr>
      <w:rPr>
        <w:rFonts w:ascii="Tahoma" w:eastAsiaTheme="minorHAnsi" w:hAnsi="Tahoma" w:cs="Tahoma" w:hint="default"/>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
  </w:num>
  <w:num w:numId="2">
    <w:abstractNumId w:val="6"/>
  </w:num>
  <w:num w:numId="3">
    <w:abstractNumId w:val="12"/>
  </w:num>
  <w:num w:numId="4">
    <w:abstractNumId w:val="9"/>
  </w:num>
  <w:num w:numId="5">
    <w:abstractNumId w:val="3"/>
  </w:num>
  <w:num w:numId="6">
    <w:abstractNumId w:val="5"/>
  </w:num>
  <w:num w:numId="7">
    <w:abstractNumId w:val="13"/>
  </w:num>
  <w:num w:numId="8">
    <w:abstractNumId w:val="1"/>
  </w:num>
  <w:num w:numId="9">
    <w:abstractNumId w:val="7"/>
  </w:num>
  <w:num w:numId="10">
    <w:abstractNumId w:val="11"/>
  </w:num>
  <w:num w:numId="11">
    <w:abstractNumId w:val="0"/>
  </w:num>
  <w:num w:numId="12">
    <w:abstractNumId w:val="8"/>
  </w:num>
  <w:num w:numId="13">
    <w:abstractNumId w:val="4"/>
  </w:num>
  <w:num w:numId="14">
    <w:abstractNumId w:val="1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7"/>
  </w:num>
  <w:num w:numId="46">
    <w:abstractNumId w:val="6"/>
  </w:num>
  <w:num w:numId="47">
    <w:abstractNumId w:val="6"/>
  </w:num>
  <w:num w:numId="48">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735B"/>
    <w:rsid w:val="000206F1"/>
    <w:rsid w:val="00021FFB"/>
    <w:rsid w:val="00023E81"/>
    <w:rsid w:val="00024E0C"/>
    <w:rsid w:val="000251E2"/>
    <w:rsid w:val="0002582E"/>
    <w:rsid w:val="00026367"/>
    <w:rsid w:val="000264D7"/>
    <w:rsid w:val="00026ACC"/>
    <w:rsid w:val="0002705C"/>
    <w:rsid w:val="000303C9"/>
    <w:rsid w:val="00031C68"/>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931"/>
    <w:rsid w:val="000448BE"/>
    <w:rsid w:val="00045038"/>
    <w:rsid w:val="000456D3"/>
    <w:rsid w:val="00046670"/>
    <w:rsid w:val="000470AE"/>
    <w:rsid w:val="00047976"/>
    <w:rsid w:val="00047A92"/>
    <w:rsid w:val="000501A4"/>
    <w:rsid w:val="00050BDE"/>
    <w:rsid w:val="00050DDE"/>
    <w:rsid w:val="00052281"/>
    <w:rsid w:val="00052AE4"/>
    <w:rsid w:val="000532AA"/>
    <w:rsid w:val="00053AA7"/>
    <w:rsid w:val="00053D09"/>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5E8F"/>
    <w:rsid w:val="00066AF6"/>
    <w:rsid w:val="0006721D"/>
    <w:rsid w:val="000675B0"/>
    <w:rsid w:val="00067F12"/>
    <w:rsid w:val="00070E3F"/>
    <w:rsid w:val="000710A8"/>
    <w:rsid w:val="00072B83"/>
    <w:rsid w:val="00072BAD"/>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345D"/>
    <w:rsid w:val="00083692"/>
    <w:rsid w:val="00084E3A"/>
    <w:rsid w:val="00085086"/>
    <w:rsid w:val="00085B99"/>
    <w:rsid w:val="00086738"/>
    <w:rsid w:val="00086BCD"/>
    <w:rsid w:val="00091A72"/>
    <w:rsid w:val="00093E30"/>
    <w:rsid w:val="0009432F"/>
    <w:rsid w:val="00094702"/>
    <w:rsid w:val="00094D5D"/>
    <w:rsid w:val="00094F15"/>
    <w:rsid w:val="00096CF4"/>
    <w:rsid w:val="00097CDE"/>
    <w:rsid w:val="000A00AE"/>
    <w:rsid w:val="000A01F2"/>
    <w:rsid w:val="000A0884"/>
    <w:rsid w:val="000A0915"/>
    <w:rsid w:val="000A1610"/>
    <w:rsid w:val="000A26F1"/>
    <w:rsid w:val="000A2BD8"/>
    <w:rsid w:val="000A4686"/>
    <w:rsid w:val="000A5140"/>
    <w:rsid w:val="000A567C"/>
    <w:rsid w:val="000A5B75"/>
    <w:rsid w:val="000A65A9"/>
    <w:rsid w:val="000A69A7"/>
    <w:rsid w:val="000B1102"/>
    <w:rsid w:val="000B1C94"/>
    <w:rsid w:val="000B2074"/>
    <w:rsid w:val="000B28F6"/>
    <w:rsid w:val="000B2C5B"/>
    <w:rsid w:val="000B2DBE"/>
    <w:rsid w:val="000B3056"/>
    <w:rsid w:val="000B3A23"/>
    <w:rsid w:val="000B55BB"/>
    <w:rsid w:val="000B597C"/>
    <w:rsid w:val="000B6604"/>
    <w:rsid w:val="000B7912"/>
    <w:rsid w:val="000B7B95"/>
    <w:rsid w:val="000C05CB"/>
    <w:rsid w:val="000C0F17"/>
    <w:rsid w:val="000C164B"/>
    <w:rsid w:val="000C16F6"/>
    <w:rsid w:val="000C27DC"/>
    <w:rsid w:val="000C2AB9"/>
    <w:rsid w:val="000C404B"/>
    <w:rsid w:val="000C43E0"/>
    <w:rsid w:val="000C50A1"/>
    <w:rsid w:val="000C6AAF"/>
    <w:rsid w:val="000C7459"/>
    <w:rsid w:val="000D11EB"/>
    <w:rsid w:val="000D2056"/>
    <w:rsid w:val="000D22F0"/>
    <w:rsid w:val="000D2F93"/>
    <w:rsid w:val="000D5B81"/>
    <w:rsid w:val="000D5C0B"/>
    <w:rsid w:val="000E013E"/>
    <w:rsid w:val="000E1FBD"/>
    <w:rsid w:val="000E2359"/>
    <w:rsid w:val="000E23EA"/>
    <w:rsid w:val="000E2715"/>
    <w:rsid w:val="000E2B2C"/>
    <w:rsid w:val="000E3022"/>
    <w:rsid w:val="000E3D52"/>
    <w:rsid w:val="000E44FD"/>
    <w:rsid w:val="000E50E1"/>
    <w:rsid w:val="000E5149"/>
    <w:rsid w:val="000E56E5"/>
    <w:rsid w:val="000E5834"/>
    <w:rsid w:val="000E7622"/>
    <w:rsid w:val="000F00B6"/>
    <w:rsid w:val="000F158C"/>
    <w:rsid w:val="000F1DEA"/>
    <w:rsid w:val="000F2408"/>
    <w:rsid w:val="000F3700"/>
    <w:rsid w:val="000F4578"/>
    <w:rsid w:val="000F4B6E"/>
    <w:rsid w:val="000F60AB"/>
    <w:rsid w:val="000F6F38"/>
    <w:rsid w:val="000F7195"/>
    <w:rsid w:val="000F76A8"/>
    <w:rsid w:val="000F7725"/>
    <w:rsid w:val="000F78AE"/>
    <w:rsid w:val="00101681"/>
    <w:rsid w:val="00101BB0"/>
    <w:rsid w:val="00101D0F"/>
    <w:rsid w:val="0010231B"/>
    <w:rsid w:val="0010413A"/>
    <w:rsid w:val="00105970"/>
    <w:rsid w:val="00106A59"/>
    <w:rsid w:val="00107175"/>
    <w:rsid w:val="0010747A"/>
    <w:rsid w:val="00107A35"/>
    <w:rsid w:val="00107D4A"/>
    <w:rsid w:val="00111AD4"/>
    <w:rsid w:val="00111F8A"/>
    <w:rsid w:val="00112E28"/>
    <w:rsid w:val="00113C2F"/>
    <w:rsid w:val="00113E28"/>
    <w:rsid w:val="00114325"/>
    <w:rsid w:val="00114E4E"/>
    <w:rsid w:val="00115432"/>
    <w:rsid w:val="001157CE"/>
    <w:rsid w:val="00115E66"/>
    <w:rsid w:val="001172DF"/>
    <w:rsid w:val="00117408"/>
    <w:rsid w:val="00121EA1"/>
    <w:rsid w:val="0012279D"/>
    <w:rsid w:val="001239A8"/>
    <w:rsid w:val="001239E1"/>
    <w:rsid w:val="00124DC1"/>
    <w:rsid w:val="00125628"/>
    <w:rsid w:val="00125881"/>
    <w:rsid w:val="001264C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FF0"/>
    <w:rsid w:val="00140CC4"/>
    <w:rsid w:val="00141BD6"/>
    <w:rsid w:val="00142206"/>
    <w:rsid w:val="00143176"/>
    <w:rsid w:val="00143FFA"/>
    <w:rsid w:val="00144908"/>
    <w:rsid w:val="001451A4"/>
    <w:rsid w:val="001460BB"/>
    <w:rsid w:val="001466D7"/>
    <w:rsid w:val="0014715B"/>
    <w:rsid w:val="00150A48"/>
    <w:rsid w:val="00150BE4"/>
    <w:rsid w:val="00150BE7"/>
    <w:rsid w:val="00150BEB"/>
    <w:rsid w:val="00150CC9"/>
    <w:rsid w:val="00150F89"/>
    <w:rsid w:val="001526AC"/>
    <w:rsid w:val="00152C2F"/>
    <w:rsid w:val="00153149"/>
    <w:rsid w:val="00153A60"/>
    <w:rsid w:val="00153D95"/>
    <w:rsid w:val="00154091"/>
    <w:rsid w:val="0015454A"/>
    <w:rsid w:val="00154682"/>
    <w:rsid w:val="00154827"/>
    <w:rsid w:val="00155501"/>
    <w:rsid w:val="00156CAA"/>
    <w:rsid w:val="00156DEF"/>
    <w:rsid w:val="0015702B"/>
    <w:rsid w:val="00157577"/>
    <w:rsid w:val="00157D86"/>
    <w:rsid w:val="00160155"/>
    <w:rsid w:val="0016031C"/>
    <w:rsid w:val="00161124"/>
    <w:rsid w:val="001637C1"/>
    <w:rsid w:val="001643E4"/>
    <w:rsid w:val="00164534"/>
    <w:rsid w:val="00164B64"/>
    <w:rsid w:val="00164C99"/>
    <w:rsid w:val="00165385"/>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21A3"/>
    <w:rsid w:val="00182DC0"/>
    <w:rsid w:val="00183085"/>
    <w:rsid w:val="001839FA"/>
    <w:rsid w:val="00183DDC"/>
    <w:rsid w:val="0018586A"/>
    <w:rsid w:val="001858E5"/>
    <w:rsid w:val="00185B85"/>
    <w:rsid w:val="0018696E"/>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107E"/>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BB"/>
    <w:rsid w:val="001B3BE6"/>
    <w:rsid w:val="001B3EFA"/>
    <w:rsid w:val="001B41A2"/>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C5A02"/>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4FE7"/>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1A4"/>
    <w:rsid w:val="00225718"/>
    <w:rsid w:val="00225CAE"/>
    <w:rsid w:val="00227E88"/>
    <w:rsid w:val="00230B94"/>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370"/>
    <w:rsid w:val="0025068A"/>
    <w:rsid w:val="00250751"/>
    <w:rsid w:val="002516DF"/>
    <w:rsid w:val="00255877"/>
    <w:rsid w:val="0025701A"/>
    <w:rsid w:val="002575ED"/>
    <w:rsid w:val="00260BF5"/>
    <w:rsid w:val="00260D04"/>
    <w:rsid w:val="0026130F"/>
    <w:rsid w:val="00261C84"/>
    <w:rsid w:val="00263521"/>
    <w:rsid w:val="00263DB7"/>
    <w:rsid w:val="00266D07"/>
    <w:rsid w:val="0027101D"/>
    <w:rsid w:val="0027121E"/>
    <w:rsid w:val="0027188F"/>
    <w:rsid w:val="002739B2"/>
    <w:rsid w:val="00275A79"/>
    <w:rsid w:val="00276C6A"/>
    <w:rsid w:val="00276D55"/>
    <w:rsid w:val="002813A0"/>
    <w:rsid w:val="002841CB"/>
    <w:rsid w:val="00284ABA"/>
    <w:rsid w:val="00285EC0"/>
    <w:rsid w:val="0028686C"/>
    <w:rsid w:val="0028694C"/>
    <w:rsid w:val="00291775"/>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637F"/>
    <w:rsid w:val="002B65DC"/>
    <w:rsid w:val="002B6FB4"/>
    <w:rsid w:val="002C06EB"/>
    <w:rsid w:val="002C1D86"/>
    <w:rsid w:val="002C1EE0"/>
    <w:rsid w:val="002C28D3"/>
    <w:rsid w:val="002C2B0E"/>
    <w:rsid w:val="002C316A"/>
    <w:rsid w:val="002C3B87"/>
    <w:rsid w:val="002C3C3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9A4"/>
    <w:rsid w:val="002D6DBD"/>
    <w:rsid w:val="002D79C7"/>
    <w:rsid w:val="002E0151"/>
    <w:rsid w:val="002E01CC"/>
    <w:rsid w:val="002E188D"/>
    <w:rsid w:val="002E1E1F"/>
    <w:rsid w:val="002E2361"/>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A80"/>
    <w:rsid w:val="002F5B51"/>
    <w:rsid w:val="002F6FA5"/>
    <w:rsid w:val="002F724D"/>
    <w:rsid w:val="002F79A5"/>
    <w:rsid w:val="002F7C75"/>
    <w:rsid w:val="0030043A"/>
    <w:rsid w:val="0030114C"/>
    <w:rsid w:val="00301153"/>
    <w:rsid w:val="003020D6"/>
    <w:rsid w:val="00302134"/>
    <w:rsid w:val="00302DC7"/>
    <w:rsid w:val="0030338B"/>
    <w:rsid w:val="003038A7"/>
    <w:rsid w:val="00304E57"/>
    <w:rsid w:val="003050D0"/>
    <w:rsid w:val="0030516B"/>
    <w:rsid w:val="003067B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2765C"/>
    <w:rsid w:val="003318C2"/>
    <w:rsid w:val="00331914"/>
    <w:rsid w:val="00332F33"/>
    <w:rsid w:val="00333BC5"/>
    <w:rsid w:val="00334A65"/>
    <w:rsid w:val="00334D20"/>
    <w:rsid w:val="0033564C"/>
    <w:rsid w:val="003356A2"/>
    <w:rsid w:val="00335A0A"/>
    <w:rsid w:val="00337048"/>
    <w:rsid w:val="003370BA"/>
    <w:rsid w:val="00337846"/>
    <w:rsid w:val="0034038A"/>
    <w:rsid w:val="003405D2"/>
    <w:rsid w:val="003405E7"/>
    <w:rsid w:val="0034070F"/>
    <w:rsid w:val="00340C7C"/>
    <w:rsid w:val="00340D4D"/>
    <w:rsid w:val="0034149F"/>
    <w:rsid w:val="003423F0"/>
    <w:rsid w:val="00343B0B"/>
    <w:rsid w:val="00345868"/>
    <w:rsid w:val="0034637E"/>
    <w:rsid w:val="003466B0"/>
    <w:rsid w:val="00346930"/>
    <w:rsid w:val="00347612"/>
    <w:rsid w:val="003513C7"/>
    <w:rsid w:val="0035145F"/>
    <w:rsid w:val="00351F4E"/>
    <w:rsid w:val="0035448A"/>
    <w:rsid w:val="00355453"/>
    <w:rsid w:val="003559A1"/>
    <w:rsid w:val="00355B59"/>
    <w:rsid w:val="00356540"/>
    <w:rsid w:val="00356926"/>
    <w:rsid w:val="00356C79"/>
    <w:rsid w:val="003606C0"/>
    <w:rsid w:val="00363344"/>
    <w:rsid w:val="003633E1"/>
    <w:rsid w:val="00363FE3"/>
    <w:rsid w:val="003640C2"/>
    <w:rsid w:val="00364581"/>
    <w:rsid w:val="0036568B"/>
    <w:rsid w:val="00365C9E"/>
    <w:rsid w:val="00365D63"/>
    <w:rsid w:val="00365DC9"/>
    <w:rsid w:val="00365DE2"/>
    <w:rsid w:val="0036639F"/>
    <w:rsid w:val="003675CC"/>
    <w:rsid w:val="00367EE3"/>
    <w:rsid w:val="00371181"/>
    <w:rsid w:val="0037128C"/>
    <w:rsid w:val="00371316"/>
    <w:rsid w:val="00371B1D"/>
    <w:rsid w:val="00371E12"/>
    <w:rsid w:val="00372476"/>
    <w:rsid w:val="0037259B"/>
    <w:rsid w:val="0037289B"/>
    <w:rsid w:val="003729F9"/>
    <w:rsid w:val="0037370B"/>
    <w:rsid w:val="00373CE2"/>
    <w:rsid w:val="00375AE4"/>
    <w:rsid w:val="00375C87"/>
    <w:rsid w:val="00376061"/>
    <w:rsid w:val="00376625"/>
    <w:rsid w:val="0037752E"/>
    <w:rsid w:val="0037753E"/>
    <w:rsid w:val="00377B33"/>
    <w:rsid w:val="00380052"/>
    <w:rsid w:val="003806AE"/>
    <w:rsid w:val="00382741"/>
    <w:rsid w:val="00382981"/>
    <w:rsid w:val="003839AA"/>
    <w:rsid w:val="003843E4"/>
    <w:rsid w:val="00385426"/>
    <w:rsid w:val="00385CBB"/>
    <w:rsid w:val="003871CC"/>
    <w:rsid w:val="00387987"/>
    <w:rsid w:val="003907CF"/>
    <w:rsid w:val="00391776"/>
    <w:rsid w:val="00391943"/>
    <w:rsid w:val="00391D47"/>
    <w:rsid w:val="003926A8"/>
    <w:rsid w:val="003929A4"/>
    <w:rsid w:val="00392CEC"/>
    <w:rsid w:val="00392E92"/>
    <w:rsid w:val="003941E1"/>
    <w:rsid w:val="0039563E"/>
    <w:rsid w:val="0039592D"/>
    <w:rsid w:val="00396082"/>
    <w:rsid w:val="00396D3F"/>
    <w:rsid w:val="00396EB2"/>
    <w:rsid w:val="003971AD"/>
    <w:rsid w:val="00397234"/>
    <w:rsid w:val="00397C56"/>
    <w:rsid w:val="003A042B"/>
    <w:rsid w:val="003A08AE"/>
    <w:rsid w:val="003A0BD4"/>
    <w:rsid w:val="003A3D05"/>
    <w:rsid w:val="003A613A"/>
    <w:rsid w:val="003A66EF"/>
    <w:rsid w:val="003A769E"/>
    <w:rsid w:val="003A780A"/>
    <w:rsid w:val="003B166B"/>
    <w:rsid w:val="003B1F61"/>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81C"/>
    <w:rsid w:val="003C4F30"/>
    <w:rsid w:val="003C5044"/>
    <w:rsid w:val="003C5153"/>
    <w:rsid w:val="003C5BB1"/>
    <w:rsid w:val="003C6C20"/>
    <w:rsid w:val="003C7AD3"/>
    <w:rsid w:val="003C7B2D"/>
    <w:rsid w:val="003D0F91"/>
    <w:rsid w:val="003D16F2"/>
    <w:rsid w:val="003D1D5C"/>
    <w:rsid w:val="003D2796"/>
    <w:rsid w:val="003D2AE6"/>
    <w:rsid w:val="003D3C37"/>
    <w:rsid w:val="003D4194"/>
    <w:rsid w:val="003D43B8"/>
    <w:rsid w:val="003D5549"/>
    <w:rsid w:val="003D5B8A"/>
    <w:rsid w:val="003D5CAC"/>
    <w:rsid w:val="003D6CAC"/>
    <w:rsid w:val="003D6FE1"/>
    <w:rsid w:val="003D7383"/>
    <w:rsid w:val="003D7489"/>
    <w:rsid w:val="003E000E"/>
    <w:rsid w:val="003E009E"/>
    <w:rsid w:val="003E0ABC"/>
    <w:rsid w:val="003E364E"/>
    <w:rsid w:val="003E4D5A"/>
    <w:rsid w:val="003E58C2"/>
    <w:rsid w:val="003E5FCA"/>
    <w:rsid w:val="003E6F99"/>
    <w:rsid w:val="003E77E9"/>
    <w:rsid w:val="003E798E"/>
    <w:rsid w:val="003F06E0"/>
    <w:rsid w:val="003F0C61"/>
    <w:rsid w:val="003F0D90"/>
    <w:rsid w:val="003F0E51"/>
    <w:rsid w:val="003F1234"/>
    <w:rsid w:val="003F2708"/>
    <w:rsid w:val="003F316F"/>
    <w:rsid w:val="003F48CD"/>
    <w:rsid w:val="003F5B6A"/>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3464"/>
    <w:rsid w:val="00416D06"/>
    <w:rsid w:val="00417266"/>
    <w:rsid w:val="00417D4C"/>
    <w:rsid w:val="00420371"/>
    <w:rsid w:val="004204DC"/>
    <w:rsid w:val="004206BA"/>
    <w:rsid w:val="0042090E"/>
    <w:rsid w:val="0042091E"/>
    <w:rsid w:val="00420DB1"/>
    <w:rsid w:val="00421D2C"/>
    <w:rsid w:val="0042545B"/>
    <w:rsid w:val="00425E72"/>
    <w:rsid w:val="00425E85"/>
    <w:rsid w:val="00426862"/>
    <w:rsid w:val="00426CE7"/>
    <w:rsid w:val="004276E0"/>
    <w:rsid w:val="00427A72"/>
    <w:rsid w:val="00430277"/>
    <w:rsid w:val="00432A56"/>
    <w:rsid w:val="00434C19"/>
    <w:rsid w:val="00436048"/>
    <w:rsid w:val="0043662F"/>
    <w:rsid w:val="00436B23"/>
    <w:rsid w:val="00436B37"/>
    <w:rsid w:val="0043791D"/>
    <w:rsid w:val="00437D9B"/>
    <w:rsid w:val="00440C19"/>
    <w:rsid w:val="004413C7"/>
    <w:rsid w:val="004414E6"/>
    <w:rsid w:val="004424B2"/>
    <w:rsid w:val="004428A8"/>
    <w:rsid w:val="00442E2D"/>
    <w:rsid w:val="00443D1B"/>
    <w:rsid w:val="00444597"/>
    <w:rsid w:val="004453BB"/>
    <w:rsid w:val="00445522"/>
    <w:rsid w:val="004470C5"/>
    <w:rsid w:val="004474BB"/>
    <w:rsid w:val="00451A68"/>
    <w:rsid w:val="00451AA2"/>
    <w:rsid w:val="00451E5C"/>
    <w:rsid w:val="0045209D"/>
    <w:rsid w:val="00452950"/>
    <w:rsid w:val="00453265"/>
    <w:rsid w:val="004537EC"/>
    <w:rsid w:val="00453CEB"/>
    <w:rsid w:val="004547C8"/>
    <w:rsid w:val="00455BC0"/>
    <w:rsid w:val="00455C7E"/>
    <w:rsid w:val="00456A60"/>
    <w:rsid w:val="00456AD9"/>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7BA"/>
    <w:rsid w:val="004779AA"/>
    <w:rsid w:val="00477F44"/>
    <w:rsid w:val="00480011"/>
    <w:rsid w:val="00480107"/>
    <w:rsid w:val="004809CB"/>
    <w:rsid w:val="00482259"/>
    <w:rsid w:val="00482559"/>
    <w:rsid w:val="0048280E"/>
    <w:rsid w:val="00482C33"/>
    <w:rsid w:val="004833CE"/>
    <w:rsid w:val="004836A0"/>
    <w:rsid w:val="004845B2"/>
    <w:rsid w:val="00485309"/>
    <w:rsid w:val="00485787"/>
    <w:rsid w:val="00486172"/>
    <w:rsid w:val="004865D8"/>
    <w:rsid w:val="004875EB"/>
    <w:rsid w:val="0049015A"/>
    <w:rsid w:val="00491199"/>
    <w:rsid w:val="004919A3"/>
    <w:rsid w:val="00491D1E"/>
    <w:rsid w:val="00492D47"/>
    <w:rsid w:val="004930AA"/>
    <w:rsid w:val="004939B6"/>
    <w:rsid w:val="00493AE1"/>
    <w:rsid w:val="00493CBE"/>
    <w:rsid w:val="00494C49"/>
    <w:rsid w:val="004955D7"/>
    <w:rsid w:val="004965B9"/>
    <w:rsid w:val="00497103"/>
    <w:rsid w:val="004976B0"/>
    <w:rsid w:val="004A0385"/>
    <w:rsid w:val="004A07F3"/>
    <w:rsid w:val="004A0E02"/>
    <w:rsid w:val="004A0E75"/>
    <w:rsid w:val="004A144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6164"/>
    <w:rsid w:val="004B7C1A"/>
    <w:rsid w:val="004C0FFF"/>
    <w:rsid w:val="004C1B77"/>
    <w:rsid w:val="004C1BDC"/>
    <w:rsid w:val="004C2149"/>
    <w:rsid w:val="004C2531"/>
    <w:rsid w:val="004C2B02"/>
    <w:rsid w:val="004C3342"/>
    <w:rsid w:val="004C4396"/>
    <w:rsid w:val="004C4F65"/>
    <w:rsid w:val="004C6628"/>
    <w:rsid w:val="004C7A8F"/>
    <w:rsid w:val="004C7D9F"/>
    <w:rsid w:val="004D16BE"/>
    <w:rsid w:val="004D1983"/>
    <w:rsid w:val="004D1D1F"/>
    <w:rsid w:val="004D2869"/>
    <w:rsid w:val="004D2D0A"/>
    <w:rsid w:val="004D3387"/>
    <w:rsid w:val="004D38B0"/>
    <w:rsid w:val="004D3AAD"/>
    <w:rsid w:val="004D4C8A"/>
    <w:rsid w:val="004D5AD1"/>
    <w:rsid w:val="004D708B"/>
    <w:rsid w:val="004E0BE3"/>
    <w:rsid w:val="004E0E03"/>
    <w:rsid w:val="004E0F37"/>
    <w:rsid w:val="004E13FA"/>
    <w:rsid w:val="004E1D0E"/>
    <w:rsid w:val="004E1DB7"/>
    <w:rsid w:val="004E1E96"/>
    <w:rsid w:val="004E221D"/>
    <w:rsid w:val="004E229B"/>
    <w:rsid w:val="004E3112"/>
    <w:rsid w:val="004E3775"/>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4D9E"/>
    <w:rsid w:val="00505366"/>
    <w:rsid w:val="00510184"/>
    <w:rsid w:val="00510973"/>
    <w:rsid w:val="00510D89"/>
    <w:rsid w:val="00511F6D"/>
    <w:rsid w:val="005130A4"/>
    <w:rsid w:val="0051326F"/>
    <w:rsid w:val="00513F33"/>
    <w:rsid w:val="0051437C"/>
    <w:rsid w:val="005147FC"/>
    <w:rsid w:val="005158BE"/>
    <w:rsid w:val="00515C82"/>
    <w:rsid w:val="00516835"/>
    <w:rsid w:val="00516C15"/>
    <w:rsid w:val="00516FB8"/>
    <w:rsid w:val="00517613"/>
    <w:rsid w:val="00520C3B"/>
    <w:rsid w:val="00520C4B"/>
    <w:rsid w:val="0052156D"/>
    <w:rsid w:val="00521A4E"/>
    <w:rsid w:val="00522475"/>
    <w:rsid w:val="005227A0"/>
    <w:rsid w:val="0052289F"/>
    <w:rsid w:val="00522FC1"/>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623"/>
    <w:rsid w:val="005346A1"/>
    <w:rsid w:val="005352B7"/>
    <w:rsid w:val="00535D72"/>
    <w:rsid w:val="00536216"/>
    <w:rsid w:val="00536D35"/>
    <w:rsid w:val="005373BF"/>
    <w:rsid w:val="005379CF"/>
    <w:rsid w:val="00537EE4"/>
    <w:rsid w:val="005402FF"/>
    <w:rsid w:val="005408D0"/>
    <w:rsid w:val="00540A49"/>
    <w:rsid w:val="00540FF0"/>
    <w:rsid w:val="005413A3"/>
    <w:rsid w:val="00542C8D"/>
    <w:rsid w:val="00542CDA"/>
    <w:rsid w:val="00542EA3"/>
    <w:rsid w:val="00543699"/>
    <w:rsid w:val="00543A22"/>
    <w:rsid w:val="0054509A"/>
    <w:rsid w:val="00545927"/>
    <w:rsid w:val="005474F6"/>
    <w:rsid w:val="00547C0F"/>
    <w:rsid w:val="00550BA0"/>
    <w:rsid w:val="00550E94"/>
    <w:rsid w:val="00551B42"/>
    <w:rsid w:val="00551DB7"/>
    <w:rsid w:val="00553469"/>
    <w:rsid w:val="00554315"/>
    <w:rsid w:val="00554AAD"/>
    <w:rsid w:val="0055538F"/>
    <w:rsid w:val="005554C5"/>
    <w:rsid w:val="005559D1"/>
    <w:rsid w:val="00555D63"/>
    <w:rsid w:val="00556192"/>
    <w:rsid w:val="005565B2"/>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529"/>
    <w:rsid w:val="00576867"/>
    <w:rsid w:val="00576D2C"/>
    <w:rsid w:val="00576EFD"/>
    <w:rsid w:val="00580508"/>
    <w:rsid w:val="00580C5C"/>
    <w:rsid w:val="00580DA8"/>
    <w:rsid w:val="00580F79"/>
    <w:rsid w:val="0058142E"/>
    <w:rsid w:val="00583B95"/>
    <w:rsid w:val="005850FD"/>
    <w:rsid w:val="0058597D"/>
    <w:rsid w:val="00585BB5"/>
    <w:rsid w:val="00585F34"/>
    <w:rsid w:val="00587DC2"/>
    <w:rsid w:val="005906E5"/>
    <w:rsid w:val="00590EBE"/>
    <w:rsid w:val="0059185F"/>
    <w:rsid w:val="00592EBE"/>
    <w:rsid w:val="005950C8"/>
    <w:rsid w:val="0059531A"/>
    <w:rsid w:val="0059595B"/>
    <w:rsid w:val="00595A3D"/>
    <w:rsid w:val="00595D44"/>
    <w:rsid w:val="0059614A"/>
    <w:rsid w:val="005963B4"/>
    <w:rsid w:val="005977BF"/>
    <w:rsid w:val="0059796B"/>
    <w:rsid w:val="005A021D"/>
    <w:rsid w:val="005A0CEA"/>
    <w:rsid w:val="005A1450"/>
    <w:rsid w:val="005A190A"/>
    <w:rsid w:val="005A1A1B"/>
    <w:rsid w:val="005A20C9"/>
    <w:rsid w:val="005A2216"/>
    <w:rsid w:val="005A24B5"/>
    <w:rsid w:val="005A2CFC"/>
    <w:rsid w:val="005A40BA"/>
    <w:rsid w:val="005A504A"/>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63E4"/>
    <w:rsid w:val="005B6AB5"/>
    <w:rsid w:val="005B6CCC"/>
    <w:rsid w:val="005B6E3A"/>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EAC"/>
    <w:rsid w:val="005D66B0"/>
    <w:rsid w:val="005D6BA1"/>
    <w:rsid w:val="005D6C63"/>
    <w:rsid w:val="005D7598"/>
    <w:rsid w:val="005E009F"/>
    <w:rsid w:val="005E1528"/>
    <w:rsid w:val="005E2189"/>
    <w:rsid w:val="005E25F7"/>
    <w:rsid w:val="005E2A5A"/>
    <w:rsid w:val="005E2C15"/>
    <w:rsid w:val="005E3DDA"/>
    <w:rsid w:val="005E46DC"/>
    <w:rsid w:val="005E4C95"/>
    <w:rsid w:val="005E58A5"/>
    <w:rsid w:val="005F00DC"/>
    <w:rsid w:val="005F038B"/>
    <w:rsid w:val="005F0B3C"/>
    <w:rsid w:val="005F0E3E"/>
    <w:rsid w:val="005F11CE"/>
    <w:rsid w:val="005F2129"/>
    <w:rsid w:val="005F27EF"/>
    <w:rsid w:val="005F3AEF"/>
    <w:rsid w:val="005F492A"/>
    <w:rsid w:val="005F49D2"/>
    <w:rsid w:val="005F4CED"/>
    <w:rsid w:val="005F5352"/>
    <w:rsid w:val="005F5527"/>
    <w:rsid w:val="005F6F91"/>
    <w:rsid w:val="00600F74"/>
    <w:rsid w:val="00603ABE"/>
    <w:rsid w:val="00603F19"/>
    <w:rsid w:val="00604D69"/>
    <w:rsid w:val="006052E4"/>
    <w:rsid w:val="00605442"/>
    <w:rsid w:val="00607532"/>
    <w:rsid w:val="00607C9B"/>
    <w:rsid w:val="00610930"/>
    <w:rsid w:val="00610B37"/>
    <w:rsid w:val="00611216"/>
    <w:rsid w:val="006125B0"/>
    <w:rsid w:val="00612FC6"/>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B35"/>
    <w:rsid w:val="006454AC"/>
    <w:rsid w:val="006457EB"/>
    <w:rsid w:val="00650191"/>
    <w:rsid w:val="00650351"/>
    <w:rsid w:val="006505DC"/>
    <w:rsid w:val="00650BE0"/>
    <w:rsid w:val="006514C8"/>
    <w:rsid w:val="00651605"/>
    <w:rsid w:val="006516A6"/>
    <w:rsid w:val="00651A21"/>
    <w:rsid w:val="00651FD1"/>
    <w:rsid w:val="006531CB"/>
    <w:rsid w:val="00653453"/>
    <w:rsid w:val="00653F03"/>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760C"/>
    <w:rsid w:val="00667ABB"/>
    <w:rsid w:val="00670B88"/>
    <w:rsid w:val="00670E84"/>
    <w:rsid w:val="0067240D"/>
    <w:rsid w:val="006726E0"/>
    <w:rsid w:val="00674A96"/>
    <w:rsid w:val="006750F1"/>
    <w:rsid w:val="00675A81"/>
    <w:rsid w:val="0067643D"/>
    <w:rsid w:val="0067675D"/>
    <w:rsid w:val="00677C73"/>
    <w:rsid w:val="00677F7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7E8B"/>
    <w:rsid w:val="006A040F"/>
    <w:rsid w:val="006A1039"/>
    <w:rsid w:val="006A21AF"/>
    <w:rsid w:val="006A2D1D"/>
    <w:rsid w:val="006A49AE"/>
    <w:rsid w:val="006A4C49"/>
    <w:rsid w:val="006A5A4C"/>
    <w:rsid w:val="006A6846"/>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C3"/>
    <w:rsid w:val="006C4D54"/>
    <w:rsid w:val="006C58DF"/>
    <w:rsid w:val="006C5DF4"/>
    <w:rsid w:val="006C7199"/>
    <w:rsid w:val="006C7422"/>
    <w:rsid w:val="006D0087"/>
    <w:rsid w:val="006D04D2"/>
    <w:rsid w:val="006D167F"/>
    <w:rsid w:val="006D176D"/>
    <w:rsid w:val="006D280F"/>
    <w:rsid w:val="006D383A"/>
    <w:rsid w:val="006D4161"/>
    <w:rsid w:val="006D5CCE"/>
    <w:rsid w:val="006D6131"/>
    <w:rsid w:val="006D66B2"/>
    <w:rsid w:val="006D6CC0"/>
    <w:rsid w:val="006D6DC4"/>
    <w:rsid w:val="006D76F3"/>
    <w:rsid w:val="006D786C"/>
    <w:rsid w:val="006D795F"/>
    <w:rsid w:val="006D79E4"/>
    <w:rsid w:val="006D7BA7"/>
    <w:rsid w:val="006E02ED"/>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787E"/>
    <w:rsid w:val="006F0215"/>
    <w:rsid w:val="006F10E1"/>
    <w:rsid w:val="006F11DD"/>
    <w:rsid w:val="006F161B"/>
    <w:rsid w:val="006F19AA"/>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2455"/>
    <w:rsid w:val="0073326F"/>
    <w:rsid w:val="0073378E"/>
    <w:rsid w:val="007343B1"/>
    <w:rsid w:val="00734516"/>
    <w:rsid w:val="00734D2F"/>
    <w:rsid w:val="00735043"/>
    <w:rsid w:val="00736983"/>
    <w:rsid w:val="00737520"/>
    <w:rsid w:val="007406F6"/>
    <w:rsid w:val="00740C3E"/>
    <w:rsid w:val="00742601"/>
    <w:rsid w:val="0074450C"/>
    <w:rsid w:val="00744632"/>
    <w:rsid w:val="00744A32"/>
    <w:rsid w:val="00744A94"/>
    <w:rsid w:val="007452B3"/>
    <w:rsid w:val="0074683C"/>
    <w:rsid w:val="00746F99"/>
    <w:rsid w:val="007474F0"/>
    <w:rsid w:val="00747AC3"/>
    <w:rsid w:val="00750F58"/>
    <w:rsid w:val="007524DB"/>
    <w:rsid w:val="007526C7"/>
    <w:rsid w:val="007536B9"/>
    <w:rsid w:val="00753941"/>
    <w:rsid w:val="00753A65"/>
    <w:rsid w:val="00753ADE"/>
    <w:rsid w:val="00756E3A"/>
    <w:rsid w:val="0075719C"/>
    <w:rsid w:val="00757B56"/>
    <w:rsid w:val="00760B67"/>
    <w:rsid w:val="00761CE2"/>
    <w:rsid w:val="00761E1F"/>
    <w:rsid w:val="00761E43"/>
    <w:rsid w:val="00763CCF"/>
    <w:rsid w:val="00763E35"/>
    <w:rsid w:val="00764C13"/>
    <w:rsid w:val="00766829"/>
    <w:rsid w:val="00766AEC"/>
    <w:rsid w:val="0077170D"/>
    <w:rsid w:val="00771F85"/>
    <w:rsid w:val="00772487"/>
    <w:rsid w:val="00772730"/>
    <w:rsid w:val="00773308"/>
    <w:rsid w:val="0077389E"/>
    <w:rsid w:val="00773906"/>
    <w:rsid w:val="00773F61"/>
    <w:rsid w:val="00774E68"/>
    <w:rsid w:val="0077505C"/>
    <w:rsid w:val="0077594D"/>
    <w:rsid w:val="007761EE"/>
    <w:rsid w:val="0077727E"/>
    <w:rsid w:val="00777388"/>
    <w:rsid w:val="00777DAD"/>
    <w:rsid w:val="00780097"/>
    <w:rsid w:val="007809A9"/>
    <w:rsid w:val="00780D40"/>
    <w:rsid w:val="00781F3B"/>
    <w:rsid w:val="00784D2F"/>
    <w:rsid w:val="00784F53"/>
    <w:rsid w:val="00786364"/>
    <w:rsid w:val="00787591"/>
    <w:rsid w:val="00787AC0"/>
    <w:rsid w:val="00791581"/>
    <w:rsid w:val="00792B80"/>
    <w:rsid w:val="007938BB"/>
    <w:rsid w:val="00795121"/>
    <w:rsid w:val="00795C02"/>
    <w:rsid w:val="00795E68"/>
    <w:rsid w:val="00795F23"/>
    <w:rsid w:val="00796843"/>
    <w:rsid w:val="0079764A"/>
    <w:rsid w:val="007A0926"/>
    <w:rsid w:val="007A1E36"/>
    <w:rsid w:val="007A3ACB"/>
    <w:rsid w:val="007A3DF5"/>
    <w:rsid w:val="007A3F08"/>
    <w:rsid w:val="007A4DFA"/>
    <w:rsid w:val="007A4EBD"/>
    <w:rsid w:val="007A521B"/>
    <w:rsid w:val="007A54C1"/>
    <w:rsid w:val="007A711B"/>
    <w:rsid w:val="007A75A0"/>
    <w:rsid w:val="007A7E74"/>
    <w:rsid w:val="007A7F2A"/>
    <w:rsid w:val="007B0184"/>
    <w:rsid w:val="007B06A5"/>
    <w:rsid w:val="007B0C46"/>
    <w:rsid w:val="007B112B"/>
    <w:rsid w:val="007B566B"/>
    <w:rsid w:val="007B5B26"/>
    <w:rsid w:val="007B619F"/>
    <w:rsid w:val="007B687A"/>
    <w:rsid w:val="007B691A"/>
    <w:rsid w:val="007B6D25"/>
    <w:rsid w:val="007B78B6"/>
    <w:rsid w:val="007C0288"/>
    <w:rsid w:val="007C0832"/>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6FD1"/>
    <w:rsid w:val="007E750F"/>
    <w:rsid w:val="007E7D7C"/>
    <w:rsid w:val="007F02E3"/>
    <w:rsid w:val="007F1621"/>
    <w:rsid w:val="007F1D4F"/>
    <w:rsid w:val="007F253B"/>
    <w:rsid w:val="007F34DE"/>
    <w:rsid w:val="007F34EB"/>
    <w:rsid w:val="007F3B2C"/>
    <w:rsid w:val="007F42D5"/>
    <w:rsid w:val="007F4A1B"/>
    <w:rsid w:val="007F4AD9"/>
    <w:rsid w:val="007F53B3"/>
    <w:rsid w:val="007F572D"/>
    <w:rsid w:val="007F5D02"/>
    <w:rsid w:val="007F6056"/>
    <w:rsid w:val="007F7FF2"/>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0FC9"/>
    <w:rsid w:val="0081167C"/>
    <w:rsid w:val="0081297F"/>
    <w:rsid w:val="00815EB6"/>
    <w:rsid w:val="008166A5"/>
    <w:rsid w:val="008168F8"/>
    <w:rsid w:val="00820393"/>
    <w:rsid w:val="008203CF"/>
    <w:rsid w:val="008205CA"/>
    <w:rsid w:val="00820603"/>
    <w:rsid w:val="0082350D"/>
    <w:rsid w:val="00823E80"/>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561"/>
    <w:rsid w:val="00842BBF"/>
    <w:rsid w:val="00842F70"/>
    <w:rsid w:val="00844CA1"/>
    <w:rsid w:val="00845894"/>
    <w:rsid w:val="00845E79"/>
    <w:rsid w:val="00845E9A"/>
    <w:rsid w:val="0084668B"/>
    <w:rsid w:val="008474A5"/>
    <w:rsid w:val="008478AA"/>
    <w:rsid w:val="00847B0A"/>
    <w:rsid w:val="00847B8A"/>
    <w:rsid w:val="00847C79"/>
    <w:rsid w:val="00847D4E"/>
    <w:rsid w:val="00850599"/>
    <w:rsid w:val="00850910"/>
    <w:rsid w:val="008511EC"/>
    <w:rsid w:val="00851CD4"/>
    <w:rsid w:val="00851FD3"/>
    <w:rsid w:val="00852213"/>
    <w:rsid w:val="0085238A"/>
    <w:rsid w:val="008524EB"/>
    <w:rsid w:val="00852890"/>
    <w:rsid w:val="0085318D"/>
    <w:rsid w:val="008565BC"/>
    <w:rsid w:val="00856648"/>
    <w:rsid w:val="00856A67"/>
    <w:rsid w:val="008573F9"/>
    <w:rsid w:val="008576E3"/>
    <w:rsid w:val="00857D59"/>
    <w:rsid w:val="00861731"/>
    <w:rsid w:val="0086190F"/>
    <w:rsid w:val="00862862"/>
    <w:rsid w:val="00863B4F"/>
    <w:rsid w:val="00864147"/>
    <w:rsid w:val="008642D0"/>
    <w:rsid w:val="0086437F"/>
    <w:rsid w:val="0086613E"/>
    <w:rsid w:val="008676E6"/>
    <w:rsid w:val="00867ECB"/>
    <w:rsid w:val="00867FC5"/>
    <w:rsid w:val="008714DB"/>
    <w:rsid w:val="00871B57"/>
    <w:rsid w:val="00871E21"/>
    <w:rsid w:val="0087267C"/>
    <w:rsid w:val="008747C9"/>
    <w:rsid w:val="00875402"/>
    <w:rsid w:val="00875449"/>
    <w:rsid w:val="00875858"/>
    <w:rsid w:val="00876359"/>
    <w:rsid w:val="00876705"/>
    <w:rsid w:val="00877544"/>
    <w:rsid w:val="00877E88"/>
    <w:rsid w:val="0088002F"/>
    <w:rsid w:val="008802A2"/>
    <w:rsid w:val="00881072"/>
    <w:rsid w:val="008816A3"/>
    <w:rsid w:val="008829F7"/>
    <w:rsid w:val="00882B35"/>
    <w:rsid w:val="00882E18"/>
    <w:rsid w:val="00884B09"/>
    <w:rsid w:val="00885345"/>
    <w:rsid w:val="00885469"/>
    <w:rsid w:val="008865D6"/>
    <w:rsid w:val="008866DF"/>
    <w:rsid w:val="00886AEF"/>
    <w:rsid w:val="00887178"/>
    <w:rsid w:val="0088747B"/>
    <w:rsid w:val="008879D3"/>
    <w:rsid w:val="00890168"/>
    <w:rsid w:val="00890A6C"/>
    <w:rsid w:val="00890D9C"/>
    <w:rsid w:val="0089140B"/>
    <w:rsid w:val="00892310"/>
    <w:rsid w:val="00892F80"/>
    <w:rsid w:val="00893A03"/>
    <w:rsid w:val="00894610"/>
    <w:rsid w:val="00894E27"/>
    <w:rsid w:val="00895566"/>
    <w:rsid w:val="00895CB8"/>
    <w:rsid w:val="00895E96"/>
    <w:rsid w:val="0089661E"/>
    <w:rsid w:val="00896C38"/>
    <w:rsid w:val="00897D19"/>
    <w:rsid w:val="00897F55"/>
    <w:rsid w:val="008A056C"/>
    <w:rsid w:val="008A0C03"/>
    <w:rsid w:val="008A0D84"/>
    <w:rsid w:val="008A14DB"/>
    <w:rsid w:val="008A1A62"/>
    <w:rsid w:val="008A1D01"/>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31F7"/>
    <w:rsid w:val="008B33C0"/>
    <w:rsid w:val="008B3522"/>
    <w:rsid w:val="008B3869"/>
    <w:rsid w:val="008B4256"/>
    <w:rsid w:val="008B468D"/>
    <w:rsid w:val="008B4F41"/>
    <w:rsid w:val="008B5F0A"/>
    <w:rsid w:val="008B6972"/>
    <w:rsid w:val="008C07C7"/>
    <w:rsid w:val="008C0E17"/>
    <w:rsid w:val="008C1E1E"/>
    <w:rsid w:val="008C2AB9"/>
    <w:rsid w:val="008C3674"/>
    <w:rsid w:val="008C3DBB"/>
    <w:rsid w:val="008C4092"/>
    <w:rsid w:val="008C5036"/>
    <w:rsid w:val="008C61AE"/>
    <w:rsid w:val="008C6F75"/>
    <w:rsid w:val="008C6FC4"/>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9D0"/>
    <w:rsid w:val="008E4F24"/>
    <w:rsid w:val="008E5512"/>
    <w:rsid w:val="008E59C0"/>
    <w:rsid w:val="008E76F8"/>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30A0"/>
    <w:rsid w:val="009040D4"/>
    <w:rsid w:val="00904723"/>
    <w:rsid w:val="00905ACD"/>
    <w:rsid w:val="00906209"/>
    <w:rsid w:val="0090659B"/>
    <w:rsid w:val="0090660F"/>
    <w:rsid w:val="00906D38"/>
    <w:rsid w:val="00906E90"/>
    <w:rsid w:val="00906F53"/>
    <w:rsid w:val="0091051D"/>
    <w:rsid w:val="00910533"/>
    <w:rsid w:val="00910C50"/>
    <w:rsid w:val="00912CB8"/>
    <w:rsid w:val="00913C62"/>
    <w:rsid w:val="00916484"/>
    <w:rsid w:val="00916B7D"/>
    <w:rsid w:val="00916F2F"/>
    <w:rsid w:val="00917575"/>
    <w:rsid w:val="009176BF"/>
    <w:rsid w:val="00917ABD"/>
    <w:rsid w:val="00920136"/>
    <w:rsid w:val="009209E3"/>
    <w:rsid w:val="00921847"/>
    <w:rsid w:val="0092228B"/>
    <w:rsid w:val="00923216"/>
    <w:rsid w:val="00923A33"/>
    <w:rsid w:val="00923DB7"/>
    <w:rsid w:val="009261BF"/>
    <w:rsid w:val="009266A4"/>
    <w:rsid w:val="00926AD5"/>
    <w:rsid w:val="00926EC9"/>
    <w:rsid w:val="009272C6"/>
    <w:rsid w:val="009313EE"/>
    <w:rsid w:val="00931A9D"/>
    <w:rsid w:val="00931E55"/>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DAF"/>
    <w:rsid w:val="00961EF6"/>
    <w:rsid w:val="00962780"/>
    <w:rsid w:val="00962B87"/>
    <w:rsid w:val="00962FF1"/>
    <w:rsid w:val="009630CE"/>
    <w:rsid w:val="00963F0C"/>
    <w:rsid w:val="009641AD"/>
    <w:rsid w:val="00965427"/>
    <w:rsid w:val="00965842"/>
    <w:rsid w:val="009679D9"/>
    <w:rsid w:val="009703F8"/>
    <w:rsid w:val="0097067B"/>
    <w:rsid w:val="009712AE"/>
    <w:rsid w:val="009717F7"/>
    <w:rsid w:val="00971BE0"/>
    <w:rsid w:val="00971EFA"/>
    <w:rsid w:val="0097253D"/>
    <w:rsid w:val="009725A2"/>
    <w:rsid w:val="00972CE5"/>
    <w:rsid w:val="00972F16"/>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90506"/>
    <w:rsid w:val="00990F79"/>
    <w:rsid w:val="009910DC"/>
    <w:rsid w:val="0099172C"/>
    <w:rsid w:val="00991B19"/>
    <w:rsid w:val="00993599"/>
    <w:rsid w:val="009974A8"/>
    <w:rsid w:val="009975C9"/>
    <w:rsid w:val="009A0A09"/>
    <w:rsid w:val="009A245B"/>
    <w:rsid w:val="009A2516"/>
    <w:rsid w:val="009A2FAA"/>
    <w:rsid w:val="009A3852"/>
    <w:rsid w:val="009A4788"/>
    <w:rsid w:val="009B10AE"/>
    <w:rsid w:val="009B1690"/>
    <w:rsid w:val="009B18D7"/>
    <w:rsid w:val="009B23EE"/>
    <w:rsid w:val="009B3610"/>
    <w:rsid w:val="009B37D3"/>
    <w:rsid w:val="009B4C61"/>
    <w:rsid w:val="009B4CE0"/>
    <w:rsid w:val="009B54CF"/>
    <w:rsid w:val="009B5A8C"/>
    <w:rsid w:val="009B5C74"/>
    <w:rsid w:val="009B661E"/>
    <w:rsid w:val="009B68A4"/>
    <w:rsid w:val="009B75F0"/>
    <w:rsid w:val="009B7987"/>
    <w:rsid w:val="009C01B9"/>
    <w:rsid w:val="009C0342"/>
    <w:rsid w:val="009C0408"/>
    <w:rsid w:val="009C161A"/>
    <w:rsid w:val="009C1E60"/>
    <w:rsid w:val="009C3C12"/>
    <w:rsid w:val="009C4088"/>
    <w:rsid w:val="009C718C"/>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564F"/>
    <w:rsid w:val="009E6184"/>
    <w:rsid w:val="009E655C"/>
    <w:rsid w:val="009E6F2E"/>
    <w:rsid w:val="009F0BD3"/>
    <w:rsid w:val="009F3218"/>
    <w:rsid w:val="009F394C"/>
    <w:rsid w:val="009F556C"/>
    <w:rsid w:val="009F7F2B"/>
    <w:rsid w:val="00A0001D"/>
    <w:rsid w:val="00A01037"/>
    <w:rsid w:val="00A0119C"/>
    <w:rsid w:val="00A017D4"/>
    <w:rsid w:val="00A03332"/>
    <w:rsid w:val="00A03771"/>
    <w:rsid w:val="00A0541B"/>
    <w:rsid w:val="00A06208"/>
    <w:rsid w:val="00A0628B"/>
    <w:rsid w:val="00A1016F"/>
    <w:rsid w:val="00A10996"/>
    <w:rsid w:val="00A10C18"/>
    <w:rsid w:val="00A10EC9"/>
    <w:rsid w:val="00A11F7F"/>
    <w:rsid w:val="00A12648"/>
    <w:rsid w:val="00A13855"/>
    <w:rsid w:val="00A140A3"/>
    <w:rsid w:val="00A15500"/>
    <w:rsid w:val="00A155A6"/>
    <w:rsid w:val="00A15B34"/>
    <w:rsid w:val="00A16421"/>
    <w:rsid w:val="00A1647B"/>
    <w:rsid w:val="00A177A3"/>
    <w:rsid w:val="00A17907"/>
    <w:rsid w:val="00A20EFE"/>
    <w:rsid w:val="00A21556"/>
    <w:rsid w:val="00A21903"/>
    <w:rsid w:val="00A22AF7"/>
    <w:rsid w:val="00A2551C"/>
    <w:rsid w:val="00A25C16"/>
    <w:rsid w:val="00A30028"/>
    <w:rsid w:val="00A300BC"/>
    <w:rsid w:val="00A301EF"/>
    <w:rsid w:val="00A3040F"/>
    <w:rsid w:val="00A3123A"/>
    <w:rsid w:val="00A3168A"/>
    <w:rsid w:val="00A31CD2"/>
    <w:rsid w:val="00A32EFA"/>
    <w:rsid w:val="00A339B5"/>
    <w:rsid w:val="00A339FB"/>
    <w:rsid w:val="00A348FE"/>
    <w:rsid w:val="00A35D28"/>
    <w:rsid w:val="00A35E53"/>
    <w:rsid w:val="00A36254"/>
    <w:rsid w:val="00A3635F"/>
    <w:rsid w:val="00A36916"/>
    <w:rsid w:val="00A36941"/>
    <w:rsid w:val="00A3747B"/>
    <w:rsid w:val="00A37995"/>
    <w:rsid w:val="00A37F16"/>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2DEF"/>
    <w:rsid w:val="00A637C6"/>
    <w:rsid w:val="00A63824"/>
    <w:rsid w:val="00A63A5F"/>
    <w:rsid w:val="00A63D9A"/>
    <w:rsid w:val="00A63FAB"/>
    <w:rsid w:val="00A6458B"/>
    <w:rsid w:val="00A64C0E"/>
    <w:rsid w:val="00A65327"/>
    <w:rsid w:val="00A653AC"/>
    <w:rsid w:val="00A65BF7"/>
    <w:rsid w:val="00A65DCD"/>
    <w:rsid w:val="00A66E2A"/>
    <w:rsid w:val="00A67E6C"/>
    <w:rsid w:val="00A67FE1"/>
    <w:rsid w:val="00A70081"/>
    <w:rsid w:val="00A7067D"/>
    <w:rsid w:val="00A7189A"/>
    <w:rsid w:val="00A71A17"/>
    <w:rsid w:val="00A71C9E"/>
    <w:rsid w:val="00A71DDE"/>
    <w:rsid w:val="00A7228B"/>
    <w:rsid w:val="00A72A7B"/>
    <w:rsid w:val="00A72B75"/>
    <w:rsid w:val="00A73038"/>
    <w:rsid w:val="00A73F8D"/>
    <w:rsid w:val="00A749FD"/>
    <w:rsid w:val="00A74B8A"/>
    <w:rsid w:val="00A74C77"/>
    <w:rsid w:val="00A74D94"/>
    <w:rsid w:val="00A75387"/>
    <w:rsid w:val="00A758BE"/>
    <w:rsid w:val="00A75C2A"/>
    <w:rsid w:val="00A76C99"/>
    <w:rsid w:val="00A76F14"/>
    <w:rsid w:val="00A775D5"/>
    <w:rsid w:val="00A800C8"/>
    <w:rsid w:val="00A80C7B"/>
    <w:rsid w:val="00A811CB"/>
    <w:rsid w:val="00A81D2F"/>
    <w:rsid w:val="00A81E59"/>
    <w:rsid w:val="00A81EBE"/>
    <w:rsid w:val="00A826F1"/>
    <w:rsid w:val="00A82D02"/>
    <w:rsid w:val="00A84364"/>
    <w:rsid w:val="00A84CD0"/>
    <w:rsid w:val="00A85E73"/>
    <w:rsid w:val="00A915F4"/>
    <w:rsid w:val="00A917A9"/>
    <w:rsid w:val="00A91C36"/>
    <w:rsid w:val="00A91D41"/>
    <w:rsid w:val="00A9684D"/>
    <w:rsid w:val="00A96948"/>
    <w:rsid w:val="00A97402"/>
    <w:rsid w:val="00A97873"/>
    <w:rsid w:val="00AA0B30"/>
    <w:rsid w:val="00AA1E6C"/>
    <w:rsid w:val="00AA321D"/>
    <w:rsid w:val="00AA3259"/>
    <w:rsid w:val="00AA383C"/>
    <w:rsid w:val="00AA3C4B"/>
    <w:rsid w:val="00AA4CFF"/>
    <w:rsid w:val="00AA6669"/>
    <w:rsid w:val="00AA690A"/>
    <w:rsid w:val="00AA6AB3"/>
    <w:rsid w:val="00AA6D26"/>
    <w:rsid w:val="00AA74C0"/>
    <w:rsid w:val="00AB0541"/>
    <w:rsid w:val="00AB09EE"/>
    <w:rsid w:val="00AB2400"/>
    <w:rsid w:val="00AB5377"/>
    <w:rsid w:val="00AB5B77"/>
    <w:rsid w:val="00AB7D08"/>
    <w:rsid w:val="00AC0B81"/>
    <w:rsid w:val="00AC3451"/>
    <w:rsid w:val="00AC3506"/>
    <w:rsid w:val="00AC387E"/>
    <w:rsid w:val="00AC4DD2"/>
    <w:rsid w:val="00AC5210"/>
    <w:rsid w:val="00AC5BDF"/>
    <w:rsid w:val="00AC6903"/>
    <w:rsid w:val="00AC6B95"/>
    <w:rsid w:val="00AC7669"/>
    <w:rsid w:val="00AC79C9"/>
    <w:rsid w:val="00AD0AF6"/>
    <w:rsid w:val="00AD277E"/>
    <w:rsid w:val="00AD2D3B"/>
    <w:rsid w:val="00AD343E"/>
    <w:rsid w:val="00AD4267"/>
    <w:rsid w:val="00AD476A"/>
    <w:rsid w:val="00AD47AA"/>
    <w:rsid w:val="00AD4ABF"/>
    <w:rsid w:val="00AD4C67"/>
    <w:rsid w:val="00AD52D1"/>
    <w:rsid w:val="00AD54E1"/>
    <w:rsid w:val="00AD5632"/>
    <w:rsid w:val="00AD6306"/>
    <w:rsid w:val="00AD7076"/>
    <w:rsid w:val="00AE0764"/>
    <w:rsid w:val="00AE16D1"/>
    <w:rsid w:val="00AE1BC1"/>
    <w:rsid w:val="00AE1BD1"/>
    <w:rsid w:val="00AE1DBE"/>
    <w:rsid w:val="00AE276C"/>
    <w:rsid w:val="00AE3DF4"/>
    <w:rsid w:val="00AE4788"/>
    <w:rsid w:val="00AE50A3"/>
    <w:rsid w:val="00AE54FF"/>
    <w:rsid w:val="00AE563F"/>
    <w:rsid w:val="00AE6595"/>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B7D"/>
    <w:rsid w:val="00B04DC3"/>
    <w:rsid w:val="00B0529B"/>
    <w:rsid w:val="00B05E03"/>
    <w:rsid w:val="00B0644E"/>
    <w:rsid w:val="00B1077D"/>
    <w:rsid w:val="00B10B1F"/>
    <w:rsid w:val="00B10DB9"/>
    <w:rsid w:val="00B11176"/>
    <w:rsid w:val="00B13CB1"/>
    <w:rsid w:val="00B14BEA"/>
    <w:rsid w:val="00B167CE"/>
    <w:rsid w:val="00B16B62"/>
    <w:rsid w:val="00B17A2E"/>
    <w:rsid w:val="00B17C66"/>
    <w:rsid w:val="00B20292"/>
    <w:rsid w:val="00B206B1"/>
    <w:rsid w:val="00B22004"/>
    <w:rsid w:val="00B22C0A"/>
    <w:rsid w:val="00B22FF9"/>
    <w:rsid w:val="00B23F87"/>
    <w:rsid w:val="00B242E1"/>
    <w:rsid w:val="00B24980"/>
    <w:rsid w:val="00B25B42"/>
    <w:rsid w:val="00B2635D"/>
    <w:rsid w:val="00B267F1"/>
    <w:rsid w:val="00B2725F"/>
    <w:rsid w:val="00B27998"/>
    <w:rsid w:val="00B308E1"/>
    <w:rsid w:val="00B31D3D"/>
    <w:rsid w:val="00B331DC"/>
    <w:rsid w:val="00B33BCF"/>
    <w:rsid w:val="00B34DE8"/>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7E9"/>
    <w:rsid w:val="00B50878"/>
    <w:rsid w:val="00B50D0F"/>
    <w:rsid w:val="00B51EF7"/>
    <w:rsid w:val="00B524C0"/>
    <w:rsid w:val="00B52CF9"/>
    <w:rsid w:val="00B52D9E"/>
    <w:rsid w:val="00B53C31"/>
    <w:rsid w:val="00B5445A"/>
    <w:rsid w:val="00B555A9"/>
    <w:rsid w:val="00B55E82"/>
    <w:rsid w:val="00B563E9"/>
    <w:rsid w:val="00B56902"/>
    <w:rsid w:val="00B56B70"/>
    <w:rsid w:val="00B57983"/>
    <w:rsid w:val="00B60ED0"/>
    <w:rsid w:val="00B627E7"/>
    <w:rsid w:val="00B6283F"/>
    <w:rsid w:val="00B62F33"/>
    <w:rsid w:val="00B65066"/>
    <w:rsid w:val="00B65262"/>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257"/>
    <w:rsid w:val="00B90B9B"/>
    <w:rsid w:val="00B90C7D"/>
    <w:rsid w:val="00B91455"/>
    <w:rsid w:val="00B919E1"/>
    <w:rsid w:val="00B92313"/>
    <w:rsid w:val="00B933BC"/>
    <w:rsid w:val="00B945A2"/>
    <w:rsid w:val="00B962AB"/>
    <w:rsid w:val="00B966B6"/>
    <w:rsid w:val="00B96C66"/>
    <w:rsid w:val="00B97B6F"/>
    <w:rsid w:val="00BA0622"/>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7003"/>
    <w:rsid w:val="00BA71ED"/>
    <w:rsid w:val="00BB065D"/>
    <w:rsid w:val="00BB14CF"/>
    <w:rsid w:val="00BB1CF9"/>
    <w:rsid w:val="00BB26DC"/>
    <w:rsid w:val="00BB315F"/>
    <w:rsid w:val="00BB325E"/>
    <w:rsid w:val="00BB3D90"/>
    <w:rsid w:val="00BB48F1"/>
    <w:rsid w:val="00BB5036"/>
    <w:rsid w:val="00BB5BAF"/>
    <w:rsid w:val="00BB6888"/>
    <w:rsid w:val="00BB6EFD"/>
    <w:rsid w:val="00BB7A4D"/>
    <w:rsid w:val="00BC068E"/>
    <w:rsid w:val="00BC3D44"/>
    <w:rsid w:val="00BC4213"/>
    <w:rsid w:val="00BC5C80"/>
    <w:rsid w:val="00BC5D5B"/>
    <w:rsid w:val="00BC5F08"/>
    <w:rsid w:val="00BC65A4"/>
    <w:rsid w:val="00BC65B2"/>
    <w:rsid w:val="00BC7E15"/>
    <w:rsid w:val="00BC7E36"/>
    <w:rsid w:val="00BD09B1"/>
    <w:rsid w:val="00BD16D6"/>
    <w:rsid w:val="00BD1B72"/>
    <w:rsid w:val="00BD38A0"/>
    <w:rsid w:val="00BD3BB5"/>
    <w:rsid w:val="00BD41C0"/>
    <w:rsid w:val="00BD4AA0"/>
    <w:rsid w:val="00BD6053"/>
    <w:rsid w:val="00BD6593"/>
    <w:rsid w:val="00BD66B2"/>
    <w:rsid w:val="00BD71AD"/>
    <w:rsid w:val="00BD7725"/>
    <w:rsid w:val="00BD78AD"/>
    <w:rsid w:val="00BD78F4"/>
    <w:rsid w:val="00BE0F6C"/>
    <w:rsid w:val="00BE1D73"/>
    <w:rsid w:val="00BE1F0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70D4"/>
    <w:rsid w:val="00BF71E4"/>
    <w:rsid w:val="00BF7B13"/>
    <w:rsid w:val="00C0163D"/>
    <w:rsid w:val="00C017CA"/>
    <w:rsid w:val="00C03CE8"/>
    <w:rsid w:val="00C0494D"/>
    <w:rsid w:val="00C05806"/>
    <w:rsid w:val="00C06A1F"/>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100C"/>
    <w:rsid w:val="00C2106B"/>
    <w:rsid w:val="00C21175"/>
    <w:rsid w:val="00C226C2"/>
    <w:rsid w:val="00C2305A"/>
    <w:rsid w:val="00C23CC9"/>
    <w:rsid w:val="00C24114"/>
    <w:rsid w:val="00C2492B"/>
    <w:rsid w:val="00C2557A"/>
    <w:rsid w:val="00C255F6"/>
    <w:rsid w:val="00C256E7"/>
    <w:rsid w:val="00C257B0"/>
    <w:rsid w:val="00C30B3D"/>
    <w:rsid w:val="00C30BEF"/>
    <w:rsid w:val="00C30DC6"/>
    <w:rsid w:val="00C31631"/>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475"/>
    <w:rsid w:val="00C44F87"/>
    <w:rsid w:val="00C45757"/>
    <w:rsid w:val="00C45DCB"/>
    <w:rsid w:val="00C46807"/>
    <w:rsid w:val="00C50B1E"/>
    <w:rsid w:val="00C51C72"/>
    <w:rsid w:val="00C521B4"/>
    <w:rsid w:val="00C52914"/>
    <w:rsid w:val="00C544CC"/>
    <w:rsid w:val="00C546E7"/>
    <w:rsid w:val="00C55114"/>
    <w:rsid w:val="00C57198"/>
    <w:rsid w:val="00C578CE"/>
    <w:rsid w:val="00C617BF"/>
    <w:rsid w:val="00C62791"/>
    <w:rsid w:val="00C62FA1"/>
    <w:rsid w:val="00C64B36"/>
    <w:rsid w:val="00C653BA"/>
    <w:rsid w:val="00C6774F"/>
    <w:rsid w:val="00C677AA"/>
    <w:rsid w:val="00C71914"/>
    <w:rsid w:val="00C7263B"/>
    <w:rsid w:val="00C727EF"/>
    <w:rsid w:val="00C73290"/>
    <w:rsid w:val="00C74636"/>
    <w:rsid w:val="00C7613A"/>
    <w:rsid w:val="00C77AEB"/>
    <w:rsid w:val="00C80069"/>
    <w:rsid w:val="00C805DA"/>
    <w:rsid w:val="00C8096C"/>
    <w:rsid w:val="00C80A78"/>
    <w:rsid w:val="00C80F33"/>
    <w:rsid w:val="00C80FD0"/>
    <w:rsid w:val="00C8100B"/>
    <w:rsid w:val="00C81516"/>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15D"/>
    <w:rsid w:val="00CB3B4E"/>
    <w:rsid w:val="00CB3EC6"/>
    <w:rsid w:val="00CB4F56"/>
    <w:rsid w:val="00CB598E"/>
    <w:rsid w:val="00CB5D07"/>
    <w:rsid w:val="00CB68CC"/>
    <w:rsid w:val="00CB6BB5"/>
    <w:rsid w:val="00CB6D6A"/>
    <w:rsid w:val="00CB7873"/>
    <w:rsid w:val="00CC07DB"/>
    <w:rsid w:val="00CC0A26"/>
    <w:rsid w:val="00CC0AB1"/>
    <w:rsid w:val="00CC3645"/>
    <w:rsid w:val="00CC3F55"/>
    <w:rsid w:val="00CC54B1"/>
    <w:rsid w:val="00CC79A2"/>
    <w:rsid w:val="00CD0153"/>
    <w:rsid w:val="00CD02C6"/>
    <w:rsid w:val="00CD0A75"/>
    <w:rsid w:val="00CD11DE"/>
    <w:rsid w:val="00CD143E"/>
    <w:rsid w:val="00CD1963"/>
    <w:rsid w:val="00CD19CA"/>
    <w:rsid w:val="00CD34FD"/>
    <w:rsid w:val="00CD3E17"/>
    <w:rsid w:val="00CD467E"/>
    <w:rsid w:val="00CD5CFC"/>
    <w:rsid w:val="00CD6C4D"/>
    <w:rsid w:val="00CD7B3A"/>
    <w:rsid w:val="00CE0199"/>
    <w:rsid w:val="00CE0440"/>
    <w:rsid w:val="00CE05E1"/>
    <w:rsid w:val="00CE0620"/>
    <w:rsid w:val="00CE16F2"/>
    <w:rsid w:val="00CE178F"/>
    <w:rsid w:val="00CE1CC5"/>
    <w:rsid w:val="00CE253C"/>
    <w:rsid w:val="00CE2EE4"/>
    <w:rsid w:val="00CE3346"/>
    <w:rsid w:val="00CE3797"/>
    <w:rsid w:val="00CE3ADA"/>
    <w:rsid w:val="00CE41CB"/>
    <w:rsid w:val="00CE48D3"/>
    <w:rsid w:val="00CE5D42"/>
    <w:rsid w:val="00CE5FE1"/>
    <w:rsid w:val="00CE6803"/>
    <w:rsid w:val="00CF0777"/>
    <w:rsid w:val="00CF0FF4"/>
    <w:rsid w:val="00CF1622"/>
    <w:rsid w:val="00CF3CAD"/>
    <w:rsid w:val="00CF4635"/>
    <w:rsid w:val="00CF46ED"/>
    <w:rsid w:val="00CF5173"/>
    <w:rsid w:val="00CF51E8"/>
    <w:rsid w:val="00CF5BA3"/>
    <w:rsid w:val="00CF637A"/>
    <w:rsid w:val="00CF7C31"/>
    <w:rsid w:val="00D025CC"/>
    <w:rsid w:val="00D028B3"/>
    <w:rsid w:val="00D02ED2"/>
    <w:rsid w:val="00D0304E"/>
    <w:rsid w:val="00D035D9"/>
    <w:rsid w:val="00D053C2"/>
    <w:rsid w:val="00D06218"/>
    <w:rsid w:val="00D104AC"/>
    <w:rsid w:val="00D10566"/>
    <w:rsid w:val="00D11C6E"/>
    <w:rsid w:val="00D12AD5"/>
    <w:rsid w:val="00D138B4"/>
    <w:rsid w:val="00D13D12"/>
    <w:rsid w:val="00D140C2"/>
    <w:rsid w:val="00D14D67"/>
    <w:rsid w:val="00D15500"/>
    <w:rsid w:val="00D15C15"/>
    <w:rsid w:val="00D16725"/>
    <w:rsid w:val="00D16D23"/>
    <w:rsid w:val="00D17643"/>
    <w:rsid w:val="00D20188"/>
    <w:rsid w:val="00D201E3"/>
    <w:rsid w:val="00D2027A"/>
    <w:rsid w:val="00D20B23"/>
    <w:rsid w:val="00D218EF"/>
    <w:rsid w:val="00D22433"/>
    <w:rsid w:val="00D22748"/>
    <w:rsid w:val="00D22E55"/>
    <w:rsid w:val="00D232AE"/>
    <w:rsid w:val="00D233E0"/>
    <w:rsid w:val="00D23626"/>
    <w:rsid w:val="00D25371"/>
    <w:rsid w:val="00D26918"/>
    <w:rsid w:val="00D27734"/>
    <w:rsid w:val="00D27BED"/>
    <w:rsid w:val="00D31532"/>
    <w:rsid w:val="00D3182A"/>
    <w:rsid w:val="00D32136"/>
    <w:rsid w:val="00D3227D"/>
    <w:rsid w:val="00D33197"/>
    <w:rsid w:val="00D33567"/>
    <w:rsid w:val="00D33EEE"/>
    <w:rsid w:val="00D341A7"/>
    <w:rsid w:val="00D34B4B"/>
    <w:rsid w:val="00D34C3E"/>
    <w:rsid w:val="00D35236"/>
    <w:rsid w:val="00D3579C"/>
    <w:rsid w:val="00D37121"/>
    <w:rsid w:val="00D376AA"/>
    <w:rsid w:val="00D40043"/>
    <w:rsid w:val="00D40A47"/>
    <w:rsid w:val="00D41051"/>
    <w:rsid w:val="00D410F8"/>
    <w:rsid w:val="00D417AE"/>
    <w:rsid w:val="00D41B6F"/>
    <w:rsid w:val="00D457ED"/>
    <w:rsid w:val="00D46D32"/>
    <w:rsid w:val="00D476EB"/>
    <w:rsid w:val="00D478AA"/>
    <w:rsid w:val="00D5091D"/>
    <w:rsid w:val="00D51372"/>
    <w:rsid w:val="00D51C50"/>
    <w:rsid w:val="00D5266D"/>
    <w:rsid w:val="00D52BBA"/>
    <w:rsid w:val="00D54AEA"/>
    <w:rsid w:val="00D54E4B"/>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943"/>
    <w:rsid w:val="00D74912"/>
    <w:rsid w:val="00D74A6E"/>
    <w:rsid w:val="00D75805"/>
    <w:rsid w:val="00D779F7"/>
    <w:rsid w:val="00D80754"/>
    <w:rsid w:val="00D82F54"/>
    <w:rsid w:val="00D83026"/>
    <w:rsid w:val="00D83045"/>
    <w:rsid w:val="00D83354"/>
    <w:rsid w:val="00D844D3"/>
    <w:rsid w:val="00D857E6"/>
    <w:rsid w:val="00D85885"/>
    <w:rsid w:val="00D8653A"/>
    <w:rsid w:val="00D871CE"/>
    <w:rsid w:val="00D87542"/>
    <w:rsid w:val="00D87D77"/>
    <w:rsid w:val="00D920CA"/>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6F7E"/>
    <w:rsid w:val="00D97B59"/>
    <w:rsid w:val="00D97C16"/>
    <w:rsid w:val="00D97D49"/>
    <w:rsid w:val="00DA025F"/>
    <w:rsid w:val="00DA0755"/>
    <w:rsid w:val="00DA08A5"/>
    <w:rsid w:val="00DA23AB"/>
    <w:rsid w:val="00DA2B4B"/>
    <w:rsid w:val="00DA48D3"/>
    <w:rsid w:val="00DA4D03"/>
    <w:rsid w:val="00DA4EAF"/>
    <w:rsid w:val="00DA5A16"/>
    <w:rsid w:val="00DA7D0B"/>
    <w:rsid w:val="00DB07CA"/>
    <w:rsid w:val="00DB0823"/>
    <w:rsid w:val="00DB0DA7"/>
    <w:rsid w:val="00DB0E2A"/>
    <w:rsid w:val="00DB111E"/>
    <w:rsid w:val="00DB2718"/>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693E"/>
    <w:rsid w:val="00DD0C3F"/>
    <w:rsid w:val="00DD1F41"/>
    <w:rsid w:val="00DD26CC"/>
    <w:rsid w:val="00DD3543"/>
    <w:rsid w:val="00DD3766"/>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E6F87"/>
    <w:rsid w:val="00DF0175"/>
    <w:rsid w:val="00DF0B89"/>
    <w:rsid w:val="00DF131B"/>
    <w:rsid w:val="00DF164A"/>
    <w:rsid w:val="00DF3044"/>
    <w:rsid w:val="00DF353C"/>
    <w:rsid w:val="00DF3DF8"/>
    <w:rsid w:val="00DF4216"/>
    <w:rsid w:val="00DF46B7"/>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6E4C"/>
    <w:rsid w:val="00E16E77"/>
    <w:rsid w:val="00E173EF"/>
    <w:rsid w:val="00E20B5E"/>
    <w:rsid w:val="00E20F69"/>
    <w:rsid w:val="00E22732"/>
    <w:rsid w:val="00E22B39"/>
    <w:rsid w:val="00E2398E"/>
    <w:rsid w:val="00E2459F"/>
    <w:rsid w:val="00E262A9"/>
    <w:rsid w:val="00E2693C"/>
    <w:rsid w:val="00E2710F"/>
    <w:rsid w:val="00E3047D"/>
    <w:rsid w:val="00E3066D"/>
    <w:rsid w:val="00E30AF9"/>
    <w:rsid w:val="00E31FB7"/>
    <w:rsid w:val="00E32363"/>
    <w:rsid w:val="00E32488"/>
    <w:rsid w:val="00E327E4"/>
    <w:rsid w:val="00E34C86"/>
    <w:rsid w:val="00E34DB8"/>
    <w:rsid w:val="00E35369"/>
    <w:rsid w:val="00E35682"/>
    <w:rsid w:val="00E35DF9"/>
    <w:rsid w:val="00E3649B"/>
    <w:rsid w:val="00E37A35"/>
    <w:rsid w:val="00E37B12"/>
    <w:rsid w:val="00E41042"/>
    <w:rsid w:val="00E4127C"/>
    <w:rsid w:val="00E41B14"/>
    <w:rsid w:val="00E41DD4"/>
    <w:rsid w:val="00E42698"/>
    <w:rsid w:val="00E43B12"/>
    <w:rsid w:val="00E43E66"/>
    <w:rsid w:val="00E443AB"/>
    <w:rsid w:val="00E444BC"/>
    <w:rsid w:val="00E4510E"/>
    <w:rsid w:val="00E46906"/>
    <w:rsid w:val="00E46EA3"/>
    <w:rsid w:val="00E50223"/>
    <w:rsid w:val="00E50F61"/>
    <w:rsid w:val="00E51C1B"/>
    <w:rsid w:val="00E5332C"/>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4A39"/>
    <w:rsid w:val="00E75609"/>
    <w:rsid w:val="00E75790"/>
    <w:rsid w:val="00E75BCD"/>
    <w:rsid w:val="00E76031"/>
    <w:rsid w:val="00E80437"/>
    <w:rsid w:val="00E81888"/>
    <w:rsid w:val="00E81B55"/>
    <w:rsid w:val="00E82CEF"/>
    <w:rsid w:val="00E83A79"/>
    <w:rsid w:val="00E83DC4"/>
    <w:rsid w:val="00E83DCE"/>
    <w:rsid w:val="00E842A8"/>
    <w:rsid w:val="00E84360"/>
    <w:rsid w:val="00E847B3"/>
    <w:rsid w:val="00E84E89"/>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8D1"/>
    <w:rsid w:val="00EA335A"/>
    <w:rsid w:val="00EA3D63"/>
    <w:rsid w:val="00EA55C1"/>
    <w:rsid w:val="00EA6854"/>
    <w:rsid w:val="00EA7391"/>
    <w:rsid w:val="00EB0AA6"/>
    <w:rsid w:val="00EB1273"/>
    <w:rsid w:val="00EB22C0"/>
    <w:rsid w:val="00EB396F"/>
    <w:rsid w:val="00EB400B"/>
    <w:rsid w:val="00EB4B77"/>
    <w:rsid w:val="00EB4F3B"/>
    <w:rsid w:val="00EB50F0"/>
    <w:rsid w:val="00EB5C40"/>
    <w:rsid w:val="00EB6A2C"/>
    <w:rsid w:val="00EB6B83"/>
    <w:rsid w:val="00EC08AD"/>
    <w:rsid w:val="00EC1828"/>
    <w:rsid w:val="00EC1B2E"/>
    <w:rsid w:val="00EC2514"/>
    <w:rsid w:val="00EC2AB4"/>
    <w:rsid w:val="00EC2B87"/>
    <w:rsid w:val="00EC3089"/>
    <w:rsid w:val="00EC4214"/>
    <w:rsid w:val="00EC4FF0"/>
    <w:rsid w:val="00EC6B44"/>
    <w:rsid w:val="00EC73C2"/>
    <w:rsid w:val="00EC760C"/>
    <w:rsid w:val="00EC7CED"/>
    <w:rsid w:val="00ED04DA"/>
    <w:rsid w:val="00ED0541"/>
    <w:rsid w:val="00ED0A14"/>
    <w:rsid w:val="00ED0D39"/>
    <w:rsid w:val="00ED0EA7"/>
    <w:rsid w:val="00ED172E"/>
    <w:rsid w:val="00ED1F4F"/>
    <w:rsid w:val="00ED353C"/>
    <w:rsid w:val="00ED41B5"/>
    <w:rsid w:val="00ED42A0"/>
    <w:rsid w:val="00ED5433"/>
    <w:rsid w:val="00ED78DB"/>
    <w:rsid w:val="00ED7DE0"/>
    <w:rsid w:val="00ED7E18"/>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0B5D"/>
    <w:rsid w:val="00F013CB"/>
    <w:rsid w:val="00F018BF"/>
    <w:rsid w:val="00F01B1E"/>
    <w:rsid w:val="00F0267C"/>
    <w:rsid w:val="00F03379"/>
    <w:rsid w:val="00F0345E"/>
    <w:rsid w:val="00F03FC4"/>
    <w:rsid w:val="00F05790"/>
    <w:rsid w:val="00F05CF9"/>
    <w:rsid w:val="00F06960"/>
    <w:rsid w:val="00F06967"/>
    <w:rsid w:val="00F07E52"/>
    <w:rsid w:val="00F106E4"/>
    <w:rsid w:val="00F10ECA"/>
    <w:rsid w:val="00F11449"/>
    <w:rsid w:val="00F1171C"/>
    <w:rsid w:val="00F119FB"/>
    <w:rsid w:val="00F11F70"/>
    <w:rsid w:val="00F12F5F"/>
    <w:rsid w:val="00F145D4"/>
    <w:rsid w:val="00F14AEC"/>
    <w:rsid w:val="00F15F5B"/>
    <w:rsid w:val="00F16210"/>
    <w:rsid w:val="00F164D5"/>
    <w:rsid w:val="00F167D9"/>
    <w:rsid w:val="00F1792F"/>
    <w:rsid w:val="00F17A56"/>
    <w:rsid w:val="00F20474"/>
    <w:rsid w:val="00F209A2"/>
    <w:rsid w:val="00F21AB6"/>
    <w:rsid w:val="00F223D5"/>
    <w:rsid w:val="00F2283A"/>
    <w:rsid w:val="00F22A84"/>
    <w:rsid w:val="00F22A8F"/>
    <w:rsid w:val="00F22ED6"/>
    <w:rsid w:val="00F23EB4"/>
    <w:rsid w:val="00F2529A"/>
    <w:rsid w:val="00F25A72"/>
    <w:rsid w:val="00F25F5E"/>
    <w:rsid w:val="00F260CB"/>
    <w:rsid w:val="00F26C19"/>
    <w:rsid w:val="00F3192A"/>
    <w:rsid w:val="00F31FB6"/>
    <w:rsid w:val="00F32553"/>
    <w:rsid w:val="00F32690"/>
    <w:rsid w:val="00F327CE"/>
    <w:rsid w:val="00F332ED"/>
    <w:rsid w:val="00F33552"/>
    <w:rsid w:val="00F33C8D"/>
    <w:rsid w:val="00F348D1"/>
    <w:rsid w:val="00F35955"/>
    <w:rsid w:val="00F378C1"/>
    <w:rsid w:val="00F40CC5"/>
    <w:rsid w:val="00F40E48"/>
    <w:rsid w:val="00F41AF4"/>
    <w:rsid w:val="00F41DE0"/>
    <w:rsid w:val="00F42FBC"/>
    <w:rsid w:val="00F4385E"/>
    <w:rsid w:val="00F43BFB"/>
    <w:rsid w:val="00F43F5D"/>
    <w:rsid w:val="00F4401D"/>
    <w:rsid w:val="00F44398"/>
    <w:rsid w:val="00F448C3"/>
    <w:rsid w:val="00F45085"/>
    <w:rsid w:val="00F450F4"/>
    <w:rsid w:val="00F45564"/>
    <w:rsid w:val="00F463F1"/>
    <w:rsid w:val="00F46892"/>
    <w:rsid w:val="00F469B2"/>
    <w:rsid w:val="00F47200"/>
    <w:rsid w:val="00F47953"/>
    <w:rsid w:val="00F50572"/>
    <w:rsid w:val="00F50E5A"/>
    <w:rsid w:val="00F511FB"/>
    <w:rsid w:val="00F51333"/>
    <w:rsid w:val="00F52456"/>
    <w:rsid w:val="00F5281E"/>
    <w:rsid w:val="00F531AA"/>
    <w:rsid w:val="00F536B7"/>
    <w:rsid w:val="00F53BDD"/>
    <w:rsid w:val="00F53FEE"/>
    <w:rsid w:val="00F54DAB"/>
    <w:rsid w:val="00F56161"/>
    <w:rsid w:val="00F563CD"/>
    <w:rsid w:val="00F56862"/>
    <w:rsid w:val="00F56FE5"/>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258"/>
    <w:rsid w:val="00F707C9"/>
    <w:rsid w:val="00F70DE9"/>
    <w:rsid w:val="00F710FE"/>
    <w:rsid w:val="00F71BEA"/>
    <w:rsid w:val="00F744F4"/>
    <w:rsid w:val="00F74A01"/>
    <w:rsid w:val="00F74AA8"/>
    <w:rsid w:val="00F74F89"/>
    <w:rsid w:val="00F75A10"/>
    <w:rsid w:val="00F75A41"/>
    <w:rsid w:val="00F75D9F"/>
    <w:rsid w:val="00F76063"/>
    <w:rsid w:val="00F76D11"/>
    <w:rsid w:val="00F77276"/>
    <w:rsid w:val="00F77A8D"/>
    <w:rsid w:val="00F77D27"/>
    <w:rsid w:val="00F80013"/>
    <w:rsid w:val="00F8095A"/>
    <w:rsid w:val="00F8143C"/>
    <w:rsid w:val="00F81476"/>
    <w:rsid w:val="00F81681"/>
    <w:rsid w:val="00F81E11"/>
    <w:rsid w:val="00F8260F"/>
    <w:rsid w:val="00F834A7"/>
    <w:rsid w:val="00F847A0"/>
    <w:rsid w:val="00F85D19"/>
    <w:rsid w:val="00F864FC"/>
    <w:rsid w:val="00F86808"/>
    <w:rsid w:val="00F8760E"/>
    <w:rsid w:val="00F9142D"/>
    <w:rsid w:val="00F915A4"/>
    <w:rsid w:val="00F91EF0"/>
    <w:rsid w:val="00F92104"/>
    <w:rsid w:val="00F93676"/>
    <w:rsid w:val="00F93A3D"/>
    <w:rsid w:val="00F93C99"/>
    <w:rsid w:val="00F93DCD"/>
    <w:rsid w:val="00F94009"/>
    <w:rsid w:val="00F9412A"/>
    <w:rsid w:val="00F94C16"/>
    <w:rsid w:val="00F94D3F"/>
    <w:rsid w:val="00F9689E"/>
    <w:rsid w:val="00FA066D"/>
    <w:rsid w:val="00FA0956"/>
    <w:rsid w:val="00FA0FB3"/>
    <w:rsid w:val="00FA1126"/>
    <w:rsid w:val="00FA24F3"/>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9BF"/>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5E5"/>
    <w:rsid w:val="00FC6C78"/>
    <w:rsid w:val="00FC6E1D"/>
    <w:rsid w:val="00FC747E"/>
    <w:rsid w:val="00FD1AA4"/>
    <w:rsid w:val="00FD1BD4"/>
    <w:rsid w:val="00FD1EA8"/>
    <w:rsid w:val="00FD2FA7"/>
    <w:rsid w:val="00FD3B87"/>
    <w:rsid w:val="00FD4B79"/>
    <w:rsid w:val="00FD5465"/>
    <w:rsid w:val="00FD58EF"/>
    <w:rsid w:val="00FD5BC9"/>
    <w:rsid w:val="00FD624C"/>
    <w:rsid w:val="00FD64B8"/>
    <w:rsid w:val="00FD667B"/>
    <w:rsid w:val="00FD7165"/>
    <w:rsid w:val="00FE0207"/>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4317"/>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8">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9">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a">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FD624C"/>
    <w:pPr>
      <w:numPr>
        <w:ilvl w:val="1"/>
        <w:numId w:val="1"/>
      </w:numPr>
      <w:tabs>
        <w:tab w:val="clear" w:pos="794"/>
      </w:tabs>
      <w:spacing w:after="120"/>
      <w:ind w:hanging="397"/>
    </w:pPr>
    <w:rPr>
      <w:rFonts w:ascii="Tahoma" w:hAnsi="Tahoma" w:cs="Tahoma"/>
      <w:szCs w:val="20"/>
    </w:rPr>
  </w:style>
  <w:style w:type="paragraph" w:customStyle="1" w:styleId="ab">
    <w:name w:val="מקרא+הערות לתרשים/לוח/תמונה"/>
    <w:basedOn w:val="a8"/>
    <w:qFormat/>
    <w:rsid w:val="00FE0207"/>
    <w:pPr>
      <w:spacing w:before="120"/>
      <w:jc w:val="center"/>
    </w:pPr>
  </w:style>
  <w:style w:type="paragraph" w:customStyle="1" w:styleId="ac">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d">
    <w:name w:val="קוביה כחולה בתוך הזחה ראשונה"/>
    <w:basedOn w:val="ac"/>
    <w:qFormat/>
    <w:rsid w:val="00445522"/>
    <w:pPr>
      <w:ind w:left="680"/>
    </w:pPr>
  </w:style>
  <w:style w:type="paragraph" w:customStyle="1" w:styleId="710">
    <w:name w:val="כותרת 7_10"/>
    <w:basedOn w:val="a0"/>
    <w:qFormat/>
    <w:rsid w:val="00774E68"/>
    <w:pPr>
      <w:ind w:left="1191"/>
    </w:pPr>
  </w:style>
  <w:style w:type="paragraph" w:customStyle="1" w:styleId="ae">
    <w:name w:val="הזחה שנייה ללא מספר"/>
    <w:basedOn w:val="aa"/>
    <w:link w:val="Char0"/>
    <w:qFormat/>
    <w:rsid w:val="00D053C2"/>
  </w:style>
  <w:style w:type="character" w:customStyle="1" w:styleId="Char">
    <w:name w:val="הזחה שנייה ריק Char"/>
    <w:basedOn w:val="BodyTextIndentChar"/>
    <w:link w:val="aa"/>
    <w:rsid w:val="008A78F7"/>
    <w:rPr>
      <w:rFonts w:ascii="Tahoma" w:hAnsi="Tahoma" w:cs="Tahoma"/>
      <w:sz w:val="16"/>
      <w:szCs w:val="20"/>
    </w:rPr>
  </w:style>
  <w:style w:type="character" w:customStyle="1" w:styleId="Char0">
    <w:name w:val="הזחה שנייה ללא מספר Char"/>
    <w:basedOn w:val="Char"/>
    <w:link w:val="ae"/>
    <w:rsid w:val="00D053C2"/>
    <w:rPr>
      <w:rFonts w:ascii="Tahoma" w:hAnsi="Tahoma" w:cs="Tahoma"/>
      <w:sz w:val="16"/>
      <w:szCs w:val="20"/>
    </w:rPr>
  </w:style>
  <w:style w:type="paragraph" w:customStyle="1" w:styleId="af">
    <w:name w:val="מספור הערות שוליים"/>
    <w:basedOn w:val="a8"/>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0">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1">
    <w:name w:val="הזחה שלישית"/>
    <w:basedOn w:val="ae"/>
    <w:qFormat/>
    <w:rsid w:val="008D42F6"/>
    <w:pPr>
      <w:ind w:left="1191"/>
    </w:pPr>
  </w:style>
  <w:style w:type="paragraph" w:customStyle="1" w:styleId="af2">
    <w:name w:val="קוביה כחולה הזחה שלישית"/>
    <w:basedOn w:val="ac"/>
    <w:qFormat/>
    <w:rsid w:val="00230B94"/>
    <w:pPr>
      <w:ind w:left="1474"/>
    </w:pPr>
  </w:style>
  <w:style w:type="paragraph" w:customStyle="1" w:styleId="12">
    <w:name w:val="קוביה הזחה 1"/>
    <w:basedOn w:val="ac"/>
    <w:qFormat/>
    <w:rsid w:val="005C2859"/>
    <w:pPr>
      <w:ind w:left="680"/>
    </w:pPr>
  </w:style>
  <w:style w:type="paragraph" w:customStyle="1" w:styleId="af3">
    <w:name w:val="הזחה ראשונה ללא מספר"/>
    <w:basedOn w:val="ae"/>
    <w:qFormat/>
    <w:rsid w:val="008203CF"/>
    <w:pPr>
      <w:ind w:left="397"/>
    </w:pPr>
  </w:style>
  <w:style w:type="paragraph" w:customStyle="1" w:styleId="af4">
    <w:name w:val="קוביה רצה"/>
    <w:basedOn w:val="ad"/>
    <w:qFormat/>
    <w:rsid w:val="000C164B"/>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4">
    <w:name w:val="הזחה בתוך קוביה"/>
    <w:basedOn w:val="af4"/>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5">
    <w:name w:val="אותיות בתוך קוביה"/>
    <w:basedOn w:val="a4"/>
    <w:rsid w:val="004F431D"/>
  </w:style>
  <w:style w:type="paragraph" w:customStyle="1" w:styleId="1">
    <w:name w:val="אותיות בתוך קוביה 1"/>
    <w:basedOn w:val="af5"/>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6"/>
    <w:uiPriority w:val="99"/>
    <w:unhideWhenUsed/>
    <w:rsid w:val="002516DF"/>
    <w:pPr>
      <w:tabs>
        <w:tab w:val="center" w:pos="4153"/>
        <w:tab w:val="right" w:pos="8306"/>
      </w:tabs>
      <w:spacing w:line="240" w:lineRule="auto"/>
    </w:pPr>
    <w:rPr>
      <w:rFonts w:eastAsia="Calibri"/>
    </w:rPr>
  </w:style>
  <w:style w:type="character" w:customStyle="1" w:styleId="af6">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8"/>
    <w:uiPriority w:val="99"/>
    <w:unhideWhenUsed/>
    <w:rsid w:val="002516DF"/>
    <w:pPr>
      <w:spacing w:before="120" w:line="240" w:lineRule="auto"/>
    </w:pPr>
    <w:rPr>
      <w:rFonts w:eastAsia="Calibri"/>
    </w:rPr>
  </w:style>
  <w:style w:type="character" w:customStyle="1" w:styleId="af8">
    <w:name w:val="תאריך תו"/>
    <w:basedOn w:val="DefaultParagraphFont"/>
    <w:link w:val="17"/>
    <w:uiPriority w:val="99"/>
    <w:rsid w:val="002516DF"/>
    <w:rPr>
      <w:rFonts w:eastAsia="Calibri"/>
    </w:rPr>
  </w:style>
  <w:style w:type="character" w:customStyle="1" w:styleId="af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a">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b"/>
    <w:uiPriority w:val="99"/>
    <w:semiHidden/>
    <w:unhideWhenUsed/>
    <w:rsid w:val="002516DF"/>
    <w:pPr>
      <w:spacing w:line="240" w:lineRule="auto"/>
    </w:pPr>
    <w:rPr>
      <w:rFonts w:ascii="Tahoma" w:eastAsia="Calibri" w:hAnsi="Tahoma" w:cs="Tahoma"/>
      <w:sz w:val="18"/>
      <w:szCs w:val="18"/>
    </w:rPr>
  </w:style>
  <w:style w:type="character" w:customStyle="1" w:styleId="afb">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c">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d"/>
    <w:uiPriority w:val="99"/>
    <w:unhideWhenUsed/>
    <w:rsid w:val="002516DF"/>
    <w:pPr>
      <w:spacing w:line="240" w:lineRule="auto"/>
    </w:pPr>
    <w:rPr>
      <w:rFonts w:eastAsia="Calibri"/>
      <w:szCs w:val="20"/>
    </w:rPr>
  </w:style>
  <w:style w:type="character" w:customStyle="1" w:styleId="afd">
    <w:name w:val="טקסט הערה תו"/>
    <w:link w:val="1f1"/>
    <w:uiPriority w:val="99"/>
    <w:rsid w:val="002516DF"/>
    <w:rPr>
      <w:rFonts w:eastAsia="Calibri"/>
      <w:szCs w:val="20"/>
    </w:rPr>
  </w:style>
  <w:style w:type="paragraph" w:customStyle="1" w:styleId="1f2">
    <w:name w:val="נושא הערה1"/>
    <w:basedOn w:val="1f1"/>
    <w:next w:val="1f1"/>
    <w:link w:val="afe"/>
    <w:uiPriority w:val="99"/>
    <w:semiHidden/>
    <w:unhideWhenUsed/>
    <w:rsid w:val="002516DF"/>
    <w:rPr>
      <w:b/>
      <w:bCs/>
    </w:rPr>
  </w:style>
  <w:style w:type="character" w:customStyle="1" w:styleId="afe">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0">
    <w:name w:val="כוכבית בתוך קוביה"/>
    <w:basedOn w:val="af4"/>
    <w:qFormat/>
    <w:rsid w:val="00391776"/>
    <w:pPr>
      <w:jc w:val="center"/>
    </w:pPr>
    <w:rPr>
      <w:rFonts w:ascii="Segoe UI Symbol" w:hAnsi="Segoe UI Symbol" w:cs="Segoe UI Symbol"/>
    </w:rPr>
  </w:style>
  <w:style w:type="paragraph" w:customStyle="1" w:styleId="a5">
    <w:name w:val="רשימה אותיות"/>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3E009E"/>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2">
    <w:name w:val="הערות מתחת לטבלה"/>
    <w:basedOn w:val="a8"/>
    <w:qFormat/>
    <w:rsid w:val="002B6FB4"/>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07">
    <w:name w:val="אותיות מוזחות 07"/>
    <w:basedOn w:val="a3"/>
    <w:qFormat/>
    <w:rsid w:val="00F167D9"/>
    <w:pPr>
      <w:numPr>
        <w:numId w:val="0"/>
      </w:numPr>
      <w:ind w:left="794"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media/image17.jpeg"/><Relationship Id="rId39" Type="http://schemas.openxmlformats.org/officeDocument/2006/relationships/header" Target="header3.xml"/><Relationship Id="rId21" Type="http://schemas.openxmlformats.org/officeDocument/2006/relationships/image" Target="media/image13.emf"/><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2.jpe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4.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43"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chart" Target="charts/chart2.xml"/><Relationship Id="rId33" Type="http://schemas.openxmlformats.org/officeDocument/2006/relationships/image" Target="media/image24.jpeg"/><Relationship Id="rId38" Type="http://schemas.openxmlformats.org/officeDocument/2006/relationships/footer" Target="footer2.xml"/><Relationship Id="rId20" Type="http://schemas.openxmlformats.org/officeDocument/2006/relationships/image" Target="media/image12.emf"/><Relationship Id="rId4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5.wmf"/></Relationships>
</file>

<file path=word/_rels/header3.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mvtanas\MVTANAS\Gov%20Min\Agaf_16\&#1491;&#1493;&#1495;&#1493;&#1514;%202019\&#1502;&#1506;&#1510;&#1512;&#1497;&#1501;\&#1502;&#1506;&#1510;&#1512;&#1497;&#1501;%20-%20&#1508;&#1512;&#1511;%20&#1502;&#1513;&#1496;&#1512;&#1492;\&#1495;&#1493;&#1502;&#1512;&#1497;&#1501;%20&#1489;&#1495;&#1500;&#1493;&#1511;&#1492;%20&#1500;&#1508;&#1512;&#1511;&#1497;&#1501;\&#1504;&#1514;&#1493;&#1504;&#1497;&#1501;\&#1496;&#1489;&#1500;&#1492;%20&#1502;&#1505;&#1499;&#1502;&#1514;%20&#1504;&#1514;&#1493;&#1504;&#1497;%20&#1502;&#1506;&#1510;&#1512;&#1497;&#15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vtanas\MVTANAS\Gov%20Min\Agaf_16\&#1491;&#1493;&#1495;&#1493;&#1514;%202019\&#1502;&#1506;&#1510;&#1512;&#1497;&#1501;\&#1502;&#1506;&#1510;&#1512;&#1497;&#1501;%20-%20&#1508;&#1512;&#1511;%20&#1502;&#1513;&#1496;&#1512;&#1492;\&#1495;&#1493;&#1502;&#1512;&#1497;&#1501;%20&#1489;&#1495;&#1500;&#1493;&#1511;&#1492;%20&#1500;&#1508;&#1512;&#1511;&#1497;&#1501;\&#1504;&#1514;&#1493;&#1504;&#1497;&#1501;\&#1513;&#1506;&#1514;%20&#1502;&#1506;&#1510;&#1512;%20&#1492;&#1502;&#1493;&#1511;&#1491;&#1502;&#1514;%20&#1489;&#1497;&#1493;&#1514;&#1512;%20&#1489;&#1508;&#1497;&#1500;&#1493;&#1495;%20&#1500;&#1513;&#1506;&#1493;&#1514;%20&#1492;&#1497;&#1502;&#1502;&#1492;.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גיליון7!$B$39</c:f>
              <c:strCache>
                <c:ptCount val="1"/>
                <c:pt idx="0">
                  <c:v>שוחרר בהחלטת בית משפט</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גיליון7!$C$38:$E$38</c:f>
              <c:numCache>
                <c:formatCode>General</c:formatCode>
                <c:ptCount val="3"/>
                <c:pt idx="0">
                  <c:v>2016</c:v>
                </c:pt>
                <c:pt idx="1">
                  <c:v>2017</c:v>
                </c:pt>
                <c:pt idx="2">
                  <c:v>2018</c:v>
                </c:pt>
              </c:numCache>
            </c:numRef>
          </c:cat>
          <c:val>
            <c:numRef>
              <c:f>גיליון7!$C$39:$E$39</c:f>
              <c:numCache>
                <c:formatCode>0%</c:formatCode>
                <c:ptCount val="3"/>
                <c:pt idx="0">
                  <c:v>0.54310663805224602</c:v>
                </c:pt>
                <c:pt idx="1">
                  <c:v>0.55972039307061083</c:v>
                </c:pt>
                <c:pt idx="2">
                  <c:v>0.59103292371898908</c:v>
                </c:pt>
              </c:numCache>
            </c:numRef>
          </c:val>
          <c:smooth val="0"/>
          <c:extLst>
            <c:ext xmlns:c16="http://schemas.microsoft.com/office/drawing/2014/chart" uri="{C3380CC4-5D6E-409C-BE32-E72D297353CC}">
              <c16:uniqueId val="{00000000-2E6E-4552-B84C-6E0E89DF5CB0}"/>
            </c:ext>
          </c:extLst>
        </c:ser>
        <c:ser>
          <c:idx val="1"/>
          <c:order val="1"/>
          <c:tx>
            <c:strRef>
              <c:f>גיליון7!$B$40</c:f>
              <c:strCache>
                <c:ptCount val="1"/>
                <c:pt idx="0">
                  <c:v>שוחרר על ידי קצין ממונה</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גיליון7!$C$38:$E$38</c:f>
              <c:numCache>
                <c:formatCode>General</c:formatCode>
                <c:ptCount val="3"/>
                <c:pt idx="0">
                  <c:v>2016</c:v>
                </c:pt>
                <c:pt idx="1">
                  <c:v>2017</c:v>
                </c:pt>
                <c:pt idx="2">
                  <c:v>2018</c:v>
                </c:pt>
              </c:numCache>
            </c:numRef>
          </c:cat>
          <c:val>
            <c:numRef>
              <c:f>גיליון7!$C$40:$E$40</c:f>
              <c:numCache>
                <c:formatCode>0%</c:formatCode>
                <c:ptCount val="3"/>
                <c:pt idx="0">
                  <c:v>0.41900392214904164</c:v>
                </c:pt>
                <c:pt idx="1">
                  <c:v>0.40244149528923107</c:v>
                </c:pt>
                <c:pt idx="2">
                  <c:v>0.37720264317180618</c:v>
                </c:pt>
              </c:numCache>
            </c:numRef>
          </c:val>
          <c:smooth val="0"/>
          <c:extLst>
            <c:ext xmlns:c16="http://schemas.microsoft.com/office/drawing/2014/chart" uri="{C3380CC4-5D6E-409C-BE32-E72D297353CC}">
              <c16:uniqueId val="{00000001-2E6E-4552-B84C-6E0E89DF5CB0}"/>
            </c:ext>
          </c:extLst>
        </c:ser>
        <c:dLbls>
          <c:showLegendKey val="0"/>
          <c:showVal val="0"/>
          <c:showCatName val="0"/>
          <c:showSerName val="0"/>
          <c:showPercent val="0"/>
          <c:showBubbleSize val="0"/>
        </c:dLbls>
        <c:smooth val="0"/>
        <c:axId val="109670784"/>
        <c:axId val="109672320"/>
      </c:lineChart>
      <c:catAx>
        <c:axId val="1096707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9672320"/>
        <c:crosses val="autoZero"/>
        <c:auto val="1"/>
        <c:lblAlgn val="ctr"/>
        <c:lblOffset val="100"/>
        <c:noMultiLvlLbl val="0"/>
      </c:catAx>
      <c:valAx>
        <c:axId val="1096723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967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גיליון1!$C$19:$D$19</c:f>
              <c:strCache>
                <c:ptCount val="1"/>
                <c:pt idx="0">
                  <c:v>מספר מעצרים ממוצע לשעה ממוצע לשעה ביום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גיליון1!$A$20:$B$23</c:f>
              <c:strCache>
                <c:ptCount val="4"/>
                <c:pt idx="0">
                  <c:v>לפנות בוקר עד בוקר (3:00 - 9:00)</c:v>
                </c:pt>
                <c:pt idx="1">
                  <c:v>בוקר עד צוהריים (9:00- 15:00)</c:v>
                </c:pt>
                <c:pt idx="2">
                  <c:v>צוהריים עד לילה (15:00 - 23:30)</c:v>
                </c:pt>
                <c:pt idx="3">
                  <c:v>לילה עד לפנות בוקר (23:30 - 3:00)</c:v>
                </c:pt>
              </c:strCache>
            </c:strRef>
          </c:cat>
          <c:val>
            <c:numRef>
              <c:f>גיליון1!$C$20:$C$23</c:f>
              <c:numCache>
                <c:formatCode>0.00</c:formatCode>
                <c:ptCount val="4"/>
                <c:pt idx="0">
                  <c:v>4.879299847792999</c:v>
                </c:pt>
                <c:pt idx="1">
                  <c:v>7.2295281582952811</c:v>
                </c:pt>
                <c:pt idx="2">
                  <c:v>7.4592532903572391</c:v>
                </c:pt>
                <c:pt idx="3">
                  <c:v>6.5729941291585119</c:v>
                </c:pt>
              </c:numCache>
            </c:numRef>
          </c:val>
          <c:extLst>
            <c:ext xmlns:c16="http://schemas.microsoft.com/office/drawing/2014/chart" uri="{C3380CC4-5D6E-409C-BE32-E72D297353CC}">
              <c16:uniqueId val="{00000000-DCD1-47AA-B803-EB16E7F25983}"/>
            </c:ext>
          </c:extLst>
        </c:ser>
        <c:dLbls>
          <c:dLblPos val="outEnd"/>
          <c:showLegendKey val="0"/>
          <c:showVal val="1"/>
          <c:showCatName val="0"/>
          <c:showSerName val="0"/>
          <c:showPercent val="0"/>
          <c:showBubbleSize val="0"/>
        </c:dLbls>
        <c:gapWidth val="219"/>
        <c:axId val="109695360"/>
        <c:axId val="109696896"/>
      </c:barChart>
      <c:lineChart>
        <c:grouping val="standard"/>
        <c:varyColors val="0"/>
        <c:ser>
          <c:idx val="1"/>
          <c:order val="1"/>
          <c:tx>
            <c:strRef>
              <c:f>גיליון1!$D$19</c:f>
              <c:strCache>
                <c:ptCount val="1"/>
                <c:pt idx="0">
                  <c:v>ממוצע לשעה ביום </c:v>
                </c:pt>
              </c:strCache>
            </c:strRef>
          </c:tx>
          <c:spPr>
            <a:ln w="57150" cap="rnd">
              <a:solidFill>
                <a:schemeClr val="accent2"/>
              </a:solidFill>
              <a:round/>
            </a:ln>
            <a:effectLst/>
          </c:spPr>
          <c:marker>
            <c:symbol val="none"/>
          </c:marker>
          <c:cat>
            <c:strRef>
              <c:f>גיליון1!$A$20:$B$23</c:f>
              <c:strCache>
                <c:ptCount val="4"/>
                <c:pt idx="0">
                  <c:v>לפנות בוקר עד בוקר (3:00 - 9:00)</c:v>
                </c:pt>
                <c:pt idx="1">
                  <c:v>בוקר עד צוהריים (9:00- 15:00)</c:v>
                </c:pt>
                <c:pt idx="2">
                  <c:v>צוהריים עד לילה (15:00 - 23:30)</c:v>
                </c:pt>
                <c:pt idx="3">
                  <c:v>לילה עד לפנות בוקר (23:30 - 3:00)</c:v>
                </c:pt>
              </c:strCache>
            </c:strRef>
          </c:cat>
          <c:val>
            <c:numRef>
              <c:f>גיליון1!$D$20:$D$23</c:f>
              <c:numCache>
                <c:formatCode>General</c:formatCode>
                <c:ptCount val="4"/>
                <c:pt idx="0">
                  <c:v>6.62</c:v>
                </c:pt>
                <c:pt idx="1">
                  <c:v>6.62</c:v>
                </c:pt>
                <c:pt idx="2">
                  <c:v>6.62</c:v>
                </c:pt>
                <c:pt idx="3">
                  <c:v>6.62</c:v>
                </c:pt>
              </c:numCache>
            </c:numRef>
          </c:val>
          <c:smooth val="0"/>
          <c:extLst>
            <c:ext xmlns:c16="http://schemas.microsoft.com/office/drawing/2014/chart" uri="{C3380CC4-5D6E-409C-BE32-E72D297353CC}">
              <c16:uniqueId val="{00000001-DCD1-47AA-B803-EB16E7F25983}"/>
            </c:ext>
          </c:extLst>
        </c:ser>
        <c:dLbls>
          <c:showLegendKey val="0"/>
          <c:showVal val="0"/>
          <c:showCatName val="0"/>
          <c:showSerName val="0"/>
          <c:showPercent val="0"/>
          <c:showBubbleSize val="0"/>
        </c:dLbls>
        <c:marker val="1"/>
        <c:smooth val="0"/>
        <c:axId val="109695360"/>
        <c:axId val="109696896"/>
      </c:lineChart>
      <c:catAx>
        <c:axId val="10969536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9696896"/>
        <c:crosses val="autoZero"/>
        <c:auto val="1"/>
        <c:lblAlgn val="ctr"/>
        <c:lblOffset val="100"/>
        <c:noMultiLvlLbl val="0"/>
      </c:catAx>
      <c:valAx>
        <c:axId val="109696896"/>
        <c:scaling>
          <c:orientation val="minMax"/>
        </c:scaling>
        <c:delete val="0"/>
        <c:axPos val="l"/>
        <c:majorGridlines>
          <c:spPr>
            <a:ln w="9525">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969536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גיליון1!$A$2:$A$3</c:f>
              <c:strCache>
                <c:ptCount val="2"/>
                <c:pt idx="0">
                  <c:v>בגירים</c:v>
                </c:pt>
                <c:pt idx="1">
                  <c:v>קטינים</c:v>
                </c:pt>
              </c:strCache>
            </c:strRef>
          </c:cat>
          <c:val>
            <c:numRef>
              <c:f>גיליון1!$B$2:$B$3</c:f>
              <c:numCache>
                <c:formatCode>0%</c:formatCode>
                <c:ptCount val="2"/>
                <c:pt idx="0">
                  <c:v>0.32</c:v>
                </c:pt>
                <c:pt idx="1">
                  <c:v>0.72</c:v>
                </c:pt>
              </c:numCache>
            </c:numRef>
          </c:val>
          <c:extLst>
            <c:ext xmlns:c16="http://schemas.microsoft.com/office/drawing/2014/chart" uri="{C3380CC4-5D6E-409C-BE32-E72D297353CC}">
              <c16:uniqueId val="{00000000-A1F0-42E4-97AF-61CE66AD82E8}"/>
            </c:ext>
          </c:extLst>
        </c:ser>
        <c:ser>
          <c:idx val="1"/>
          <c:order val="1"/>
          <c:tx>
            <c:strRef>
              <c:f>גיליון1!$C$1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גיליון1!$A$2:$A$3</c:f>
              <c:strCache>
                <c:ptCount val="2"/>
                <c:pt idx="0">
                  <c:v>בגירים</c:v>
                </c:pt>
                <c:pt idx="1">
                  <c:v>קטינים</c:v>
                </c:pt>
              </c:strCache>
            </c:strRef>
          </c:cat>
          <c:val>
            <c:numRef>
              <c:f>גיליון1!$C$2:$C$3</c:f>
              <c:numCache>
                <c:formatCode>0%</c:formatCode>
                <c:ptCount val="2"/>
                <c:pt idx="0">
                  <c:v>0.52</c:v>
                </c:pt>
                <c:pt idx="1">
                  <c:v>0.89</c:v>
                </c:pt>
              </c:numCache>
            </c:numRef>
          </c:val>
          <c:extLst>
            <c:ext xmlns:c16="http://schemas.microsoft.com/office/drawing/2014/chart" uri="{C3380CC4-5D6E-409C-BE32-E72D297353CC}">
              <c16:uniqueId val="{00000001-A1F0-42E4-97AF-61CE66AD82E8}"/>
            </c:ext>
          </c:extLst>
        </c:ser>
        <c:dLbls>
          <c:dLblPos val="ctr"/>
          <c:showLegendKey val="0"/>
          <c:showVal val="1"/>
          <c:showCatName val="0"/>
          <c:showSerName val="0"/>
          <c:showPercent val="0"/>
          <c:showBubbleSize val="0"/>
        </c:dLbls>
        <c:gapWidth val="219"/>
        <c:overlap val="-27"/>
        <c:axId val="113645824"/>
        <c:axId val="113655808"/>
      </c:barChart>
      <c:catAx>
        <c:axId val="11364582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13655808"/>
        <c:crosses val="autoZero"/>
        <c:auto val="1"/>
        <c:lblAlgn val="ctr"/>
        <c:lblOffset val="100"/>
        <c:noMultiLvlLbl val="0"/>
      </c:catAx>
      <c:valAx>
        <c:axId val="113655808"/>
        <c:scaling>
          <c:orientation val="minMax"/>
        </c:scaling>
        <c:delete val="1"/>
        <c:axPos val="l"/>
        <c:numFmt formatCode="0%" sourceLinked="1"/>
        <c:majorTickMark val="none"/>
        <c:minorTickMark val="none"/>
        <c:tickLblPos val="nextTo"/>
        <c:crossAx val="11364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AC47DBE-3FD5-4B4F-8541-5F600F4AE68E}">
  <ds:schemaRefs>
    <ds:schemaRef ds:uri="http://schemas.openxmlformats.org/officeDocument/2006/bibliography"/>
  </ds:schemaRefs>
</ds:datastoreItem>
</file>

<file path=customXml/itemProps2.xml><?xml version="1.0" encoding="utf-8"?>
<ds:datastoreItem xmlns:ds="http://schemas.openxmlformats.org/officeDocument/2006/customXml" ds:itemID="{7FD1EA2D-88CA-4F30-9F2F-8AB8C55B6123}"/>
</file>

<file path=customXml/itemProps3.xml><?xml version="1.0" encoding="utf-8"?>
<ds:datastoreItem xmlns:ds="http://schemas.openxmlformats.org/officeDocument/2006/customXml" ds:itemID="{DE3F33EE-988A-4475-9560-1F511C38B7D3}"/>
</file>

<file path=customXml/itemProps4.xml><?xml version="1.0" encoding="utf-8"?>
<ds:datastoreItem xmlns:ds="http://schemas.openxmlformats.org/officeDocument/2006/customXml" ds:itemID="{6BAF408C-77E2-4C34-B7EE-81AD9F87731A}"/>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12</TotalTime>
  <Pages>82</Pages>
  <Words>20996</Words>
  <Characters>104985</Characters>
  <Application>Microsoft Office Word</Application>
  <DocSecurity>0</DocSecurity>
  <Lines>874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3</cp:revision>
  <cp:lastPrinted>2020-04-23T10:47:00Z</cp:lastPrinted>
  <dcterms:created xsi:type="dcterms:W3CDTF">2020-05-04T06:26:00Z</dcterms:created>
  <dcterms:modified xsi:type="dcterms:W3CDTF">2020-05-04T06:37:00Z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