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52F28" w14:textId="78162101" w:rsidR="00BA23AE" w:rsidRDefault="00BA23AE" w:rsidP="00BA23AE">
      <w:pPr>
        <w:bidi w:val="0"/>
        <w:spacing w:line="269" w:lineRule="auto"/>
        <w:rPr>
          <w:rtl/>
        </w:rPr>
      </w:pPr>
    </w:p>
    <w:p w14:paraId="39158C4B" w14:textId="42683BE6" w:rsidR="003D3C37" w:rsidRDefault="003D3C37">
      <w:pPr>
        <w:bidi w:val="0"/>
        <w:spacing w:after="200" w:line="276" w:lineRule="auto"/>
        <w:rPr>
          <w:rFonts w:ascii="Tahoma" w:eastAsiaTheme="minorEastAsia" w:hAnsi="Tahoma" w:cs="Tahoma"/>
          <w:color w:val="2A2AA6"/>
          <w:sz w:val="42"/>
          <w:szCs w:val="42"/>
          <w:rtl/>
        </w:rPr>
      </w:pPr>
      <w:r>
        <w:rPr>
          <w:rFonts w:ascii="Tahoma" w:eastAsiaTheme="minorEastAsia" w:hAnsi="Tahoma" w:cs="Tahoma"/>
          <w:noProof/>
          <w:color w:val="2A2AA6"/>
          <w:sz w:val="42"/>
          <w:szCs w:val="42"/>
          <w:rtl/>
          <w:lang w:val="he-IL"/>
        </w:rPr>
        <w:drawing>
          <wp:inline distT="0" distB="0" distL="0" distR="0" wp14:anchorId="6930C7C4" wp14:editId="0676649A">
            <wp:extent cx="5219545" cy="6819265"/>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04 - תקציר-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545" cy="6819265"/>
                    </a:xfrm>
                    <a:prstGeom prst="rect">
                      <a:avLst/>
                    </a:prstGeom>
                  </pic:spPr>
                </pic:pic>
              </a:graphicData>
            </a:graphic>
          </wp:inline>
        </w:drawing>
      </w:r>
    </w:p>
    <w:p w14:paraId="3BB2E986" w14:textId="77777777" w:rsidR="003D3C37" w:rsidRDefault="003D3C37">
      <w:pPr>
        <w:bidi w:val="0"/>
        <w:spacing w:after="200" w:line="276" w:lineRule="auto"/>
        <w:rPr>
          <w:rFonts w:ascii="Tahoma" w:eastAsiaTheme="minorEastAsia" w:hAnsi="Tahoma" w:cs="Tahoma"/>
          <w:color w:val="2A2AA6"/>
          <w:sz w:val="42"/>
          <w:szCs w:val="42"/>
          <w:rtl/>
        </w:rPr>
      </w:pPr>
      <w:r>
        <w:rPr>
          <w:rtl/>
        </w:rPr>
        <w:br w:type="page"/>
      </w:r>
    </w:p>
    <w:p w14:paraId="24EF123E" w14:textId="25A8C38F" w:rsidR="003D3C37" w:rsidRDefault="003D3C37">
      <w:pPr>
        <w:bidi w:val="0"/>
        <w:spacing w:after="200" w:line="276" w:lineRule="auto"/>
        <w:rPr>
          <w:rFonts w:ascii="Tahoma" w:eastAsiaTheme="minorEastAsia" w:hAnsi="Tahoma" w:cs="Tahoma"/>
          <w:color w:val="2A2AA6"/>
          <w:sz w:val="42"/>
          <w:szCs w:val="42"/>
          <w:rtl/>
        </w:rPr>
      </w:pPr>
      <w:r>
        <w:rPr>
          <w:noProof/>
          <w:rtl/>
          <w:lang w:val="he-IL"/>
        </w:rPr>
        <w:lastRenderedPageBreak/>
        <w:drawing>
          <wp:inline distT="0" distB="0" distL="0" distR="0" wp14:anchorId="5663102E" wp14:editId="58447E2E">
            <wp:extent cx="5219013" cy="5997677"/>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04 - תקציר-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3722" cy="6003088"/>
                    </a:xfrm>
                    <a:prstGeom prst="rect">
                      <a:avLst/>
                    </a:prstGeom>
                  </pic:spPr>
                </pic:pic>
              </a:graphicData>
            </a:graphic>
          </wp:inline>
        </w:drawing>
      </w:r>
      <w:r>
        <w:rPr>
          <w:rtl/>
        </w:rPr>
        <w:br w:type="page"/>
      </w:r>
    </w:p>
    <w:p w14:paraId="340ED255" w14:textId="77777777" w:rsidR="00F75A41" w:rsidRDefault="00F75A41">
      <w:pPr>
        <w:bidi w:val="0"/>
        <w:spacing w:after="200" w:line="276" w:lineRule="auto"/>
      </w:pPr>
      <w:r>
        <w:rPr>
          <w:noProof/>
          <w:rtl/>
          <w:lang w:val="he-IL"/>
        </w:rPr>
        <w:lastRenderedPageBreak/>
        <w:drawing>
          <wp:inline distT="0" distB="0" distL="0" distR="0" wp14:anchorId="79434FDD" wp14:editId="68F3F788">
            <wp:extent cx="5218717" cy="4168877"/>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04 - תקציר-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9612" cy="4177580"/>
                    </a:xfrm>
                    <a:prstGeom prst="rect">
                      <a:avLst/>
                    </a:prstGeom>
                  </pic:spPr>
                </pic:pic>
              </a:graphicData>
            </a:graphic>
          </wp:inline>
        </w:drawing>
      </w:r>
      <w:r w:rsidR="003D3C37">
        <w:rPr>
          <w:rtl/>
        </w:rPr>
        <w:br w:type="page"/>
      </w:r>
    </w:p>
    <w:p w14:paraId="5A027744" w14:textId="37A7E750" w:rsidR="003D3C37" w:rsidRDefault="003D3C37" w:rsidP="00F75A41">
      <w:pPr>
        <w:bidi w:val="0"/>
        <w:spacing w:after="200" w:line="276" w:lineRule="auto"/>
        <w:rPr>
          <w:rFonts w:ascii="Tahoma" w:eastAsiaTheme="minorEastAsia" w:hAnsi="Tahoma" w:cs="Tahoma"/>
          <w:color w:val="2A2AA6"/>
          <w:sz w:val="42"/>
          <w:szCs w:val="42"/>
          <w:rtl/>
        </w:rPr>
      </w:pPr>
      <w:r>
        <w:rPr>
          <w:rFonts w:ascii="Tahoma" w:eastAsiaTheme="minorEastAsia" w:hAnsi="Tahoma" w:cs="Tahoma"/>
          <w:noProof/>
          <w:color w:val="2A2AA6"/>
          <w:sz w:val="42"/>
          <w:szCs w:val="42"/>
          <w:rtl/>
          <w:lang w:val="he-IL"/>
        </w:rPr>
        <w:lastRenderedPageBreak/>
        <w:drawing>
          <wp:inline distT="0" distB="0" distL="0" distR="0" wp14:anchorId="28D9D887" wp14:editId="1F12A392">
            <wp:extent cx="5219700" cy="587145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04 - תקציר-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700" cy="5871457"/>
                    </a:xfrm>
                    <a:prstGeom prst="rect">
                      <a:avLst/>
                    </a:prstGeom>
                  </pic:spPr>
                </pic:pic>
              </a:graphicData>
            </a:graphic>
          </wp:inline>
        </w:drawing>
      </w:r>
    </w:p>
    <w:p w14:paraId="3F61B923" w14:textId="23083BB9" w:rsidR="00F75A41" w:rsidRDefault="00F75A41" w:rsidP="00F75A41">
      <w:pPr>
        <w:bidi w:val="0"/>
        <w:spacing w:after="200" w:line="276" w:lineRule="auto"/>
        <w:rPr>
          <w:rFonts w:ascii="Tahoma" w:eastAsiaTheme="minorEastAsia" w:hAnsi="Tahoma" w:cs="Tahoma"/>
          <w:color w:val="2A2AA6"/>
          <w:sz w:val="42"/>
          <w:szCs w:val="42"/>
          <w:rtl/>
        </w:rPr>
      </w:pPr>
    </w:p>
    <w:p w14:paraId="0DE7F10A" w14:textId="1616D564" w:rsidR="00F75A41" w:rsidRDefault="00F75A41" w:rsidP="00F75A41">
      <w:pPr>
        <w:bidi w:val="0"/>
        <w:spacing w:after="200" w:line="276" w:lineRule="auto"/>
        <w:rPr>
          <w:rFonts w:ascii="Tahoma" w:eastAsiaTheme="minorEastAsia" w:hAnsi="Tahoma" w:cs="Tahoma"/>
          <w:color w:val="2A2AA6"/>
          <w:sz w:val="42"/>
          <w:szCs w:val="42"/>
          <w:rtl/>
        </w:rPr>
      </w:pPr>
    </w:p>
    <w:p w14:paraId="05051F1E" w14:textId="308787CF" w:rsidR="00F75A41" w:rsidRDefault="00F75A41" w:rsidP="00F75A41">
      <w:pPr>
        <w:bidi w:val="0"/>
        <w:spacing w:after="200" w:line="276" w:lineRule="auto"/>
        <w:rPr>
          <w:rFonts w:ascii="Tahoma" w:eastAsiaTheme="minorEastAsia" w:hAnsi="Tahoma" w:cs="Tahoma"/>
          <w:color w:val="2A2AA6"/>
          <w:sz w:val="42"/>
          <w:szCs w:val="42"/>
          <w:rtl/>
        </w:rPr>
      </w:pPr>
    </w:p>
    <w:p w14:paraId="5A71D5BB" w14:textId="5C21565A" w:rsidR="00F75A41" w:rsidRDefault="00F75A41" w:rsidP="00F75A41">
      <w:pPr>
        <w:bidi w:val="0"/>
        <w:spacing w:after="200" w:line="276" w:lineRule="auto"/>
        <w:rPr>
          <w:rFonts w:ascii="Tahoma" w:eastAsiaTheme="minorEastAsia" w:hAnsi="Tahoma" w:cs="Tahoma"/>
          <w:color w:val="2A2AA6"/>
          <w:sz w:val="42"/>
          <w:szCs w:val="42"/>
          <w:rtl/>
        </w:rPr>
      </w:pPr>
    </w:p>
    <w:p w14:paraId="008F0B5E" w14:textId="714FA9E4" w:rsidR="00BA23AE" w:rsidRPr="00DA4F24" w:rsidRDefault="00BA23AE" w:rsidP="002D79C7">
      <w:pPr>
        <w:pStyle w:val="121"/>
        <w:rPr>
          <w:rtl/>
        </w:rPr>
      </w:pPr>
      <w:r w:rsidRPr="00461C1B">
        <w:rPr>
          <w:rtl/>
        </w:rPr>
        <w:lastRenderedPageBreak/>
        <w:t>התנהלות מייצגי המדינה בערכאות</w:t>
      </w:r>
      <w:r w:rsidR="002D79C7">
        <w:rPr>
          <w:rtl/>
        </w:rPr>
        <w:br/>
      </w:r>
      <w:r w:rsidRPr="00461C1B">
        <w:rPr>
          <w:rtl/>
        </w:rPr>
        <w:t>בתיקי מעצרים</w:t>
      </w:r>
    </w:p>
    <w:p w14:paraId="0AB3D61D" w14:textId="77777777" w:rsidR="00BA23AE" w:rsidRPr="00DD762E" w:rsidRDefault="00BA23AE" w:rsidP="009B10AE">
      <w:pPr>
        <w:pStyle w:val="316"/>
        <w:rPr>
          <w:rtl/>
        </w:rPr>
      </w:pPr>
      <w:r w:rsidRPr="00DD762E">
        <w:rPr>
          <w:rFonts w:hint="cs"/>
          <w:rtl/>
        </w:rPr>
        <w:t>מבוא</w:t>
      </w:r>
    </w:p>
    <w:p w14:paraId="50FDB252" w14:textId="77777777" w:rsidR="00BA23AE" w:rsidRPr="00DD762E" w:rsidRDefault="00BA23AE" w:rsidP="009B10AE">
      <w:pPr>
        <w:pStyle w:val="100"/>
        <w:rPr>
          <w:rtl/>
        </w:rPr>
      </w:pPr>
      <w:r w:rsidRPr="00DD762E">
        <w:rPr>
          <w:rFonts w:hint="cs"/>
          <w:rtl/>
          <w:lang w:eastAsia="he-IL"/>
        </w:rPr>
        <w:t xml:space="preserve">פרק זה עוסק </w:t>
      </w:r>
      <w:r w:rsidRPr="00DD762E">
        <w:rPr>
          <w:rFonts w:hint="cs"/>
          <w:rtl/>
        </w:rPr>
        <w:t>בהתנהלות מייצגי המדינה בהליכי המעצר המתנהלים בבית המשפט</w:t>
      </w:r>
      <w:r>
        <w:rPr>
          <w:rFonts w:hint="cs"/>
          <w:rtl/>
        </w:rPr>
        <w:t>,</w:t>
      </w:r>
      <w:r w:rsidRPr="00DD762E">
        <w:rPr>
          <w:rFonts w:hint="cs"/>
          <w:rtl/>
        </w:rPr>
        <w:t xml:space="preserve"> החל </w:t>
      </w:r>
      <w:r>
        <w:rPr>
          <w:rFonts w:hint="cs"/>
          <w:rtl/>
        </w:rPr>
        <w:t>ב</w:t>
      </w:r>
      <w:r w:rsidRPr="00DD762E">
        <w:rPr>
          <w:rFonts w:hint="cs"/>
          <w:rtl/>
        </w:rPr>
        <w:t xml:space="preserve">הליך הארכת המעצר במהלך חקירה </w:t>
      </w:r>
      <w:r>
        <w:rPr>
          <w:rFonts w:hint="cs"/>
          <w:rtl/>
        </w:rPr>
        <w:t>ועד</w:t>
      </w:r>
      <w:r w:rsidRPr="00DD762E">
        <w:rPr>
          <w:rFonts w:hint="cs"/>
          <w:rtl/>
        </w:rPr>
        <w:t xml:space="preserve"> להליך </w:t>
      </w:r>
      <w:r>
        <w:rPr>
          <w:rFonts w:hint="cs"/>
          <w:rtl/>
        </w:rPr>
        <w:t xml:space="preserve">של </w:t>
      </w:r>
      <w:r w:rsidRPr="00DD762E">
        <w:rPr>
          <w:rFonts w:hint="cs"/>
          <w:rtl/>
        </w:rPr>
        <w:t xml:space="preserve">מעצר לאחר הגשת כתב אישום. בביקורת </w:t>
      </w:r>
      <w:r w:rsidRPr="00DD762E">
        <w:rPr>
          <w:rtl/>
        </w:rPr>
        <w:t xml:space="preserve">נבדקו נושאים </w:t>
      </w:r>
      <w:r w:rsidRPr="00DD762E">
        <w:rPr>
          <w:rFonts w:hint="cs"/>
          <w:rtl/>
        </w:rPr>
        <w:t xml:space="preserve">מרכזיים </w:t>
      </w:r>
      <w:r w:rsidRPr="00DD762E">
        <w:rPr>
          <w:rtl/>
        </w:rPr>
        <w:t xml:space="preserve">אלה: </w:t>
      </w:r>
      <w:r w:rsidRPr="00DD762E">
        <w:rPr>
          <w:rFonts w:hint="cs"/>
          <w:rtl/>
        </w:rPr>
        <w:t>נ</w:t>
      </w:r>
      <w:r>
        <w:rPr>
          <w:rFonts w:hint="cs"/>
          <w:rtl/>
        </w:rPr>
        <w:t>ו</w:t>
      </w:r>
      <w:r w:rsidRPr="00DD762E">
        <w:rPr>
          <w:rFonts w:hint="cs"/>
          <w:rtl/>
        </w:rPr>
        <w:t>הלי עבודת טועני המעצרים המשטרתיים והכשרתם, התנהלות גורמי התביעה בתחום המעצרים, פעולות גורמי התביעה ליישום המלצות</w:t>
      </w:r>
      <w:r>
        <w:rPr>
          <w:rFonts w:hint="cs"/>
          <w:rtl/>
        </w:rPr>
        <w:t>יה של</w:t>
      </w:r>
      <w:r w:rsidRPr="00DD762E">
        <w:rPr>
          <w:rFonts w:hint="cs"/>
          <w:rtl/>
        </w:rPr>
        <w:t xml:space="preserve"> הוועדה הציבורית לבחינת מדיניות הענישה והטיפול בעבריינים</w:t>
      </w:r>
      <w:r>
        <w:rPr>
          <w:rFonts w:hint="cs"/>
          <w:rtl/>
        </w:rPr>
        <w:t xml:space="preserve"> (להלן -</w:t>
      </w:r>
      <w:r w:rsidRPr="006A5A85">
        <w:rPr>
          <w:rFonts w:hint="cs"/>
          <w:rtl/>
        </w:rPr>
        <w:t xml:space="preserve"> </w:t>
      </w:r>
      <w:r w:rsidRPr="00DD762E">
        <w:rPr>
          <w:rFonts w:hint="cs"/>
          <w:rtl/>
        </w:rPr>
        <w:t>הוועדה הציבורית</w:t>
      </w:r>
      <w:r>
        <w:rPr>
          <w:rFonts w:hint="cs"/>
          <w:rtl/>
        </w:rPr>
        <w:t>)</w:t>
      </w:r>
      <w:r w:rsidRPr="00DD762E">
        <w:rPr>
          <w:rFonts w:hint="cs"/>
          <w:rtl/>
        </w:rPr>
        <w:t xml:space="preserve">, התנהלות שירות המבחן למבוגרים </w:t>
      </w:r>
      <w:r>
        <w:rPr>
          <w:rFonts w:hint="cs"/>
          <w:rtl/>
        </w:rPr>
        <w:t>הפועל במסגרת משרד העבודה, הרווחה והשירותים החברתיים (להלן -</w:t>
      </w:r>
      <w:r w:rsidRPr="006A5A85">
        <w:rPr>
          <w:rFonts w:hint="cs"/>
          <w:rtl/>
        </w:rPr>
        <w:t xml:space="preserve"> </w:t>
      </w:r>
      <w:r w:rsidRPr="00DD762E">
        <w:rPr>
          <w:rFonts w:hint="cs"/>
          <w:rtl/>
        </w:rPr>
        <w:t>שירות המבחן</w:t>
      </w:r>
      <w:r>
        <w:rPr>
          <w:rFonts w:hint="cs"/>
          <w:rtl/>
        </w:rPr>
        <w:t xml:space="preserve"> ומשרד הרווחה בהתאמה)</w:t>
      </w:r>
      <w:r w:rsidRPr="00DD762E">
        <w:rPr>
          <w:rFonts w:hint="cs"/>
          <w:rtl/>
        </w:rPr>
        <w:t xml:space="preserve"> בתחום המעצרים, </w:t>
      </w:r>
      <w:r>
        <w:rPr>
          <w:rFonts w:hint="cs"/>
          <w:rtl/>
        </w:rPr>
        <w:t>ו</w:t>
      </w:r>
      <w:r w:rsidRPr="00DD762E">
        <w:rPr>
          <w:rFonts w:hint="cs"/>
          <w:rtl/>
        </w:rPr>
        <w:t>מערך הפיקוח האלקטרוני והממשקים בין הגורמים השונים הנוגעים להפעלתו.</w:t>
      </w:r>
      <w:r>
        <w:rPr>
          <w:rFonts w:hint="cs"/>
          <w:rtl/>
        </w:rPr>
        <w:t xml:space="preserve"> </w:t>
      </w:r>
    </w:p>
    <w:p w14:paraId="5F2365EB" w14:textId="77777777" w:rsidR="00BA23AE" w:rsidRPr="00DD762E" w:rsidRDefault="00BA23AE" w:rsidP="009B10AE">
      <w:pPr>
        <w:pStyle w:val="100"/>
        <w:rPr>
          <w:rtl/>
        </w:rPr>
      </w:pPr>
      <w:r w:rsidRPr="00DD762E">
        <w:rPr>
          <w:rFonts w:hint="cs"/>
          <w:rtl/>
        </w:rPr>
        <w:t>חוק המעצרים מבחין בין שלושה הליכים משפטיים הנוגעים למעצרים</w:t>
      </w:r>
      <w:r>
        <w:rPr>
          <w:rFonts w:hint="cs"/>
          <w:rtl/>
        </w:rPr>
        <w:t>,</w:t>
      </w:r>
      <w:r w:rsidRPr="00DD762E">
        <w:rPr>
          <w:rFonts w:hint="cs"/>
          <w:rtl/>
        </w:rPr>
        <w:t xml:space="preserve"> </w:t>
      </w:r>
      <w:r>
        <w:rPr>
          <w:rFonts w:hint="cs"/>
          <w:rtl/>
        </w:rPr>
        <w:t>ו</w:t>
      </w:r>
      <w:r w:rsidRPr="00DD762E">
        <w:rPr>
          <w:rFonts w:hint="cs"/>
          <w:rtl/>
        </w:rPr>
        <w:t>בכל אחד מהם סמכות עניינית שונה</w:t>
      </w:r>
      <w:r>
        <w:rPr>
          <w:vertAlign w:val="superscript"/>
          <w:rtl/>
        </w:rPr>
        <w:footnoteReference w:id="1"/>
      </w:r>
      <w:r w:rsidRPr="00DD762E">
        <w:rPr>
          <w:rFonts w:hint="cs"/>
          <w:rtl/>
        </w:rPr>
        <w:t xml:space="preserve">. הסמכות העניינית לדון בבקשה למעצר ימים </w:t>
      </w:r>
      <w:r>
        <w:rPr>
          <w:rFonts w:hint="cs"/>
          <w:rtl/>
        </w:rPr>
        <w:t xml:space="preserve">הקודם להגשת כתב אישום </w:t>
      </w:r>
      <w:r w:rsidRPr="00DD762E">
        <w:rPr>
          <w:rFonts w:hint="cs"/>
          <w:rtl/>
        </w:rPr>
        <w:t>ניתנה לבית משפט השלום</w:t>
      </w:r>
      <w:r>
        <w:rPr>
          <w:rFonts w:hint="cs"/>
          <w:rtl/>
        </w:rPr>
        <w:t>;</w:t>
      </w:r>
      <w:r w:rsidRPr="00DD762E">
        <w:rPr>
          <w:rFonts w:hint="cs"/>
          <w:rtl/>
        </w:rPr>
        <w:t xml:space="preserve"> הסמכות העניינית לדון בבקשה למעצר עד תום ההליכים היא לבית המשפט המוסמך לדון בכתב האישום</w:t>
      </w:r>
      <w:r>
        <w:rPr>
          <w:rFonts w:hint="cs"/>
          <w:rtl/>
        </w:rPr>
        <w:t>;</w:t>
      </w:r>
      <w:r w:rsidRPr="00DD762E">
        <w:rPr>
          <w:rFonts w:hint="cs"/>
          <w:rtl/>
        </w:rPr>
        <w:t xml:space="preserve"> הסמכות העניינית בערר על החלטה </w:t>
      </w:r>
      <w:r>
        <w:rPr>
          <w:rFonts w:hint="cs"/>
          <w:rtl/>
        </w:rPr>
        <w:t xml:space="preserve">להטיל </w:t>
      </w:r>
      <w:r w:rsidRPr="00DD762E">
        <w:rPr>
          <w:rFonts w:hint="cs"/>
          <w:rtl/>
        </w:rPr>
        <w:t xml:space="preserve">מעצר היא לבית המשפט המוסמך לדון בערעור. </w:t>
      </w:r>
    </w:p>
    <w:p w14:paraId="5268A9DE" w14:textId="77777777" w:rsidR="00BA23AE" w:rsidRPr="00DD762E" w:rsidRDefault="00BA23AE" w:rsidP="009B10AE">
      <w:pPr>
        <w:pStyle w:val="218"/>
        <w:rPr>
          <w:rtl/>
        </w:rPr>
      </w:pPr>
      <w:bookmarkStart w:id="0" w:name="_Toc24624835"/>
      <w:r w:rsidRPr="00DD762E">
        <w:rPr>
          <w:rFonts w:hint="cs"/>
          <w:rtl/>
        </w:rPr>
        <w:t>ייצוג המדינה במעצרי ימים</w:t>
      </w:r>
      <w:bookmarkEnd w:id="0"/>
    </w:p>
    <w:p w14:paraId="64FB106C" w14:textId="77777777" w:rsidR="00BA23AE" w:rsidRPr="00DD762E" w:rsidRDefault="00BA23AE" w:rsidP="009B10AE">
      <w:pPr>
        <w:pStyle w:val="100"/>
        <w:rPr>
          <w:bCs/>
          <w:rtl/>
        </w:rPr>
      </w:pPr>
      <w:r w:rsidRPr="00DD762E">
        <w:rPr>
          <w:rFonts w:hint="cs"/>
          <w:rtl/>
        </w:rPr>
        <w:t xml:space="preserve">בשלב החקירה נערכים דיונים שונים בבית המשפט הנוגעים למעצרי </w:t>
      </w:r>
      <w:r>
        <w:rPr>
          <w:rFonts w:hint="cs"/>
          <w:rtl/>
        </w:rPr>
        <w:t>ימי</w:t>
      </w:r>
      <w:r w:rsidRPr="00DD762E">
        <w:rPr>
          <w:rFonts w:hint="cs"/>
          <w:rtl/>
        </w:rPr>
        <w:t xml:space="preserve">ם. בית המשפט מכריע בבקשות לצווים שונים הנדרשים ליחידות החוקרות </w:t>
      </w:r>
      <w:r>
        <w:rPr>
          <w:rFonts w:hint="cs"/>
          <w:rtl/>
        </w:rPr>
        <w:t>ו</w:t>
      </w:r>
      <w:r w:rsidRPr="00DD762E">
        <w:rPr>
          <w:rFonts w:hint="cs"/>
          <w:rtl/>
        </w:rPr>
        <w:t xml:space="preserve">ביניהם צווי מעצר, צווי תפיסה, צווי חיפוש </w:t>
      </w:r>
      <w:r>
        <w:rPr>
          <w:rFonts w:hint="cs"/>
          <w:rtl/>
        </w:rPr>
        <w:t>וכיוצא באלו</w:t>
      </w:r>
      <w:r w:rsidRPr="00DD762E">
        <w:rPr>
          <w:rFonts w:hint="cs"/>
          <w:rtl/>
        </w:rPr>
        <w:t>. ככלל, דיונים אלה נערכים במעמד צד אחד - מול היחידה החוקרת בלבד. בקשות להארכת מעצר של עצורים לצורך השלמת החקירה</w:t>
      </w:r>
      <w:r>
        <w:rPr>
          <w:rFonts w:hint="cs"/>
          <w:rtl/>
        </w:rPr>
        <w:t xml:space="preserve"> </w:t>
      </w:r>
      <w:r w:rsidRPr="00DD762E">
        <w:rPr>
          <w:rFonts w:hint="cs"/>
          <w:rtl/>
        </w:rPr>
        <w:t xml:space="preserve">מתקיימים במעמד שני הצדדים. </w:t>
      </w:r>
    </w:p>
    <w:p w14:paraId="5BAD13DC" w14:textId="77777777" w:rsidR="00BA23AE" w:rsidRDefault="00BA23AE" w:rsidP="009B10AE">
      <w:pPr>
        <w:pStyle w:val="100"/>
        <w:rPr>
          <w:rtl/>
        </w:rPr>
      </w:pPr>
      <w:r w:rsidRPr="00DD762E">
        <w:rPr>
          <w:rFonts w:hint="cs"/>
          <w:rtl/>
        </w:rPr>
        <w:t>חוק המעצרים מעמיד שלושה מבחנים כתנאי למעצר או להארכת מעצר על ידי שופט: מבחן דיות הראיות, מבחן העילה ומבחן החלופה. במבחן הראשון על השופט לבחון אם קיימות די ראיות להקים חשד סביר שהחשוד ביצע את העבירה המיוחסת לו</w:t>
      </w:r>
      <w:r>
        <w:rPr>
          <w:rFonts w:hint="cs"/>
          <w:rtl/>
        </w:rPr>
        <w:t>, והעבירה אינה מוגדרת "חטא"</w:t>
      </w:r>
      <w:r w:rsidRPr="00DD762E">
        <w:rPr>
          <w:rFonts w:hint="cs"/>
          <w:rtl/>
        </w:rPr>
        <w:t xml:space="preserve">. במבחן השני </w:t>
      </w:r>
      <w:r>
        <w:rPr>
          <w:rFonts w:hint="cs"/>
          <w:rtl/>
        </w:rPr>
        <w:t>על</w:t>
      </w:r>
      <w:r w:rsidRPr="00DD762E">
        <w:rPr>
          <w:rFonts w:hint="cs"/>
          <w:rtl/>
        </w:rPr>
        <w:t xml:space="preserve"> השופט לבחון אם מתקיימת אחת מעילות המעצר המוגדרות בחוק</w:t>
      </w:r>
      <w:r>
        <w:rPr>
          <w:vertAlign w:val="superscript"/>
          <w:rtl/>
        </w:rPr>
        <w:footnoteReference w:id="2"/>
      </w:r>
      <w:r w:rsidRPr="00DD762E">
        <w:rPr>
          <w:rFonts w:hint="cs"/>
          <w:rtl/>
        </w:rPr>
        <w:t xml:space="preserve">. </w:t>
      </w:r>
      <w:r w:rsidRPr="00DD762E">
        <w:rPr>
          <w:rFonts w:hint="cs"/>
          <w:rtl/>
        </w:rPr>
        <w:lastRenderedPageBreak/>
        <w:t xml:space="preserve">במבחן השלישי </w:t>
      </w:r>
      <w:r>
        <w:rPr>
          <w:rFonts w:hint="cs"/>
          <w:rtl/>
        </w:rPr>
        <w:t>על השופט</w:t>
      </w:r>
      <w:r w:rsidRPr="00DD762E">
        <w:rPr>
          <w:rFonts w:hint="cs"/>
          <w:rtl/>
        </w:rPr>
        <w:t xml:space="preserve"> לבחון אם קיימת חלופה למעצר</w:t>
      </w:r>
      <w:r>
        <w:rPr>
          <w:rFonts w:hint="cs"/>
          <w:rtl/>
        </w:rPr>
        <w:t>,</w:t>
      </w:r>
      <w:r w:rsidRPr="00DD762E">
        <w:rPr>
          <w:rFonts w:hint="cs"/>
          <w:rtl/>
        </w:rPr>
        <w:t xml:space="preserve"> והאם ניתן להשיג את מטרת המעצר בדרך שתפחית את הפגיעה בחירויות החשוד</w:t>
      </w:r>
      <w:r>
        <w:rPr>
          <w:vertAlign w:val="superscript"/>
          <w:rtl/>
        </w:rPr>
        <w:footnoteReference w:id="3"/>
      </w:r>
      <w:r w:rsidRPr="00DD762E">
        <w:rPr>
          <w:rFonts w:hint="cs"/>
          <w:rtl/>
        </w:rPr>
        <w:t xml:space="preserve">. </w:t>
      </w:r>
    </w:p>
    <w:p w14:paraId="3AA83582" w14:textId="77777777" w:rsidR="00BA23AE" w:rsidRPr="00DD762E" w:rsidRDefault="00BA23AE" w:rsidP="00497103">
      <w:pPr>
        <w:pStyle w:val="100"/>
        <w:rPr>
          <w:bCs/>
          <w:rtl/>
        </w:rPr>
      </w:pPr>
      <w:r w:rsidRPr="00DD762E">
        <w:rPr>
          <w:rFonts w:hint="cs"/>
          <w:rtl/>
        </w:rPr>
        <w:t xml:space="preserve">בשלב </w:t>
      </w:r>
      <w:r>
        <w:rPr>
          <w:rFonts w:hint="cs"/>
          <w:rtl/>
        </w:rPr>
        <w:t xml:space="preserve">החקירה </w:t>
      </w:r>
      <w:r w:rsidRPr="00DD762E">
        <w:rPr>
          <w:rFonts w:hint="cs"/>
          <w:rtl/>
        </w:rPr>
        <w:t xml:space="preserve">ובטרם החליטו גורמי התביעה (פרקליטות המדינה ומינהל התביעות במשטרה) על הגשת כתב אישום, מייצגי המדינה המופיעים </w:t>
      </w:r>
      <w:r>
        <w:rPr>
          <w:rFonts w:hint="cs"/>
          <w:rtl/>
        </w:rPr>
        <w:t>ל</w:t>
      </w:r>
      <w:r w:rsidRPr="00DD762E">
        <w:rPr>
          <w:rFonts w:hint="cs"/>
          <w:rtl/>
        </w:rPr>
        <w:t xml:space="preserve">פני בית המשפט הם חוקרים מיחידות החקירה של משטרת ישראל (להלן - טועני מעצרים). תפקידם להציג </w:t>
      </w:r>
      <w:r>
        <w:rPr>
          <w:rFonts w:hint="cs"/>
          <w:rtl/>
        </w:rPr>
        <w:t>ל</w:t>
      </w:r>
      <w:r w:rsidRPr="00DD762E">
        <w:rPr>
          <w:rFonts w:hint="cs"/>
          <w:rtl/>
        </w:rPr>
        <w:t>בית המשפט את העובדות המצדיקות מעצר בצו שיפוטי או כל צו אחר הנדרש לצורך החקירה</w:t>
      </w:r>
      <w:r>
        <w:rPr>
          <w:rStyle w:val="FootnoteReference"/>
          <w:b/>
          <w:rtl/>
        </w:rPr>
        <w:footnoteReference w:id="4"/>
      </w:r>
      <w:r>
        <w:rPr>
          <w:rFonts w:hint="cs"/>
          <w:rtl/>
        </w:rPr>
        <w:t xml:space="preserve"> </w:t>
      </w:r>
      <w:r w:rsidRPr="00DD762E">
        <w:rPr>
          <w:rFonts w:hint="cs"/>
          <w:b/>
          <w:rtl/>
        </w:rPr>
        <w:t>וכן</w:t>
      </w:r>
      <w:r w:rsidRPr="00DD762E">
        <w:rPr>
          <w:rFonts w:hint="cs"/>
          <w:rtl/>
        </w:rPr>
        <w:t xml:space="preserve"> </w:t>
      </w:r>
      <w:r>
        <w:rPr>
          <w:rFonts w:hint="cs"/>
          <w:rtl/>
        </w:rPr>
        <w:t xml:space="preserve">את העובדות המצדיקות את </w:t>
      </w:r>
      <w:r w:rsidRPr="00DD762E">
        <w:rPr>
          <w:rFonts w:hint="cs"/>
          <w:rtl/>
        </w:rPr>
        <w:t>הארכת מעצר</w:t>
      </w:r>
      <w:r>
        <w:rPr>
          <w:rFonts w:hint="cs"/>
          <w:rtl/>
        </w:rPr>
        <w:t>ם</w:t>
      </w:r>
      <w:r w:rsidRPr="00DD762E">
        <w:rPr>
          <w:rFonts w:hint="cs"/>
          <w:rtl/>
        </w:rPr>
        <w:t xml:space="preserve"> של </w:t>
      </w:r>
      <w:r>
        <w:rPr>
          <w:rFonts w:hint="cs"/>
          <w:rtl/>
        </w:rPr>
        <w:t>ה</w:t>
      </w:r>
      <w:r w:rsidRPr="00DD762E">
        <w:rPr>
          <w:rFonts w:hint="cs"/>
          <w:rtl/>
        </w:rPr>
        <w:t xml:space="preserve">עצורים. </w:t>
      </w:r>
    </w:p>
    <w:p w14:paraId="085A35FA" w14:textId="77777777" w:rsidR="00BA23AE" w:rsidRPr="00DD762E" w:rsidRDefault="00BA23AE" w:rsidP="00497103">
      <w:pPr>
        <w:pStyle w:val="316"/>
        <w:rPr>
          <w:rtl/>
        </w:rPr>
      </w:pPr>
      <w:r w:rsidRPr="00DD762E">
        <w:rPr>
          <w:rFonts w:hint="cs"/>
          <w:rtl/>
        </w:rPr>
        <w:t>טועני המעצרים</w:t>
      </w:r>
    </w:p>
    <w:p w14:paraId="07D55F50" w14:textId="77777777" w:rsidR="00BA23AE" w:rsidRPr="00DD762E" w:rsidRDefault="00BA23AE" w:rsidP="00497103">
      <w:pPr>
        <w:pStyle w:val="414"/>
        <w:rPr>
          <w:rtl/>
        </w:rPr>
      </w:pPr>
      <w:r w:rsidRPr="00DD762E">
        <w:rPr>
          <w:rFonts w:hint="cs"/>
          <w:rtl/>
        </w:rPr>
        <w:t>רקע כללי</w:t>
      </w:r>
    </w:p>
    <w:p w14:paraId="2A4EB90B" w14:textId="77777777" w:rsidR="00BA23AE" w:rsidRPr="00DD762E" w:rsidRDefault="00BA23AE" w:rsidP="00497103">
      <w:pPr>
        <w:pStyle w:val="100"/>
        <w:rPr>
          <w:rtl/>
        </w:rPr>
      </w:pPr>
      <w:r w:rsidRPr="00DD762E">
        <w:rPr>
          <w:rFonts w:hint="cs"/>
          <w:rtl/>
        </w:rPr>
        <w:t>לפי נתוני הנהלת בתי המשפט</w:t>
      </w:r>
      <w:r>
        <w:rPr>
          <w:rFonts w:hint="cs"/>
          <w:rtl/>
        </w:rPr>
        <w:t>,</w:t>
      </w:r>
      <w:r w:rsidRPr="00DD762E">
        <w:rPr>
          <w:rFonts w:hint="cs"/>
          <w:rtl/>
        </w:rPr>
        <w:t xml:space="preserve"> במהלך שנת 2018 הוגשו 199,039 בקשות למעצר ולצווים השונים הנדרשים לשלב חקירת המשטרה</w:t>
      </w:r>
      <w:r>
        <w:rPr>
          <w:rFonts w:hint="cs"/>
          <w:rtl/>
        </w:rPr>
        <w:t>,</w:t>
      </w:r>
      <w:r w:rsidRPr="00DD762E">
        <w:rPr>
          <w:rFonts w:hint="cs"/>
          <w:rtl/>
        </w:rPr>
        <w:t xml:space="preserve"> מה</w:t>
      </w:r>
      <w:r>
        <w:rPr>
          <w:rFonts w:hint="cs"/>
          <w:rtl/>
        </w:rPr>
        <w:t>ן</w:t>
      </w:r>
      <w:r w:rsidRPr="00DD762E">
        <w:rPr>
          <w:rFonts w:hint="cs"/>
          <w:rtl/>
        </w:rPr>
        <w:t xml:space="preserve"> 42,216 בקשות להארכת מעצר ימים. בשנת 2018 התקיימו 67,074 דיונים בתיקי מעצר ימים, נתון המייצג ירידה קלה לעומת שנת 2017</w:t>
      </w:r>
      <w:r>
        <w:rPr>
          <w:rFonts w:hint="cs"/>
          <w:rtl/>
        </w:rPr>
        <w:t>,</w:t>
      </w:r>
      <w:r w:rsidRPr="00DD762E">
        <w:rPr>
          <w:rFonts w:hint="cs"/>
          <w:rtl/>
        </w:rPr>
        <w:t xml:space="preserve"> שבמהלכה התקיימו 70,868 דיונים בתיקי מעצר ימים. </w:t>
      </w:r>
    </w:p>
    <w:p w14:paraId="6EB5E0B4" w14:textId="77777777" w:rsidR="00BA23AE" w:rsidRPr="00DD762E" w:rsidRDefault="00BA23AE" w:rsidP="00497103">
      <w:pPr>
        <w:pStyle w:val="100"/>
        <w:rPr>
          <w:rtl/>
        </w:rPr>
      </w:pPr>
      <w:r w:rsidRPr="00DD762E">
        <w:rPr>
          <w:rFonts w:hint="cs"/>
          <w:rtl/>
        </w:rPr>
        <w:t>בעבר</w:t>
      </w:r>
      <w:r>
        <w:rPr>
          <w:rFonts w:hint="cs"/>
          <w:rtl/>
        </w:rPr>
        <w:t xml:space="preserve"> היה</w:t>
      </w:r>
      <w:r w:rsidRPr="00DD762E">
        <w:rPr>
          <w:rFonts w:hint="cs"/>
          <w:rtl/>
        </w:rPr>
        <w:t xml:space="preserve"> טוען המעצרים חוקר מטעם היחידה החוקרת </w:t>
      </w:r>
      <w:r>
        <w:rPr>
          <w:rFonts w:hint="cs"/>
          <w:rtl/>
        </w:rPr>
        <w:t>ב</w:t>
      </w:r>
      <w:r w:rsidRPr="00DD762E">
        <w:rPr>
          <w:rFonts w:hint="cs"/>
          <w:rtl/>
        </w:rPr>
        <w:t>תיק שבו מבוקש המעצר. בשנים האחרונות ומחמת ריבוי תיקי המעצרים החליטו המחוזות השונים, לפי צורכיהם, להפנות חוקרים לתפקיד של טועני מעצרים</w:t>
      </w:r>
      <w:r>
        <w:rPr>
          <w:rFonts w:hint="cs"/>
          <w:rtl/>
        </w:rPr>
        <w:t xml:space="preserve"> </w:t>
      </w:r>
      <w:r w:rsidRPr="00DD762E">
        <w:rPr>
          <w:rFonts w:hint="cs"/>
          <w:rtl/>
        </w:rPr>
        <w:t>(להלן - טוענים קבועים)</w:t>
      </w:r>
      <w:r>
        <w:rPr>
          <w:rFonts w:hint="cs"/>
          <w:rtl/>
        </w:rPr>
        <w:t>,</w:t>
      </w:r>
      <w:r w:rsidRPr="00DD762E">
        <w:rPr>
          <w:rFonts w:hint="cs"/>
          <w:rtl/>
        </w:rPr>
        <w:t xml:space="preserve"> </w:t>
      </w:r>
      <w:r>
        <w:rPr>
          <w:rFonts w:hint="cs"/>
          <w:rtl/>
        </w:rPr>
        <w:t>טוענים אלה</w:t>
      </w:r>
      <w:r w:rsidRPr="00DD762E">
        <w:rPr>
          <w:rFonts w:hint="cs"/>
          <w:rtl/>
        </w:rPr>
        <w:t xml:space="preserve"> מייצגים את היחידות החוקרות מהמחוז</w:t>
      </w:r>
      <w:r>
        <w:rPr>
          <w:rFonts w:hint="cs"/>
          <w:rtl/>
        </w:rPr>
        <w:t>,</w:t>
      </w:r>
      <w:r w:rsidRPr="00DD762E">
        <w:rPr>
          <w:rFonts w:hint="cs"/>
          <w:rtl/>
        </w:rPr>
        <w:t xml:space="preserve"> אף </w:t>
      </w:r>
      <w:r>
        <w:rPr>
          <w:rFonts w:hint="cs"/>
          <w:rtl/>
        </w:rPr>
        <w:t>שאין הם</w:t>
      </w:r>
      <w:r w:rsidRPr="00DD762E">
        <w:rPr>
          <w:rFonts w:hint="cs"/>
          <w:rtl/>
        </w:rPr>
        <w:t xml:space="preserve"> חלק מהיחידה החוקרת. טוענים קבועים מאפשרים לתחנות</w:t>
      </w:r>
      <w:r>
        <w:rPr>
          <w:rFonts w:hint="cs"/>
          <w:rtl/>
        </w:rPr>
        <w:t xml:space="preserve"> המשטרה</w:t>
      </w:r>
      <w:r w:rsidRPr="00DD762E">
        <w:rPr>
          <w:rFonts w:hint="cs"/>
          <w:rtl/>
        </w:rPr>
        <w:t xml:space="preserve"> להתמקד בעבודת החקירה במקום לגרוע חוקר בכל תיק </w:t>
      </w:r>
      <w:r>
        <w:rPr>
          <w:rFonts w:hint="cs"/>
          <w:rtl/>
        </w:rPr>
        <w:t>שנדרשת בו הארכת</w:t>
      </w:r>
      <w:r w:rsidRPr="00DD762E">
        <w:rPr>
          <w:rFonts w:hint="cs"/>
          <w:rtl/>
        </w:rPr>
        <w:t xml:space="preserve"> מעצר. עם זאת, בתיקים של חקירות מורכבות</w:t>
      </w:r>
      <w:r>
        <w:rPr>
          <w:rFonts w:hint="cs"/>
          <w:rtl/>
        </w:rPr>
        <w:t>,</w:t>
      </w:r>
      <w:r w:rsidRPr="00DD762E">
        <w:rPr>
          <w:rFonts w:hint="cs"/>
          <w:rtl/>
        </w:rPr>
        <w:t xml:space="preserve"> כדוגמת תיקים </w:t>
      </w:r>
      <w:r>
        <w:rPr>
          <w:rFonts w:hint="cs"/>
          <w:rtl/>
        </w:rPr>
        <w:t>שבהם</w:t>
      </w:r>
      <w:r w:rsidRPr="00DD762E">
        <w:rPr>
          <w:rFonts w:hint="cs"/>
          <w:rtl/>
        </w:rPr>
        <w:t xml:space="preserve"> מספר רב של עצורים</w:t>
      </w:r>
      <w:r>
        <w:rPr>
          <w:rFonts w:hint="cs"/>
          <w:rtl/>
        </w:rPr>
        <w:t xml:space="preserve"> </w:t>
      </w:r>
      <w:r w:rsidRPr="00DD762E">
        <w:rPr>
          <w:rFonts w:hint="cs"/>
          <w:rtl/>
        </w:rPr>
        <w:t>או תיקי פשיעה מאורגנת, מי שיופיע</w:t>
      </w:r>
      <w:r>
        <w:rPr>
          <w:rFonts w:hint="cs"/>
          <w:rtl/>
        </w:rPr>
        <w:t>ו</w:t>
      </w:r>
      <w:r w:rsidRPr="00DD762E">
        <w:rPr>
          <w:rFonts w:hint="cs"/>
          <w:rtl/>
        </w:rPr>
        <w:t xml:space="preserve"> בבית המשפט בדיוני המעצרים יהיו חוקרים המעורים בחקירה ובפרטיה. </w:t>
      </w:r>
    </w:p>
    <w:p w14:paraId="385C2A1B" w14:textId="77777777" w:rsidR="00BA23AE" w:rsidRDefault="00BA23AE" w:rsidP="00497103">
      <w:pPr>
        <w:pStyle w:val="100"/>
        <w:rPr>
          <w:rtl/>
        </w:rPr>
      </w:pPr>
      <w:r w:rsidRPr="00DD762E">
        <w:rPr>
          <w:rFonts w:hint="cs"/>
          <w:rtl/>
        </w:rPr>
        <w:t xml:space="preserve">במשטרת ישראל פועלים 41 טוענים קבועים בפריסה משתנה. </w:t>
      </w:r>
      <w:r>
        <w:rPr>
          <w:rFonts w:hint="cs"/>
          <w:rtl/>
        </w:rPr>
        <w:t>ב</w:t>
      </w:r>
      <w:r w:rsidRPr="00DD762E">
        <w:rPr>
          <w:rFonts w:hint="cs"/>
          <w:rtl/>
        </w:rPr>
        <w:t>שנת 2018</w:t>
      </w:r>
      <w:r>
        <w:rPr>
          <w:rFonts w:hint="cs"/>
          <w:rtl/>
        </w:rPr>
        <w:t xml:space="preserve"> השתתף</w:t>
      </w:r>
      <w:r w:rsidRPr="00DD762E">
        <w:rPr>
          <w:rFonts w:hint="cs"/>
          <w:rtl/>
        </w:rPr>
        <w:t xml:space="preserve"> כל טוען בכ-1,600 דיונים בשנה. הטוענים הקבועים מקבלים בכל בוקר את הבקשות שהוכנו על ידי היחידות החוקרות ושלגביהן הם נדרשים לטעון </w:t>
      </w:r>
      <w:r>
        <w:rPr>
          <w:rFonts w:hint="cs"/>
          <w:rtl/>
        </w:rPr>
        <w:t>ל</w:t>
      </w:r>
      <w:r w:rsidRPr="00DD762E">
        <w:rPr>
          <w:rFonts w:hint="cs"/>
          <w:rtl/>
        </w:rPr>
        <w:t>פני בית המשפט. ככלל, תיק</w:t>
      </w:r>
      <w:r>
        <w:rPr>
          <w:rFonts w:hint="cs"/>
          <w:rtl/>
        </w:rPr>
        <w:t>י</w:t>
      </w:r>
      <w:r w:rsidRPr="00DD762E">
        <w:rPr>
          <w:rFonts w:hint="cs"/>
          <w:rtl/>
        </w:rPr>
        <w:t xml:space="preserve"> המעצר, לפי העניין, חוזר</w:t>
      </w:r>
      <w:r>
        <w:rPr>
          <w:rFonts w:hint="cs"/>
          <w:rtl/>
        </w:rPr>
        <w:t>ים</w:t>
      </w:r>
      <w:r w:rsidRPr="00DD762E">
        <w:rPr>
          <w:rFonts w:hint="cs"/>
          <w:rtl/>
        </w:rPr>
        <w:t xml:space="preserve"> לדיון אצל השופט </w:t>
      </w:r>
      <w:r>
        <w:rPr>
          <w:rFonts w:hint="cs"/>
          <w:rtl/>
        </w:rPr>
        <w:t>מדי</w:t>
      </w:r>
      <w:r w:rsidRPr="00DD762E">
        <w:rPr>
          <w:rFonts w:hint="cs"/>
          <w:rtl/>
        </w:rPr>
        <w:t xml:space="preserve"> כמה ימים</w:t>
      </w:r>
      <w:r>
        <w:rPr>
          <w:rFonts w:hint="cs"/>
          <w:rtl/>
        </w:rPr>
        <w:t>,</w:t>
      </w:r>
      <w:r w:rsidRPr="00DD762E">
        <w:rPr>
          <w:rFonts w:hint="cs"/>
          <w:rtl/>
        </w:rPr>
        <w:t xml:space="preserve"> משום שהארכות מעצר ימים ניתנות לימים מועטים ביותר. </w:t>
      </w:r>
    </w:p>
    <w:p w14:paraId="11B4935A" w14:textId="77777777" w:rsidR="00BA23AE" w:rsidRPr="00DD762E" w:rsidRDefault="00BA23AE" w:rsidP="00497103">
      <w:pPr>
        <w:pStyle w:val="100"/>
        <w:rPr>
          <w:rtl/>
        </w:rPr>
      </w:pPr>
      <w:r w:rsidRPr="00DD762E">
        <w:rPr>
          <w:rFonts w:hint="cs"/>
          <w:rtl/>
        </w:rPr>
        <w:t xml:space="preserve">הטוענים הקבועים </w:t>
      </w:r>
      <w:r>
        <w:rPr>
          <w:rFonts w:hint="cs"/>
          <w:rtl/>
        </w:rPr>
        <w:t>במחוזות השונים</w:t>
      </w:r>
      <w:r w:rsidRPr="00DD762E">
        <w:rPr>
          <w:rFonts w:hint="cs"/>
          <w:rtl/>
        </w:rPr>
        <w:t xml:space="preserve"> פועלים</w:t>
      </w:r>
      <w:r>
        <w:rPr>
          <w:rFonts w:hint="cs"/>
          <w:rtl/>
        </w:rPr>
        <w:t xml:space="preserve"> </w:t>
      </w:r>
      <w:r w:rsidRPr="00DD762E">
        <w:rPr>
          <w:rFonts w:hint="cs"/>
          <w:rtl/>
        </w:rPr>
        <w:t>לפי שני מודלים עיקריים</w:t>
      </w:r>
      <w:r>
        <w:rPr>
          <w:rStyle w:val="FootnoteReference"/>
          <w:rtl/>
        </w:rPr>
        <w:footnoteReference w:id="5"/>
      </w:r>
      <w:r w:rsidRPr="00DD762E">
        <w:rPr>
          <w:rFonts w:hint="cs"/>
          <w:rtl/>
        </w:rPr>
        <w:t xml:space="preserve">. </w:t>
      </w:r>
      <w:r>
        <w:rPr>
          <w:rFonts w:hint="cs"/>
          <w:rtl/>
        </w:rPr>
        <w:t>לפי</w:t>
      </w:r>
      <w:r w:rsidRPr="00DD762E">
        <w:rPr>
          <w:rFonts w:hint="cs"/>
          <w:rtl/>
        </w:rPr>
        <w:t xml:space="preserve"> המודל התחנתי</w:t>
      </w:r>
      <w:r>
        <w:rPr>
          <w:rFonts w:hint="cs"/>
          <w:rtl/>
        </w:rPr>
        <w:t>,</w:t>
      </w:r>
      <w:r w:rsidRPr="00DD762E">
        <w:rPr>
          <w:rFonts w:hint="cs"/>
          <w:rtl/>
        </w:rPr>
        <w:t xml:space="preserve"> לכל תחנה טוען קבוע</w:t>
      </w:r>
      <w:r>
        <w:rPr>
          <w:rFonts w:hint="cs"/>
          <w:rtl/>
        </w:rPr>
        <w:t>,</w:t>
      </w:r>
      <w:r w:rsidRPr="00DD762E">
        <w:rPr>
          <w:rFonts w:hint="cs"/>
          <w:rtl/>
        </w:rPr>
        <w:t xml:space="preserve"> המייצג רק בתיקי החקירה של התחנה </w:t>
      </w:r>
      <w:r>
        <w:rPr>
          <w:rFonts w:hint="cs"/>
          <w:rtl/>
        </w:rPr>
        <w:t>ש</w:t>
      </w:r>
      <w:r w:rsidRPr="00DD762E">
        <w:rPr>
          <w:rFonts w:hint="cs"/>
          <w:rtl/>
        </w:rPr>
        <w:t xml:space="preserve">אליה הוא מצוות. מודל זה </w:t>
      </w:r>
      <w:r>
        <w:rPr>
          <w:rFonts w:hint="cs"/>
          <w:rtl/>
        </w:rPr>
        <w:t>קיים</w:t>
      </w:r>
      <w:r w:rsidRPr="00DD762E">
        <w:rPr>
          <w:rFonts w:hint="cs"/>
          <w:rtl/>
        </w:rPr>
        <w:t xml:space="preserve"> בשני מחוזות (צפון וחוף). </w:t>
      </w:r>
      <w:r>
        <w:rPr>
          <w:rFonts w:hint="cs"/>
          <w:rtl/>
        </w:rPr>
        <w:t>לפי</w:t>
      </w:r>
      <w:r w:rsidRPr="00DD762E">
        <w:rPr>
          <w:rFonts w:hint="cs"/>
          <w:rtl/>
        </w:rPr>
        <w:t xml:space="preserve"> המודל המרחבי</w:t>
      </w:r>
      <w:r>
        <w:rPr>
          <w:rFonts w:hint="cs"/>
          <w:rtl/>
        </w:rPr>
        <w:t>,</w:t>
      </w:r>
      <w:r w:rsidRPr="00DD762E">
        <w:rPr>
          <w:rFonts w:hint="cs"/>
          <w:rtl/>
        </w:rPr>
        <w:t xml:space="preserve"> הטוען הקבוע מקבל תיקי</w:t>
      </w:r>
      <w:r>
        <w:rPr>
          <w:rFonts w:hint="cs"/>
          <w:rtl/>
        </w:rPr>
        <w:t>ם</w:t>
      </w:r>
      <w:r w:rsidRPr="00DD762E">
        <w:rPr>
          <w:rFonts w:hint="cs"/>
          <w:rtl/>
        </w:rPr>
        <w:t xml:space="preserve"> </w:t>
      </w:r>
      <w:r>
        <w:rPr>
          <w:rFonts w:hint="cs"/>
          <w:rtl/>
        </w:rPr>
        <w:t>מה</w:t>
      </w:r>
      <w:r w:rsidRPr="00DD762E">
        <w:rPr>
          <w:rFonts w:hint="cs"/>
          <w:rtl/>
        </w:rPr>
        <w:t xml:space="preserve">תחנות </w:t>
      </w:r>
      <w:r>
        <w:rPr>
          <w:rFonts w:hint="cs"/>
          <w:rtl/>
        </w:rPr>
        <w:t>הכפופות</w:t>
      </w:r>
      <w:r w:rsidRPr="00DD762E">
        <w:rPr>
          <w:rFonts w:hint="cs"/>
          <w:rtl/>
        </w:rPr>
        <w:t xml:space="preserve"> </w:t>
      </w:r>
      <w:r>
        <w:rPr>
          <w:rFonts w:hint="cs"/>
          <w:rtl/>
        </w:rPr>
        <w:lastRenderedPageBreak/>
        <w:t>ל</w:t>
      </w:r>
      <w:r w:rsidRPr="00DD762E">
        <w:rPr>
          <w:rFonts w:hint="cs"/>
          <w:rtl/>
        </w:rPr>
        <w:t xml:space="preserve">מרחב, והוא אינו מצוות לתחנה מסוימת. מודל זה </w:t>
      </w:r>
      <w:r>
        <w:rPr>
          <w:rFonts w:hint="cs"/>
          <w:rtl/>
        </w:rPr>
        <w:t>קיים</w:t>
      </w:r>
      <w:r w:rsidRPr="00DD762E">
        <w:rPr>
          <w:rFonts w:hint="cs"/>
          <w:rtl/>
        </w:rPr>
        <w:t xml:space="preserve"> בשני מחוזות (דרום ומרכז). </w:t>
      </w:r>
      <w:r>
        <w:rPr>
          <w:rFonts w:hint="cs"/>
          <w:rtl/>
        </w:rPr>
        <w:t>ב</w:t>
      </w:r>
      <w:r w:rsidRPr="00DD762E">
        <w:rPr>
          <w:rFonts w:hint="cs"/>
          <w:rtl/>
        </w:rPr>
        <w:t>שני</w:t>
      </w:r>
      <w:r>
        <w:rPr>
          <w:rFonts w:hint="cs"/>
          <w:rtl/>
        </w:rPr>
        <w:t>ים מן</w:t>
      </w:r>
      <w:r w:rsidRPr="00DD762E">
        <w:rPr>
          <w:rFonts w:hint="cs"/>
          <w:rtl/>
        </w:rPr>
        <w:t xml:space="preserve"> </w:t>
      </w:r>
      <w:r>
        <w:rPr>
          <w:rFonts w:hint="cs"/>
          <w:rtl/>
        </w:rPr>
        <w:t>ה</w:t>
      </w:r>
      <w:r w:rsidRPr="00DD762E">
        <w:rPr>
          <w:rFonts w:hint="cs"/>
          <w:rtl/>
        </w:rPr>
        <w:t xml:space="preserve">מחוזות (ירושלים ותל אביב) </w:t>
      </w:r>
      <w:r>
        <w:rPr>
          <w:rFonts w:hint="cs"/>
          <w:rtl/>
        </w:rPr>
        <w:t>קיימים</w:t>
      </w:r>
      <w:r w:rsidRPr="00DD762E">
        <w:rPr>
          <w:rFonts w:hint="cs"/>
          <w:rtl/>
        </w:rPr>
        <w:t xml:space="preserve"> שני המודלים.</w:t>
      </w:r>
      <w:r>
        <w:rPr>
          <w:rFonts w:hint="cs"/>
          <w:rtl/>
        </w:rPr>
        <w:t xml:space="preserve"> </w:t>
      </w:r>
    </w:p>
    <w:p w14:paraId="3E4F7EC4" w14:textId="77777777" w:rsidR="00BA23AE" w:rsidRPr="00DD762E" w:rsidRDefault="00BA23AE" w:rsidP="007D4382">
      <w:pPr>
        <w:pStyle w:val="a9"/>
        <w:rPr>
          <w:rtl/>
        </w:rPr>
      </w:pPr>
      <w:r w:rsidRPr="00DD762E">
        <w:rPr>
          <w:rFonts w:hint="cs"/>
          <w:rtl/>
        </w:rPr>
        <w:t xml:space="preserve">תרשים </w:t>
      </w:r>
      <w:r>
        <w:rPr>
          <w:rFonts w:hint="cs"/>
          <w:rtl/>
        </w:rPr>
        <w:t>26</w:t>
      </w:r>
      <w:r w:rsidRPr="00DD762E">
        <w:rPr>
          <w:rFonts w:hint="cs"/>
          <w:rtl/>
        </w:rPr>
        <w:t xml:space="preserve">: </w:t>
      </w:r>
      <w:r w:rsidRPr="007D4382">
        <w:rPr>
          <w:rFonts w:hint="cs"/>
          <w:b/>
          <w:bCs/>
          <w:rtl/>
        </w:rPr>
        <w:t>סוגי טועני מעצרים קבועים ומספרם, לפי מחוזות</w:t>
      </w:r>
      <w:r w:rsidRPr="00DD762E">
        <w:rPr>
          <w:rFonts w:hint="cs"/>
          <w:rtl/>
        </w:rPr>
        <w:t xml:space="preserve"> </w:t>
      </w:r>
      <w:r w:rsidRPr="00DD762E">
        <w:rPr>
          <w:noProof/>
          <w:rtl/>
        </w:rPr>
        <w:drawing>
          <wp:inline distT="0" distB="0" distL="0" distR="0" wp14:anchorId="6F117B3E" wp14:editId="0CB1ECC4">
            <wp:extent cx="4966970" cy="2275027"/>
            <wp:effectExtent l="0" t="0" r="5080" b="11430"/>
            <wp:docPr id="1992297218" name="תרשים 1992297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BEEC63" w14:textId="77777777" w:rsidR="00BA23AE" w:rsidRPr="00541BFA" w:rsidRDefault="00BA23AE" w:rsidP="007D4382">
      <w:pPr>
        <w:pStyle w:val="ab"/>
        <w:rPr>
          <w:rtl/>
        </w:rPr>
      </w:pPr>
      <w:r w:rsidRPr="00541BFA">
        <w:rPr>
          <w:rFonts w:hint="eastAsia"/>
          <w:rtl/>
        </w:rPr>
        <w:t>על</w:t>
      </w:r>
      <w:r w:rsidRPr="00541BFA">
        <w:rPr>
          <w:rtl/>
        </w:rPr>
        <w:t xml:space="preserve"> </w:t>
      </w:r>
      <w:r w:rsidRPr="00541BFA">
        <w:rPr>
          <w:rFonts w:hint="eastAsia"/>
          <w:rtl/>
        </w:rPr>
        <w:t>פי</w:t>
      </w:r>
      <w:r w:rsidRPr="00541BFA">
        <w:rPr>
          <w:rtl/>
        </w:rPr>
        <w:t xml:space="preserve"> </w:t>
      </w:r>
      <w:r w:rsidRPr="00541BFA">
        <w:rPr>
          <w:rFonts w:hint="eastAsia"/>
          <w:rtl/>
        </w:rPr>
        <w:t>נתוני</w:t>
      </w:r>
      <w:r w:rsidRPr="00541BFA">
        <w:rPr>
          <w:rtl/>
        </w:rPr>
        <w:t xml:space="preserve"> </w:t>
      </w:r>
      <w:r w:rsidRPr="00541BFA">
        <w:rPr>
          <w:rFonts w:hint="eastAsia"/>
          <w:rtl/>
        </w:rPr>
        <w:t>משטרת</w:t>
      </w:r>
      <w:r w:rsidRPr="00541BFA">
        <w:rPr>
          <w:rtl/>
        </w:rPr>
        <w:t xml:space="preserve"> </w:t>
      </w:r>
      <w:r w:rsidRPr="00541BFA">
        <w:rPr>
          <w:rFonts w:hint="eastAsia"/>
          <w:rtl/>
        </w:rPr>
        <w:t>ישראל</w:t>
      </w:r>
      <w:r w:rsidRPr="00541BFA">
        <w:rPr>
          <w:rtl/>
        </w:rPr>
        <w:t>, בעיבוד משרד מבקר המדינה.</w:t>
      </w:r>
    </w:p>
    <w:p w14:paraId="597F5ADE" w14:textId="77777777" w:rsidR="00BA23AE" w:rsidRPr="00DD762E" w:rsidRDefault="00BA23AE" w:rsidP="007D4382">
      <w:pPr>
        <w:pStyle w:val="100"/>
        <w:rPr>
          <w:rtl/>
        </w:rPr>
      </w:pPr>
    </w:p>
    <w:p w14:paraId="05CDECBD" w14:textId="77777777" w:rsidR="00BA23AE" w:rsidRPr="00DD762E" w:rsidRDefault="00BA23AE" w:rsidP="007D4382">
      <w:pPr>
        <w:pStyle w:val="414"/>
        <w:rPr>
          <w:rtl/>
        </w:rPr>
      </w:pPr>
      <w:r w:rsidRPr="00DD762E">
        <w:rPr>
          <w:rFonts w:hint="cs"/>
          <w:rtl/>
        </w:rPr>
        <w:t>הגדרת התפקיד של טוען מעצרים</w:t>
      </w:r>
    </w:p>
    <w:p w14:paraId="3B4E78CD" w14:textId="56BDCB6F" w:rsidR="00BA23AE" w:rsidRPr="00DD762E" w:rsidRDefault="00BA23AE" w:rsidP="007D4382">
      <w:pPr>
        <w:pStyle w:val="100"/>
        <w:rPr>
          <w:rtl/>
        </w:rPr>
      </w:pPr>
      <w:r w:rsidRPr="00DD762E">
        <w:rPr>
          <w:rFonts w:hint="cs"/>
          <w:rtl/>
        </w:rPr>
        <w:t xml:space="preserve">במשטרה מאות תפקידי שוטרים במגזרים השונים. </w:t>
      </w:r>
      <w:r w:rsidRPr="00DD762E">
        <w:rPr>
          <w:rFonts w:hint="eastAsia"/>
          <w:rtl/>
        </w:rPr>
        <w:t>המשטרה</w:t>
      </w:r>
      <w:r w:rsidRPr="00DD762E">
        <w:rPr>
          <w:rtl/>
        </w:rPr>
        <w:t xml:space="preserve"> </w:t>
      </w:r>
      <w:r w:rsidRPr="00DD762E">
        <w:rPr>
          <w:rFonts w:hint="cs"/>
          <w:rtl/>
        </w:rPr>
        <w:t xml:space="preserve">רואה חשיבות </w:t>
      </w:r>
      <w:r w:rsidRPr="00DD762E">
        <w:rPr>
          <w:rFonts w:hint="eastAsia"/>
          <w:rtl/>
        </w:rPr>
        <w:t>בהגדרות</w:t>
      </w:r>
      <w:r w:rsidRPr="00DD762E">
        <w:rPr>
          <w:rtl/>
        </w:rPr>
        <w:t xml:space="preserve"> </w:t>
      </w:r>
      <w:r w:rsidRPr="00DD762E">
        <w:rPr>
          <w:rFonts w:hint="eastAsia"/>
          <w:rtl/>
        </w:rPr>
        <w:t>תפקיד</w:t>
      </w:r>
      <w:r w:rsidRPr="00DD762E">
        <w:rPr>
          <w:rtl/>
        </w:rPr>
        <w:t xml:space="preserve"> </w:t>
      </w:r>
      <w:r w:rsidRPr="00DD762E">
        <w:rPr>
          <w:rFonts w:hint="eastAsia"/>
          <w:rtl/>
        </w:rPr>
        <w:t>ו</w:t>
      </w:r>
      <w:r>
        <w:rPr>
          <w:rFonts w:hint="cs"/>
          <w:rtl/>
        </w:rPr>
        <w:t>ב</w:t>
      </w:r>
      <w:r w:rsidRPr="00DD762E">
        <w:rPr>
          <w:rFonts w:hint="eastAsia"/>
          <w:rtl/>
        </w:rPr>
        <w:t>דרישות</w:t>
      </w:r>
      <w:r>
        <w:rPr>
          <w:rFonts w:hint="cs"/>
          <w:rtl/>
        </w:rPr>
        <w:t>יו</w:t>
      </w:r>
      <w:r w:rsidRPr="00DD762E">
        <w:rPr>
          <w:rtl/>
        </w:rPr>
        <w:t xml:space="preserve"> </w:t>
      </w:r>
      <w:r w:rsidRPr="00DD762E">
        <w:rPr>
          <w:rFonts w:hint="eastAsia"/>
          <w:rtl/>
        </w:rPr>
        <w:t>לצורך</w:t>
      </w:r>
      <w:r w:rsidRPr="00DD762E">
        <w:rPr>
          <w:rtl/>
        </w:rPr>
        <w:t xml:space="preserve"> </w:t>
      </w:r>
      <w:r w:rsidRPr="00DD762E">
        <w:rPr>
          <w:rFonts w:hint="eastAsia"/>
          <w:rtl/>
        </w:rPr>
        <w:t>הליכי</w:t>
      </w:r>
      <w:r w:rsidRPr="00DD762E">
        <w:rPr>
          <w:rtl/>
        </w:rPr>
        <w:t xml:space="preserve"> </w:t>
      </w:r>
      <w:r w:rsidRPr="00DD762E">
        <w:rPr>
          <w:rFonts w:hint="eastAsia"/>
          <w:rtl/>
        </w:rPr>
        <w:t>הקידום</w:t>
      </w:r>
      <w:r w:rsidRPr="00DD762E">
        <w:rPr>
          <w:rtl/>
        </w:rPr>
        <w:t xml:space="preserve"> </w:t>
      </w:r>
      <w:r w:rsidRPr="00DD762E">
        <w:rPr>
          <w:rFonts w:hint="eastAsia"/>
          <w:rtl/>
        </w:rPr>
        <w:t>והשיבוץ</w:t>
      </w:r>
      <w:r w:rsidRPr="00DD762E">
        <w:rPr>
          <w:rtl/>
        </w:rPr>
        <w:t>.</w:t>
      </w:r>
      <w:r w:rsidRPr="00DD762E">
        <w:rPr>
          <w:rFonts w:hint="cs"/>
          <w:sz w:val="18"/>
          <w:szCs w:val="18"/>
          <w:rtl/>
        </w:rPr>
        <w:t xml:space="preserve"> </w:t>
      </w:r>
      <w:r>
        <w:rPr>
          <w:rFonts w:hint="cs"/>
          <w:sz w:val="24"/>
          <w:rtl/>
        </w:rPr>
        <w:t>לכן</w:t>
      </w:r>
      <w:r w:rsidRPr="00DD762E">
        <w:rPr>
          <w:sz w:val="24"/>
          <w:rtl/>
        </w:rPr>
        <w:t xml:space="preserve"> גיבשה ספר תפקידים לתפקידי </w:t>
      </w:r>
      <w:r>
        <w:rPr>
          <w:rFonts w:hint="cs"/>
          <w:sz w:val="24"/>
          <w:rtl/>
        </w:rPr>
        <w:t>הקצונה</w:t>
      </w:r>
      <w:r>
        <w:rPr>
          <w:sz w:val="24"/>
          <w:vertAlign w:val="superscript"/>
          <w:rtl/>
        </w:rPr>
        <w:footnoteReference w:id="6"/>
      </w:r>
      <w:r w:rsidRPr="00AC6A16">
        <w:rPr>
          <w:rtl/>
        </w:rPr>
        <w:t xml:space="preserve">. </w:t>
      </w:r>
      <w:r>
        <w:rPr>
          <w:rFonts w:hint="cs"/>
          <w:rtl/>
        </w:rPr>
        <w:t xml:space="preserve">עבור תפקידים שאינם תפקידי קצונה נקבע </w:t>
      </w:r>
      <w:r w:rsidRPr="00DD762E">
        <w:rPr>
          <w:rFonts w:hint="cs"/>
          <w:rtl/>
        </w:rPr>
        <w:t>"דף מקצוע"</w:t>
      </w:r>
      <w:r>
        <w:rPr>
          <w:rFonts w:hint="cs"/>
          <w:rtl/>
        </w:rPr>
        <w:t>,</w:t>
      </w:r>
      <w:r w:rsidRPr="00DD762E">
        <w:rPr>
          <w:rFonts w:hint="cs"/>
          <w:rtl/>
        </w:rPr>
        <w:t xml:space="preserve"> </w:t>
      </w:r>
      <w:r>
        <w:rPr>
          <w:rFonts w:hint="cs"/>
          <w:rtl/>
        </w:rPr>
        <w:t>ה</w:t>
      </w:r>
      <w:r w:rsidRPr="00DD762E">
        <w:rPr>
          <w:rtl/>
        </w:rPr>
        <w:t xml:space="preserve">משמש כתעודת </w:t>
      </w:r>
      <w:r>
        <w:rPr>
          <w:rFonts w:hint="cs"/>
          <w:rtl/>
        </w:rPr>
        <w:t>ה</w:t>
      </w:r>
      <w:r w:rsidRPr="00DD762E">
        <w:rPr>
          <w:rtl/>
        </w:rPr>
        <w:t xml:space="preserve">זהות של המשרה. </w:t>
      </w:r>
      <w:r w:rsidRPr="00DD762E">
        <w:rPr>
          <w:rFonts w:hint="cs"/>
          <w:rtl/>
        </w:rPr>
        <w:t>דף המקצוע</w:t>
      </w:r>
      <w:r w:rsidRPr="00DD762E">
        <w:rPr>
          <w:rtl/>
        </w:rPr>
        <w:t xml:space="preserve"> הוא נדבך מרכזי </w:t>
      </w:r>
      <w:r>
        <w:rPr>
          <w:rFonts w:hint="cs"/>
          <w:rtl/>
        </w:rPr>
        <w:t>לבחינת</w:t>
      </w:r>
      <w:r w:rsidRPr="00DD762E">
        <w:rPr>
          <w:rtl/>
        </w:rPr>
        <w:t xml:space="preserve"> ההתאמה בין תחומי האחריות, הסמכות והאתגרים </w:t>
      </w:r>
      <w:r w:rsidRPr="00DD762E">
        <w:rPr>
          <w:rFonts w:hint="eastAsia"/>
          <w:rtl/>
        </w:rPr>
        <w:t>הכרוכים</w:t>
      </w:r>
      <w:r w:rsidRPr="00DD762E">
        <w:rPr>
          <w:rtl/>
        </w:rPr>
        <w:t xml:space="preserve"> באופי המשרה ובין יכולות העובד שיועסק בה. הגדרות ודרישות </w:t>
      </w:r>
      <w:r>
        <w:rPr>
          <w:rFonts w:hint="cs"/>
          <w:rtl/>
        </w:rPr>
        <w:t xml:space="preserve">של </w:t>
      </w:r>
      <w:r w:rsidRPr="00DD762E">
        <w:rPr>
          <w:rtl/>
        </w:rPr>
        <w:t>תפקיד מאפשרות למקבלי ההחלטות בהליך המינויים לקיים בחינה מדויקת יותר של התאמת הכישורים של מועמד לתפקיד מסוים למהות</w:t>
      </w:r>
      <w:r>
        <w:rPr>
          <w:rFonts w:hint="cs"/>
          <w:rtl/>
        </w:rPr>
        <w:t>ו של</w:t>
      </w:r>
      <w:r w:rsidRPr="00DD762E">
        <w:rPr>
          <w:rtl/>
        </w:rPr>
        <w:t xml:space="preserve"> התפקיד ו</w:t>
      </w:r>
      <w:r>
        <w:rPr>
          <w:rFonts w:hint="cs"/>
          <w:rtl/>
        </w:rPr>
        <w:t>ל</w:t>
      </w:r>
      <w:r w:rsidRPr="00DD762E">
        <w:rPr>
          <w:rtl/>
        </w:rPr>
        <w:t>אתגרים הכרוכים בביצועו</w:t>
      </w:r>
      <w:r>
        <w:rPr>
          <w:vertAlign w:val="superscript"/>
          <w:rtl/>
        </w:rPr>
        <w:footnoteReference w:id="7"/>
      </w:r>
      <w:r w:rsidRPr="00DD762E">
        <w:rPr>
          <w:rtl/>
        </w:rPr>
        <w:t xml:space="preserve">. </w:t>
      </w:r>
    </w:p>
    <w:p w14:paraId="753AF9DB" w14:textId="5DAC5DEE" w:rsidR="007D4382" w:rsidRDefault="00BA23AE" w:rsidP="007D4382">
      <w:pPr>
        <w:pStyle w:val="100"/>
        <w:rPr>
          <w:rtl/>
        </w:rPr>
      </w:pPr>
      <w:r w:rsidRPr="00DD762E">
        <w:rPr>
          <w:rFonts w:hint="cs"/>
          <w:sz w:val="24"/>
          <w:rtl/>
        </w:rPr>
        <w:t xml:space="preserve">תפקיד טוען המעצרים התפתח עם השנים לכדי תפקיד בעל מאפיינים ייחודיים </w:t>
      </w:r>
      <w:r>
        <w:rPr>
          <w:rFonts w:hint="cs"/>
          <w:sz w:val="24"/>
          <w:rtl/>
        </w:rPr>
        <w:t>ה</w:t>
      </w:r>
      <w:r w:rsidRPr="00DD762E">
        <w:rPr>
          <w:rFonts w:hint="cs"/>
          <w:sz w:val="24"/>
          <w:rtl/>
        </w:rPr>
        <w:t xml:space="preserve">שונים מעבודת החוקרים השוטפת. </w:t>
      </w:r>
      <w:r w:rsidRPr="00DD762E">
        <w:rPr>
          <w:rFonts w:hint="cs"/>
          <w:rtl/>
        </w:rPr>
        <w:t xml:space="preserve">טועני המעצרים, המופיעים </w:t>
      </w:r>
      <w:r>
        <w:rPr>
          <w:rFonts w:hint="cs"/>
          <w:rtl/>
        </w:rPr>
        <w:t>ל</w:t>
      </w:r>
      <w:r w:rsidRPr="00DD762E">
        <w:rPr>
          <w:rFonts w:hint="cs"/>
          <w:rtl/>
        </w:rPr>
        <w:t xml:space="preserve">פני בתי המשפט מדי יום, נדרשים </w:t>
      </w:r>
      <w:r>
        <w:rPr>
          <w:rFonts w:hint="cs"/>
          <w:rtl/>
        </w:rPr>
        <w:t>ל</w:t>
      </w:r>
      <w:r w:rsidRPr="00DD762E">
        <w:rPr>
          <w:rFonts w:hint="cs"/>
          <w:rtl/>
        </w:rPr>
        <w:t xml:space="preserve">כישורים הדומים במאפייניהם לכישוריו של תובע המייצג בבית המשפט. </w:t>
      </w:r>
      <w:r>
        <w:rPr>
          <w:rFonts w:hint="cs"/>
          <w:rtl/>
        </w:rPr>
        <w:t>עם זאת,</w:t>
      </w:r>
      <w:r w:rsidRPr="00DD762E">
        <w:rPr>
          <w:rFonts w:hint="cs"/>
          <w:rtl/>
        </w:rPr>
        <w:t xml:space="preserve"> טועני המעצרים חייבים להבין את עבודת חוקרי המשטרה לפני ולפנים. השילוב האמור מחייב </w:t>
      </w:r>
      <w:r>
        <w:rPr>
          <w:rFonts w:hint="cs"/>
          <w:rtl/>
        </w:rPr>
        <w:t>להניח</w:t>
      </w:r>
      <w:r w:rsidRPr="00DD762E">
        <w:rPr>
          <w:rFonts w:hint="cs"/>
          <w:rtl/>
        </w:rPr>
        <w:t xml:space="preserve"> בסיס מקצועי מסודר לחוקרים הטוענים </w:t>
      </w:r>
      <w:r>
        <w:rPr>
          <w:rFonts w:hint="cs"/>
          <w:rtl/>
        </w:rPr>
        <w:t>בקביעות</w:t>
      </w:r>
      <w:r w:rsidRPr="00DD762E">
        <w:rPr>
          <w:rFonts w:hint="cs"/>
          <w:rtl/>
        </w:rPr>
        <w:t xml:space="preserve"> בבתי המשפט.</w:t>
      </w:r>
    </w:p>
    <w:p w14:paraId="389C6EB8" w14:textId="77777777" w:rsidR="007D4382" w:rsidRDefault="007D4382">
      <w:pPr>
        <w:bidi w:val="0"/>
        <w:spacing w:after="200" w:line="276" w:lineRule="auto"/>
        <w:rPr>
          <w:rFonts w:ascii="Tahoma" w:hAnsi="Tahoma" w:cs="Tahoma"/>
          <w:szCs w:val="20"/>
          <w:rtl/>
        </w:rPr>
      </w:pPr>
      <w:r>
        <w:rPr>
          <w:rtl/>
        </w:rPr>
        <w:br w:type="page"/>
      </w:r>
    </w:p>
    <w:p w14:paraId="24D1EEC3" w14:textId="5D7EDC01" w:rsidR="00BA23AE" w:rsidRDefault="00BA23AE" w:rsidP="000A5140">
      <w:pPr>
        <w:pStyle w:val="af4"/>
        <w:rPr>
          <w:rtl/>
        </w:rPr>
      </w:pPr>
      <w:r w:rsidRPr="00DD762E">
        <w:rPr>
          <w:rFonts w:hint="cs"/>
          <w:rtl/>
        </w:rPr>
        <w:lastRenderedPageBreak/>
        <w:t xml:space="preserve">נמצא כי חרף העובדה שעשרות טועני מעצרים פועלים וממלאים </w:t>
      </w:r>
      <w:r w:rsidR="00A80C7B">
        <w:rPr>
          <w:rFonts w:hint="cs"/>
          <w:rtl/>
        </w:rPr>
        <w:t>תפקיד ייחודי</w:t>
      </w:r>
      <w:r w:rsidRPr="00DD762E">
        <w:rPr>
          <w:rFonts w:hint="cs"/>
          <w:rtl/>
        </w:rPr>
        <w:t xml:space="preserve"> שלא כחלק מתפקיד החוקר, משטרת ישראל טרם הגדירה את טוען המעצרים כתפקיד בדף המקצועות.</w:t>
      </w:r>
      <w:r>
        <w:rPr>
          <w:rFonts w:hint="cs"/>
          <w:rtl/>
        </w:rPr>
        <w:t xml:space="preserve"> </w:t>
      </w:r>
      <w:r w:rsidRPr="00DD762E">
        <w:rPr>
          <w:rFonts w:hint="cs"/>
          <w:rtl/>
        </w:rPr>
        <w:t xml:space="preserve">כיום תפקידו של טוען המעצרים מוגדר כחלק ממגוון התפקידים המוטלים על החוקר. </w:t>
      </w:r>
    </w:p>
    <w:p w14:paraId="29F10E95" w14:textId="77777777" w:rsidR="00BA23AE" w:rsidRPr="009A22CF" w:rsidRDefault="00BA23AE" w:rsidP="00876359">
      <w:pPr>
        <w:pStyle w:val="100"/>
        <w:rPr>
          <w:rtl/>
        </w:rPr>
      </w:pPr>
      <w:r>
        <w:rPr>
          <w:rFonts w:hint="cs"/>
          <w:rtl/>
        </w:rPr>
        <w:t>משטרת ישראל מסרה בתשובתה מינואר 2020, כי חטיבת החקירות פועלת בימים אלו לקביעת תו תקן אחיד לטוען מעצרים הן בהכשרות והן ברמת המקצועיות והידע הנדרשים, וכן לקביעת תפיסת הפעלה אחידה לטועני המעצרים שתכלול מודלים שונים.</w:t>
      </w:r>
    </w:p>
    <w:p w14:paraId="04B7AFFF" w14:textId="77777777" w:rsidR="00BA23AE" w:rsidRPr="00DD762E" w:rsidRDefault="00BA23AE" w:rsidP="00BB325E">
      <w:pPr>
        <w:pStyle w:val="414"/>
        <w:rPr>
          <w:rtl/>
        </w:rPr>
      </w:pPr>
      <w:r w:rsidRPr="00DD762E">
        <w:rPr>
          <w:rFonts w:hint="cs"/>
          <w:rtl/>
        </w:rPr>
        <w:t>נ</w:t>
      </w:r>
      <w:r>
        <w:rPr>
          <w:rFonts w:hint="cs"/>
          <w:rtl/>
        </w:rPr>
        <w:t>ו</w:t>
      </w:r>
      <w:r w:rsidRPr="00DD762E">
        <w:rPr>
          <w:rFonts w:hint="cs"/>
          <w:rtl/>
        </w:rPr>
        <w:t>הלי עבודה המסדירים את עבודת טועני המעצרים</w:t>
      </w:r>
    </w:p>
    <w:p w14:paraId="6E3E819E" w14:textId="77777777" w:rsidR="00BA23AE" w:rsidRDefault="00BA23AE" w:rsidP="00BB325E">
      <w:pPr>
        <w:pStyle w:val="100"/>
        <w:rPr>
          <w:rtl/>
        </w:rPr>
      </w:pPr>
      <w:r w:rsidRPr="00BB325E">
        <w:rPr>
          <w:rStyle w:val="Heading5Char"/>
          <w:rFonts w:hint="eastAsia"/>
          <w:color w:val="387026"/>
          <w:spacing w:val="0"/>
          <w:rtl/>
        </w:rPr>
        <w:t>הנחת</w:t>
      </w:r>
      <w:r w:rsidRPr="00BB325E">
        <w:rPr>
          <w:rStyle w:val="Heading5Char"/>
          <w:color w:val="387026"/>
          <w:spacing w:val="0"/>
          <w:rtl/>
        </w:rPr>
        <w:t xml:space="preserve"> </w:t>
      </w:r>
      <w:r w:rsidRPr="00BB325E">
        <w:rPr>
          <w:rStyle w:val="Heading5Char"/>
          <w:rFonts w:hint="eastAsia"/>
          <w:color w:val="387026"/>
          <w:spacing w:val="0"/>
          <w:rtl/>
        </w:rPr>
        <w:t>בסיס</w:t>
      </w:r>
      <w:r w:rsidRPr="00BB325E">
        <w:rPr>
          <w:rStyle w:val="Heading5Char"/>
          <w:color w:val="387026"/>
          <w:spacing w:val="0"/>
          <w:rtl/>
        </w:rPr>
        <w:t xml:space="preserve"> </w:t>
      </w:r>
      <w:r w:rsidRPr="00BB325E">
        <w:rPr>
          <w:rStyle w:val="Heading5Char"/>
          <w:rFonts w:hint="eastAsia"/>
          <w:color w:val="387026"/>
          <w:spacing w:val="0"/>
          <w:rtl/>
        </w:rPr>
        <w:t>אתי</w:t>
      </w:r>
      <w:r w:rsidRPr="00BB325E">
        <w:rPr>
          <w:rStyle w:val="Heading5Char"/>
          <w:color w:val="387026"/>
          <w:spacing w:val="0"/>
          <w:rtl/>
        </w:rPr>
        <w:t xml:space="preserve"> </w:t>
      </w:r>
      <w:r w:rsidRPr="00BB325E">
        <w:rPr>
          <w:rStyle w:val="Heading5Char"/>
          <w:rFonts w:hint="eastAsia"/>
          <w:color w:val="387026"/>
          <w:spacing w:val="0"/>
          <w:rtl/>
        </w:rPr>
        <w:t>לעבודת</w:t>
      </w:r>
      <w:r w:rsidRPr="00BB325E">
        <w:rPr>
          <w:rStyle w:val="Heading5Char"/>
          <w:color w:val="387026"/>
          <w:spacing w:val="0"/>
          <w:rtl/>
        </w:rPr>
        <w:t xml:space="preserve"> </w:t>
      </w:r>
      <w:r w:rsidRPr="00BB325E">
        <w:rPr>
          <w:rStyle w:val="Heading5Char"/>
          <w:rFonts w:hint="eastAsia"/>
          <w:color w:val="387026"/>
          <w:spacing w:val="0"/>
          <w:rtl/>
        </w:rPr>
        <w:t>הטוענים</w:t>
      </w:r>
      <w:r w:rsidRPr="00BB325E">
        <w:rPr>
          <w:rStyle w:val="Heading5Char"/>
          <w:color w:val="387026"/>
          <w:spacing w:val="0"/>
          <w:rtl/>
        </w:rPr>
        <w:t xml:space="preserve"> </w:t>
      </w:r>
      <w:r w:rsidRPr="00BB325E">
        <w:rPr>
          <w:rStyle w:val="Heading5Char"/>
          <w:rFonts w:hint="eastAsia"/>
          <w:color w:val="387026"/>
          <w:spacing w:val="0"/>
          <w:rtl/>
        </w:rPr>
        <w:t>בנוהל</w:t>
      </w:r>
      <w:r w:rsidRPr="00BB325E">
        <w:rPr>
          <w:rStyle w:val="Heading5Char"/>
          <w:color w:val="387026"/>
          <w:spacing w:val="0"/>
          <w:rtl/>
        </w:rPr>
        <w:t xml:space="preserve"> </w:t>
      </w:r>
      <w:r w:rsidRPr="00BB325E">
        <w:rPr>
          <w:rStyle w:val="Heading5Char"/>
          <w:rFonts w:hint="eastAsia"/>
          <w:color w:val="387026"/>
          <w:spacing w:val="0"/>
          <w:rtl/>
        </w:rPr>
        <w:t>מסודר</w:t>
      </w:r>
      <w:r w:rsidRPr="00BB325E">
        <w:rPr>
          <w:rStyle w:val="Heading5Char"/>
          <w:rFonts w:hint="cs"/>
          <w:color w:val="387026"/>
          <w:spacing w:val="0"/>
          <w:rtl/>
        </w:rPr>
        <w:t>:</w:t>
      </w:r>
      <w:r w:rsidRPr="00BB325E">
        <w:rPr>
          <w:rFonts w:hint="cs"/>
          <w:color w:val="387026"/>
          <w:rtl/>
        </w:rPr>
        <w:t xml:space="preserve"> </w:t>
      </w:r>
      <w:r w:rsidRPr="00DD762E">
        <w:rPr>
          <w:rFonts w:hint="cs"/>
          <w:rtl/>
        </w:rPr>
        <w:t xml:space="preserve">טוען המעצרים, בדומה לפרקליט או </w:t>
      </w:r>
      <w:r>
        <w:rPr>
          <w:rFonts w:hint="cs"/>
          <w:rtl/>
        </w:rPr>
        <w:t>ל</w:t>
      </w:r>
      <w:r w:rsidRPr="00DD762E">
        <w:rPr>
          <w:rFonts w:hint="cs"/>
          <w:rtl/>
        </w:rPr>
        <w:t>תובע משטרתי</w:t>
      </w:r>
      <w:r>
        <w:rPr>
          <w:rFonts w:hint="cs"/>
          <w:rtl/>
        </w:rPr>
        <w:t>,</w:t>
      </w:r>
      <w:r w:rsidRPr="00DD762E">
        <w:rPr>
          <w:rFonts w:hint="cs"/>
          <w:rtl/>
        </w:rPr>
        <w:t xml:space="preserve"> הוא בבחינת "נאמן בית המ</w:t>
      </w:r>
      <w:r>
        <w:rPr>
          <w:rFonts w:hint="cs"/>
          <w:rtl/>
        </w:rPr>
        <w:t>שפט" ושליחו של החוק ומשרתו. משום כך</w:t>
      </w:r>
      <w:r w:rsidRPr="00DD762E">
        <w:rPr>
          <w:rFonts w:hint="cs"/>
          <w:rtl/>
        </w:rPr>
        <w:t>, תפקידו העיקרי הוא לסייע לבית המשפט לעשות משפט</w:t>
      </w:r>
      <w:r>
        <w:rPr>
          <w:rFonts w:hint="cs"/>
          <w:rtl/>
        </w:rPr>
        <w:t>,</w:t>
      </w:r>
      <w:r w:rsidRPr="00DD762E">
        <w:rPr>
          <w:rFonts w:hint="cs"/>
          <w:rtl/>
        </w:rPr>
        <w:t xml:space="preserve"> ובמסגרת תפקידו כקצין של בית המשפט מוטלת עליו החובה לנהוג בהגינות וביושר במהלך הדיון. </w:t>
      </w:r>
    </w:p>
    <w:p w14:paraId="58E2F0D1" w14:textId="77777777" w:rsidR="00BA23AE" w:rsidRDefault="00BA23AE" w:rsidP="00BB325E">
      <w:pPr>
        <w:pStyle w:val="100"/>
        <w:rPr>
          <w:rFonts w:eastAsia="Times New Roman"/>
          <w:rtl/>
          <w:lang w:eastAsia="he-IL"/>
        </w:rPr>
      </w:pPr>
      <w:r>
        <w:rPr>
          <w:rFonts w:hint="cs"/>
          <w:rtl/>
        </w:rPr>
        <w:t xml:space="preserve">בהליך בקשה למעצר ימים רשאי טוען המעצרים לצרף לבקשה דוח סודי ובו הראיות המבססות את עילת המעצר ופעולות החקירה הדורשות מעצר. </w:t>
      </w:r>
      <w:r w:rsidRPr="00BD1CF1">
        <w:rPr>
          <w:rFonts w:hint="eastAsia"/>
          <w:rtl/>
        </w:rPr>
        <w:t>האפשרות</w:t>
      </w:r>
      <w:r w:rsidRPr="00BD1CF1">
        <w:rPr>
          <w:rtl/>
        </w:rPr>
        <w:t xml:space="preserve"> </w:t>
      </w:r>
      <w:r w:rsidRPr="00BD1CF1">
        <w:rPr>
          <w:rFonts w:hint="eastAsia"/>
          <w:rtl/>
        </w:rPr>
        <w:t>להגיש</w:t>
      </w:r>
      <w:r w:rsidRPr="00BD1CF1">
        <w:rPr>
          <w:rtl/>
        </w:rPr>
        <w:t xml:space="preserve"> </w:t>
      </w:r>
      <w:r w:rsidRPr="00BD1CF1">
        <w:rPr>
          <w:rFonts w:hint="eastAsia"/>
          <w:rtl/>
        </w:rPr>
        <w:t>דוח</w:t>
      </w:r>
      <w:r w:rsidRPr="00BD1CF1">
        <w:rPr>
          <w:rtl/>
        </w:rPr>
        <w:t xml:space="preserve"> </w:t>
      </w:r>
      <w:r w:rsidRPr="00BD1CF1">
        <w:rPr>
          <w:rFonts w:hint="eastAsia"/>
          <w:rtl/>
        </w:rPr>
        <w:t>סודי</w:t>
      </w:r>
      <w:r w:rsidRPr="00BD1CF1">
        <w:rPr>
          <w:rtl/>
        </w:rPr>
        <w:t xml:space="preserve">, שאינו גלוי </w:t>
      </w:r>
      <w:r>
        <w:rPr>
          <w:rFonts w:hint="cs"/>
          <w:rtl/>
        </w:rPr>
        <w:t>ל</w:t>
      </w:r>
      <w:r w:rsidRPr="00BD1CF1">
        <w:rPr>
          <w:rtl/>
        </w:rPr>
        <w:t>עצור ו</w:t>
      </w:r>
      <w:r>
        <w:rPr>
          <w:rFonts w:hint="cs"/>
          <w:rtl/>
        </w:rPr>
        <w:t>ל</w:t>
      </w:r>
      <w:r w:rsidRPr="00BD1CF1">
        <w:rPr>
          <w:rtl/>
        </w:rPr>
        <w:t>סנגורו, מפ</w:t>
      </w:r>
      <w:r w:rsidRPr="00BD1CF1">
        <w:rPr>
          <w:rFonts w:hint="eastAsia"/>
          <w:rtl/>
        </w:rPr>
        <w:t>ירה</w:t>
      </w:r>
      <w:r w:rsidRPr="00BD1CF1">
        <w:rPr>
          <w:rtl/>
        </w:rPr>
        <w:t xml:space="preserve"> </w:t>
      </w:r>
      <w:r w:rsidRPr="00BD1CF1">
        <w:rPr>
          <w:rFonts w:hint="eastAsia"/>
          <w:rtl/>
        </w:rPr>
        <w:t>את</w:t>
      </w:r>
      <w:r w:rsidRPr="00BD1CF1">
        <w:rPr>
          <w:rtl/>
        </w:rPr>
        <w:t xml:space="preserve"> </w:t>
      </w:r>
      <w:r w:rsidRPr="00BD1CF1">
        <w:rPr>
          <w:rFonts w:hint="eastAsia"/>
          <w:rtl/>
        </w:rPr>
        <w:t>האיזון</w:t>
      </w:r>
      <w:r w:rsidRPr="00BD1CF1">
        <w:rPr>
          <w:rtl/>
        </w:rPr>
        <w:t xml:space="preserve"> </w:t>
      </w:r>
      <w:r w:rsidRPr="00BD1CF1">
        <w:rPr>
          <w:rFonts w:hint="eastAsia"/>
          <w:rtl/>
        </w:rPr>
        <w:t>הקיים</w:t>
      </w:r>
      <w:r w:rsidRPr="00BD1CF1">
        <w:rPr>
          <w:rtl/>
        </w:rPr>
        <w:t xml:space="preserve"> </w:t>
      </w:r>
      <w:r w:rsidRPr="00BD1CF1">
        <w:rPr>
          <w:rFonts w:hint="eastAsia"/>
          <w:rtl/>
        </w:rPr>
        <w:t>בדרך</w:t>
      </w:r>
      <w:r w:rsidRPr="00BD1CF1">
        <w:rPr>
          <w:rtl/>
        </w:rPr>
        <w:t xml:space="preserve"> </w:t>
      </w:r>
      <w:r w:rsidRPr="00BD1CF1">
        <w:rPr>
          <w:rFonts w:hint="eastAsia"/>
          <w:rtl/>
        </w:rPr>
        <w:t>כלל</w:t>
      </w:r>
      <w:r w:rsidRPr="00BD1CF1">
        <w:rPr>
          <w:rtl/>
        </w:rPr>
        <w:t xml:space="preserve"> </w:t>
      </w:r>
      <w:r w:rsidRPr="00BD1CF1">
        <w:rPr>
          <w:rFonts w:hint="eastAsia"/>
          <w:rtl/>
        </w:rPr>
        <w:t>במערכת</w:t>
      </w:r>
      <w:r w:rsidRPr="00BD1CF1">
        <w:rPr>
          <w:rtl/>
        </w:rPr>
        <w:t xml:space="preserve"> </w:t>
      </w:r>
      <w:r w:rsidRPr="00BD1CF1">
        <w:rPr>
          <w:rFonts w:hint="eastAsia"/>
          <w:rtl/>
        </w:rPr>
        <w:t>המשפט</w:t>
      </w:r>
      <w:r w:rsidRPr="00BD1CF1">
        <w:rPr>
          <w:rtl/>
        </w:rPr>
        <w:t xml:space="preserve"> </w:t>
      </w:r>
      <w:r>
        <w:rPr>
          <w:rFonts w:hint="eastAsia"/>
          <w:rtl/>
        </w:rPr>
        <w:t>האד</w:t>
      </w:r>
      <w:r>
        <w:rPr>
          <w:rFonts w:hint="cs"/>
          <w:rtl/>
        </w:rPr>
        <w:t>וו</w:t>
      </w:r>
      <w:r w:rsidRPr="00BD1CF1">
        <w:rPr>
          <w:rFonts w:hint="eastAsia"/>
          <w:rtl/>
        </w:rPr>
        <w:t>רסרית</w:t>
      </w:r>
      <w:r w:rsidRPr="00BD1CF1">
        <w:rPr>
          <w:rtl/>
        </w:rPr>
        <w:t xml:space="preserve">, </w:t>
      </w:r>
      <w:r w:rsidRPr="00BD1CF1">
        <w:rPr>
          <w:rFonts w:hint="eastAsia"/>
          <w:rtl/>
        </w:rPr>
        <w:t>הנהוגה</w:t>
      </w:r>
      <w:r w:rsidRPr="00BD1CF1">
        <w:rPr>
          <w:rtl/>
        </w:rPr>
        <w:t xml:space="preserve"> </w:t>
      </w:r>
      <w:r w:rsidRPr="00BD1CF1">
        <w:rPr>
          <w:rFonts w:hint="eastAsia"/>
          <w:rtl/>
        </w:rPr>
        <w:t>בארץ</w:t>
      </w:r>
      <w:r>
        <w:rPr>
          <w:rFonts w:hint="cs"/>
          <w:rtl/>
        </w:rPr>
        <w:t>, ש</w:t>
      </w:r>
      <w:r>
        <w:rPr>
          <w:rFonts w:eastAsia="Times New Roman" w:hint="cs"/>
          <w:rtl/>
          <w:lang w:eastAsia="he-IL"/>
        </w:rPr>
        <w:t>בה השופט מכריע לפי עובדות וטיעונים שהביאו בפניו בעלי הדין, ואינו לוקח חלק פעיל בחיפוש העובדות והכללים המשפטיים</w:t>
      </w:r>
      <w:r w:rsidRPr="00BD1CF1">
        <w:rPr>
          <w:rtl/>
        </w:rPr>
        <w:t xml:space="preserve">. בדיון רגיל הטענות והאסמכתאות גלויות </w:t>
      </w:r>
      <w:r>
        <w:rPr>
          <w:rFonts w:hint="cs"/>
          <w:rtl/>
        </w:rPr>
        <w:t>ל</w:t>
      </w:r>
      <w:r w:rsidRPr="00BD1CF1">
        <w:rPr>
          <w:rtl/>
        </w:rPr>
        <w:t xml:space="preserve">שני הצדדים לדיון, </w:t>
      </w:r>
      <w:r w:rsidRPr="00BD1CF1">
        <w:rPr>
          <w:rFonts w:hint="eastAsia"/>
          <w:rtl/>
        </w:rPr>
        <w:t>ואילו</w:t>
      </w:r>
      <w:r w:rsidRPr="00BD1CF1">
        <w:rPr>
          <w:rtl/>
        </w:rPr>
        <w:t xml:space="preserve"> </w:t>
      </w:r>
      <w:r w:rsidRPr="00BD1CF1">
        <w:rPr>
          <w:rFonts w:hint="eastAsia"/>
          <w:rtl/>
        </w:rPr>
        <w:t>בדיוני</w:t>
      </w:r>
      <w:r w:rsidRPr="00BD1CF1">
        <w:rPr>
          <w:rtl/>
        </w:rPr>
        <w:t xml:space="preserve"> הארכת מעצר לצורכי חקירה </w:t>
      </w:r>
      <w:r w:rsidRPr="00BD1CF1">
        <w:rPr>
          <w:rFonts w:hint="eastAsia"/>
          <w:rtl/>
        </w:rPr>
        <w:t>אין</w:t>
      </w:r>
      <w:r w:rsidRPr="00BD1CF1">
        <w:rPr>
          <w:rtl/>
        </w:rPr>
        <w:t xml:space="preserve"> </w:t>
      </w:r>
      <w:r w:rsidRPr="00BD1CF1">
        <w:rPr>
          <w:rFonts w:hint="eastAsia"/>
          <w:rtl/>
        </w:rPr>
        <w:t>העצור</w:t>
      </w:r>
      <w:r w:rsidRPr="00BD1CF1">
        <w:rPr>
          <w:rtl/>
        </w:rPr>
        <w:t xml:space="preserve"> ובא כוחו חשופים לעובדות המבססות את בקשת המעצר ואת עילת המעצר. כתוצאה מכך, הסנגור מוגבל ביכולתו לערער על טענות היחידה החוקרת ולהעלות טענות נגדיות. הסנגור רשאי לחקור את טוען המעצרים על החומר החסוי, אך הטוען רשאי לסרב לענות </w:t>
      </w:r>
      <w:r w:rsidRPr="00BD1CF1">
        <w:rPr>
          <w:rFonts w:hint="eastAsia"/>
          <w:rtl/>
        </w:rPr>
        <w:t>ישירות</w:t>
      </w:r>
      <w:r w:rsidRPr="00BD1CF1">
        <w:rPr>
          <w:rtl/>
        </w:rPr>
        <w:t xml:space="preserve"> </w:t>
      </w:r>
      <w:r w:rsidRPr="00BD1CF1">
        <w:rPr>
          <w:rFonts w:hint="eastAsia"/>
          <w:rtl/>
        </w:rPr>
        <w:t>לשאלות</w:t>
      </w:r>
      <w:r w:rsidRPr="00BD1CF1">
        <w:rPr>
          <w:rtl/>
        </w:rPr>
        <w:t xml:space="preserve"> </w:t>
      </w:r>
      <w:r w:rsidRPr="00BD1CF1">
        <w:rPr>
          <w:rFonts w:hint="eastAsia"/>
          <w:rtl/>
        </w:rPr>
        <w:t>החושפות</w:t>
      </w:r>
      <w:r w:rsidRPr="00BD1CF1">
        <w:rPr>
          <w:rtl/>
        </w:rPr>
        <w:t xml:space="preserve"> </w:t>
      </w:r>
      <w:r w:rsidRPr="00BD1CF1">
        <w:rPr>
          <w:rFonts w:hint="eastAsia"/>
          <w:rtl/>
        </w:rPr>
        <w:t>את</w:t>
      </w:r>
      <w:r w:rsidRPr="00BD1CF1">
        <w:rPr>
          <w:rtl/>
        </w:rPr>
        <w:t xml:space="preserve"> </w:t>
      </w:r>
      <w:r w:rsidRPr="00BD1CF1">
        <w:rPr>
          <w:rFonts w:hint="eastAsia"/>
          <w:rtl/>
        </w:rPr>
        <w:t>תוכן</w:t>
      </w:r>
      <w:r w:rsidRPr="00BD1CF1">
        <w:rPr>
          <w:rtl/>
        </w:rPr>
        <w:t xml:space="preserve"> </w:t>
      </w:r>
      <w:r w:rsidRPr="00BD1CF1">
        <w:rPr>
          <w:rFonts w:hint="eastAsia"/>
          <w:rtl/>
        </w:rPr>
        <w:t>החומר</w:t>
      </w:r>
      <w:r w:rsidRPr="00BD1CF1">
        <w:rPr>
          <w:rtl/>
        </w:rPr>
        <w:t xml:space="preserve"> </w:t>
      </w:r>
      <w:r w:rsidRPr="00BD1CF1">
        <w:rPr>
          <w:rFonts w:hint="eastAsia"/>
          <w:rtl/>
        </w:rPr>
        <w:t>החסוי</w:t>
      </w:r>
      <w:r w:rsidRPr="00BD1CF1">
        <w:rPr>
          <w:rtl/>
        </w:rPr>
        <w:t xml:space="preserve">, </w:t>
      </w:r>
      <w:r w:rsidRPr="00BD1CF1">
        <w:rPr>
          <w:rFonts w:hint="eastAsia"/>
          <w:rtl/>
        </w:rPr>
        <w:t>וחלף</w:t>
      </w:r>
      <w:r w:rsidRPr="00BD1CF1">
        <w:rPr>
          <w:rtl/>
        </w:rPr>
        <w:t xml:space="preserve"> זאת </w:t>
      </w:r>
      <w:r w:rsidRPr="00BD1CF1">
        <w:rPr>
          <w:rFonts w:hint="eastAsia"/>
          <w:rtl/>
        </w:rPr>
        <w:t>ניתן</w:t>
      </w:r>
      <w:r w:rsidRPr="00BD1CF1">
        <w:rPr>
          <w:rtl/>
        </w:rPr>
        <w:t xml:space="preserve"> לו </w:t>
      </w:r>
      <w:r w:rsidRPr="00BD1CF1">
        <w:rPr>
          <w:rFonts w:hint="eastAsia"/>
          <w:rtl/>
        </w:rPr>
        <w:t>להשיב</w:t>
      </w:r>
      <w:r w:rsidRPr="00BD1CF1">
        <w:rPr>
          <w:rtl/>
        </w:rPr>
        <w:t xml:space="preserve"> בכתב </w:t>
      </w:r>
      <w:r w:rsidRPr="00BD1CF1">
        <w:rPr>
          <w:rFonts w:hint="eastAsia"/>
          <w:rtl/>
        </w:rPr>
        <w:t>במסמך</w:t>
      </w:r>
      <w:r w:rsidRPr="00BD1CF1">
        <w:rPr>
          <w:rtl/>
        </w:rPr>
        <w:t xml:space="preserve"> </w:t>
      </w:r>
      <w:r w:rsidRPr="00BD1CF1">
        <w:rPr>
          <w:rFonts w:hint="eastAsia"/>
          <w:rtl/>
        </w:rPr>
        <w:t>שיוגש</w:t>
      </w:r>
      <w:r w:rsidRPr="00BD1CF1">
        <w:rPr>
          <w:rtl/>
        </w:rPr>
        <w:t xml:space="preserve"> </w:t>
      </w:r>
      <w:r w:rsidRPr="00BD1CF1">
        <w:rPr>
          <w:rFonts w:hint="eastAsia"/>
          <w:rtl/>
        </w:rPr>
        <w:t>לעיונו</w:t>
      </w:r>
      <w:r w:rsidRPr="00BD1CF1">
        <w:rPr>
          <w:rtl/>
        </w:rPr>
        <w:t xml:space="preserve"> של </w:t>
      </w:r>
      <w:r w:rsidRPr="00BD1CF1">
        <w:rPr>
          <w:rFonts w:hint="eastAsia"/>
          <w:rtl/>
        </w:rPr>
        <w:t>בית</w:t>
      </w:r>
      <w:r w:rsidRPr="00BD1CF1">
        <w:rPr>
          <w:rtl/>
        </w:rPr>
        <w:t xml:space="preserve"> </w:t>
      </w:r>
      <w:r w:rsidRPr="00BD1CF1">
        <w:rPr>
          <w:rFonts w:hint="eastAsia"/>
          <w:rtl/>
        </w:rPr>
        <w:t>המשפט</w:t>
      </w:r>
      <w:r w:rsidRPr="00BD1CF1">
        <w:rPr>
          <w:rtl/>
        </w:rPr>
        <w:t xml:space="preserve"> </w:t>
      </w:r>
      <w:r w:rsidRPr="00BD1CF1">
        <w:rPr>
          <w:rFonts w:hint="eastAsia"/>
          <w:rtl/>
        </w:rPr>
        <w:t>בלבד</w:t>
      </w:r>
      <w:r w:rsidRPr="00BD1CF1">
        <w:rPr>
          <w:rtl/>
        </w:rPr>
        <w:t>.</w:t>
      </w:r>
    </w:p>
    <w:p w14:paraId="6FDEE9E3" w14:textId="77777777" w:rsidR="00BA23AE" w:rsidRPr="00BD1CF1" w:rsidRDefault="00BA23AE" w:rsidP="00BB325E">
      <w:pPr>
        <w:pStyle w:val="af4"/>
        <w:rPr>
          <w:rtl/>
        </w:rPr>
      </w:pPr>
      <w:r w:rsidRPr="00BD1CF1">
        <w:rPr>
          <w:rtl/>
        </w:rPr>
        <w:t xml:space="preserve">עבודת טועני המעצרים מובילה להכרעה בתחום הרגיש של פגיעה </w:t>
      </w:r>
      <w:r>
        <w:rPr>
          <w:rFonts w:hint="cs"/>
          <w:rtl/>
        </w:rPr>
        <w:t>ב</w:t>
      </w:r>
      <w:r w:rsidRPr="00BD1CF1">
        <w:rPr>
          <w:rtl/>
        </w:rPr>
        <w:t>חירות</w:t>
      </w:r>
      <w:r>
        <w:rPr>
          <w:rFonts w:hint="cs"/>
          <w:rtl/>
        </w:rPr>
        <w:t>ו</w:t>
      </w:r>
      <w:r w:rsidRPr="00BD1CF1">
        <w:rPr>
          <w:rtl/>
        </w:rPr>
        <w:t xml:space="preserve"> של אדם שהוא </w:t>
      </w:r>
      <w:r w:rsidRPr="00BD1CF1">
        <w:rPr>
          <w:rFonts w:hint="eastAsia"/>
          <w:rtl/>
        </w:rPr>
        <w:t>במעמד</w:t>
      </w:r>
      <w:r w:rsidRPr="00BD1CF1">
        <w:rPr>
          <w:rtl/>
        </w:rPr>
        <w:t xml:space="preserve"> </w:t>
      </w:r>
      <w:r w:rsidRPr="00BD1CF1">
        <w:rPr>
          <w:rFonts w:hint="eastAsia"/>
          <w:rtl/>
        </w:rPr>
        <w:t>של</w:t>
      </w:r>
      <w:r w:rsidRPr="00BD1CF1">
        <w:rPr>
          <w:rtl/>
        </w:rPr>
        <w:t xml:space="preserve"> חף מפשע. </w:t>
      </w:r>
      <w:r w:rsidRPr="00BD1CF1">
        <w:rPr>
          <w:rFonts w:hint="eastAsia"/>
          <w:rtl/>
        </w:rPr>
        <w:t>ראוי</w:t>
      </w:r>
      <w:r w:rsidRPr="00BD1CF1">
        <w:rPr>
          <w:rtl/>
        </w:rPr>
        <w:t xml:space="preserve"> </w:t>
      </w:r>
      <w:r w:rsidRPr="00BD1CF1">
        <w:rPr>
          <w:rFonts w:hint="eastAsia"/>
          <w:rtl/>
        </w:rPr>
        <w:t>כי</w:t>
      </w:r>
      <w:r w:rsidRPr="00BD1CF1">
        <w:rPr>
          <w:rtl/>
        </w:rPr>
        <w:t xml:space="preserve"> </w:t>
      </w:r>
      <w:r w:rsidRPr="00BD1CF1">
        <w:rPr>
          <w:rFonts w:hint="eastAsia"/>
          <w:rtl/>
        </w:rPr>
        <w:t>ההתנהלות</w:t>
      </w:r>
      <w:r w:rsidRPr="00BD1CF1">
        <w:rPr>
          <w:rtl/>
        </w:rPr>
        <w:t xml:space="preserve"> </w:t>
      </w:r>
      <w:r w:rsidRPr="00BD1CF1">
        <w:rPr>
          <w:rFonts w:hint="eastAsia"/>
          <w:rtl/>
        </w:rPr>
        <w:t>המצופה</w:t>
      </w:r>
      <w:r w:rsidRPr="00BD1CF1">
        <w:rPr>
          <w:rtl/>
        </w:rPr>
        <w:t xml:space="preserve"> </w:t>
      </w:r>
      <w:r w:rsidRPr="00BD1CF1">
        <w:rPr>
          <w:rFonts w:hint="eastAsia"/>
          <w:rtl/>
        </w:rPr>
        <w:t>מהטוענים</w:t>
      </w:r>
      <w:r w:rsidRPr="00BD1CF1">
        <w:rPr>
          <w:rtl/>
        </w:rPr>
        <w:t xml:space="preserve"> </w:t>
      </w:r>
      <w:r w:rsidRPr="00BD1CF1">
        <w:rPr>
          <w:rFonts w:hint="eastAsia"/>
          <w:rtl/>
        </w:rPr>
        <w:t>בבית</w:t>
      </w:r>
      <w:r w:rsidRPr="00BD1CF1">
        <w:rPr>
          <w:rtl/>
        </w:rPr>
        <w:t xml:space="preserve"> </w:t>
      </w:r>
      <w:r w:rsidRPr="00BD1CF1">
        <w:rPr>
          <w:rFonts w:hint="eastAsia"/>
          <w:rtl/>
        </w:rPr>
        <w:t>המשפט</w:t>
      </w:r>
      <w:r w:rsidRPr="00BD1CF1">
        <w:rPr>
          <w:rtl/>
        </w:rPr>
        <w:t xml:space="preserve"> </w:t>
      </w:r>
      <w:r w:rsidRPr="00BD1CF1">
        <w:rPr>
          <w:rFonts w:hint="eastAsia"/>
          <w:rtl/>
        </w:rPr>
        <w:t>תובהר</w:t>
      </w:r>
      <w:r w:rsidRPr="00BD1CF1">
        <w:rPr>
          <w:rtl/>
        </w:rPr>
        <w:t xml:space="preserve"> </w:t>
      </w:r>
      <w:r w:rsidRPr="00BD1CF1">
        <w:rPr>
          <w:rFonts w:hint="eastAsia"/>
          <w:rtl/>
        </w:rPr>
        <w:t>במסגרת</w:t>
      </w:r>
      <w:r w:rsidRPr="00BD1CF1">
        <w:rPr>
          <w:rtl/>
        </w:rPr>
        <w:t xml:space="preserve"> </w:t>
      </w:r>
      <w:r w:rsidRPr="00BD1CF1">
        <w:rPr>
          <w:rFonts w:hint="eastAsia"/>
          <w:rtl/>
        </w:rPr>
        <w:t>נוהל</w:t>
      </w:r>
      <w:r w:rsidRPr="00BD1CF1">
        <w:rPr>
          <w:rtl/>
        </w:rPr>
        <w:t xml:space="preserve"> </w:t>
      </w:r>
      <w:r w:rsidRPr="00BD1CF1">
        <w:rPr>
          <w:rFonts w:hint="eastAsia"/>
          <w:rtl/>
        </w:rPr>
        <w:t>מסודר</w:t>
      </w:r>
      <w:r w:rsidRPr="00BD1CF1">
        <w:rPr>
          <w:rtl/>
        </w:rPr>
        <w:t xml:space="preserve">, </w:t>
      </w:r>
      <w:r w:rsidRPr="00BD1CF1">
        <w:rPr>
          <w:rFonts w:hint="eastAsia"/>
          <w:rtl/>
        </w:rPr>
        <w:t>שבו</w:t>
      </w:r>
      <w:r w:rsidRPr="00BD1CF1">
        <w:rPr>
          <w:rtl/>
        </w:rPr>
        <w:t xml:space="preserve"> </w:t>
      </w:r>
      <w:r w:rsidRPr="00BD1CF1">
        <w:rPr>
          <w:rFonts w:hint="eastAsia"/>
          <w:rtl/>
        </w:rPr>
        <w:t>יונח</w:t>
      </w:r>
      <w:r w:rsidRPr="00BD1CF1">
        <w:rPr>
          <w:rtl/>
        </w:rPr>
        <w:t xml:space="preserve"> </w:t>
      </w:r>
      <w:r w:rsidRPr="00BD1CF1">
        <w:rPr>
          <w:rFonts w:hint="eastAsia"/>
          <w:rtl/>
        </w:rPr>
        <w:t>בסיס</w:t>
      </w:r>
      <w:r w:rsidRPr="00BD1CF1">
        <w:rPr>
          <w:rtl/>
        </w:rPr>
        <w:t xml:space="preserve"> </w:t>
      </w:r>
      <w:r w:rsidRPr="00BD1CF1">
        <w:rPr>
          <w:rFonts w:hint="eastAsia"/>
          <w:rtl/>
        </w:rPr>
        <w:t>אתי</w:t>
      </w:r>
      <w:r w:rsidRPr="00BD1CF1">
        <w:rPr>
          <w:rtl/>
        </w:rPr>
        <w:t xml:space="preserve"> </w:t>
      </w:r>
      <w:r w:rsidRPr="00BD1CF1">
        <w:rPr>
          <w:rFonts w:hint="eastAsia"/>
          <w:rtl/>
        </w:rPr>
        <w:t>ומקצועי</w:t>
      </w:r>
      <w:r w:rsidRPr="00BD1CF1">
        <w:rPr>
          <w:rtl/>
        </w:rPr>
        <w:t xml:space="preserve"> לעבודתו.</w:t>
      </w:r>
    </w:p>
    <w:p w14:paraId="334A68F9" w14:textId="67119B8B" w:rsidR="00542CDA" w:rsidRDefault="00BA23AE" w:rsidP="00202878">
      <w:pPr>
        <w:pStyle w:val="100"/>
        <w:rPr>
          <w:rtl/>
        </w:rPr>
      </w:pPr>
      <w:r w:rsidRPr="00202878">
        <w:rPr>
          <w:rStyle w:val="Heading5Char"/>
          <w:rFonts w:hint="eastAsia"/>
          <w:color w:val="387026"/>
          <w:spacing w:val="0"/>
          <w:rtl/>
        </w:rPr>
        <w:t>הבהרת</w:t>
      </w:r>
      <w:r w:rsidRPr="00202878">
        <w:rPr>
          <w:rStyle w:val="Heading5Char"/>
          <w:color w:val="387026"/>
          <w:spacing w:val="0"/>
          <w:rtl/>
        </w:rPr>
        <w:t xml:space="preserve"> </w:t>
      </w:r>
      <w:r w:rsidRPr="00202878">
        <w:rPr>
          <w:rStyle w:val="Heading5Char"/>
          <w:rFonts w:hint="eastAsia"/>
          <w:color w:val="387026"/>
          <w:spacing w:val="0"/>
          <w:rtl/>
        </w:rPr>
        <w:t>סמכויות</w:t>
      </w:r>
      <w:r w:rsidRPr="00202878">
        <w:rPr>
          <w:rStyle w:val="Heading5Char"/>
          <w:color w:val="387026"/>
          <w:spacing w:val="0"/>
          <w:rtl/>
        </w:rPr>
        <w:t xml:space="preserve"> </w:t>
      </w:r>
      <w:r w:rsidRPr="00202878">
        <w:rPr>
          <w:rStyle w:val="Heading5Char"/>
          <w:rFonts w:hint="eastAsia"/>
          <w:color w:val="387026"/>
          <w:spacing w:val="0"/>
          <w:rtl/>
        </w:rPr>
        <w:t>והאחדת</w:t>
      </w:r>
      <w:r w:rsidRPr="00202878">
        <w:rPr>
          <w:rStyle w:val="Heading5Char"/>
          <w:color w:val="387026"/>
          <w:spacing w:val="0"/>
          <w:rtl/>
        </w:rPr>
        <w:t xml:space="preserve"> </w:t>
      </w:r>
      <w:r w:rsidRPr="00202878">
        <w:rPr>
          <w:rStyle w:val="Heading5Char"/>
          <w:rFonts w:hint="eastAsia"/>
          <w:color w:val="387026"/>
          <w:spacing w:val="0"/>
          <w:rtl/>
        </w:rPr>
        <w:t>התנהלות</w:t>
      </w:r>
      <w:r w:rsidRPr="00202878">
        <w:rPr>
          <w:rStyle w:val="Heading5Char"/>
          <w:color w:val="387026"/>
          <w:spacing w:val="0"/>
          <w:rtl/>
        </w:rPr>
        <w:t xml:space="preserve"> </w:t>
      </w:r>
      <w:r w:rsidRPr="00202878">
        <w:rPr>
          <w:rStyle w:val="Heading5Char"/>
          <w:rFonts w:hint="eastAsia"/>
          <w:color w:val="387026"/>
          <w:spacing w:val="0"/>
          <w:rtl/>
        </w:rPr>
        <w:t>בנוהל</w:t>
      </w:r>
      <w:r w:rsidRPr="00202878">
        <w:rPr>
          <w:rStyle w:val="Heading5Char"/>
          <w:color w:val="387026"/>
          <w:spacing w:val="0"/>
          <w:rtl/>
        </w:rPr>
        <w:t xml:space="preserve"> </w:t>
      </w:r>
      <w:r w:rsidRPr="00202878">
        <w:rPr>
          <w:rStyle w:val="Heading5Char"/>
          <w:rFonts w:hint="eastAsia"/>
          <w:color w:val="387026"/>
          <w:spacing w:val="0"/>
          <w:rtl/>
        </w:rPr>
        <w:t>מסודר</w:t>
      </w:r>
      <w:r w:rsidRPr="00202878">
        <w:rPr>
          <w:rStyle w:val="Heading5Char"/>
          <w:rFonts w:hint="cs"/>
          <w:color w:val="387026"/>
          <w:spacing w:val="0"/>
          <w:rtl/>
        </w:rPr>
        <w:t>:</w:t>
      </w:r>
      <w:r>
        <w:rPr>
          <w:rFonts w:hint="cs"/>
          <w:rtl/>
        </w:rPr>
        <w:t xml:space="preserve"> במהלך </w:t>
      </w:r>
      <w:r w:rsidRPr="00DD762E">
        <w:rPr>
          <w:rFonts w:hint="cs"/>
          <w:rtl/>
        </w:rPr>
        <w:t xml:space="preserve">הדיון בבית המשפט עלול </w:t>
      </w:r>
      <w:r>
        <w:rPr>
          <w:rFonts w:hint="cs"/>
          <w:rtl/>
        </w:rPr>
        <w:t>להתברר</w:t>
      </w:r>
      <w:r w:rsidRPr="00DD762E">
        <w:rPr>
          <w:rFonts w:hint="cs"/>
          <w:rtl/>
        </w:rPr>
        <w:t xml:space="preserve"> כי עילת המעצר </w:t>
      </w:r>
      <w:r>
        <w:rPr>
          <w:rFonts w:hint="cs"/>
          <w:rtl/>
        </w:rPr>
        <w:t xml:space="preserve">שבה נקב </w:t>
      </w:r>
      <w:r w:rsidRPr="00DD762E">
        <w:rPr>
          <w:rFonts w:hint="cs"/>
          <w:rtl/>
        </w:rPr>
        <w:t xml:space="preserve">צוות </w:t>
      </w:r>
      <w:r w:rsidRPr="00A56EC9">
        <w:rPr>
          <w:rFonts w:hint="cs"/>
          <w:rtl/>
        </w:rPr>
        <w:t>ה</w:t>
      </w:r>
      <w:r w:rsidRPr="003101E7">
        <w:rPr>
          <w:rFonts w:hint="eastAsia"/>
          <w:rtl/>
        </w:rPr>
        <w:t>חקירה</w:t>
      </w:r>
      <w:r w:rsidRPr="00DD762E">
        <w:rPr>
          <w:rFonts w:hint="cs"/>
          <w:rtl/>
        </w:rPr>
        <w:t xml:space="preserve"> אינה עולה בקנה אחד עם העובדות </w:t>
      </w:r>
      <w:r>
        <w:rPr>
          <w:rFonts w:hint="cs"/>
          <w:rtl/>
        </w:rPr>
        <w:t xml:space="preserve">כפי </w:t>
      </w:r>
      <w:r w:rsidRPr="00DD762E">
        <w:rPr>
          <w:rFonts w:hint="cs"/>
          <w:rtl/>
        </w:rPr>
        <w:t>ש</w:t>
      </w:r>
      <w:r>
        <w:rPr>
          <w:rFonts w:hint="cs"/>
          <w:rtl/>
        </w:rPr>
        <w:t>נחשפו</w:t>
      </w:r>
      <w:r w:rsidRPr="00DD762E">
        <w:rPr>
          <w:rFonts w:hint="cs"/>
          <w:rtl/>
        </w:rPr>
        <w:t xml:space="preserve"> במהלך הדיון המשפטי. לטוען המעצרים, בניגוד לגורמי התביעה, אין סמכות לבקר את החלטת היחידה החוקרת</w:t>
      </w:r>
      <w:r>
        <w:rPr>
          <w:rFonts w:hint="cs"/>
          <w:rtl/>
        </w:rPr>
        <w:t>,</w:t>
      </w:r>
      <w:r w:rsidRPr="00DD762E">
        <w:rPr>
          <w:rFonts w:hint="cs"/>
          <w:rtl/>
        </w:rPr>
        <w:t xml:space="preserve"> </w:t>
      </w:r>
      <w:r>
        <w:rPr>
          <w:rFonts w:hint="cs"/>
          <w:rtl/>
        </w:rPr>
        <w:t xml:space="preserve">ואין </w:t>
      </w:r>
      <w:r w:rsidRPr="00DD762E">
        <w:rPr>
          <w:rFonts w:hint="cs"/>
          <w:rtl/>
        </w:rPr>
        <w:t>הוא רשאי לסטות מעילות המעצר</w:t>
      </w:r>
      <w:r>
        <w:rPr>
          <w:rFonts w:hint="cs"/>
          <w:rtl/>
        </w:rPr>
        <w:t>,</w:t>
      </w:r>
      <w:r w:rsidRPr="00DD762E">
        <w:rPr>
          <w:rFonts w:hint="cs"/>
          <w:rtl/>
        </w:rPr>
        <w:t xml:space="preserve"> כפי שנכתבו בבקשת המעצר. עם זאת, מתוקף סמכותו לייצג את היחידה החוקרת</w:t>
      </w:r>
      <w:r>
        <w:rPr>
          <w:rFonts w:hint="cs"/>
          <w:rtl/>
        </w:rPr>
        <w:t>,</w:t>
      </w:r>
      <w:r w:rsidRPr="00DD762E">
        <w:rPr>
          <w:rFonts w:hint="cs"/>
          <w:rtl/>
        </w:rPr>
        <w:t xml:space="preserve"> </w:t>
      </w:r>
      <w:r>
        <w:rPr>
          <w:rFonts w:hint="cs"/>
          <w:rtl/>
        </w:rPr>
        <w:t>על</w:t>
      </w:r>
      <w:r w:rsidRPr="00DD762E">
        <w:rPr>
          <w:rFonts w:hint="cs"/>
          <w:rtl/>
        </w:rPr>
        <w:t xml:space="preserve"> הטוען לבחון בכובד ראש את תיק החקירה ואת בקשת המעצר</w:t>
      </w:r>
      <w:r>
        <w:rPr>
          <w:rFonts w:hint="cs"/>
          <w:rtl/>
        </w:rPr>
        <w:t>,</w:t>
      </w:r>
      <w:r w:rsidRPr="00DD762E">
        <w:rPr>
          <w:rFonts w:hint="cs"/>
          <w:rtl/>
        </w:rPr>
        <w:t xml:space="preserve"> ואף להעיר במידת הצורך ליחידה החוקרת </w:t>
      </w:r>
      <w:r>
        <w:rPr>
          <w:rFonts w:hint="cs"/>
          <w:rtl/>
        </w:rPr>
        <w:t xml:space="preserve">אם פעולות החקירה אינן מצדיקות מעצר או שאין ביסוס עובדתי לעילת מעצר. כמו כן, אין אחידות באופן העברת הדיווחים ליחידות החוקרות, </w:t>
      </w:r>
      <w:r w:rsidRPr="00563609">
        <w:rPr>
          <w:rFonts w:hint="cs"/>
          <w:rtl/>
        </w:rPr>
        <w:t>ואין שימוש קבוע במחשבים הניידים שהוקצו להם לצורך העברת מידע שוטף מהדיונים בבתי המשפט</w:t>
      </w:r>
      <w:r>
        <w:rPr>
          <w:rFonts w:hint="cs"/>
          <w:rtl/>
        </w:rPr>
        <w:t>.</w:t>
      </w:r>
    </w:p>
    <w:p w14:paraId="3BF4B172" w14:textId="57DA0747" w:rsidR="00BA23AE" w:rsidRDefault="00BA23AE" w:rsidP="00542CDA">
      <w:pPr>
        <w:pStyle w:val="af4"/>
        <w:rPr>
          <w:rtl/>
        </w:rPr>
      </w:pPr>
      <w:r w:rsidRPr="00DD762E">
        <w:rPr>
          <w:rFonts w:hint="cs"/>
          <w:rtl/>
        </w:rPr>
        <w:lastRenderedPageBreak/>
        <w:t xml:space="preserve">נמצא כי לא נקבעו נהלים ארציים לעבודת טועני המעצרים במטרה להסדיר את תנאי העבודה של הטוען, את סמכויותיו, </w:t>
      </w:r>
      <w:r w:rsidRPr="00DD762E">
        <w:rPr>
          <w:rFonts w:hint="cs"/>
          <w:sz w:val="24"/>
          <w:rtl/>
        </w:rPr>
        <w:t xml:space="preserve">את </w:t>
      </w:r>
      <w:r w:rsidRPr="00DD762E">
        <w:rPr>
          <w:sz w:val="24"/>
          <w:rtl/>
        </w:rPr>
        <w:t>כפיפות</w:t>
      </w:r>
      <w:r w:rsidRPr="00DD762E">
        <w:rPr>
          <w:rFonts w:hint="cs"/>
          <w:sz w:val="24"/>
          <w:rtl/>
        </w:rPr>
        <w:t>ו</w:t>
      </w:r>
      <w:r w:rsidRPr="00DD762E">
        <w:rPr>
          <w:sz w:val="24"/>
          <w:rtl/>
        </w:rPr>
        <w:t xml:space="preserve"> המקצועית והפיקודית</w:t>
      </w:r>
      <w:r w:rsidRPr="00DD762E">
        <w:rPr>
          <w:rFonts w:hint="cs"/>
          <w:rtl/>
        </w:rPr>
        <w:t xml:space="preserve"> ואת ממשקי העבודה בין הטוענים ובין היחידות החוקרות. גם ברמה המחוזית לא נמצאו נהלים המגדירים את עבודת הטוען, מלבד נוהל </w:t>
      </w:r>
      <w:r>
        <w:rPr>
          <w:rFonts w:hint="cs"/>
          <w:rtl/>
        </w:rPr>
        <w:t>אחד שנקבע ב</w:t>
      </w:r>
      <w:r w:rsidRPr="00DD762E">
        <w:rPr>
          <w:rFonts w:hint="cs"/>
          <w:rtl/>
        </w:rPr>
        <w:t>מרחב לכיש</w:t>
      </w:r>
      <w:r>
        <w:rPr>
          <w:rFonts w:hint="cs"/>
          <w:rtl/>
        </w:rPr>
        <w:t>, הכפוף למחוז דרום.</w:t>
      </w:r>
      <w:r w:rsidRPr="00DD762E">
        <w:rPr>
          <w:rFonts w:hint="cs"/>
          <w:rtl/>
        </w:rPr>
        <w:t xml:space="preserve"> </w:t>
      </w:r>
    </w:p>
    <w:p w14:paraId="2F070C5B" w14:textId="77777777" w:rsidR="00BA23AE" w:rsidRDefault="00BA23AE" w:rsidP="00B2635D">
      <w:pPr>
        <w:pStyle w:val="100"/>
        <w:rPr>
          <w:rtl/>
        </w:rPr>
      </w:pPr>
      <w:r>
        <w:rPr>
          <w:rFonts w:hint="cs"/>
          <w:rtl/>
        </w:rPr>
        <w:t>משטרת ישראל מסרה בתשובתה כי במחוז מרכז לא נכתב נוהל מסודר בנושא עבודת טועני המעצרים, אך הטוענים פועלים לפי הנחיות מקצועיות שניתנו על ידי קצין אח"ם מרכז. עוד נמסר כי נוהל מרחב לכיש יהפוך מנוהל מרחבי לנוהל מחוזי בשינויים המחויבים. לגבי מחוז ש"י נמסר כי במהלך ינואר 2020 צפוי המחוז להתחלק לשני מרחבים. בעקבות השינוי הארגוני תוקננו טועני מעצרים לכל מרחב ויופצו הנחיות סדורות בהתאם.</w:t>
      </w:r>
    </w:p>
    <w:p w14:paraId="7333C869" w14:textId="77777777" w:rsidR="00BA23AE" w:rsidRDefault="00BA23AE" w:rsidP="00B2635D">
      <w:pPr>
        <w:pStyle w:val="100"/>
        <w:rPr>
          <w:rtl/>
        </w:rPr>
      </w:pPr>
      <w:r>
        <w:rPr>
          <w:rFonts w:hint="cs"/>
          <w:rtl/>
        </w:rPr>
        <w:t>לדברי משטרת ישראל בתשובתה, חטיבת החקירות במטה הארצי היא הגורם המקצועי המנחה את טועני המעצרים. החטיבה מפיצה נהלים והנחיות, עורכת בקרות ומבצעת ביקורים בשטח. עמדת המשטרה היא כי יש לבסס תפיסת הפעלה אחידה, שתתייחס לכלל הנושאים שעלו בביקורת בנוגע לעבודת טועני המעצרים, תיצור אחידות ותאפשר לבקר את עבודתם של טועני המעצרים בכל הרמות ולפקח עליה.</w:t>
      </w:r>
    </w:p>
    <w:p w14:paraId="1C193ACE" w14:textId="58FBAADE" w:rsidR="00BA23AE" w:rsidRPr="00DD762E" w:rsidRDefault="00BA23AE" w:rsidP="00B2635D">
      <w:pPr>
        <w:pStyle w:val="414"/>
        <w:rPr>
          <w:rtl/>
        </w:rPr>
      </w:pPr>
      <w:r w:rsidRPr="00DD762E">
        <w:rPr>
          <w:rFonts w:hint="cs"/>
          <w:rtl/>
        </w:rPr>
        <w:t>הכשרת טועני מעצרים</w:t>
      </w:r>
    </w:p>
    <w:p w14:paraId="6BE24D10" w14:textId="77777777" w:rsidR="00BA23AE" w:rsidRPr="00DD762E" w:rsidRDefault="00BA23AE" w:rsidP="00B2635D">
      <w:pPr>
        <w:pStyle w:val="100"/>
        <w:rPr>
          <w:rtl/>
        </w:rPr>
      </w:pPr>
      <w:r>
        <w:rPr>
          <w:rFonts w:hint="cs"/>
          <w:rtl/>
        </w:rPr>
        <w:t xml:space="preserve">כאמור, עבודתם של </w:t>
      </w:r>
      <w:r w:rsidRPr="00DD762E">
        <w:rPr>
          <w:rFonts w:hint="cs"/>
          <w:rtl/>
        </w:rPr>
        <w:t xml:space="preserve">טועני המעצרים </w:t>
      </w:r>
      <w:r>
        <w:rPr>
          <w:rFonts w:hint="cs"/>
          <w:rtl/>
        </w:rPr>
        <w:t>מחייבת</w:t>
      </w:r>
      <w:r w:rsidRPr="00DD762E">
        <w:rPr>
          <w:rFonts w:hint="cs"/>
          <w:rtl/>
        </w:rPr>
        <w:t xml:space="preserve"> תשתית מקצועית בתחום המשפטי</w:t>
      </w:r>
      <w:r>
        <w:rPr>
          <w:rFonts w:hint="cs"/>
          <w:rtl/>
        </w:rPr>
        <w:t>. הם גם</w:t>
      </w:r>
      <w:r w:rsidRPr="00DD762E">
        <w:rPr>
          <w:rFonts w:hint="cs"/>
          <w:rtl/>
        </w:rPr>
        <w:t xml:space="preserve"> נדרש</w:t>
      </w:r>
      <w:r>
        <w:rPr>
          <w:rFonts w:hint="cs"/>
          <w:rtl/>
        </w:rPr>
        <w:t>ים</w:t>
      </w:r>
      <w:r w:rsidRPr="00DD762E">
        <w:rPr>
          <w:rFonts w:hint="cs"/>
          <w:rtl/>
        </w:rPr>
        <w:t xml:space="preserve"> להכיר</w:t>
      </w:r>
      <w:r>
        <w:rPr>
          <w:rFonts w:hint="cs"/>
          <w:rtl/>
        </w:rPr>
        <w:t xml:space="preserve"> </w:t>
      </w:r>
      <w:r w:rsidRPr="00DD762E">
        <w:rPr>
          <w:rFonts w:hint="cs"/>
          <w:rtl/>
        </w:rPr>
        <w:t xml:space="preserve">את עבודת החקירות של המשטרה ולהציג </w:t>
      </w:r>
      <w:r>
        <w:rPr>
          <w:rFonts w:hint="cs"/>
          <w:rtl/>
        </w:rPr>
        <w:t>ל</w:t>
      </w:r>
      <w:r w:rsidRPr="00DD762E">
        <w:rPr>
          <w:rFonts w:hint="cs"/>
          <w:rtl/>
        </w:rPr>
        <w:t xml:space="preserve">פני היחידות החוקרות את דרישות החוק. טוען המעצרים יכול במקרים מסוימים להאיר </w:t>
      </w:r>
      <w:r>
        <w:rPr>
          <w:rFonts w:hint="cs"/>
          <w:rtl/>
        </w:rPr>
        <w:t>לפני</w:t>
      </w:r>
      <w:r w:rsidRPr="00DD762E">
        <w:rPr>
          <w:rFonts w:hint="cs"/>
          <w:rtl/>
        </w:rPr>
        <w:t xml:space="preserve"> היחידות החוקרות פגמים בבקשת המעצר </w:t>
      </w:r>
      <w:r>
        <w:rPr>
          <w:rFonts w:hint="cs"/>
          <w:rtl/>
        </w:rPr>
        <w:t>ו</w:t>
      </w:r>
      <w:r w:rsidRPr="00DD762E">
        <w:rPr>
          <w:rFonts w:hint="cs"/>
          <w:rtl/>
        </w:rPr>
        <w:t>למנוע בכך מעצרי שווא</w:t>
      </w:r>
      <w:r>
        <w:rPr>
          <w:rFonts w:hint="cs"/>
          <w:rtl/>
        </w:rPr>
        <w:t>, או לחלופין להצביע על כך שקיימת עילת מעצר מתאימה יותר לעובדות התיק.</w:t>
      </w:r>
      <w:r w:rsidRPr="00DD762E">
        <w:rPr>
          <w:rFonts w:hint="cs"/>
          <w:rtl/>
        </w:rPr>
        <w:t xml:space="preserve"> </w:t>
      </w:r>
    </w:p>
    <w:p w14:paraId="6FE9F54F" w14:textId="77777777" w:rsidR="00BA23AE" w:rsidRPr="00DD762E" w:rsidRDefault="00BA23AE" w:rsidP="00B2635D">
      <w:pPr>
        <w:pStyle w:val="100"/>
        <w:rPr>
          <w:rtl/>
        </w:rPr>
      </w:pPr>
      <w:r w:rsidRPr="00DD762E">
        <w:rPr>
          <w:rFonts w:hint="cs"/>
          <w:rtl/>
        </w:rPr>
        <w:t>על מנת לפתח מיומנות זו</w:t>
      </w:r>
      <w:r>
        <w:rPr>
          <w:rFonts w:hint="cs"/>
          <w:rtl/>
        </w:rPr>
        <w:t>,</w:t>
      </w:r>
      <w:r w:rsidRPr="00DD762E">
        <w:rPr>
          <w:rFonts w:hint="cs"/>
          <w:rtl/>
        </w:rPr>
        <w:t xml:space="preserve"> נדרשת הכשרה מקצועית רלוונטית. ואולם מתברר כי ההכשרה היחידה שטועני המעצרים מחויבים להשתתף בה היא הכשרת היסוד שניתנת לחוקרי המשטרה</w:t>
      </w:r>
      <w:r>
        <w:rPr>
          <w:rFonts w:hint="cs"/>
          <w:rtl/>
        </w:rPr>
        <w:t>,</w:t>
      </w:r>
      <w:r w:rsidRPr="00DD762E">
        <w:rPr>
          <w:rFonts w:hint="cs"/>
          <w:rtl/>
        </w:rPr>
        <w:t xml:space="preserve"> הכוללת תכנים בסיסיים </w:t>
      </w:r>
      <w:r>
        <w:rPr>
          <w:rFonts w:hint="cs"/>
          <w:rtl/>
        </w:rPr>
        <w:t>בעניין</w:t>
      </w:r>
      <w:r w:rsidRPr="00DD762E">
        <w:rPr>
          <w:rFonts w:hint="cs"/>
          <w:rtl/>
        </w:rPr>
        <w:t xml:space="preserve"> עבודת החוקר בבית המשפט. </w:t>
      </w:r>
    </w:p>
    <w:p w14:paraId="03E24965" w14:textId="77777777" w:rsidR="00BA23AE" w:rsidRDefault="00BA23AE" w:rsidP="00B2635D">
      <w:pPr>
        <w:pStyle w:val="100"/>
        <w:rPr>
          <w:rtl/>
        </w:rPr>
      </w:pPr>
      <w:r w:rsidRPr="00DD762E">
        <w:rPr>
          <w:rFonts w:hint="cs"/>
          <w:rtl/>
        </w:rPr>
        <w:t xml:space="preserve">משטרת ישראל ראתה צורך בהכשרה ייעודית של הטוענים </w:t>
      </w:r>
      <w:r>
        <w:rPr>
          <w:rFonts w:hint="cs"/>
          <w:rtl/>
        </w:rPr>
        <w:t>ו</w:t>
      </w:r>
      <w:r w:rsidRPr="00DD762E">
        <w:rPr>
          <w:rFonts w:hint="cs"/>
          <w:rtl/>
        </w:rPr>
        <w:t>גיבשה מערך השתלמות לטועני מעצרים</w:t>
      </w:r>
      <w:r>
        <w:rPr>
          <w:rFonts w:hint="cs"/>
          <w:rtl/>
        </w:rPr>
        <w:t>, שאותו העבירה פעמים אחדות</w:t>
      </w:r>
      <w:r w:rsidRPr="00DD762E">
        <w:rPr>
          <w:rFonts w:hint="cs"/>
          <w:rtl/>
        </w:rPr>
        <w:t xml:space="preserve"> במהלך השנים. </w:t>
      </w:r>
    </w:p>
    <w:p w14:paraId="28705EB6" w14:textId="77777777" w:rsidR="00BA23AE" w:rsidRDefault="00BA23AE" w:rsidP="00B2635D">
      <w:pPr>
        <w:pStyle w:val="af4"/>
        <w:rPr>
          <w:rtl/>
        </w:rPr>
      </w:pPr>
      <w:r w:rsidRPr="00DD762E">
        <w:rPr>
          <w:rFonts w:hint="cs"/>
          <w:rtl/>
        </w:rPr>
        <w:t xml:space="preserve">על אף חשיבות ההכשרה לטוענים, </w:t>
      </w:r>
      <w:r>
        <w:rPr>
          <w:rFonts w:hint="cs"/>
          <w:rtl/>
        </w:rPr>
        <w:t>ה</w:t>
      </w:r>
      <w:r w:rsidRPr="00DD762E">
        <w:rPr>
          <w:rFonts w:hint="cs"/>
          <w:rtl/>
        </w:rPr>
        <w:t xml:space="preserve">השתלמות </w:t>
      </w:r>
      <w:r>
        <w:rPr>
          <w:rFonts w:hint="cs"/>
          <w:rtl/>
        </w:rPr>
        <w:t>שגובשה</w:t>
      </w:r>
      <w:r w:rsidRPr="00DD762E">
        <w:rPr>
          <w:rFonts w:hint="cs"/>
          <w:rtl/>
        </w:rPr>
        <w:t xml:space="preserve"> לא נקבעה כהשתלמות חובה לכל טוען מעצרים במשטרה</w:t>
      </w:r>
      <w:r>
        <w:rPr>
          <w:rFonts w:hint="cs"/>
          <w:rtl/>
        </w:rPr>
        <w:t>.</w:t>
      </w:r>
      <w:r w:rsidRPr="00DD762E">
        <w:rPr>
          <w:rFonts w:hint="cs"/>
          <w:rtl/>
        </w:rPr>
        <w:t xml:space="preserve"> </w:t>
      </w:r>
      <w:r w:rsidRPr="00DD762E">
        <w:rPr>
          <w:rFonts w:hint="eastAsia"/>
          <w:rtl/>
        </w:rPr>
        <w:t>בפועל</w:t>
      </w:r>
      <w:r w:rsidRPr="00DD762E">
        <w:rPr>
          <w:rtl/>
        </w:rPr>
        <w:t xml:space="preserve"> </w:t>
      </w:r>
      <w:r w:rsidRPr="00DD762E">
        <w:rPr>
          <w:rFonts w:hint="eastAsia"/>
          <w:rtl/>
        </w:rPr>
        <w:t>השתתפו</w:t>
      </w:r>
      <w:r w:rsidRPr="00DD762E">
        <w:rPr>
          <w:rtl/>
        </w:rPr>
        <w:t xml:space="preserve"> </w:t>
      </w:r>
      <w:r w:rsidRPr="00DD762E">
        <w:rPr>
          <w:rFonts w:hint="eastAsia"/>
          <w:rtl/>
        </w:rPr>
        <w:t>בה</w:t>
      </w:r>
      <w:r w:rsidRPr="00DD762E">
        <w:rPr>
          <w:rtl/>
        </w:rPr>
        <w:t xml:space="preserve"> </w:t>
      </w:r>
      <w:r w:rsidRPr="00DD762E">
        <w:rPr>
          <w:rFonts w:hint="eastAsia"/>
          <w:rtl/>
        </w:rPr>
        <w:t>בדרך</w:t>
      </w:r>
      <w:r w:rsidRPr="00DD762E">
        <w:rPr>
          <w:rtl/>
        </w:rPr>
        <w:t xml:space="preserve"> </w:t>
      </w:r>
      <w:r w:rsidRPr="00DD762E">
        <w:rPr>
          <w:rFonts w:hint="eastAsia"/>
          <w:rtl/>
        </w:rPr>
        <w:t>כלל</w:t>
      </w:r>
      <w:r w:rsidRPr="00DD762E">
        <w:rPr>
          <w:rtl/>
        </w:rPr>
        <w:t xml:space="preserve"> </w:t>
      </w:r>
      <w:r w:rsidRPr="00DD762E">
        <w:rPr>
          <w:rFonts w:hint="eastAsia"/>
          <w:rtl/>
        </w:rPr>
        <w:t>חוקרים</w:t>
      </w:r>
      <w:r w:rsidRPr="00DD762E">
        <w:rPr>
          <w:rFonts w:hint="cs"/>
          <w:rtl/>
        </w:rPr>
        <w:t xml:space="preserve">, ואין נתונים </w:t>
      </w:r>
      <w:r>
        <w:rPr>
          <w:rFonts w:hint="cs"/>
          <w:rtl/>
        </w:rPr>
        <w:t xml:space="preserve">על </w:t>
      </w:r>
      <w:r w:rsidRPr="00DD762E">
        <w:rPr>
          <w:rFonts w:hint="cs"/>
          <w:rtl/>
        </w:rPr>
        <w:t>מספר הטוענים שהשתתפו בהכשרה הייעודית</w:t>
      </w:r>
      <w:r>
        <w:rPr>
          <w:rFonts w:hint="cs"/>
          <w:rtl/>
        </w:rPr>
        <w:t>.</w:t>
      </w:r>
      <w:r w:rsidRPr="00DD762E">
        <w:rPr>
          <w:rFonts w:hint="cs"/>
          <w:rtl/>
        </w:rPr>
        <w:t xml:space="preserve"> זאת אף שטועני המעצרים עצמם העלו </w:t>
      </w:r>
      <w:r>
        <w:rPr>
          <w:rFonts w:hint="cs"/>
          <w:rtl/>
        </w:rPr>
        <w:t>ל</w:t>
      </w:r>
      <w:r w:rsidRPr="00DD762E">
        <w:rPr>
          <w:rFonts w:hint="cs"/>
          <w:rtl/>
        </w:rPr>
        <w:t>פני מפקדיהם את הצורך בהעמקת ההכשרה המקצועית שלהם.</w:t>
      </w:r>
    </w:p>
    <w:p w14:paraId="40F987FA" w14:textId="77777777" w:rsidR="00BA23AE" w:rsidRDefault="00BA23AE" w:rsidP="00B2635D">
      <w:pPr>
        <w:pStyle w:val="100"/>
        <w:rPr>
          <w:rFonts w:eastAsiaTheme="majorEastAsia"/>
          <w:bCs/>
          <w:szCs w:val="32"/>
          <w:rtl/>
        </w:rPr>
      </w:pPr>
      <w:r>
        <w:rPr>
          <w:rFonts w:hint="cs"/>
          <w:rtl/>
        </w:rPr>
        <w:t>משטרת ישראל מסרה בתשובתה כי השתלמות טועני המעצרים עתידה להשתנות, באופן שתיועד להשתתפות טוענים קבועים וחוקרים הטוענים באופן תדיר בבתי המשפט. במסגרת השינוי יעודכנו גם תוכני ההשתלמות, על מנת שיתאימו לתפקידם השוטף של הטוענים.</w:t>
      </w:r>
      <w:bookmarkStart w:id="1" w:name="_Toc23159672"/>
      <w:bookmarkStart w:id="2" w:name="_Toc23160170"/>
      <w:bookmarkStart w:id="3" w:name="_Toc24624836"/>
    </w:p>
    <w:p w14:paraId="3FE24661" w14:textId="77777777" w:rsidR="00BA23AE" w:rsidRDefault="00BA23AE" w:rsidP="00BA23AE">
      <w:pPr>
        <w:spacing w:line="269" w:lineRule="auto"/>
        <w:rPr>
          <w:rFonts w:eastAsiaTheme="majorEastAsia"/>
          <w:bCs/>
          <w:szCs w:val="32"/>
        </w:rPr>
      </w:pPr>
    </w:p>
    <w:p w14:paraId="66B2D8CB" w14:textId="77777777" w:rsidR="00BA23AE" w:rsidRPr="00DD762E" w:rsidRDefault="00BA23AE" w:rsidP="00F3192A">
      <w:pPr>
        <w:pStyle w:val="218"/>
        <w:rPr>
          <w:rtl/>
        </w:rPr>
      </w:pPr>
      <w:r w:rsidRPr="00DD762E">
        <w:rPr>
          <w:rFonts w:hint="cs"/>
          <w:rtl/>
        </w:rPr>
        <w:lastRenderedPageBreak/>
        <w:t>ייצוג המדינה במעצרים עד תום ההליכים</w:t>
      </w:r>
      <w:bookmarkEnd w:id="1"/>
      <w:bookmarkEnd w:id="2"/>
      <w:bookmarkEnd w:id="3"/>
      <w:r w:rsidRPr="00DD762E">
        <w:rPr>
          <w:rFonts w:hint="cs"/>
          <w:rtl/>
        </w:rPr>
        <w:t xml:space="preserve"> </w:t>
      </w:r>
    </w:p>
    <w:p w14:paraId="3CD71451" w14:textId="77777777" w:rsidR="00BA23AE" w:rsidRPr="00DD762E" w:rsidRDefault="00BA23AE" w:rsidP="00F3192A">
      <w:pPr>
        <w:pStyle w:val="100"/>
        <w:rPr>
          <w:sz w:val="24"/>
          <w:rtl/>
        </w:rPr>
      </w:pPr>
      <w:r>
        <w:rPr>
          <w:rFonts w:hint="cs"/>
          <w:rtl/>
        </w:rPr>
        <w:t>לאחר</w:t>
      </w:r>
      <w:r w:rsidRPr="00DD762E">
        <w:rPr>
          <w:rFonts w:hint="cs"/>
          <w:rtl/>
        </w:rPr>
        <w:t xml:space="preserve"> </w:t>
      </w:r>
      <w:r>
        <w:rPr>
          <w:rFonts w:hint="cs"/>
          <w:rtl/>
        </w:rPr>
        <w:t>ש</w:t>
      </w:r>
      <w:r w:rsidRPr="00DD762E">
        <w:rPr>
          <w:rFonts w:hint="cs"/>
          <w:rtl/>
        </w:rPr>
        <w:t xml:space="preserve">הסתיימה חקירתו של עצור, גורמי התביעה רשאים להגיש הצהרת תובע לבית המשפט הדן בתיק מעצר הימים. בהצהרה זו </w:t>
      </w:r>
      <w:r>
        <w:rPr>
          <w:rFonts w:hint="cs"/>
          <w:rtl/>
        </w:rPr>
        <w:t xml:space="preserve">הם </w:t>
      </w:r>
      <w:r w:rsidRPr="00DD762E">
        <w:rPr>
          <w:rFonts w:hint="cs"/>
          <w:rtl/>
        </w:rPr>
        <w:t>מודיעים כי בכוונת</w:t>
      </w:r>
      <w:r>
        <w:rPr>
          <w:rFonts w:hint="cs"/>
          <w:rtl/>
        </w:rPr>
        <w:t xml:space="preserve">ם להגיש כנגד העצור כתב אישום בתוספת </w:t>
      </w:r>
      <w:r w:rsidRPr="00DD762E">
        <w:rPr>
          <w:rFonts w:hint="cs"/>
          <w:rtl/>
        </w:rPr>
        <w:t>בקשה למעצר עד תום ההליכים, ומכאן בקשתם כי העצור י</w:t>
      </w:r>
      <w:r>
        <w:rPr>
          <w:rFonts w:hint="cs"/>
          <w:rtl/>
        </w:rPr>
        <w:t>י</w:t>
      </w:r>
      <w:r w:rsidRPr="00DD762E">
        <w:rPr>
          <w:rFonts w:hint="cs"/>
          <w:rtl/>
        </w:rPr>
        <w:t>וותר במעצר עד להכרעה בבקש</w:t>
      </w:r>
      <w:r>
        <w:rPr>
          <w:rFonts w:hint="cs"/>
          <w:rtl/>
        </w:rPr>
        <w:t>ה</w:t>
      </w:r>
      <w:r w:rsidRPr="00DD762E">
        <w:rPr>
          <w:rFonts w:hint="cs"/>
          <w:rtl/>
        </w:rPr>
        <w:t>. לאחר שהוגש כתב אישום</w:t>
      </w:r>
      <w:r>
        <w:rPr>
          <w:rFonts w:hint="cs"/>
          <w:rtl/>
        </w:rPr>
        <w:t>,</w:t>
      </w:r>
      <w:r w:rsidRPr="00DD762E">
        <w:rPr>
          <w:rFonts w:hint="cs"/>
          <w:rtl/>
        </w:rPr>
        <w:t xml:space="preserve"> רשאי בית המשפט שבפניו הוגש לצוו</w:t>
      </w:r>
      <w:r>
        <w:rPr>
          <w:rFonts w:hint="cs"/>
          <w:rtl/>
        </w:rPr>
        <w:t>ֹ</w:t>
      </w:r>
      <w:r w:rsidRPr="00DD762E">
        <w:rPr>
          <w:rFonts w:hint="cs"/>
          <w:rtl/>
        </w:rPr>
        <w:t xml:space="preserve">ת על מעצרו של הנאשם עד תום ההליכים המשפטיים. מעצר עד תום ההליכים כפוף לקיומן של ראיות לכאורה להוכחת האשמה </w:t>
      </w:r>
      <w:r>
        <w:rPr>
          <w:rFonts w:hint="cs"/>
          <w:rtl/>
        </w:rPr>
        <w:t>ו</w:t>
      </w:r>
      <w:r w:rsidRPr="00DD762E">
        <w:rPr>
          <w:rFonts w:hint="cs"/>
          <w:rtl/>
        </w:rPr>
        <w:t>לקיומה של עילת מעצר</w:t>
      </w:r>
      <w:r>
        <w:rPr>
          <w:rFonts w:hint="cs"/>
          <w:rtl/>
        </w:rPr>
        <w:t>, וגם בהליך זה</w:t>
      </w:r>
      <w:r w:rsidRPr="00DD762E">
        <w:rPr>
          <w:rFonts w:hint="cs"/>
          <w:rtl/>
        </w:rPr>
        <w:t xml:space="preserve"> </w:t>
      </w:r>
      <w:r>
        <w:rPr>
          <w:rFonts w:hint="cs"/>
          <w:rtl/>
        </w:rPr>
        <w:t xml:space="preserve">נדרש בית המשפט לבחון אם </w:t>
      </w:r>
      <w:r w:rsidRPr="00DD762E">
        <w:rPr>
          <w:rFonts w:hint="cs"/>
          <w:rtl/>
        </w:rPr>
        <w:t>ניתן להשיג את מטרת המעצר בדרך שתפחית את הפגיעה בחירויות ה</w:t>
      </w:r>
      <w:r>
        <w:rPr>
          <w:rFonts w:hint="cs"/>
          <w:rtl/>
        </w:rPr>
        <w:t>נאשם</w:t>
      </w:r>
      <w:r w:rsidRPr="00DD762E">
        <w:rPr>
          <w:rFonts w:hint="cs"/>
          <w:rtl/>
        </w:rPr>
        <w:t>.</w:t>
      </w:r>
      <w:r w:rsidRPr="00DD762E">
        <w:rPr>
          <w:rFonts w:hint="cs"/>
          <w:sz w:val="24"/>
          <w:rtl/>
        </w:rPr>
        <w:t xml:space="preserve"> בקשות</w:t>
      </w:r>
      <w:r>
        <w:rPr>
          <w:rFonts w:hint="cs"/>
          <w:sz w:val="24"/>
          <w:rtl/>
        </w:rPr>
        <w:t xml:space="preserve"> למעצר עד תום ההליכים מוגשות נוסף על</w:t>
      </w:r>
      <w:r w:rsidRPr="00DD762E">
        <w:rPr>
          <w:rFonts w:hint="cs"/>
          <w:sz w:val="24"/>
          <w:rtl/>
        </w:rPr>
        <w:t xml:space="preserve"> כתבי האישום על ידי מינהל התביעות במשטרה ועל ידי פרקליטות המדינה.</w:t>
      </w:r>
    </w:p>
    <w:p w14:paraId="21A6B309" w14:textId="77777777" w:rsidR="00BA23AE" w:rsidRPr="00DD762E" w:rsidRDefault="00BA23AE" w:rsidP="00F3192A">
      <w:pPr>
        <w:pStyle w:val="100"/>
        <w:rPr>
          <w:rtl/>
        </w:rPr>
      </w:pPr>
      <w:r w:rsidRPr="00DD762E">
        <w:rPr>
          <w:rFonts w:hint="cs"/>
          <w:rtl/>
        </w:rPr>
        <w:t xml:space="preserve">שופט רשאי להשהות את החלטתו בבקשה </w:t>
      </w:r>
      <w:r>
        <w:rPr>
          <w:rFonts w:hint="cs"/>
          <w:rtl/>
        </w:rPr>
        <w:t xml:space="preserve">למעצר עד תום ההליכים </w:t>
      </w:r>
      <w:r w:rsidRPr="00DD762E">
        <w:rPr>
          <w:rFonts w:hint="cs"/>
          <w:rtl/>
        </w:rPr>
        <w:t>ולהאריך את המעצר לצורך בירור</w:t>
      </w:r>
      <w:r>
        <w:rPr>
          <w:rFonts w:hint="cs"/>
          <w:rtl/>
        </w:rPr>
        <w:t>ם של</w:t>
      </w:r>
      <w:r w:rsidRPr="00DD762E">
        <w:rPr>
          <w:rFonts w:hint="cs"/>
          <w:rtl/>
        </w:rPr>
        <w:t xml:space="preserve"> הליכי ביניים</w:t>
      </w:r>
      <w:r>
        <w:rPr>
          <w:rFonts w:hint="cs"/>
          <w:rtl/>
        </w:rPr>
        <w:t>,</w:t>
      </w:r>
      <w:r w:rsidRPr="00DD762E">
        <w:rPr>
          <w:rFonts w:hint="cs"/>
          <w:rtl/>
        </w:rPr>
        <w:t xml:space="preserve"> כגון קבלת תסקיר משירות המבחן או קבלת דוח התאמה למעצר בפיק</w:t>
      </w:r>
      <w:r>
        <w:rPr>
          <w:rFonts w:hint="cs"/>
          <w:rtl/>
        </w:rPr>
        <w:t xml:space="preserve">וח אלקטרוני. בשלב זה יהיה </w:t>
      </w:r>
      <w:r w:rsidRPr="00DD762E">
        <w:rPr>
          <w:rFonts w:hint="cs"/>
          <w:rtl/>
        </w:rPr>
        <w:t>העצור</w:t>
      </w:r>
      <w:r>
        <w:rPr>
          <w:rFonts w:hint="cs"/>
          <w:rtl/>
        </w:rPr>
        <w:t xml:space="preserve"> במעמד של</w:t>
      </w:r>
      <w:r w:rsidRPr="00DD762E">
        <w:rPr>
          <w:rFonts w:hint="cs"/>
          <w:rtl/>
        </w:rPr>
        <w:t xml:space="preserve"> מעצר </w:t>
      </w:r>
      <w:r>
        <w:rPr>
          <w:rFonts w:hint="cs"/>
          <w:rtl/>
        </w:rPr>
        <w:t xml:space="preserve">עד </w:t>
      </w:r>
      <w:r w:rsidRPr="00DD762E">
        <w:rPr>
          <w:rFonts w:hint="cs"/>
          <w:rtl/>
        </w:rPr>
        <w:t>החלטה אחרת. עצור שהתקבלה בעניינו בקשה למעצר עד תום ההליכים ישהה במעצר תשעה חודשים לכל היותר</w:t>
      </w:r>
      <w:r>
        <w:rPr>
          <w:rFonts w:hint="cs"/>
          <w:rtl/>
        </w:rPr>
        <w:t>.</w:t>
      </w:r>
      <w:r w:rsidRPr="00DD762E">
        <w:rPr>
          <w:rFonts w:hint="cs"/>
          <w:rtl/>
        </w:rPr>
        <w:t xml:space="preserve"> בתו</w:t>
      </w:r>
      <w:r>
        <w:rPr>
          <w:rFonts w:hint="cs"/>
          <w:rtl/>
        </w:rPr>
        <w:t>מ</w:t>
      </w:r>
      <w:r w:rsidRPr="00DD762E">
        <w:rPr>
          <w:rFonts w:hint="cs"/>
          <w:rtl/>
        </w:rPr>
        <w:t>ם</w:t>
      </w:r>
      <w:r>
        <w:rPr>
          <w:rFonts w:hint="cs"/>
          <w:rtl/>
        </w:rPr>
        <w:t>,</w:t>
      </w:r>
      <w:r w:rsidRPr="00DD762E">
        <w:rPr>
          <w:rFonts w:hint="cs"/>
          <w:rtl/>
        </w:rPr>
        <w:t xml:space="preserve"> </w:t>
      </w:r>
      <w:r>
        <w:rPr>
          <w:rFonts w:hint="cs"/>
          <w:rtl/>
        </w:rPr>
        <w:t xml:space="preserve">לצורך המשך מעצר מעבר לכך, </w:t>
      </w:r>
      <w:r w:rsidRPr="00DD762E">
        <w:rPr>
          <w:rFonts w:hint="cs"/>
          <w:rtl/>
        </w:rPr>
        <w:t xml:space="preserve">על גורמי התביעה להגיש בקשה להארכת מעצר לבית המשפט העליון. </w:t>
      </w:r>
    </w:p>
    <w:p w14:paraId="11E7031C" w14:textId="77777777" w:rsidR="00BA23AE" w:rsidRPr="00DD762E" w:rsidRDefault="00BA23AE" w:rsidP="00F3192A">
      <w:pPr>
        <w:pStyle w:val="100"/>
        <w:rPr>
          <w:rtl/>
        </w:rPr>
      </w:pPr>
      <w:r w:rsidRPr="00DD762E">
        <w:rPr>
          <w:rFonts w:hint="cs"/>
          <w:rtl/>
        </w:rPr>
        <w:t>אף שבשלב המעצר עד תום ההליכים כבר הוגש כתב אישום כנגד העצור והוא שינה מעמדו מ"חשוד" ל"נאשם"</w:t>
      </w:r>
      <w:r>
        <w:rPr>
          <w:rFonts w:hint="cs"/>
          <w:rtl/>
        </w:rPr>
        <w:t>,</w:t>
      </w:r>
      <w:r w:rsidRPr="00DD762E">
        <w:rPr>
          <w:rFonts w:hint="cs"/>
          <w:rtl/>
        </w:rPr>
        <w:t xml:space="preserve"> עומדת לו עדיין חזקת החפות. מטעם זה נקבע בפסיקה כי מכל יום מאסר שיוטל על נאשם יקוזז יום אחד ששהה במעצר</w:t>
      </w:r>
      <w:r>
        <w:rPr>
          <w:rStyle w:val="FootnoteReference"/>
          <w:rtl/>
        </w:rPr>
        <w:footnoteReference w:id="8"/>
      </w:r>
      <w:r w:rsidRPr="00DD762E">
        <w:rPr>
          <w:rFonts w:hint="cs"/>
          <w:rtl/>
        </w:rPr>
        <w:t xml:space="preserve">. </w:t>
      </w:r>
    </w:p>
    <w:p w14:paraId="4E3D972E" w14:textId="77777777" w:rsidR="00BA23AE" w:rsidRPr="00DD762E" w:rsidRDefault="00BA23AE" w:rsidP="00F3192A">
      <w:pPr>
        <w:pStyle w:val="316"/>
        <w:rPr>
          <w:rtl/>
        </w:rPr>
      </w:pPr>
      <w:r w:rsidRPr="00DD762E">
        <w:rPr>
          <w:rFonts w:hint="cs"/>
          <w:rtl/>
        </w:rPr>
        <w:t xml:space="preserve">מדיניות הגשת בקשות </w:t>
      </w:r>
      <w:r>
        <w:rPr>
          <w:rFonts w:hint="cs"/>
          <w:rtl/>
        </w:rPr>
        <w:t>ל</w:t>
      </w:r>
      <w:r w:rsidRPr="00DD762E">
        <w:rPr>
          <w:rFonts w:hint="cs"/>
          <w:rtl/>
        </w:rPr>
        <w:t>מעצר עד תום ההליכים</w:t>
      </w:r>
    </w:p>
    <w:p w14:paraId="6DF9D7AB" w14:textId="41388498" w:rsidR="00F3192A" w:rsidRDefault="00BA23AE" w:rsidP="00F3192A">
      <w:pPr>
        <w:pStyle w:val="100"/>
        <w:rPr>
          <w:rtl/>
        </w:rPr>
      </w:pPr>
      <w:r w:rsidRPr="00DD762E">
        <w:rPr>
          <w:rFonts w:hint="cs"/>
          <w:rtl/>
        </w:rPr>
        <w:t xml:space="preserve">להלן תרשים המציג את נתוני משטרת ישראל אודות היקף המעצרים הפליליים בשלושת העשורים האחרונים (שלוש שנים רצופות מכל עשור) בחלוקה לפי סוג המעצר - ימים או </w:t>
      </w:r>
      <w:r>
        <w:rPr>
          <w:rFonts w:hint="cs"/>
          <w:rtl/>
        </w:rPr>
        <w:t>עד</w:t>
      </w:r>
      <w:r w:rsidRPr="00DD762E">
        <w:rPr>
          <w:rFonts w:hint="cs"/>
          <w:rtl/>
        </w:rPr>
        <w:t xml:space="preserve"> תום </w:t>
      </w:r>
      <w:r>
        <w:rPr>
          <w:rFonts w:hint="cs"/>
          <w:rtl/>
        </w:rPr>
        <w:t>ה</w:t>
      </w:r>
      <w:r w:rsidRPr="00DD762E">
        <w:rPr>
          <w:rFonts w:hint="cs"/>
          <w:rtl/>
        </w:rPr>
        <w:t>הליכים</w:t>
      </w:r>
      <w:r>
        <w:rPr>
          <w:rFonts w:hint="cs"/>
          <w:rtl/>
        </w:rPr>
        <w:t>.</w:t>
      </w:r>
    </w:p>
    <w:p w14:paraId="30439B34" w14:textId="77777777" w:rsidR="00F3192A" w:rsidRDefault="00F3192A">
      <w:pPr>
        <w:bidi w:val="0"/>
        <w:spacing w:after="200" w:line="276" w:lineRule="auto"/>
        <w:rPr>
          <w:rFonts w:ascii="Tahoma" w:hAnsi="Tahoma" w:cs="Tahoma"/>
          <w:szCs w:val="20"/>
          <w:rtl/>
        </w:rPr>
      </w:pPr>
      <w:r>
        <w:rPr>
          <w:rtl/>
        </w:rPr>
        <w:br w:type="page"/>
      </w:r>
    </w:p>
    <w:p w14:paraId="6A502AB0" w14:textId="31E6D576" w:rsidR="00BA23AE" w:rsidRPr="008573F9" w:rsidRDefault="00BA23AE" w:rsidP="008573F9">
      <w:pPr>
        <w:pStyle w:val="a9"/>
        <w:rPr>
          <w:b/>
          <w:bCs/>
          <w:rtl/>
        </w:rPr>
      </w:pPr>
      <w:r w:rsidRPr="0037259F">
        <w:rPr>
          <w:rFonts w:hint="cs"/>
          <w:sz w:val="24"/>
          <w:rtl/>
        </w:rPr>
        <w:lastRenderedPageBreak/>
        <w:t xml:space="preserve">תרשים </w:t>
      </w:r>
      <w:r>
        <w:rPr>
          <w:rFonts w:hint="cs"/>
          <w:sz w:val="24"/>
          <w:rtl/>
        </w:rPr>
        <w:t>27</w:t>
      </w:r>
      <w:r w:rsidRPr="0037259F">
        <w:rPr>
          <w:rFonts w:hint="cs"/>
          <w:sz w:val="24"/>
          <w:rtl/>
        </w:rPr>
        <w:t xml:space="preserve">: </w:t>
      </w:r>
      <w:r w:rsidRPr="008573F9">
        <w:rPr>
          <w:rFonts w:hint="cs"/>
          <w:b/>
          <w:bCs/>
          <w:rtl/>
        </w:rPr>
        <w:t>השינויים בהיקף</w:t>
      </w:r>
      <w:r w:rsidRPr="008573F9">
        <w:rPr>
          <w:b/>
          <w:bCs/>
          <w:rtl/>
        </w:rPr>
        <w:t xml:space="preserve"> </w:t>
      </w:r>
      <w:r w:rsidRPr="008573F9">
        <w:rPr>
          <w:rFonts w:hint="cs"/>
          <w:b/>
          <w:bCs/>
          <w:rtl/>
        </w:rPr>
        <w:t>המעצרים הפליליים בשלושת העשורים האחרונים,</w:t>
      </w:r>
      <w:r w:rsidR="008573F9">
        <w:rPr>
          <w:b/>
          <w:bCs/>
          <w:rtl/>
        </w:rPr>
        <w:br/>
      </w:r>
      <w:r w:rsidRPr="008573F9">
        <w:rPr>
          <w:rFonts w:hint="cs"/>
          <w:b/>
          <w:bCs/>
          <w:rtl/>
        </w:rPr>
        <w:t>לפי סוג המעצר</w:t>
      </w:r>
    </w:p>
    <w:p w14:paraId="2082A2AB" w14:textId="77777777" w:rsidR="00BA23AE" w:rsidRDefault="00BA23AE" w:rsidP="00EE4E61">
      <w:pPr>
        <w:pStyle w:val="a9"/>
        <w:rPr>
          <w:rtl/>
        </w:rPr>
      </w:pPr>
      <w:r>
        <w:rPr>
          <w:noProof/>
          <w:rtl/>
        </w:rPr>
        <w:drawing>
          <wp:inline distT="0" distB="0" distL="0" distR="0" wp14:anchorId="20D4DCC5" wp14:editId="21262292">
            <wp:extent cx="4283964" cy="3744468"/>
            <wp:effectExtent l="0" t="0" r="2540" b="8890"/>
            <wp:docPr id="1992297231" name="תמונה 199229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31" name="הטיפול המערכתי במעצרים 11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3964" cy="3744468"/>
                    </a:xfrm>
                    <a:prstGeom prst="rect">
                      <a:avLst/>
                    </a:prstGeom>
                  </pic:spPr>
                </pic:pic>
              </a:graphicData>
            </a:graphic>
          </wp:inline>
        </w:drawing>
      </w:r>
    </w:p>
    <w:p w14:paraId="4EA72FD8" w14:textId="77777777" w:rsidR="00BA23AE" w:rsidRPr="00541BFA" w:rsidRDefault="00BA23AE" w:rsidP="00EE4E61">
      <w:pPr>
        <w:pStyle w:val="ab"/>
        <w:rPr>
          <w:rtl/>
        </w:rPr>
      </w:pPr>
      <w:r w:rsidRPr="00541BFA">
        <w:rPr>
          <w:rFonts w:hint="eastAsia"/>
          <w:rtl/>
        </w:rPr>
        <w:t>על</w:t>
      </w:r>
      <w:r>
        <w:rPr>
          <w:rFonts w:hint="cs"/>
          <w:rtl/>
        </w:rPr>
        <w:t xml:space="preserve"> </w:t>
      </w:r>
      <w:r w:rsidRPr="00541BFA">
        <w:rPr>
          <w:rFonts w:hint="eastAsia"/>
          <w:rtl/>
        </w:rPr>
        <w:t>פי</w:t>
      </w:r>
      <w:r w:rsidRPr="00541BFA">
        <w:rPr>
          <w:rtl/>
        </w:rPr>
        <w:t xml:space="preserve"> </w:t>
      </w:r>
      <w:r w:rsidRPr="00541BFA">
        <w:rPr>
          <w:rFonts w:hint="eastAsia"/>
          <w:rtl/>
        </w:rPr>
        <w:t>נתוני</w:t>
      </w:r>
      <w:r w:rsidRPr="00541BFA">
        <w:rPr>
          <w:rtl/>
        </w:rPr>
        <w:t xml:space="preserve"> משטרת ישראל, בעיבוד משרד מבקר המדינה.</w:t>
      </w:r>
    </w:p>
    <w:p w14:paraId="7EE3545F" w14:textId="21EEB8CE" w:rsidR="00BA23AE" w:rsidRDefault="00BA23AE" w:rsidP="00EE4E61">
      <w:pPr>
        <w:pStyle w:val="100"/>
        <w:rPr>
          <w:rtl/>
        </w:rPr>
      </w:pPr>
    </w:p>
    <w:p w14:paraId="7228B7B8" w14:textId="77777777" w:rsidR="00BA23AE" w:rsidRDefault="00BA23AE" w:rsidP="00EE4E61">
      <w:pPr>
        <w:pStyle w:val="100"/>
        <w:rPr>
          <w:rtl/>
        </w:rPr>
      </w:pPr>
      <w:r w:rsidRPr="00DD762E">
        <w:rPr>
          <w:rFonts w:hint="cs"/>
          <w:rtl/>
        </w:rPr>
        <w:t xml:space="preserve">כפי שניתן לראות בתרשים, לאורך השנים הייתה עלייה משמעותית </w:t>
      </w:r>
      <w:r>
        <w:rPr>
          <w:rFonts w:hint="cs"/>
          <w:rtl/>
        </w:rPr>
        <w:t>בשיעור</w:t>
      </w:r>
      <w:r w:rsidRPr="00DD762E">
        <w:rPr>
          <w:rFonts w:hint="cs"/>
          <w:rtl/>
        </w:rPr>
        <w:t xml:space="preserve"> ה</w:t>
      </w:r>
      <w:r>
        <w:rPr>
          <w:rFonts w:hint="cs"/>
          <w:rtl/>
        </w:rPr>
        <w:t>מעצרים</w:t>
      </w:r>
      <w:r w:rsidRPr="00DD762E">
        <w:rPr>
          <w:rFonts w:hint="cs"/>
          <w:rtl/>
        </w:rPr>
        <w:t xml:space="preserve"> עד תום ההליכים</w:t>
      </w:r>
      <w:r>
        <w:rPr>
          <w:rFonts w:hint="cs"/>
          <w:rtl/>
        </w:rPr>
        <w:t>.</w:t>
      </w:r>
      <w:r w:rsidRPr="00DD762E">
        <w:rPr>
          <w:rFonts w:hint="cs"/>
          <w:rtl/>
        </w:rPr>
        <w:t xml:space="preserve"> כך למשל, בשנת 1996 עמד אחוז המעצרים מסוג זה על 11%, בשנת 2006 על 25% ובשנת 2016 על 33%. </w:t>
      </w:r>
      <w:r>
        <w:rPr>
          <w:rFonts w:hint="cs"/>
          <w:rtl/>
        </w:rPr>
        <w:t>ב</w:t>
      </w:r>
      <w:r w:rsidRPr="00DD762E">
        <w:rPr>
          <w:rFonts w:hint="cs"/>
          <w:rtl/>
        </w:rPr>
        <w:t xml:space="preserve">שנת 2018 </w:t>
      </w:r>
      <w:r>
        <w:rPr>
          <w:rFonts w:hint="cs"/>
          <w:rtl/>
        </w:rPr>
        <w:t>היה ה</w:t>
      </w:r>
      <w:r w:rsidRPr="00DD762E">
        <w:rPr>
          <w:rFonts w:hint="cs"/>
          <w:rtl/>
        </w:rPr>
        <w:t xml:space="preserve">שיעור 35%. </w:t>
      </w:r>
    </w:p>
    <w:p w14:paraId="38A534A0" w14:textId="77777777" w:rsidR="00BA23AE" w:rsidRPr="00124567" w:rsidRDefault="00BA23AE" w:rsidP="00EE4E61">
      <w:pPr>
        <w:pStyle w:val="100"/>
      </w:pPr>
      <w:r>
        <w:rPr>
          <w:rFonts w:hint="cs"/>
          <w:rtl/>
        </w:rPr>
        <w:t>בשנת 2018 נפתחו בבתי המשפט השונים (השלום והמחוזי) 14,831 תיקי מעצר עד תום ההליכים. מתוך 44,234 עצורים שנעצרו בשנת 2018 - 12,641 (29%) עצורים נכלאו במעצר עד תום ההליכים.</w:t>
      </w:r>
    </w:p>
    <w:p w14:paraId="29B10AEA" w14:textId="77777777" w:rsidR="00BA23AE" w:rsidRDefault="00BA23AE" w:rsidP="00EE4E61">
      <w:pPr>
        <w:pStyle w:val="100"/>
        <w:rPr>
          <w:rtl/>
        </w:rPr>
      </w:pPr>
      <w:r w:rsidRPr="00DD762E">
        <w:rPr>
          <w:rFonts w:hint="cs"/>
          <w:rtl/>
        </w:rPr>
        <w:t xml:space="preserve">מדד מקובל להשוואת מדיניות מעצרים בין מדינות שונות הוא מדד </w:t>
      </w:r>
      <w:r>
        <w:rPr>
          <w:rFonts w:hint="cs"/>
          <w:rtl/>
        </w:rPr>
        <w:t xml:space="preserve">שיעור העצורים. מדד זה </w:t>
      </w:r>
      <w:r w:rsidRPr="00DD762E">
        <w:rPr>
          <w:rFonts w:hint="cs"/>
          <w:rtl/>
        </w:rPr>
        <w:t xml:space="preserve">בודק שני פרמטרים - </w:t>
      </w:r>
      <w:r>
        <w:rPr>
          <w:rFonts w:hint="cs"/>
          <w:rtl/>
        </w:rPr>
        <w:t>שיעור</w:t>
      </w:r>
      <w:r w:rsidRPr="00DD762E">
        <w:rPr>
          <w:rFonts w:hint="cs"/>
          <w:rtl/>
        </w:rPr>
        <w:t xml:space="preserve"> העצורים מכלל הכלואים במתקני הכליאה במדינה </w:t>
      </w:r>
      <w:r>
        <w:rPr>
          <w:rFonts w:hint="cs"/>
          <w:rtl/>
        </w:rPr>
        <w:t>ושיעור</w:t>
      </w:r>
      <w:r w:rsidRPr="00DD762E">
        <w:rPr>
          <w:rFonts w:hint="cs"/>
          <w:rtl/>
        </w:rPr>
        <w:t xml:space="preserve"> העצורים ל-100 אלף איש מכלל האוכלוסייה</w:t>
      </w:r>
      <w:r>
        <w:rPr>
          <w:vertAlign w:val="superscript"/>
          <w:rtl/>
        </w:rPr>
        <w:footnoteReference w:id="9"/>
      </w:r>
      <w:r w:rsidRPr="00DD762E">
        <w:rPr>
          <w:rFonts w:hint="cs"/>
          <w:rtl/>
        </w:rPr>
        <w:t xml:space="preserve">. בשנת 2011 היה שיעור העצורים מסך הכלואים </w:t>
      </w:r>
      <w:r>
        <w:rPr>
          <w:rFonts w:hint="cs"/>
          <w:rtl/>
        </w:rPr>
        <w:t xml:space="preserve">בישראל </w:t>
      </w:r>
      <w:r w:rsidRPr="00DD762E">
        <w:rPr>
          <w:rFonts w:hint="cs"/>
          <w:rtl/>
        </w:rPr>
        <w:t xml:space="preserve">כ-25%, בשנת 2014 </w:t>
      </w:r>
      <w:r>
        <w:rPr>
          <w:rFonts w:hint="cs"/>
          <w:rtl/>
        </w:rPr>
        <w:t>כ-</w:t>
      </w:r>
      <w:r w:rsidRPr="00DD762E">
        <w:rPr>
          <w:rFonts w:hint="cs"/>
          <w:rtl/>
        </w:rPr>
        <w:t>30%</w:t>
      </w:r>
      <w:r>
        <w:rPr>
          <w:vertAlign w:val="superscript"/>
          <w:rtl/>
        </w:rPr>
        <w:footnoteReference w:id="10"/>
      </w:r>
      <w:r>
        <w:rPr>
          <w:rFonts w:hint="cs"/>
          <w:rtl/>
        </w:rPr>
        <w:t>,</w:t>
      </w:r>
      <w:r w:rsidRPr="00DD762E">
        <w:rPr>
          <w:rFonts w:hint="cs"/>
          <w:rtl/>
        </w:rPr>
        <w:t xml:space="preserve"> ולפי המהדורה האחרונה של המדד העולמי שפורסמה בתחילת </w:t>
      </w:r>
      <w:r w:rsidRPr="00DD762E">
        <w:rPr>
          <w:rFonts w:hint="cs"/>
          <w:rtl/>
        </w:rPr>
        <w:lastRenderedPageBreak/>
        <w:t xml:space="preserve">שנת 2017, </w:t>
      </w:r>
      <w:r>
        <w:rPr>
          <w:rFonts w:hint="cs"/>
          <w:rtl/>
        </w:rPr>
        <w:t>שיעור זה</w:t>
      </w:r>
      <w:r w:rsidRPr="00DD762E">
        <w:rPr>
          <w:rFonts w:hint="cs"/>
          <w:rtl/>
        </w:rPr>
        <w:t xml:space="preserve"> עמד על 35.8%. נתון זה גבוה משמעותית </w:t>
      </w:r>
      <w:r>
        <w:rPr>
          <w:rFonts w:hint="cs"/>
          <w:rtl/>
        </w:rPr>
        <w:t>מהממוצע</w:t>
      </w:r>
      <w:r w:rsidRPr="00DD762E">
        <w:rPr>
          <w:rFonts w:hint="cs"/>
          <w:rtl/>
        </w:rPr>
        <w:t xml:space="preserve"> במדינות </w:t>
      </w:r>
      <w:r>
        <w:rPr>
          <w:rFonts w:hint="cs"/>
          <w:rtl/>
        </w:rPr>
        <w:t>החברות ב</w:t>
      </w:r>
      <w:r w:rsidRPr="00DD762E">
        <w:rPr>
          <w:rFonts w:hint="cs"/>
          <w:rtl/>
        </w:rPr>
        <w:t>מועצת אירופה</w:t>
      </w:r>
      <w:r>
        <w:rPr>
          <w:rStyle w:val="FootnoteReference"/>
          <w:rtl/>
        </w:rPr>
        <w:footnoteReference w:id="11"/>
      </w:r>
      <w:r>
        <w:rPr>
          <w:rFonts w:hint="cs"/>
          <w:rtl/>
        </w:rPr>
        <w:t xml:space="preserve"> -</w:t>
      </w:r>
      <w:r w:rsidRPr="00DD762E">
        <w:rPr>
          <w:rFonts w:hint="cs"/>
          <w:rtl/>
        </w:rPr>
        <w:t xml:space="preserve"> 23.3%</w:t>
      </w:r>
      <w:r>
        <w:rPr>
          <w:vertAlign w:val="superscript"/>
          <w:rtl/>
        </w:rPr>
        <w:footnoteReference w:id="12"/>
      </w:r>
      <w:r w:rsidRPr="00DD762E">
        <w:rPr>
          <w:rFonts w:hint="cs"/>
          <w:rtl/>
        </w:rPr>
        <w:t xml:space="preserve">. </w:t>
      </w:r>
    </w:p>
    <w:p w14:paraId="096269B6" w14:textId="62295444" w:rsidR="00BA23AE" w:rsidRDefault="00BA23AE" w:rsidP="00EE4E61">
      <w:pPr>
        <w:pStyle w:val="100"/>
        <w:rPr>
          <w:rtl/>
        </w:rPr>
      </w:pPr>
      <w:r w:rsidRPr="00DD762E">
        <w:rPr>
          <w:rFonts w:hint="cs"/>
          <w:rtl/>
        </w:rPr>
        <w:t>לפי נתוני המדד העולמי משנת 2016</w:t>
      </w:r>
      <w:r>
        <w:rPr>
          <w:rFonts w:hint="cs"/>
          <w:rtl/>
        </w:rPr>
        <w:t xml:space="preserve"> ונתוני שב"ס</w:t>
      </w:r>
      <w:r w:rsidRPr="00DD762E">
        <w:rPr>
          <w:rFonts w:hint="cs"/>
          <w:rtl/>
        </w:rPr>
        <w:t xml:space="preserve">, ישראל היא </w:t>
      </w:r>
      <w:r>
        <w:rPr>
          <w:rFonts w:hint="cs"/>
          <w:rtl/>
        </w:rPr>
        <w:t>בין חמש המדינות בעלות שיעור העצורים הגבוה ביותר</w:t>
      </w:r>
      <w:r w:rsidRPr="0055189B">
        <w:rPr>
          <w:rFonts w:hint="cs"/>
          <w:rtl/>
        </w:rPr>
        <w:t xml:space="preserve"> </w:t>
      </w:r>
      <w:r w:rsidRPr="00DD762E">
        <w:rPr>
          <w:rFonts w:hint="cs"/>
          <w:rtl/>
        </w:rPr>
        <w:t>ל-100</w:t>
      </w:r>
      <w:r>
        <w:rPr>
          <w:rFonts w:hint="cs"/>
          <w:rtl/>
        </w:rPr>
        <w:t xml:space="preserve"> </w:t>
      </w:r>
      <w:r w:rsidRPr="00DD762E">
        <w:rPr>
          <w:rFonts w:hint="cs"/>
          <w:rtl/>
        </w:rPr>
        <w:t xml:space="preserve">אלף איש </w:t>
      </w:r>
      <w:r>
        <w:rPr>
          <w:rFonts w:hint="cs"/>
          <w:rtl/>
        </w:rPr>
        <w:t>בקרב</w:t>
      </w:r>
      <w:r w:rsidRPr="00DD762E">
        <w:rPr>
          <w:rFonts w:hint="cs"/>
          <w:rtl/>
        </w:rPr>
        <w:t xml:space="preserve"> מדינות ה</w:t>
      </w:r>
      <w:r w:rsidR="00D31532">
        <w:rPr>
          <w:rFonts w:hint="cs"/>
          <w:rtl/>
        </w:rPr>
        <w:t>-</w:t>
      </w:r>
      <w:r w:rsidR="00D31532">
        <w:t>OECD</w:t>
      </w:r>
      <w:r w:rsidR="00D31532" w:rsidRPr="00D31532">
        <w:rPr>
          <w:rFonts w:hint="cs"/>
          <w:color w:val="FFFFFF" w:themeColor="background1"/>
          <w:spacing w:val="-42"/>
          <w:rtl/>
        </w:rPr>
        <w:t>.</w:t>
      </w:r>
      <w:r>
        <w:rPr>
          <w:rStyle w:val="FootnoteReference"/>
        </w:rPr>
        <w:footnoteReference w:id="13"/>
      </w:r>
      <w:r w:rsidRPr="00DD762E">
        <w:rPr>
          <w:rFonts w:hint="cs"/>
          <w:rtl/>
        </w:rPr>
        <w:t>. ראו בטבלה שלה</w:t>
      </w:r>
      <w:r>
        <w:rPr>
          <w:rFonts w:hint="cs"/>
          <w:rtl/>
        </w:rPr>
        <w:t>ל</w:t>
      </w:r>
      <w:r w:rsidRPr="00DD762E">
        <w:rPr>
          <w:rFonts w:hint="cs"/>
          <w:rtl/>
        </w:rPr>
        <w:t>ן:</w:t>
      </w:r>
    </w:p>
    <w:p w14:paraId="42F88F72" w14:textId="77777777" w:rsidR="00BA23AE" w:rsidRPr="00EE4E61" w:rsidRDefault="00BA23AE" w:rsidP="00EE4E61">
      <w:pPr>
        <w:pStyle w:val="a9"/>
        <w:rPr>
          <w:b/>
          <w:bCs/>
          <w:rtl/>
        </w:rPr>
      </w:pPr>
      <w:r w:rsidRPr="00DD762E">
        <w:rPr>
          <w:rFonts w:hint="cs"/>
          <w:rtl/>
        </w:rPr>
        <w:t>תרשים 2</w:t>
      </w:r>
      <w:r>
        <w:rPr>
          <w:rFonts w:hint="cs"/>
          <w:rtl/>
        </w:rPr>
        <w:t>8</w:t>
      </w:r>
      <w:r w:rsidRPr="00DD762E">
        <w:rPr>
          <w:rFonts w:hint="cs"/>
          <w:rtl/>
        </w:rPr>
        <w:t xml:space="preserve">: </w:t>
      </w:r>
      <w:r w:rsidRPr="00EE4E61">
        <w:rPr>
          <w:rFonts w:hint="cs"/>
          <w:b/>
          <w:bCs/>
          <w:rtl/>
        </w:rPr>
        <w:t>מספר העצורים ל-100 אלף איש בקרב מדינות ה-</w:t>
      </w:r>
      <w:r w:rsidRPr="00EE4E61">
        <w:rPr>
          <w:rFonts w:hint="cs"/>
          <w:b/>
          <w:bCs/>
        </w:rPr>
        <w:t>OECD</w:t>
      </w:r>
      <w:r w:rsidRPr="00EE4E61">
        <w:rPr>
          <w:rFonts w:hint="cs"/>
          <w:b/>
          <w:bCs/>
          <w:rtl/>
        </w:rPr>
        <w:t>, 2016</w:t>
      </w:r>
    </w:p>
    <w:p w14:paraId="54A3D836" w14:textId="77777777" w:rsidR="00BA23AE" w:rsidRPr="00DD762E" w:rsidRDefault="00BA23AE" w:rsidP="00EE4E61">
      <w:pPr>
        <w:pStyle w:val="a9"/>
        <w:rPr>
          <w:rtl/>
        </w:rPr>
      </w:pPr>
      <w:r w:rsidRPr="00DD762E">
        <w:rPr>
          <w:noProof/>
          <w:rtl/>
        </w:rPr>
        <w:drawing>
          <wp:inline distT="0" distB="0" distL="0" distR="0" wp14:anchorId="4F090CEF" wp14:editId="29421B1F">
            <wp:extent cx="5701665" cy="5157216"/>
            <wp:effectExtent l="0" t="0" r="13335" b="5715"/>
            <wp:docPr id="1992297220" name="תרשים 1992297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AA7A9E" w14:textId="77777777" w:rsidR="00BA23AE" w:rsidRPr="00541BFA" w:rsidRDefault="00BA23AE" w:rsidP="00EE4E61">
      <w:pPr>
        <w:pStyle w:val="ab"/>
        <w:rPr>
          <w:rtl/>
        </w:rPr>
      </w:pPr>
      <w:r w:rsidRPr="00541BFA">
        <w:rPr>
          <w:rFonts w:hint="eastAsia"/>
          <w:rtl/>
        </w:rPr>
        <w:t>לפי</w:t>
      </w:r>
      <w:r w:rsidRPr="00541BFA">
        <w:rPr>
          <w:rtl/>
        </w:rPr>
        <w:t xml:space="preserve"> </w:t>
      </w:r>
      <w:r w:rsidRPr="00541BFA">
        <w:rPr>
          <w:rFonts w:hint="eastAsia"/>
          <w:rtl/>
        </w:rPr>
        <w:t>נתוני</w:t>
      </w:r>
      <w:r w:rsidRPr="00541BFA">
        <w:rPr>
          <w:rtl/>
        </w:rPr>
        <w:t xml:space="preserve"> </w:t>
      </w:r>
      <w:r w:rsidRPr="00541BFA">
        <w:rPr>
          <w:rFonts w:hint="eastAsia"/>
          <w:rtl/>
        </w:rPr>
        <w:t>המדד</w:t>
      </w:r>
      <w:r w:rsidRPr="00541BFA">
        <w:rPr>
          <w:rtl/>
        </w:rPr>
        <w:t xml:space="preserve"> </w:t>
      </w:r>
      <w:r w:rsidRPr="00541BFA">
        <w:rPr>
          <w:rFonts w:hint="eastAsia"/>
          <w:rtl/>
        </w:rPr>
        <w:t>העולמי</w:t>
      </w:r>
      <w:r w:rsidRPr="00541BFA">
        <w:rPr>
          <w:rtl/>
        </w:rPr>
        <w:t xml:space="preserve"> </w:t>
      </w:r>
      <w:r w:rsidRPr="00541BFA">
        <w:rPr>
          <w:rFonts w:hint="eastAsia"/>
          <w:rtl/>
        </w:rPr>
        <w:t>ונתוני</w:t>
      </w:r>
      <w:r w:rsidRPr="00541BFA">
        <w:rPr>
          <w:rtl/>
        </w:rPr>
        <w:t xml:space="preserve"> </w:t>
      </w:r>
      <w:r w:rsidRPr="00541BFA">
        <w:rPr>
          <w:rFonts w:hint="eastAsia"/>
          <w:rtl/>
        </w:rPr>
        <w:t>שב</w:t>
      </w:r>
      <w:r w:rsidRPr="00541BFA">
        <w:rPr>
          <w:rtl/>
        </w:rPr>
        <w:t xml:space="preserve">"ס, </w:t>
      </w:r>
      <w:r w:rsidRPr="00541BFA">
        <w:rPr>
          <w:rFonts w:hint="eastAsia"/>
          <w:rtl/>
        </w:rPr>
        <w:t>בעיבוד</w:t>
      </w:r>
      <w:r w:rsidRPr="00541BFA">
        <w:rPr>
          <w:rtl/>
        </w:rPr>
        <w:t xml:space="preserve"> </w:t>
      </w:r>
      <w:r w:rsidRPr="00541BFA">
        <w:rPr>
          <w:rFonts w:hint="eastAsia"/>
          <w:rtl/>
        </w:rPr>
        <w:t>משרד</w:t>
      </w:r>
      <w:r w:rsidRPr="00541BFA">
        <w:rPr>
          <w:rtl/>
        </w:rPr>
        <w:t xml:space="preserve"> </w:t>
      </w:r>
      <w:r w:rsidRPr="00541BFA">
        <w:rPr>
          <w:rFonts w:hint="eastAsia"/>
          <w:rtl/>
        </w:rPr>
        <w:t>מבקר</w:t>
      </w:r>
      <w:r w:rsidRPr="00541BFA">
        <w:rPr>
          <w:rtl/>
        </w:rPr>
        <w:t xml:space="preserve"> </w:t>
      </w:r>
      <w:r w:rsidRPr="00541BFA">
        <w:rPr>
          <w:rFonts w:hint="eastAsia"/>
          <w:rtl/>
        </w:rPr>
        <w:t>המדינה</w:t>
      </w:r>
      <w:r w:rsidRPr="00541BFA">
        <w:rPr>
          <w:rtl/>
        </w:rPr>
        <w:t>.</w:t>
      </w:r>
    </w:p>
    <w:p w14:paraId="32977152" w14:textId="77777777" w:rsidR="00BA23AE" w:rsidRPr="00DD762E" w:rsidRDefault="00BA23AE" w:rsidP="00BB5BAF">
      <w:pPr>
        <w:pStyle w:val="100"/>
        <w:rPr>
          <w:rtl/>
        </w:rPr>
      </w:pPr>
      <w:r w:rsidRPr="00DD762E">
        <w:rPr>
          <w:rFonts w:hint="cs"/>
          <w:rtl/>
        </w:rPr>
        <w:lastRenderedPageBreak/>
        <w:t>הנתונים והמדד בקשר למעצרים עד תום ההליכים משמשים לניתוח היבטים שונים הקשורים בהליכים השיפוטיים ולמאבק בפשיעה. ראו דוגמאות להלן.</w:t>
      </w:r>
    </w:p>
    <w:p w14:paraId="02915BE6" w14:textId="77777777" w:rsidR="00BA23AE" w:rsidRDefault="00BA23AE" w:rsidP="00BB5BAF">
      <w:pPr>
        <w:pStyle w:val="100"/>
        <w:rPr>
          <w:rtl/>
        </w:rPr>
      </w:pPr>
      <w:r w:rsidRPr="00BB5BAF">
        <w:rPr>
          <w:rStyle w:val="Heading5Char"/>
          <w:rFonts w:hint="cs"/>
          <w:color w:val="387026"/>
          <w:spacing w:val="0"/>
          <w:rtl/>
        </w:rPr>
        <w:t>תהליכי שיקום ומניעת חזרה לפשע:</w:t>
      </w:r>
      <w:r w:rsidRPr="00DD762E">
        <w:rPr>
          <w:rFonts w:hint="cs"/>
          <w:rtl/>
        </w:rPr>
        <w:t xml:space="preserve"> לפי </w:t>
      </w:r>
      <w:r>
        <w:rPr>
          <w:rFonts w:hint="cs"/>
          <w:rtl/>
        </w:rPr>
        <w:t>תקנות הרשות לשיקום האסיר (ועדה להכנת תוכניות שיקום), התשמ"ז-</w:t>
      </w:r>
      <w:r w:rsidRPr="00562A98">
        <w:rPr>
          <w:rFonts w:hint="cs"/>
          <w:rtl/>
        </w:rPr>
        <w:t xml:space="preserve">1987, </w:t>
      </w:r>
      <w:r w:rsidRPr="00562A98">
        <w:rPr>
          <w:rFonts w:hint="eastAsia"/>
          <w:rtl/>
        </w:rPr>
        <w:t>תו</w:t>
      </w:r>
      <w:r>
        <w:rPr>
          <w:rFonts w:hint="cs"/>
          <w:rtl/>
        </w:rPr>
        <w:t>ּ</w:t>
      </w:r>
      <w:r w:rsidRPr="00562A98">
        <w:rPr>
          <w:rFonts w:hint="eastAsia"/>
          <w:rtl/>
        </w:rPr>
        <w:t>כן</w:t>
      </w:r>
      <w:r w:rsidRPr="00562A98">
        <w:rPr>
          <w:rtl/>
        </w:rPr>
        <w:t xml:space="preserve"> </w:t>
      </w:r>
      <w:r w:rsidRPr="00562A98">
        <w:rPr>
          <w:rFonts w:hint="eastAsia"/>
          <w:rtl/>
        </w:rPr>
        <w:t>ת</w:t>
      </w:r>
      <w:r>
        <w:rPr>
          <w:rFonts w:hint="cs"/>
          <w:rtl/>
        </w:rPr>
        <w:t>ו</w:t>
      </w:r>
      <w:r w:rsidRPr="00562A98">
        <w:rPr>
          <w:rFonts w:hint="eastAsia"/>
          <w:rtl/>
        </w:rPr>
        <w:t>כנית</w:t>
      </w:r>
      <w:r w:rsidRPr="00562A98">
        <w:rPr>
          <w:rtl/>
        </w:rPr>
        <w:t xml:space="preserve"> </w:t>
      </w:r>
      <w:r w:rsidRPr="00562A98">
        <w:rPr>
          <w:rFonts w:hint="eastAsia"/>
          <w:rtl/>
        </w:rPr>
        <w:t>שיקום</w:t>
      </w:r>
      <w:r w:rsidRPr="00562A98">
        <w:rPr>
          <w:rtl/>
        </w:rPr>
        <w:t xml:space="preserve"> </w:t>
      </w:r>
      <w:r w:rsidRPr="00562A98">
        <w:rPr>
          <w:rFonts w:hint="eastAsia"/>
          <w:rtl/>
        </w:rPr>
        <w:t>רק</w:t>
      </w:r>
      <w:r w:rsidRPr="00562A98">
        <w:rPr>
          <w:rtl/>
        </w:rPr>
        <w:t xml:space="preserve"> </w:t>
      </w:r>
      <w:r w:rsidRPr="00562A98">
        <w:rPr>
          <w:rFonts w:hint="eastAsia"/>
          <w:rtl/>
        </w:rPr>
        <w:t>לאסיר</w:t>
      </w:r>
      <w:r w:rsidRPr="00562A98">
        <w:rPr>
          <w:rtl/>
        </w:rPr>
        <w:t xml:space="preserve"> </w:t>
      </w:r>
      <w:r w:rsidRPr="00562A98">
        <w:rPr>
          <w:rFonts w:hint="eastAsia"/>
          <w:rtl/>
        </w:rPr>
        <w:t>שתקופת</w:t>
      </w:r>
      <w:r w:rsidRPr="00562A98">
        <w:rPr>
          <w:rtl/>
        </w:rPr>
        <w:t xml:space="preserve"> </w:t>
      </w:r>
      <w:r w:rsidRPr="00562A98">
        <w:rPr>
          <w:rFonts w:hint="eastAsia"/>
          <w:rtl/>
        </w:rPr>
        <w:t>מאסרו</w:t>
      </w:r>
      <w:r w:rsidRPr="00562A98">
        <w:rPr>
          <w:rtl/>
        </w:rPr>
        <w:t xml:space="preserve"> </w:t>
      </w:r>
      <w:r w:rsidRPr="00562A98">
        <w:rPr>
          <w:rFonts w:hint="eastAsia"/>
          <w:rtl/>
        </w:rPr>
        <w:t>עולה</w:t>
      </w:r>
      <w:r w:rsidRPr="00562A98">
        <w:rPr>
          <w:rtl/>
        </w:rPr>
        <w:t xml:space="preserve"> </w:t>
      </w:r>
      <w:r w:rsidRPr="00562A98">
        <w:rPr>
          <w:rFonts w:hint="eastAsia"/>
          <w:rtl/>
        </w:rPr>
        <w:t>על</w:t>
      </w:r>
      <w:r w:rsidRPr="00562A98">
        <w:rPr>
          <w:rtl/>
        </w:rPr>
        <w:t xml:space="preserve"> </w:t>
      </w:r>
      <w:r w:rsidRPr="00562A98">
        <w:rPr>
          <w:rFonts w:hint="eastAsia"/>
          <w:rtl/>
        </w:rPr>
        <w:t>שישה</w:t>
      </w:r>
      <w:r w:rsidRPr="00562A98">
        <w:rPr>
          <w:rtl/>
        </w:rPr>
        <w:t xml:space="preserve"> </w:t>
      </w:r>
      <w:r w:rsidRPr="00562A98">
        <w:rPr>
          <w:rFonts w:hint="eastAsia"/>
          <w:rtl/>
        </w:rPr>
        <w:t>חודשים</w:t>
      </w:r>
      <w:r>
        <w:rPr>
          <w:rStyle w:val="FootnoteReference"/>
          <w:rtl/>
        </w:rPr>
        <w:footnoteReference w:id="14"/>
      </w:r>
      <w:r>
        <w:rPr>
          <w:rFonts w:hint="cs"/>
          <w:rtl/>
        </w:rPr>
        <w:t>.</w:t>
      </w:r>
      <w:r w:rsidRPr="00562A98">
        <w:rPr>
          <w:rFonts w:hint="cs"/>
          <w:rtl/>
        </w:rPr>
        <w:t xml:space="preserve"> הוועדה הצ</w:t>
      </w:r>
      <w:r>
        <w:rPr>
          <w:rFonts w:hint="cs"/>
          <w:rtl/>
        </w:rPr>
        <w:t>יבורית</w:t>
      </w:r>
      <w:r w:rsidRPr="001D4F4E">
        <w:rPr>
          <w:rFonts w:hint="cs"/>
          <w:rtl/>
        </w:rPr>
        <w:t xml:space="preserve"> </w:t>
      </w:r>
      <w:r w:rsidRPr="00562A98">
        <w:rPr>
          <w:rFonts w:hint="cs"/>
          <w:rtl/>
        </w:rPr>
        <w:t>ציינה</w:t>
      </w:r>
      <w:r>
        <w:rPr>
          <w:rFonts w:hint="cs"/>
          <w:rtl/>
        </w:rPr>
        <w:t xml:space="preserve"> בהמלצותיה כי אסירים המרצים עונש מאסר של פחות משנה אינם מספיקים לקחת חלק בתהליכי השיקום ובמסגרות הקבוצתיות של שב"ס</w:t>
      </w:r>
      <w:r w:rsidRPr="00DD762E">
        <w:rPr>
          <w:rFonts w:hint="cs"/>
          <w:rtl/>
        </w:rPr>
        <w:t xml:space="preserve">. </w:t>
      </w:r>
      <w:r>
        <w:rPr>
          <w:rFonts w:hint="cs"/>
          <w:rtl/>
        </w:rPr>
        <w:t xml:space="preserve">לפיכך, </w:t>
      </w:r>
      <w:r w:rsidRPr="00DD762E">
        <w:rPr>
          <w:rFonts w:hint="cs"/>
          <w:rtl/>
        </w:rPr>
        <w:t xml:space="preserve">נאשם </w:t>
      </w:r>
      <w:r>
        <w:rPr>
          <w:rFonts w:hint="cs"/>
          <w:rtl/>
        </w:rPr>
        <w:t>ש</w:t>
      </w:r>
      <w:r w:rsidRPr="00DD762E">
        <w:rPr>
          <w:rFonts w:hint="cs"/>
          <w:rtl/>
        </w:rPr>
        <w:t>נדון למאסר קצר בתום ההליך נגדו</w:t>
      </w:r>
      <w:r>
        <w:rPr>
          <w:rFonts w:hint="cs"/>
          <w:rtl/>
        </w:rPr>
        <w:t>,</w:t>
      </w:r>
      <w:r w:rsidRPr="00DD762E">
        <w:rPr>
          <w:rFonts w:hint="cs"/>
          <w:rtl/>
        </w:rPr>
        <w:t xml:space="preserve"> ותקופת מעצר</w:t>
      </w:r>
      <w:r>
        <w:rPr>
          <w:rFonts w:hint="cs"/>
          <w:rtl/>
        </w:rPr>
        <w:t>ו</w:t>
      </w:r>
      <w:r w:rsidRPr="00DD762E">
        <w:rPr>
          <w:rFonts w:hint="cs"/>
          <w:rtl/>
        </w:rPr>
        <w:t xml:space="preserve"> </w:t>
      </w:r>
      <w:r>
        <w:rPr>
          <w:rFonts w:hint="cs"/>
          <w:rtl/>
        </w:rPr>
        <w:t>קוזזה</w:t>
      </w:r>
      <w:r w:rsidRPr="00DD762E">
        <w:rPr>
          <w:rFonts w:hint="cs"/>
          <w:rtl/>
        </w:rPr>
        <w:t xml:space="preserve"> מעונש המאסר, </w:t>
      </w:r>
      <w:r>
        <w:rPr>
          <w:rFonts w:hint="cs"/>
          <w:rtl/>
        </w:rPr>
        <w:t xml:space="preserve">יְרַצה תקופת מאסר </w:t>
      </w:r>
      <w:r w:rsidRPr="00DD762E">
        <w:rPr>
          <w:rFonts w:hint="cs"/>
          <w:rtl/>
        </w:rPr>
        <w:t xml:space="preserve">קצרה מכדי שיוכל להשתלב בתוכניות הטיפול, השיקום וההשכלה של </w:t>
      </w:r>
      <w:r>
        <w:rPr>
          <w:rFonts w:hint="cs"/>
          <w:rtl/>
        </w:rPr>
        <w:t>שב"ס</w:t>
      </w:r>
      <w:r w:rsidRPr="00DD762E">
        <w:rPr>
          <w:rFonts w:hint="cs"/>
          <w:rtl/>
        </w:rPr>
        <w:t xml:space="preserve">. כמו כן, משך הזמן החציוני של החזקת עצור שנעצר עד להחלטה אחרת </w:t>
      </w:r>
      <w:r>
        <w:rPr>
          <w:rFonts w:hint="cs"/>
          <w:rtl/>
        </w:rPr>
        <w:t>הוא</w:t>
      </w:r>
      <w:r w:rsidRPr="00DD762E">
        <w:rPr>
          <w:rFonts w:hint="cs"/>
          <w:rtl/>
        </w:rPr>
        <w:t xml:space="preserve"> </w:t>
      </w:r>
      <w:r>
        <w:rPr>
          <w:rFonts w:hint="cs"/>
          <w:rtl/>
        </w:rPr>
        <w:t>481</w:t>
      </w:r>
      <w:r w:rsidRPr="00DD762E">
        <w:rPr>
          <w:rFonts w:hint="cs"/>
          <w:rtl/>
        </w:rPr>
        <w:t xml:space="preserve"> שעות (כ-20 יום); משך הזמן החציוני של החזקת עצור </w:t>
      </w:r>
      <w:r>
        <w:rPr>
          <w:rFonts w:hint="cs"/>
          <w:rtl/>
        </w:rPr>
        <w:t>שנעצר</w:t>
      </w:r>
      <w:r w:rsidRPr="00DD762E">
        <w:rPr>
          <w:rFonts w:hint="cs"/>
          <w:rtl/>
        </w:rPr>
        <w:t xml:space="preserve"> עד תום ההליכים המשפטיים נגדו עומד על </w:t>
      </w:r>
      <w:r>
        <w:rPr>
          <w:rFonts w:hint="cs"/>
          <w:rtl/>
        </w:rPr>
        <w:t xml:space="preserve">1,638 </w:t>
      </w:r>
      <w:r w:rsidRPr="00DD762E">
        <w:rPr>
          <w:rFonts w:hint="cs"/>
          <w:rtl/>
        </w:rPr>
        <w:t>שעות (כ-</w:t>
      </w:r>
      <w:r>
        <w:rPr>
          <w:rFonts w:hint="cs"/>
          <w:rtl/>
        </w:rPr>
        <w:t>68 ימים</w:t>
      </w:r>
      <w:r w:rsidRPr="00DD762E">
        <w:rPr>
          <w:rFonts w:hint="cs"/>
          <w:rtl/>
        </w:rPr>
        <w:t>). מכאן שגם בשלב המעצר הנאשם</w:t>
      </w:r>
      <w:r>
        <w:rPr>
          <w:rFonts w:hint="cs"/>
          <w:rtl/>
        </w:rPr>
        <w:t xml:space="preserve"> אינו עומד ברף של שישה חודשים, ולכן</w:t>
      </w:r>
      <w:r w:rsidRPr="00DD762E">
        <w:rPr>
          <w:rFonts w:hint="cs"/>
          <w:rtl/>
        </w:rPr>
        <w:t xml:space="preserve"> אינו זוכה להתייחסות טיפולית או שיקומית </w:t>
      </w:r>
      <w:r>
        <w:rPr>
          <w:rFonts w:hint="cs"/>
          <w:rtl/>
        </w:rPr>
        <w:t>ש</w:t>
      </w:r>
      <w:r w:rsidRPr="00DD762E">
        <w:rPr>
          <w:rFonts w:hint="cs"/>
          <w:rtl/>
        </w:rPr>
        <w:t>אסירים</w:t>
      </w:r>
      <w:r w:rsidRPr="00E53A1C">
        <w:rPr>
          <w:rFonts w:hint="cs"/>
          <w:rtl/>
        </w:rPr>
        <w:t xml:space="preserve"> </w:t>
      </w:r>
      <w:r w:rsidRPr="00DD762E">
        <w:rPr>
          <w:rFonts w:hint="cs"/>
          <w:rtl/>
        </w:rPr>
        <w:t>זוכים</w:t>
      </w:r>
      <w:r w:rsidRPr="00E53A1C">
        <w:rPr>
          <w:rFonts w:hint="cs"/>
          <w:rtl/>
        </w:rPr>
        <w:t xml:space="preserve"> </w:t>
      </w:r>
      <w:r w:rsidRPr="00DD762E">
        <w:rPr>
          <w:rFonts w:hint="cs"/>
          <w:rtl/>
        </w:rPr>
        <w:t xml:space="preserve">לה. </w:t>
      </w:r>
      <w:r>
        <w:rPr>
          <w:rFonts w:hint="cs"/>
          <w:rtl/>
        </w:rPr>
        <w:t xml:space="preserve">כפי שיפורט להלן, גם תוכניות השיקום של שירות המבחן למבוגרים המיועדות לעצורים המשוחררים בתנאים מגבילים אינן נמשכות פחות משישה חודשים. </w:t>
      </w:r>
      <w:r w:rsidRPr="00DD762E">
        <w:rPr>
          <w:rFonts w:hint="cs"/>
          <w:rtl/>
        </w:rPr>
        <w:t>שיעור העצורים הגבוה ב</w:t>
      </w:r>
      <w:r>
        <w:rPr>
          <w:rFonts w:hint="cs"/>
          <w:rtl/>
        </w:rPr>
        <w:t>השוואה</w:t>
      </w:r>
      <w:r w:rsidRPr="00DD762E">
        <w:rPr>
          <w:rFonts w:hint="cs"/>
          <w:rtl/>
        </w:rPr>
        <w:t xml:space="preserve"> למדינות ה-</w:t>
      </w:r>
      <w:r w:rsidRPr="00DD762E">
        <w:rPr>
          <w:rFonts w:hint="cs"/>
        </w:rPr>
        <w:t>OECD</w:t>
      </w:r>
      <w:r w:rsidRPr="00DD762E">
        <w:rPr>
          <w:rFonts w:hint="cs"/>
          <w:rtl/>
        </w:rPr>
        <w:t xml:space="preserve"> מלמד כי מרביתם לא </w:t>
      </w:r>
      <w:r>
        <w:rPr>
          <w:rFonts w:hint="cs"/>
          <w:rtl/>
        </w:rPr>
        <w:t>ישתתפו</w:t>
      </w:r>
      <w:r w:rsidRPr="00DD762E">
        <w:rPr>
          <w:rFonts w:hint="cs"/>
          <w:rtl/>
        </w:rPr>
        <w:t xml:space="preserve"> </w:t>
      </w:r>
      <w:r>
        <w:rPr>
          <w:rFonts w:hint="cs"/>
          <w:rtl/>
        </w:rPr>
        <w:t>בפעילות</w:t>
      </w:r>
      <w:r w:rsidRPr="00DD762E">
        <w:rPr>
          <w:rFonts w:hint="cs"/>
          <w:rtl/>
        </w:rPr>
        <w:t xml:space="preserve"> שיקומית הן בשלב המעצר והן בשלב המאסר. </w:t>
      </w:r>
    </w:p>
    <w:p w14:paraId="36FE7E45" w14:textId="77777777" w:rsidR="00BA23AE" w:rsidRPr="00721E52" w:rsidRDefault="00BA23AE" w:rsidP="00BB5BAF">
      <w:pPr>
        <w:pStyle w:val="100"/>
        <w:rPr>
          <w:rtl/>
        </w:rPr>
      </w:pPr>
      <w:r w:rsidRPr="00461C1B">
        <w:rPr>
          <w:rFonts w:hint="eastAsia"/>
          <w:rtl/>
        </w:rPr>
        <w:t>שב</w:t>
      </w:r>
      <w:r w:rsidRPr="00461C1B">
        <w:rPr>
          <w:rtl/>
        </w:rPr>
        <w:t>"ס תיארה בתשובתה את פעילות מערך השיקום, שהורחבה גם לעצורים</w:t>
      </w:r>
      <w:r w:rsidRPr="00461C1B">
        <w:rPr>
          <w:rFonts w:hint="cs"/>
          <w:rtl/>
        </w:rPr>
        <w:t xml:space="preserve"> והותאמה לתקופות כליאה קצרות טווח</w:t>
      </w:r>
      <w:r w:rsidRPr="00461C1B">
        <w:rPr>
          <w:rtl/>
        </w:rPr>
        <w:t>. עם זאת, תכניות שיקום קצרות מועד אינן ב</w:t>
      </w:r>
      <w:r>
        <w:rPr>
          <w:rFonts w:hint="cs"/>
          <w:rtl/>
        </w:rPr>
        <w:t>נ</w:t>
      </w:r>
      <w:r w:rsidRPr="00461C1B">
        <w:rPr>
          <w:rtl/>
        </w:rPr>
        <w:t>ות השוואה ל</w:t>
      </w:r>
      <w:r w:rsidRPr="00461C1B">
        <w:rPr>
          <w:rFonts w:hint="cs"/>
          <w:rtl/>
        </w:rPr>
        <w:t xml:space="preserve">הליך טיפולי ארוך טווח </w:t>
      </w:r>
      <w:r w:rsidRPr="00461C1B">
        <w:rPr>
          <w:rFonts w:hint="eastAsia"/>
          <w:rtl/>
        </w:rPr>
        <w:t>של</w:t>
      </w:r>
      <w:r w:rsidRPr="00461C1B">
        <w:rPr>
          <w:rtl/>
        </w:rPr>
        <w:t xml:space="preserve"> </w:t>
      </w:r>
      <w:r>
        <w:rPr>
          <w:rFonts w:hint="cs"/>
          <w:rtl/>
        </w:rPr>
        <w:t>כמה</w:t>
      </w:r>
      <w:r w:rsidRPr="00461C1B">
        <w:rPr>
          <w:rtl/>
        </w:rPr>
        <w:t xml:space="preserve"> </w:t>
      </w:r>
      <w:r w:rsidRPr="00461C1B">
        <w:rPr>
          <w:rFonts w:hint="eastAsia"/>
          <w:rtl/>
        </w:rPr>
        <w:t>חודשים</w:t>
      </w:r>
      <w:r w:rsidRPr="00461C1B">
        <w:rPr>
          <w:rtl/>
        </w:rPr>
        <w:t>.</w:t>
      </w:r>
      <w:r>
        <w:rPr>
          <w:rFonts w:hint="cs"/>
          <w:rtl/>
        </w:rPr>
        <w:t xml:space="preserve"> </w:t>
      </w:r>
    </w:p>
    <w:p w14:paraId="7314FC2C" w14:textId="77777777" w:rsidR="00BA23AE" w:rsidRDefault="00BA23AE" w:rsidP="00B14BEA">
      <w:pPr>
        <w:pStyle w:val="100"/>
        <w:rPr>
          <w:rtl/>
        </w:rPr>
      </w:pPr>
      <w:r w:rsidRPr="00B14BEA">
        <w:rPr>
          <w:rStyle w:val="Heading5Char"/>
          <w:rFonts w:hint="cs"/>
          <w:color w:val="387026"/>
          <w:spacing w:val="0"/>
          <w:rtl/>
        </w:rPr>
        <w:t>שמירה</w:t>
      </w:r>
      <w:r w:rsidRPr="00B14BEA">
        <w:rPr>
          <w:rStyle w:val="Heading5Char"/>
          <w:color w:val="387026"/>
          <w:spacing w:val="0"/>
          <w:rtl/>
        </w:rPr>
        <w:t xml:space="preserve"> על זכויות הנאשמים</w:t>
      </w:r>
      <w:r w:rsidRPr="00B14BEA">
        <w:rPr>
          <w:rStyle w:val="Heading5Char"/>
          <w:rFonts w:hint="cs"/>
          <w:color w:val="387026"/>
          <w:spacing w:val="0"/>
          <w:rtl/>
        </w:rPr>
        <w:t>:</w:t>
      </w:r>
      <w:r w:rsidRPr="00DD762E">
        <w:rPr>
          <w:rFonts w:hint="cs"/>
          <w:rtl/>
        </w:rPr>
        <w:t xml:space="preserve"> מדד שיעור העצורים מאפשר להשוות את השמירה על זכויות </w:t>
      </w:r>
      <w:r>
        <w:rPr>
          <w:rFonts w:hint="cs"/>
          <w:rtl/>
        </w:rPr>
        <w:t>ה</w:t>
      </w:r>
      <w:r w:rsidRPr="00DD762E">
        <w:rPr>
          <w:rFonts w:hint="cs"/>
          <w:rtl/>
        </w:rPr>
        <w:t xml:space="preserve">נאשמים. בישראל </w:t>
      </w:r>
      <w:r>
        <w:rPr>
          <w:rFonts w:hint="cs"/>
          <w:rtl/>
        </w:rPr>
        <w:t>ה</w:t>
      </w:r>
      <w:r w:rsidRPr="00DD762E">
        <w:rPr>
          <w:rFonts w:hint="cs"/>
          <w:rtl/>
        </w:rPr>
        <w:t xml:space="preserve">מגמה </w:t>
      </w:r>
      <w:r>
        <w:rPr>
          <w:rFonts w:hint="cs"/>
          <w:rtl/>
        </w:rPr>
        <w:t>היא ל</w:t>
      </w:r>
      <w:r w:rsidRPr="00DD762E">
        <w:rPr>
          <w:rFonts w:hint="cs"/>
          <w:rtl/>
        </w:rPr>
        <w:t>קיצור עונשי המאסר</w:t>
      </w:r>
      <w:r>
        <w:rPr>
          <w:rStyle w:val="FootnoteReference"/>
          <w:rtl/>
        </w:rPr>
        <w:footnoteReference w:id="15"/>
      </w:r>
      <w:r w:rsidRPr="00DD762E">
        <w:rPr>
          <w:rFonts w:hint="cs"/>
          <w:rtl/>
        </w:rPr>
        <w:t xml:space="preserve">. </w:t>
      </w:r>
      <w:r>
        <w:rPr>
          <w:rFonts w:hint="cs"/>
          <w:rtl/>
        </w:rPr>
        <w:t xml:space="preserve">כאשר </w:t>
      </w:r>
      <w:r w:rsidRPr="00DD762E">
        <w:rPr>
          <w:rFonts w:hint="cs"/>
          <w:rtl/>
        </w:rPr>
        <w:t xml:space="preserve">עונשי המאסר מתקצרים </w:t>
      </w:r>
      <w:r>
        <w:rPr>
          <w:rFonts w:hint="cs"/>
          <w:rtl/>
        </w:rPr>
        <w:t>אך</w:t>
      </w:r>
      <w:r w:rsidRPr="00DD762E">
        <w:rPr>
          <w:rFonts w:hint="cs"/>
          <w:rtl/>
        </w:rPr>
        <w:t xml:space="preserve"> מספר המעצרים עד תום ההליכים גדל, </w:t>
      </w:r>
      <w:r>
        <w:rPr>
          <w:rFonts w:hint="cs"/>
          <w:rtl/>
        </w:rPr>
        <w:t>נוצר מצב ש</w:t>
      </w:r>
      <w:r w:rsidRPr="00DD762E">
        <w:rPr>
          <w:rFonts w:hint="cs"/>
          <w:rtl/>
        </w:rPr>
        <w:t xml:space="preserve">בחלק גדול מהזמן שבו </w:t>
      </w:r>
      <w:r>
        <w:rPr>
          <w:rFonts w:hint="cs"/>
          <w:rtl/>
        </w:rPr>
        <w:t xml:space="preserve">כלואים </w:t>
      </w:r>
      <w:r w:rsidRPr="00DD762E">
        <w:rPr>
          <w:rFonts w:hint="cs"/>
          <w:rtl/>
        </w:rPr>
        <w:t>מוחזקים במתקני הכליאה</w:t>
      </w:r>
      <w:r>
        <w:rPr>
          <w:rStyle w:val="FootnoteReference"/>
          <w:rtl/>
        </w:rPr>
        <w:footnoteReference w:id="16"/>
      </w:r>
      <w:r>
        <w:rPr>
          <w:rFonts w:hint="cs"/>
          <w:rtl/>
        </w:rPr>
        <w:t xml:space="preserve"> הם מוחזקים כ</w:t>
      </w:r>
      <w:r w:rsidRPr="00562A98">
        <w:rPr>
          <w:rFonts w:hint="cs"/>
          <w:rtl/>
        </w:rPr>
        <w:t xml:space="preserve">עצורים ולא כאסירים. </w:t>
      </w:r>
      <w:r w:rsidRPr="00562A98">
        <w:rPr>
          <w:rFonts w:hint="eastAsia"/>
          <w:rtl/>
        </w:rPr>
        <w:t>מצב</w:t>
      </w:r>
      <w:r w:rsidRPr="00562A98">
        <w:rPr>
          <w:rtl/>
        </w:rPr>
        <w:t xml:space="preserve"> זה </w:t>
      </w:r>
      <w:r w:rsidRPr="00562A98">
        <w:rPr>
          <w:rFonts w:hint="eastAsia"/>
          <w:rtl/>
        </w:rPr>
        <w:t>עלול</w:t>
      </w:r>
      <w:r w:rsidRPr="00562A98">
        <w:rPr>
          <w:rtl/>
        </w:rPr>
        <w:t xml:space="preserve"> </w:t>
      </w:r>
      <w:r>
        <w:rPr>
          <w:rFonts w:hint="cs"/>
          <w:rtl/>
        </w:rPr>
        <w:t>לשמש</w:t>
      </w:r>
      <w:r w:rsidRPr="00562A98">
        <w:rPr>
          <w:rtl/>
        </w:rPr>
        <w:t xml:space="preserve"> שיקול </w:t>
      </w:r>
      <w:r w:rsidRPr="00562A98">
        <w:rPr>
          <w:rFonts w:hint="cs"/>
          <w:rtl/>
        </w:rPr>
        <w:t>בבחירת</w:t>
      </w:r>
      <w:r w:rsidRPr="00562A98">
        <w:rPr>
          <w:rtl/>
        </w:rPr>
        <w:t xml:space="preserve"> עצורים שלא לעמוד על מלוא זכויותיהם הדיוניות</w:t>
      </w:r>
      <w:r>
        <w:rPr>
          <w:rFonts w:hint="cs"/>
          <w:rtl/>
        </w:rPr>
        <w:t>, ובכלל זאת השמעת מכלול</w:t>
      </w:r>
      <w:r w:rsidRPr="00562A98">
        <w:rPr>
          <w:rtl/>
        </w:rPr>
        <w:t xml:space="preserve"> טענותיהם האפשריות</w:t>
      </w:r>
      <w:r>
        <w:rPr>
          <w:rFonts w:hint="cs"/>
          <w:rtl/>
        </w:rPr>
        <w:t>,</w:t>
      </w:r>
      <w:r w:rsidRPr="00562A98">
        <w:rPr>
          <w:rtl/>
        </w:rPr>
        <w:t xml:space="preserve"> </w:t>
      </w:r>
      <w:r w:rsidRPr="00562A98">
        <w:rPr>
          <w:rFonts w:hint="eastAsia"/>
          <w:rtl/>
        </w:rPr>
        <w:t>על</w:t>
      </w:r>
      <w:r w:rsidRPr="00562A98">
        <w:rPr>
          <w:rtl/>
        </w:rPr>
        <w:t xml:space="preserve"> </w:t>
      </w:r>
      <w:r w:rsidRPr="00562A98">
        <w:rPr>
          <w:rFonts w:hint="eastAsia"/>
          <w:rtl/>
        </w:rPr>
        <w:t>מנת</w:t>
      </w:r>
      <w:r w:rsidRPr="00562A98">
        <w:rPr>
          <w:rtl/>
        </w:rPr>
        <w:t xml:space="preserve"> </w:t>
      </w:r>
      <w:r w:rsidRPr="00562A98">
        <w:rPr>
          <w:rFonts w:hint="eastAsia"/>
          <w:rtl/>
        </w:rPr>
        <w:t>לקצר</w:t>
      </w:r>
      <w:r w:rsidRPr="00562A98">
        <w:rPr>
          <w:rtl/>
        </w:rPr>
        <w:t xml:space="preserve"> </w:t>
      </w:r>
      <w:r w:rsidRPr="00562A98">
        <w:rPr>
          <w:rFonts w:hint="eastAsia"/>
          <w:rtl/>
        </w:rPr>
        <w:t>את</w:t>
      </w:r>
      <w:r w:rsidRPr="00562A98">
        <w:rPr>
          <w:rtl/>
        </w:rPr>
        <w:t xml:space="preserve"> </w:t>
      </w:r>
      <w:r w:rsidRPr="00562A98">
        <w:rPr>
          <w:rFonts w:hint="eastAsia"/>
          <w:rtl/>
        </w:rPr>
        <w:t>תקופת</w:t>
      </w:r>
      <w:r w:rsidRPr="00562A98">
        <w:rPr>
          <w:rtl/>
        </w:rPr>
        <w:t xml:space="preserve"> </w:t>
      </w:r>
      <w:r w:rsidRPr="00562A98">
        <w:rPr>
          <w:rFonts w:hint="eastAsia"/>
          <w:rtl/>
        </w:rPr>
        <w:t>המעצר</w:t>
      </w:r>
      <w:r w:rsidRPr="00562A98">
        <w:rPr>
          <w:rtl/>
        </w:rPr>
        <w:t>.</w:t>
      </w:r>
    </w:p>
    <w:p w14:paraId="33CFDF39" w14:textId="77777777" w:rsidR="00BA23AE" w:rsidRDefault="00BA23AE" w:rsidP="00285EC0">
      <w:pPr>
        <w:pStyle w:val="100"/>
        <w:rPr>
          <w:rtl/>
        </w:rPr>
      </w:pPr>
      <w:r w:rsidRPr="00461C1B">
        <w:rPr>
          <w:rFonts w:hint="eastAsia"/>
          <w:rtl/>
        </w:rPr>
        <w:t>המשטרה</w:t>
      </w:r>
      <w:r w:rsidRPr="00461C1B">
        <w:rPr>
          <w:rtl/>
        </w:rPr>
        <w:t xml:space="preserve"> </w:t>
      </w:r>
      <w:r w:rsidRPr="00461C1B">
        <w:rPr>
          <w:rFonts w:hint="eastAsia"/>
          <w:rtl/>
        </w:rPr>
        <w:t>טענה</w:t>
      </w:r>
      <w:r w:rsidRPr="00461C1B">
        <w:rPr>
          <w:rtl/>
        </w:rPr>
        <w:t xml:space="preserve"> </w:t>
      </w:r>
      <w:r w:rsidRPr="00461C1B">
        <w:rPr>
          <w:rFonts w:hint="eastAsia"/>
          <w:rtl/>
        </w:rPr>
        <w:t>בתשובתה</w:t>
      </w:r>
      <w:r w:rsidRPr="00461C1B">
        <w:rPr>
          <w:rtl/>
        </w:rPr>
        <w:t xml:space="preserve"> </w:t>
      </w:r>
      <w:r w:rsidRPr="00461C1B">
        <w:rPr>
          <w:rFonts w:hint="eastAsia"/>
          <w:rtl/>
        </w:rPr>
        <w:t>כי</w:t>
      </w:r>
      <w:r w:rsidRPr="00461C1B">
        <w:rPr>
          <w:rtl/>
        </w:rPr>
        <w:t xml:space="preserve"> </w:t>
      </w:r>
      <w:r w:rsidRPr="00461C1B">
        <w:rPr>
          <w:rFonts w:hint="eastAsia"/>
          <w:rtl/>
        </w:rPr>
        <w:t>היא</w:t>
      </w:r>
      <w:r w:rsidRPr="00461C1B">
        <w:rPr>
          <w:rtl/>
        </w:rPr>
        <w:t xml:space="preserve"> </w:t>
      </w:r>
      <w:r w:rsidRPr="00461C1B">
        <w:rPr>
          <w:rFonts w:hint="eastAsia"/>
          <w:rtl/>
        </w:rPr>
        <w:t>אינה</w:t>
      </w:r>
      <w:r w:rsidRPr="00461C1B">
        <w:rPr>
          <w:rtl/>
        </w:rPr>
        <w:t xml:space="preserve"> </w:t>
      </w:r>
      <w:r w:rsidRPr="00461C1B">
        <w:rPr>
          <w:rFonts w:hint="eastAsia"/>
          <w:rtl/>
        </w:rPr>
        <w:t>מסכימה</w:t>
      </w:r>
      <w:r w:rsidRPr="00461C1B">
        <w:rPr>
          <w:rtl/>
        </w:rPr>
        <w:t xml:space="preserve"> </w:t>
      </w:r>
      <w:r w:rsidRPr="00461C1B">
        <w:rPr>
          <w:rFonts w:hint="eastAsia"/>
          <w:rtl/>
        </w:rPr>
        <w:t>עם</w:t>
      </w:r>
      <w:r w:rsidRPr="00461C1B">
        <w:rPr>
          <w:rtl/>
        </w:rPr>
        <w:t xml:space="preserve"> </w:t>
      </w:r>
      <w:r w:rsidRPr="00461C1B">
        <w:rPr>
          <w:rFonts w:hint="eastAsia"/>
          <w:rtl/>
        </w:rPr>
        <w:t>הקביעה</w:t>
      </w:r>
      <w:r w:rsidRPr="00461C1B">
        <w:rPr>
          <w:rtl/>
        </w:rPr>
        <w:t xml:space="preserve"> </w:t>
      </w:r>
      <w:r>
        <w:rPr>
          <w:rFonts w:hint="cs"/>
          <w:rtl/>
        </w:rPr>
        <w:t>ו</w:t>
      </w:r>
      <w:r w:rsidRPr="00461C1B">
        <w:rPr>
          <w:rFonts w:hint="eastAsia"/>
          <w:rtl/>
        </w:rPr>
        <w:t>לפיה</w:t>
      </w:r>
      <w:r w:rsidRPr="00461C1B">
        <w:rPr>
          <w:rtl/>
        </w:rPr>
        <w:t xml:space="preserve"> </w:t>
      </w:r>
      <w:r w:rsidRPr="00461C1B">
        <w:rPr>
          <w:rFonts w:hint="eastAsia"/>
          <w:rtl/>
        </w:rPr>
        <w:t>עצורים</w:t>
      </w:r>
      <w:r w:rsidRPr="00461C1B">
        <w:rPr>
          <w:rtl/>
        </w:rPr>
        <w:t xml:space="preserve"> </w:t>
      </w:r>
      <w:r w:rsidRPr="00461C1B">
        <w:rPr>
          <w:rFonts w:hint="eastAsia"/>
          <w:rtl/>
        </w:rPr>
        <w:t>עלולים</w:t>
      </w:r>
      <w:r w:rsidRPr="00461C1B">
        <w:rPr>
          <w:rtl/>
        </w:rPr>
        <w:t xml:space="preserve"> </w:t>
      </w:r>
      <w:r w:rsidRPr="00461C1B">
        <w:rPr>
          <w:rFonts w:hint="eastAsia"/>
          <w:rtl/>
        </w:rPr>
        <w:t>שלא</w:t>
      </w:r>
      <w:r w:rsidRPr="00461C1B">
        <w:rPr>
          <w:rtl/>
        </w:rPr>
        <w:t xml:space="preserve"> </w:t>
      </w:r>
      <w:r w:rsidRPr="00461C1B">
        <w:rPr>
          <w:rFonts w:hint="eastAsia"/>
          <w:rtl/>
        </w:rPr>
        <w:t>לעמוד</w:t>
      </w:r>
      <w:r w:rsidRPr="00461C1B">
        <w:rPr>
          <w:rtl/>
        </w:rPr>
        <w:t xml:space="preserve"> </w:t>
      </w:r>
      <w:r w:rsidRPr="00461C1B">
        <w:rPr>
          <w:rFonts w:hint="eastAsia"/>
          <w:rtl/>
        </w:rPr>
        <w:t>על</w:t>
      </w:r>
      <w:r w:rsidRPr="00461C1B">
        <w:rPr>
          <w:rtl/>
        </w:rPr>
        <w:t xml:space="preserve"> </w:t>
      </w:r>
      <w:r w:rsidRPr="00461C1B">
        <w:rPr>
          <w:rFonts w:hint="eastAsia"/>
          <w:rtl/>
        </w:rPr>
        <w:t>זכויותיהם</w:t>
      </w:r>
      <w:r w:rsidRPr="00461C1B">
        <w:rPr>
          <w:rtl/>
        </w:rPr>
        <w:t xml:space="preserve"> </w:t>
      </w:r>
      <w:r w:rsidRPr="00461C1B">
        <w:rPr>
          <w:rFonts w:hint="eastAsia"/>
          <w:rtl/>
        </w:rPr>
        <w:t>רק</w:t>
      </w:r>
      <w:r w:rsidRPr="00461C1B">
        <w:rPr>
          <w:rtl/>
        </w:rPr>
        <w:t xml:space="preserve"> </w:t>
      </w:r>
      <w:r w:rsidRPr="00461C1B">
        <w:rPr>
          <w:rFonts w:hint="eastAsia"/>
          <w:rtl/>
        </w:rPr>
        <w:t>מעצם</w:t>
      </w:r>
      <w:r w:rsidRPr="00461C1B">
        <w:rPr>
          <w:rtl/>
        </w:rPr>
        <w:t xml:space="preserve"> </w:t>
      </w:r>
      <w:r w:rsidRPr="00461C1B">
        <w:rPr>
          <w:rFonts w:hint="eastAsia"/>
          <w:rtl/>
        </w:rPr>
        <w:t>החזקתם</w:t>
      </w:r>
      <w:r w:rsidRPr="00461C1B">
        <w:rPr>
          <w:rtl/>
        </w:rPr>
        <w:t xml:space="preserve"> </w:t>
      </w:r>
      <w:r w:rsidRPr="00461C1B">
        <w:rPr>
          <w:rFonts w:hint="eastAsia"/>
          <w:rtl/>
        </w:rPr>
        <w:t>במעצר</w:t>
      </w:r>
      <w:r w:rsidRPr="00461C1B">
        <w:rPr>
          <w:rtl/>
        </w:rPr>
        <w:t xml:space="preserve">. </w:t>
      </w:r>
      <w:r w:rsidRPr="00461C1B">
        <w:rPr>
          <w:rFonts w:hint="eastAsia"/>
          <w:rtl/>
        </w:rPr>
        <w:t>הנאשמים</w:t>
      </w:r>
      <w:r w:rsidRPr="00461C1B">
        <w:rPr>
          <w:rtl/>
        </w:rPr>
        <w:t xml:space="preserve"> </w:t>
      </w:r>
      <w:r w:rsidRPr="00461C1B">
        <w:rPr>
          <w:rFonts w:hint="eastAsia"/>
          <w:rtl/>
        </w:rPr>
        <w:t>מיוצגים</w:t>
      </w:r>
      <w:r w:rsidRPr="00461C1B">
        <w:rPr>
          <w:rtl/>
        </w:rPr>
        <w:t xml:space="preserve"> </w:t>
      </w:r>
      <w:r w:rsidRPr="00461C1B">
        <w:rPr>
          <w:rFonts w:hint="eastAsia"/>
          <w:rtl/>
        </w:rPr>
        <w:t>באמצעות</w:t>
      </w:r>
      <w:r w:rsidRPr="00461C1B">
        <w:rPr>
          <w:rtl/>
        </w:rPr>
        <w:t xml:space="preserve"> </w:t>
      </w:r>
      <w:r w:rsidRPr="00461C1B">
        <w:rPr>
          <w:rFonts w:hint="eastAsia"/>
          <w:rtl/>
        </w:rPr>
        <w:t>סנגור</w:t>
      </w:r>
      <w:r w:rsidRPr="00461C1B">
        <w:rPr>
          <w:rtl/>
        </w:rPr>
        <w:t xml:space="preserve">, </w:t>
      </w:r>
      <w:r w:rsidRPr="00461C1B">
        <w:rPr>
          <w:rFonts w:hint="eastAsia"/>
          <w:rtl/>
        </w:rPr>
        <w:t>שתפקידו</w:t>
      </w:r>
      <w:r w:rsidRPr="00461C1B">
        <w:rPr>
          <w:rtl/>
        </w:rPr>
        <w:t xml:space="preserve"> </w:t>
      </w:r>
      <w:r w:rsidRPr="00461C1B">
        <w:rPr>
          <w:rFonts w:hint="eastAsia"/>
          <w:rtl/>
        </w:rPr>
        <w:t>להבטיח</w:t>
      </w:r>
      <w:r w:rsidRPr="00461C1B">
        <w:rPr>
          <w:rtl/>
        </w:rPr>
        <w:t xml:space="preserve"> </w:t>
      </w:r>
      <w:r w:rsidRPr="00461C1B">
        <w:rPr>
          <w:rFonts w:hint="eastAsia"/>
          <w:rtl/>
        </w:rPr>
        <w:t>כי</w:t>
      </w:r>
      <w:r w:rsidRPr="00461C1B">
        <w:rPr>
          <w:rtl/>
        </w:rPr>
        <w:t xml:space="preserve"> </w:t>
      </w:r>
      <w:r w:rsidRPr="00461C1B">
        <w:rPr>
          <w:rFonts w:hint="eastAsia"/>
          <w:rtl/>
        </w:rPr>
        <w:t>זכויות</w:t>
      </w:r>
      <w:r w:rsidRPr="00461C1B">
        <w:rPr>
          <w:rtl/>
        </w:rPr>
        <w:t xml:space="preserve"> </w:t>
      </w:r>
      <w:r w:rsidRPr="00461C1B">
        <w:rPr>
          <w:rFonts w:hint="eastAsia"/>
          <w:rtl/>
        </w:rPr>
        <w:t>הנאשמים</w:t>
      </w:r>
      <w:r w:rsidRPr="00461C1B">
        <w:rPr>
          <w:rtl/>
        </w:rPr>
        <w:t xml:space="preserve"> </w:t>
      </w:r>
      <w:r w:rsidRPr="00461C1B">
        <w:rPr>
          <w:rFonts w:hint="eastAsia"/>
          <w:rtl/>
        </w:rPr>
        <w:t>נשמרות</w:t>
      </w:r>
      <w:r w:rsidRPr="00461C1B">
        <w:rPr>
          <w:rtl/>
        </w:rPr>
        <w:t xml:space="preserve">. </w:t>
      </w:r>
      <w:r w:rsidRPr="00461C1B">
        <w:rPr>
          <w:rFonts w:hint="eastAsia"/>
          <w:rtl/>
        </w:rPr>
        <w:t>כמו</w:t>
      </w:r>
      <w:r w:rsidRPr="00461C1B">
        <w:rPr>
          <w:rtl/>
        </w:rPr>
        <w:t xml:space="preserve"> </w:t>
      </w:r>
      <w:r w:rsidRPr="00461C1B">
        <w:rPr>
          <w:rFonts w:hint="eastAsia"/>
          <w:rtl/>
        </w:rPr>
        <w:t>כן</w:t>
      </w:r>
      <w:r w:rsidRPr="00461C1B">
        <w:rPr>
          <w:rtl/>
        </w:rPr>
        <w:t xml:space="preserve">, </w:t>
      </w:r>
      <w:r w:rsidRPr="00461C1B">
        <w:rPr>
          <w:rFonts w:hint="eastAsia"/>
          <w:rtl/>
        </w:rPr>
        <w:t>גורמי</w:t>
      </w:r>
      <w:r w:rsidRPr="00461C1B">
        <w:rPr>
          <w:rtl/>
        </w:rPr>
        <w:t xml:space="preserve"> </w:t>
      </w:r>
      <w:r w:rsidRPr="00461C1B">
        <w:rPr>
          <w:rFonts w:hint="eastAsia"/>
          <w:rtl/>
        </w:rPr>
        <w:t>התביעה</w:t>
      </w:r>
      <w:r w:rsidRPr="00461C1B">
        <w:rPr>
          <w:rtl/>
        </w:rPr>
        <w:t xml:space="preserve"> </w:t>
      </w:r>
      <w:r w:rsidRPr="00461C1B">
        <w:rPr>
          <w:rFonts w:hint="eastAsia"/>
          <w:rtl/>
        </w:rPr>
        <w:t>נסמכים</w:t>
      </w:r>
      <w:r w:rsidRPr="00461C1B">
        <w:rPr>
          <w:rtl/>
        </w:rPr>
        <w:t xml:space="preserve"> </w:t>
      </w:r>
      <w:r w:rsidRPr="00461C1B">
        <w:rPr>
          <w:rFonts w:hint="eastAsia"/>
          <w:rtl/>
        </w:rPr>
        <w:t>על</w:t>
      </w:r>
      <w:r w:rsidRPr="00461C1B">
        <w:rPr>
          <w:rtl/>
        </w:rPr>
        <w:t xml:space="preserve"> </w:t>
      </w:r>
      <w:r w:rsidRPr="00461C1B">
        <w:rPr>
          <w:rFonts w:hint="eastAsia"/>
          <w:rtl/>
        </w:rPr>
        <w:t>מבחן</w:t>
      </w:r>
      <w:r w:rsidRPr="00461C1B">
        <w:rPr>
          <w:rtl/>
        </w:rPr>
        <w:t xml:space="preserve"> </w:t>
      </w:r>
      <w:r w:rsidRPr="00461C1B">
        <w:rPr>
          <w:rFonts w:hint="eastAsia"/>
          <w:rtl/>
        </w:rPr>
        <w:t>הסיכוי</w:t>
      </w:r>
      <w:r w:rsidRPr="00461C1B">
        <w:rPr>
          <w:rtl/>
        </w:rPr>
        <w:t xml:space="preserve"> </w:t>
      </w:r>
      <w:r w:rsidRPr="00461C1B">
        <w:rPr>
          <w:rFonts w:hint="eastAsia"/>
          <w:rtl/>
        </w:rPr>
        <w:t>הסביר</w:t>
      </w:r>
      <w:r w:rsidRPr="00461C1B">
        <w:rPr>
          <w:rtl/>
        </w:rPr>
        <w:t xml:space="preserve"> </w:t>
      </w:r>
      <w:r w:rsidRPr="00461C1B">
        <w:rPr>
          <w:rFonts w:hint="eastAsia"/>
          <w:rtl/>
        </w:rPr>
        <w:t>להרשעה</w:t>
      </w:r>
      <w:r w:rsidRPr="00461C1B">
        <w:rPr>
          <w:rtl/>
        </w:rPr>
        <w:t xml:space="preserve"> </w:t>
      </w:r>
      <w:r w:rsidRPr="00461C1B">
        <w:rPr>
          <w:rFonts w:hint="eastAsia"/>
          <w:rtl/>
        </w:rPr>
        <w:t>ו</w:t>
      </w:r>
      <w:r>
        <w:rPr>
          <w:rFonts w:hint="cs"/>
          <w:rtl/>
        </w:rPr>
        <w:t xml:space="preserve">על </w:t>
      </w:r>
      <w:r w:rsidRPr="00461C1B">
        <w:rPr>
          <w:rFonts w:hint="eastAsia"/>
          <w:rtl/>
        </w:rPr>
        <w:t>קיומן</w:t>
      </w:r>
      <w:r w:rsidRPr="00461C1B">
        <w:rPr>
          <w:rtl/>
        </w:rPr>
        <w:t xml:space="preserve"> </w:t>
      </w:r>
      <w:r w:rsidRPr="00461C1B">
        <w:rPr>
          <w:rFonts w:hint="eastAsia"/>
          <w:rtl/>
        </w:rPr>
        <w:t>של</w:t>
      </w:r>
      <w:r w:rsidRPr="00461C1B">
        <w:rPr>
          <w:rtl/>
        </w:rPr>
        <w:t xml:space="preserve"> </w:t>
      </w:r>
      <w:r w:rsidRPr="00461C1B">
        <w:rPr>
          <w:rFonts w:hint="eastAsia"/>
          <w:rtl/>
        </w:rPr>
        <w:t>עילות</w:t>
      </w:r>
      <w:r w:rsidRPr="00461C1B">
        <w:rPr>
          <w:rtl/>
        </w:rPr>
        <w:t xml:space="preserve"> </w:t>
      </w:r>
      <w:r w:rsidRPr="00461C1B">
        <w:rPr>
          <w:rFonts w:hint="eastAsia"/>
          <w:rtl/>
        </w:rPr>
        <w:t>מעצר</w:t>
      </w:r>
      <w:r w:rsidRPr="00461C1B">
        <w:rPr>
          <w:rtl/>
        </w:rPr>
        <w:t xml:space="preserve"> </w:t>
      </w:r>
      <w:r w:rsidRPr="00461C1B">
        <w:rPr>
          <w:rFonts w:hint="eastAsia"/>
          <w:rtl/>
        </w:rPr>
        <w:t>מבוססות</w:t>
      </w:r>
      <w:r w:rsidRPr="00461C1B">
        <w:rPr>
          <w:rtl/>
        </w:rPr>
        <w:t xml:space="preserve"> </w:t>
      </w:r>
      <w:r w:rsidRPr="00461C1B">
        <w:rPr>
          <w:rFonts w:hint="eastAsia"/>
          <w:rtl/>
        </w:rPr>
        <w:t>בבואם</w:t>
      </w:r>
      <w:r w:rsidRPr="00461C1B">
        <w:rPr>
          <w:rtl/>
        </w:rPr>
        <w:t xml:space="preserve"> </w:t>
      </w:r>
      <w:r w:rsidRPr="00461C1B">
        <w:rPr>
          <w:rFonts w:hint="eastAsia"/>
          <w:rtl/>
        </w:rPr>
        <w:t>להגיש</w:t>
      </w:r>
      <w:r w:rsidRPr="00461C1B">
        <w:rPr>
          <w:rtl/>
        </w:rPr>
        <w:t xml:space="preserve"> </w:t>
      </w:r>
      <w:r w:rsidRPr="00461C1B">
        <w:rPr>
          <w:rFonts w:hint="eastAsia"/>
          <w:rtl/>
        </w:rPr>
        <w:t>בקשה</w:t>
      </w:r>
      <w:r w:rsidRPr="00461C1B">
        <w:rPr>
          <w:rtl/>
        </w:rPr>
        <w:t xml:space="preserve"> </w:t>
      </w:r>
      <w:r w:rsidRPr="00461C1B">
        <w:rPr>
          <w:rFonts w:hint="eastAsia"/>
          <w:rtl/>
        </w:rPr>
        <w:t>למעצר</w:t>
      </w:r>
      <w:r w:rsidRPr="00461C1B">
        <w:rPr>
          <w:rtl/>
        </w:rPr>
        <w:t xml:space="preserve"> </w:t>
      </w:r>
      <w:r w:rsidRPr="00461C1B">
        <w:rPr>
          <w:rFonts w:hint="eastAsia"/>
          <w:rtl/>
        </w:rPr>
        <w:t>עד</w:t>
      </w:r>
      <w:r w:rsidRPr="00461C1B">
        <w:rPr>
          <w:rtl/>
        </w:rPr>
        <w:t xml:space="preserve"> </w:t>
      </w:r>
      <w:r w:rsidRPr="00461C1B">
        <w:rPr>
          <w:rFonts w:hint="eastAsia"/>
          <w:rtl/>
        </w:rPr>
        <w:t>תום</w:t>
      </w:r>
      <w:r w:rsidRPr="00461C1B">
        <w:rPr>
          <w:rtl/>
        </w:rPr>
        <w:t xml:space="preserve"> </w:t>
      </w:r>
      <w:r w:rsidRPr="00461C1B">
        <w:rPr>
          <w:rFonts w:hint="eastAsia"/>
          <w:rtl/>
        </w:rPr>
        <w:t>ההליכים</w:t>
      </w:r>
      <w:r w:rsidRPr="00461C1B">
        <w:rPr>
          <w:rtl/>
        </w:rPr>
        <w:t xml:space="preserve">. </w:t>
      </w:r>
      <w:r w:rsidRPr="00461C1B">
        <w:rPr>
          <w:rFonts w:hint="eastAsia"/>
          <w:rtl/>
        </w:rPr>
        <w:t>לבסוף</w:t>
      </w:r>
      <w:r w:rsidRPr="00461C1B">
        <w:rPr>
          <w:rtl/>
        </w:rPr>
        <w:t xml:space="preserve"> </w:t>
      </w:r>
      <w:r w:rsidRPr="00461C1B">
        <w:rPr>
          <w:rFonts w:hint="eastAsia"/>
          <w:rtl/>
        </w:rPr>
        <w:t>גורמי</w:t>
      </w:r>
      <w:r w:rsidRPr="00461C1B">
        <w:rPr>
          <w:rtl/>
        </w:rPr>
        <w:t xml:space="preserve"> </w:t>
      </w:r>
      <w:r w:rsidRPr="00461C1B">
        <w:rPr>
          <w:rFonts w:hint="eastAsia"/>
          <w:rtl/>
        </w:rPr>
        <w:t>התביעה</w:t>
      </w:r>
      <w:r w:rsidRPr="00461C1B">
        <w:rPr>
          <w:rtl/>
        </w:rPr>
        <w:t xml:space="preserve"> </w:t>
      </w:r>
      <w:r w:rsidRPr="00461C1B">
        <w:rPr>
          <w:rFonts w:hint="eastAsia"/>
          <w:rtl/>
        </w:rPr>
        <w:t>אמונים</w:t>
      </w:r>
      <w:r w:rsidRPr="00461C1B">
        <w:rPr>
          <w:rtl/>
        </w:rPr>
        <w:t xml:space="preserve"> </w:t>
      </w:r>
      <w:r w:rsidRPr="00461C1B">
        <w:rPr>
          <w:rFonts w:hint="eastAsia"/>
          <w:rtl/>
        </w:rPr>
        <w:t>גם</w:t>
      </w:r>
      <w:r w:rsidRPr="00461C1B">
        <w:rPr>
          <w:rtl/>
        </w:rPr>
        <w:t xml:space="preserve"> </w:t>
      </w:r>
      <w:r w:rsidRPr="00461C1B">
        <w:rPr>
          <w:rFonts w:hint="eastAsia"/>
          <w:rtl/>
        </w:rPr>
        <w:t>על</w:t>
      </w:r>
      <w:r w:rsidRPr="00461C1B">
        <w:rPr>
          <w:rtl/>
        </w:rPr>
        <w:t xml:space="preserve"> </w:t>
      </w:r>
      <w:r w:rsidRPr="00461C1B">
        <w:rPr>
          <w:rFonts w:hint="eastAsia"/>
          <w:rtl/>
        </w:rPr>
        <w:t>האינטרס</w:t>
      </w:r>
      <w:r w:rsidRPr="00461C1B">
        <w:rPr>
          <w:rtl/>
        </w:rPr>
        <w:t xml:space="preserve"> </w:t>
      </w:r>
      <w:r w:rsidRPr="00461C1B">
        <w:rPr>
          <w:rFonts w:hint="eastAsia"/>
          <w:rtl/>
        </w:rPr>
        <w:t>הציבורי</w:t>
      </w:r>
      <w:r w:rsidRPr="00461C1B">
        <w:rPr>
          <w:rtl/>
        </w:rPr>
        <w:t xml:space="preserve"> </w:t>
      </w:r>
      <w:r w:rsidRPr="00461C1B">
        <w:rPr>
          <w:rFonts w:hint="eastAsia"/>
          <w:rtl/>
        </w:rPr>
        <w:t>הרחב</w:t>
      </w:r>
      <w:r w:rsidRPr="00461C1B">
        <w:rPr>
          <w:rtl/>
        </w:rPr>
        <w:t xml:space="preserve"> </w:t>
      </w:r>
      <w:r w:rsidRPr="00461C1B">
        <w:rPr>
          <w:rFonts w:hint="eastAsia"/>
          <w:rtl/>
        </w:rPr>
        <w:t>ובכלל</w:t>
      </w:r>
      <w:r w:rsidRPr="00461C1B">
        <w:rPr>
          <w:rtl/>
        </w:rPr>
        <w:t xml:space="preserve"> </w:t>
      </w:r>
      <w:r w:rsidRPr="00461C1B">
        <w:rPr>
          <w:rFonts w:hint="eastAsia"/>
          <w:rtl/>
        </w:rPr>
        <w:t>זה</w:t>
      </w:r>
      <w:r w:rsidRPr="00461C1B">
        <w:rPr>
          <w:rtl/>
        </w:rPr>
        <w:t xml:space="preserve"> </w:t>
      </w:r>
      <w:r>
        <w:rPr>
          <w:rFonts w:hint="cs"/>
          <w:rtl/>
        </w:rPr>
        <w:t>ה</w:t>
      </w:r>
      <w:r w:rsidRPr="00461C1B">
        <w:rPr>
          <w:rFonts w:hint="eastAsia"/>
          <w:rtl/>
        </w:rPr>
        <w:t>הגנה</w:t>
      </w:r>
      <w:r w:rsidRPr="00461C1B">
        <w:rPr>
          <w:rtl/>
        </w:rPr>
        <w:t xml:space="preserve"> </w:t>
      </w:r>
      <w:r w:rsidRPr="00461C1B">
        <w:rPr>
          <w:rFonts w:hint="eastAsia"/>
          <w:rtl/>
        </w:rPr>
        <w:t>על</w:t>
      </w:r>
      <w:r w:rsidRPr="00461C1B">
        <w:rPr>
          <w:rtl/>
        </w:rPr>
        <w:t xml:space="preserve"> </w:t>
      </w:r>
      <w:r w:rsidRPr="00461C1B">
        <w:rPr>
          <w:rFonts w:hint="eastAsia"/>
          <w:rtl/>
        </w:rPr>
        <w:t>ביטחון</w:t>
      </w:r>
      <w:r w:rsidRPr="00461C1B">
        <w:rPr>
          <w:rtl/>
        </w:rPr>
        <w:t xml:space="preserve"> </w:t>
      </w:r>
      <w:r w:rsidRPr="00461C1B">
        <w:rPr>
          <w:rFonts w:hint="eastAsia"/>
          <w:rtl/>
        </w:rPr>
        <w:t>הציבור</w:t>
      </w:r>
      <w:r w:rsidRPr="00461C1B">
        <w:rPr>
          <w:rtl/>
        </w:rPr>
        <w:t>.</w:t>
      </w:r>
    </w:p>
    <w:p w14:paraId="22FA75AB" w14:textId="77777777" w:rsidR="00BA23AE" w:rsidRDefault="00BA23AE" w:rsidP="00285EC0">
      <w:pPr>
        <w:pStyle w:val="100"/>
        <w:rPr>
          <w:b/>
          <w:bCs/>
          <w:highlight w:val="yellow"/>
          <w:rtl/>
        </w:rPr>
      </w:pPr>
      <w:r w:rsidRPr="00461C1B">
        <w:rPr>
          <w:rFonts w:hint="cs"/>
          <w:rtl/>
        </w:rPr>
        <w:t>בשנת 2018 הגיש מינהל התביעות בקשות למעצר עד תום ההליכים בכ-50% מהתיקים</w:t>
      </w:r>
      <w:r>
        <w:rPr>
          <w:rFonts w:hint="cs"/>
          <w:rtl/>
        </w:rPr>
        <w:t>,</w:t>
      </w:r>
      <w:r w:rsidRPr="00461C1B">
        <w:rPr>
          <w:rFonts w:hint="cs"/>
          <w:rtl/>
        </w:rPr>
        <w:t xml:space="preserve"> והפרקליטות הגישה בקשות למעצר עד תום ההליכים בכ-60% מהתיקים (ראו להלן).</w:t>
      </w:r>
      <w:r w:rsidRPr="00461C1B">
        <w:rPr>
          <w:rFonts w:hint="cs"/>
          <w:b/>
          <w:bCs/>
          <w:rtl/>
        </w:rPr>
        <w:t xml:space="preserve"> </w:t>
      </w:r>
    </w:p>
    <w:p w14:paraId="7D80D545" w14:textId="25FC8E23" w:rsidR="00285EC0" w:rsidRDefault="00285EC0">
      <w:pPr>
        <w:bidi w:val="0"/>
        <w:spacing w:after="200" w:line="276" w:lineRule="auto"/>
        <w:rPr>
          <w:szCs w:val="20"/>
          <w:rtl/>
        </w:rPr>
      </w:pPr>
      <w:r>
        <w:rPr>
          <w:szCs w:val="20"/>
          <w:rtl/>
        </w:rPr>
        <w:br w:type="page"/>
      </w:r>
    </w:p>
    <w:p w14:paraId="5282A217" w14:textId="77777777" w:rsidR="00BA23AE" w:rsidRPr="00DD762E" w:rsidRDefault="00BA23AE" w:rsidP="00111AD4">
      <w:pPr>
        <w:pStyle w:val="af4"/>
        <w:rPr>
          <w:rtl/>
        </w:rPr>
      </w:pPr>
      <w:r>
        <w:rPr>
          <w:rFonts w:hint="cs"/>
          <w:rtl/>
        </w:rPr>
        <w:lastRenderedPageBreak/>
        <w:t>ה</w:t>
      </w:r>
      <w:r w:rsidRPr="00DD762E">
        <w:rPr>
          <w:rFonts w:hint="eastAsia"/>
          <w:rtl/>
        </w:rPr>
        <w:t>נתונים</w:t>
      </w:r>
      <w:r w:rsidRPr="00DD762E">
        <w:rPr>
          <w:rtl/>
        </w:rPr>
        <w:t xml:space="preserve"> </w:t>
      </w:r>
      <w:r w:rsidRPr="00DD762E">
        <w:rPr>
          <w:rFonts w:hint="cs"/>
          <w:rtl/>
        </w:rPr>
        <w:t xml:space="preserve">על </w:t>
      </w:r>
      <w:r w:rsidRPr="00DD762E">
        <w:rPr>
          <w:rFonts w:hint="eastAsia"/>
          <w:rtl/>
        </w:rPr>
        <w:t>אודות</w:t>
      </w:r>
      <w:r w:rsidRPr="00DD762E">
        <w:rPr>
          <w:rtl/>
        </w:rPr>
        <w:t xml:space="preserve"> </w:t>
      </w:r>
      <w:r w:rsidRPr="00DD762E">
        <w:rPr>
          <w:rFonts w:hint="eastAsia"/>
          <w:rtl/>
        </w:rPr>
        <w:t>היקף</w:t>
      </w:r>
      <w:r w:rsidRPr="00DD762E">
        <w:rPr>
          <w:rtl/>
        </w:rPr>
        <w:t xml:space="preserve"> </w:t>
      </w:r>
      <w:r w:rsidRPr="00DD762E">
        <w:rPr>
          <w:rFonts w:hint="eastAsia"/>
          <w:rtl/>
        </w:rPr>
        <w:t>הבקשות</w:t>
      </w:r>
      <w:r w:rsidRPr="00DD762E">
        <w:rPr>
          <w:rtl/>
        </w:rPr>
        <w:t xml:space="preserve"> </w:t>
      </w:r>
      <w:r w:rsidRPr="00DD762E">
        <w:rPr>
          <w:rFonts w:hint="eastAsia"/>
          <w:rtl/>
        </w:rPr>
        <w:t>למעצר</w:t>
      </w:r>
      <w:r w:rsidRPr="00DD762E">
        <w:rPr>
          <w:rtl/>
        </w:rPr>
        <w:t xml:space="preserve"> </w:t>
      </w:r>
      <w:r w:rsidRPr="00DD762E">
        <w:rPr>
          <w:rFonts w:hint="eastAsia"/>
          <w:rtl/>
        </w:rPr>
        <w:t>עד</w:t>
      </w:r>
      <w:r w:rsidRPr="00DD762E">
        <w:rPr>
          <w:rtl/>
        </w:rPr>
        <w:t xml:space="preserve"> </w:t>
      </w:r>
      <w:r w:rsidRPr="00DD762E">
        <w:rPr>
          <w:rFonts w:hint="eastAsia"/>
          <w:rtl/>
        </w:rPr>
        <w:t>תום</w:t>
      </w:r>
      <w:r w:rsidRPr="00DD762E">
        <w:rPr>
          <w:rtl/>
        </w:rPr>
        <w:t xml:space="preserve"> </w:t>
      </w:r>
      <w:r w:rsidRPr="00DD762E">
        <w:rPr>
          <w:rFonts w:hint="eastAsia"/>
          <w:rtl/>
        </w:rPr>
        <w:t>ההליכים</w:t>
      </w:r>
      <w:r w:rsidRPr="00DD762E">
        <w:rPr>
          <w:rtl/>
        </w:rPr>
        <w:t xml:space="preserve"> </w:t>
      </w:r>
      <w:r w:rsidRPr="00DD762E">
        <w:rPr>
          <w:rFonts w:hint="eastAsia"/>
          <w:rtl/>
        </w:rPr>
        <w:t>משקפים</w:t>
      </w:r>
      <w:r w:rsidRPr="00DD762E">
        <w:rPr>
          <w:rtl/>
        </w:rPr>
        <w:t xml:space="preserve"> </w:t>
      </w:r>
      <w:r w:rsidRPr="00DD762E">
        <w:rPr>
          <w:rFonts w:hint="eastAsia"/>
          <w:rtl/>
        </w:rPr>
        <w:t>את</w:t>
      </w:r>
      <w:r w:rsidRPr="00DD762E">
        <w:rPr>
          <w:rtl/>
        </w:rPr>
        <w:t xml:space="preserve"> </w:t>
      </w:r>
      <w:r>
        <w:rPr>
          <w:rFonts w:hint="cs"/>
          <w:rtl/>
        </w:rPr>
        <w:t>גישתם</w:t>
      </w:r>
      <w:r w:rsidRPr="00DD762E">
        <w:rPr>
          <w:rtl/>
        </w:rPr>
        <w:t xml:space="preserve"> </w:t>
      </w:r>
      <w:r w:rsidRPr="00DD762E">
        <w:rPr>
          <w:rFonts w:hint="eastAsia"/>
          <w:rtl/>
        </w:rPr>
        <w:t>של</w:t>
      </w:r>
      <w:r w:rsidRPr="00DD762E">
        <w:rPr>
          <w:rtl/>
        </w:rPr>
        <w:t xml:space="preserve"> </w:t>
      </w:r>
      <w:r w:rsidRPr="00DD762E">
        <w:rPr>
          <w:rFonts w:hint="eastAsia"/>
          <w:rtl/>
        </w:rPr>
        <w:t>גורמי</w:t>
      </w:r>
      <w:r w:rsidRPr="00DD762E">
        <w:rPr>
          <w:rtl/>
        </w:rPr>
        <w:t xml:space="preserve"> </w:t>
      </w:r>
      <w:r w:rsidRPr="00DD762E">
        <w:rPr>
          <w:rFonts w:hint="eastAsia"/>
          <w:rtl/>
        </w:rPr>
        <w:t>התביעה</w:t>
      </w:r>
      <w:r w:rsidRPr="00DD762E">
        <w:rPr>
          <w:rtl/>
        </w:rPr>
        <w:t xml:space="preserve"> </w:t>
      </w:r>
      <w:r>
        <w:rPr>
          <w:rFonts w:hint="cs"/>
          <w:rtl/>
        </w:rPr>
        <w:t>בנוגע</w:t>
      </w:r>
      <w:r w:rsidRPr="00DD762E">
        <w:rPr>
          <w:rtl/>
        </w:rPr>
        <w:t xml:space="preserve"> </w:t>
      </w:r>
      <w:r w:rsidRPr="00DD762E">
        <w:rPr>
          <w:rFonts w:hint="eastAsia"/>
          <w:rtl/>
        </w:rPr>
        <w:t>לחומרת</w:t>
      </w:r>
      <w:r w:rsidRPr="00DD762E">
        <w:rPr>
          <w:rtl/>
        </w:rPr>
        <w:t xml:space="preserve"> </w:t>
      </w:r>
      <w:r w:rsidRPr="00DD762E">
        <w:rPr>
          <w:rFonts w:hint="eastAsia"/>
          <w:rtl/>
        </w:rPr>
        <w:t>התיקים</w:t>
      </w:r>
      <w:r w:rsidRPr="00DD762E">
        <w:rPr>
          <w:rtl/>
        </w:rPr>
        <w:t xml:space="preserve"> </w:t>
      </w:r>
      <w:r w:rsidRPr="00DD762E">
        <w:rPr>
          <w:rFonts w:hint="eastAsia"/>
          <w:rtl/>
        </w:rPr>
        <w:t>המטופלים</w:t>
      </w:r>
      <w:r w:rsidRPr="00DD762E">
        <w:rPr>
          <w:rtl/>
        </w:rPr>
        <w:t xml:space="preserve"> </w:t>
      </w:r>
      <w:r w:rsidRPr="00DD762E">
        <w:rPr>
          <w:rFonts w:hint="eastAsia"/>
          <w:rtl/>
        </w:rPr>
        <w:t>על</w:t>
      </w:r>
      <w:r w:rsidRPr="00DD762E">
        <w:rPr>
          <w:rtl/>
        </w:rPr>
        <w:t xml:space="preserve"> </w:t>
      </w:r>
      <w:r w:rsidRPr="00DD762E">
        <w:rPr>
          <w:rFonts w:hint="eastAsia"/>
          <w:rtl/>
        </w:rPr>
        <w:t>ידם</w:t>
      </w:r>
      <w:r w:rsidRPr="00DD762E">
        <w:rPr>
          <w:rtl/>
        </w:rPr>
        <w:t>.</w:t>
      </w:r>
      <w:r w:rsidRPr="00DD762E">
        <w:rPr>
          <w:rFonts w:hint="cs"/>
          <w:rtl/>
        </w:rPr>
        <w:t xml:space="preserve"> </w:t>
      </w:r>
      <w:r w:rsidRPr="00DB4E39">
        <w:rPr>
          <w:rFonts w:hint="cs"/>
          <w:rtl/>
        </w:rPr>
        <w:t>לנוכח</w:t>
      </w:r>
      <w:r w:rsidRPr="00DD762E">
        <w:rPr>
          <w:rFonts w:hint="cs"/>
          <w:rtl/>
        </w:rPr>
        <w:t xml:space="preserve"> העלייה בשיעור הגשת</w:t>
      </w:r>
      <w:r>
        <w:rPr>
          <w:rFonts w:hint="cs"/>
          <w:rtl/>
        </w:rPr>
        <w:t>ן של</w:t>
      </w:r>
      <w:r w:rsidRPr="00DD762E">
        <w:rPr>
          <w:rFonts w:hint="cs"/>
          <w:rtl/>
        </w:rPr>
        <w:t xml:space="preserve"> בקשות </w:t>
      </w:r>
      <w:r>
        <w:rPr>
          <w:rFonts w:hint="cs"/>
          <w:rtl/>
        </w:rPr>
        <w:t>ל</w:t>
      </w:r>
      <w:r w:rsidRPr="00DD762E">
        <w:rPr>
          <w:rFonts w:hint="cs"/>
          <w:rtl/>
        </w:rPr>
        <w:t>מעצר עד תום ההליכים</w:t>
      </w:r>
      <w:r>
        <w:rPr>
          <w:rFonts w:hint="cs"/>
          <w:rtl/>
        </w:rPr>
        <w:t>,</w:t>
      </w:r>
      <w:r w:rsidRPr="00DD762E">
        <w:rPr>
          <w:rFonts w:hint="cs"/>
          <w:rtl/>
        </w:rPr>
        <w:t xml:space="preserve"> </w:t>
      </w:r>
      <w:r>
        <w:rPr>
          <w:rFonts w:hint="cs"/>
          <w:rtl/>
        </w:rPr>
        <w:t>ונוכח העובדה</w:t>
      </w:r>
      <w:r w:rsidRPr="00DD762E">
        <w:rPr>
          <w:rFonts w:hint="cs"/>
          <w:rtl/>
        </w:rPr>
        <w:t xml:space="preserve"> </w:t>
      </w:r>
      <w:r>
        <w:rPr>
          <w:rFonts w:hint="cs"/>
          <w:rtl/>
        </w:rPr>
        <w:t>ש</w:t>
      </w:r>
      <w:r w:rsidRPr="00DD762E">
        <w:rPr>
          <w:rFonts w:hint="cs"/>
          <w:rtl/>
        </w:rPr>
        <w:t xml:space="preserve">בישראל </w:t>
      </w:r>
      <w:r>
        <w:rPr>
          <w:rFonts w:hint="cs"/>
          <w:rtl/>
        </w:rPr>
        <w:t>מספר</w:t>
      </w:r>
      <w:r w:rsidRPr="00DD762E">
        <w:rPr>
          <w:rFonts w:hint="cs"/>
          <w:rtl/>
        </w:rPr>
        <w:t xml:space="preserve"> העצורים ל-100 אלף איש גבוה </w:t>
      </w:r>
      <w:r>
        <w:rPr>
          <w:rFonts w:hint="cs"/>
          <w:rtl/>
        </w:rPr>
        <w:t>לעומת</w:t>
      </w:r>
      <w:r w:rsidRPr="00DD762E">
        <w:rPr>
          <w:rFonts w:hint="cs"/>
          <w:rtl/>
        </w:rPr>
        <w:t xml:space="preserve"> שאר מדינות ה-</w:t>
      </w:r>
      <w:r w:rsidRPr="00DD762E">
        <w:rPr>
          <w:rFonts w:hint="cs"/>
        </w:rPr>
        <w:t>OECD</w:t>
      </w:r>
      <w:r w:rsidRPr="00DD762E">
        <w:rPr>
          <w:rFonts w:hint="cs"/>
          <w:rtl/>
        </w:rPr>
        <w:t>, על גורמי התביעה לבחון את מדיניות המעצרים עד תום ההליכים</w:t>
      </w:r>
      <w:r w:rsidRPr="00454669">
        <w:rPr>
          <w:rtl/>
        </w:rPr>
        <w:t xml:space="preserve"> </w:t>
      </w:r>
      <w:r w:rsidRPr="00126D15">
        <w:rPr>
          <w:rtl/>
        </w:rPr>
        <w:t>וליישם את המלצות הוועדה הציבורית בנושא זה</w:t>
      </w:r>
      <w:r>
        <w:rPr>
          <w:rFonts w:hint="cs"/>
          <w:rtl/>
        </w:rPr>
        <w:t xml:space="preserve"> (כמפורט להלן)</w:t>
      </w:r>
      <w:r w:rsidRPr="00DD762E">
        <w:rPr>
          <w:rFonts w:hint="cs"/>
          <w:rtl/>
        </w:rPr>
        <w:t>.</w:t>
      </w:r>
      <w:r w:rsidRPr="00126D15">
        <w:rPr>
          <w:rtl/>
        </w:rPr>
        <w:t xml:space="preserve"> </w:t>
      </w:r>
    </w:p>
    <w:p w14:paraId="156F3678" w14:textId="77777777" w:rsidR="00BA23AE" w:rsidRPr="00DD762E" w:rsidRDefault="00BA23AE" w:rsidP="00111AD4">
      <w:pPr>
        <w:pStyle w:val="316"/>
        <w:rPr>
          <w:rtl/>
        </w:rPr>
      </w:pPr>
      <w:r w:rsidRPr="00DD762E">
        <w:rPr>
          <w:rFonts w:hint="cs"/>
          <w:rtl/>
        </w:rPr>
        <w:t xml:space="preserve">תיעוד </w:t>
      </w:r>
      <w:r>
        <w:rPr>
          <w:rFonts w:hint="cs"/>
          <w:rtl/>
        </w:rPr>
        <w:t>ה</w:t>
      </w:r>
      <w:r w:rsidRPr="00DD762E">
        <w:rPr>
          <w:rFonts w:hint="cs"/>
          <w:rtl/>
        </w:rPr>
        <w:t xml:space="preserve">בקשות </w:t>
      </w:r>
      <w:r>
        <w:rPr>
          <w:rFonts w:hint="cs"/>
          <w:rtl/>
        </w:rPr>
        <w:t>ל</w:t>
      </w:r>
      <w:r w:rsidRPr="00DD762E">
        <w:rPr>
          <w:rFonts w:hint="cs"/>
          <w:rtl/>
        </w:rPr>
        <w:t xml:space="preserve">מעצר עד תום ההליכים </w:t>
      </w:r>
    </w:p>
    <w:p w14:paraId="3FCB35C4" w14:textId="77777777" w:rsidR="00BA23AE" w:rsidRPr="00DD762E" w:rsidRDefault="00BA23AE" w:rsidP="00111AD4">
      <w:pPr>
        <w:pStyle w:val="100"/>
        <w:rPr>
          <w:b/>
          <w:sz w:val="24"/>
          <w:highlight w:val="yellow"/>
          <w:rtl/>
        </w:rPr>
      </w:pPr>
      <w:r w:rsidRPr="00DD762E">
        <w:rPr>
          <w:rFonts w:hint="cs"/>
          <w:sz w:val="24"/>
          <w:rtl/>
        </w:rPr>
        <w:t>לפי נתוני הנהלת בתי המשפט</w:t>
      </w:r>
      <w:r>
        <w:rPr>
          <w:rFonts w:hint="cs"/>
          <w:sz w:val="24"/>
          <w:rtl/>
        </w:rPr>
        <w:t>,</w:t>
      </w:r>
      <w:r w:rsidRPr="00DD762E">
        <w:rPr>
          <w:rFonts w:hint="cs"/>
          <w:sz w:val="24"/>
          <w:rtl/>
        </w:rPr>
        <w:t xml:space="preserve"> בשנת 2018 נפתחו 14,831 הליכי מעצר עד תום ההליכים והתקיימו 57,995 דיונים. </w:t>
      </w:r>
      <w:r>
        <w:rPr>
          <w:rFonts w:hint="cs"/>
          <w:rtl/>
        </w:rPr>
        <w:t>בניגוד להליך בקשה למעצר ימים, שמספר הדיונים בו קטן (אחד או שניים) ונמשך ימים ספורים, הדיון בבקשה למעצר עד תום ההליכים יכול להימשך שבועות אחדים, ולפי נתוני הנהלת בית המשפט יכולים להתקיים במהלכו ארבעה דיונים ואף יותר מכך. כאמור, בזמן ההליך העצור נמצא במעמד של מעצר עד להחלטה אחרת</w:t>
      </w:r>
      <w:r w:rsidRPr="00AF79A9">
        <w:rPr>
          <w:b/>
          <w:sz w:val="24"/>
          <w:rtl/>
        </w:rPr>
        <w:t>.</w:t>
      </w:r>
    </w:p>
    <w:p w14:paraId="66D35ACB" w14:textId="77777777" w:rsidR="00BA23AE" w:rsidRDefault="00BA23AE" w:rsidP="00111AD4">
      <w:pPr>
        <w:pStyle w:val="100"/>
        <w:rPr>
          <w:rtl/>
        </w:rPr>
      </w:pPr>
      <w:r w:rsidRPr="00111AD4">
        <w:rPr>
          <w:rStyle w:val="Heading5Char"/>
          <w:rFonts w:hint="eastAsia"/>
          <w:color w:val="387026"/>
          <w:spacing w:val="0"/>
          <w:rtl/>
        </w:rPr>
        <w:t>פרקליטות</w:t>
      </w:r>
      <w:r w:rsidRPr="00111AD4">
        <w:rPr>
          <w:rStyle w:val="Heading5Char"/>
          <w:color w:val="387026"/>
          <w:spacing w:val="0"/>
          <w:rtl/>
        </w:rPr>
        <w:t xml:space="preserve"> </w:t>
      </w:r>
      <w:r w:rsidRPr="00111AD4">
        <w:rPr>
          <w:rStyle w:val="Heading5Char"/>
          <w:rFonts w:hint="eastAsia"/>
          <w:color w:val="387026"/>
          <w:spacing w:val="0"/>
          <w:rtl/>
        </w:rPr>
        <w:t>המדינה</w:t>
      </w:r>
      <w:r w:rsidRPr="00111AD4">
        <w:rPr>
          <w:rStyle w:val="Heading5Char"/>
          <w:rFonts w:hint="cs"/>
          <w:color w:val="387026"/>
          <w:spacing w:val="0"/>
          <w:rtl/>
        </w:rPr>
        <w:t>:</w:t>
      </w:r>
      <w:r w:rsidRPr="00111AD4">
        <w:rPr>
          <w:rFonts w:hint="cs"/>
          <w:color w:val="387026"/>
          <w:rtl/>
        </w:rPr>
        <w:t xml:space="preserve"> </w:t>
      </w:r>
      <w:r w:rsidRPr="00DD762E">
        <w:rPr>
          <w:rFonts w:hint="cs"/>
          <w:rtl/>
        </w:rPr>
        <w:t xml:space="preserve">לבקשת משרד מבקר המדינה, פרקליטות המדינה הציגה נתונים </w:t>
      </w:r>
      <w:r>
        <w:rPr>
          <w:rFonts w:hint="cs"/>
          <w:rtl/>
        </w:rPr>
        <w:t xml:space="preserve">לגבי הליכי </w:t>
      </w:r>
      <w:r w:rsidRPr="002E02E9">
        <w:rPr>
          <w:rFonts w:hint="cs"/>
          <w:rtl/>
        </w:rPr>
        <w:t xml:space="preserve">המעצר עד תום ההליכים המתנהלים במחוזות הפליליים בפרקליטות. המחוזות הפליליים הם המטפלים </w:t>
      </w:r>
      <w:r w:rsidRPr="002E02E9">
        <w:rPr>
          <w:rFonts w:hint="eastAsia"/>
          <w:rtl/>
        </w:rPr>
        <w:t>ברוב</w:t>
      </w:r>
      <w:r w:rsidRPr="002E02E9">
        <w:rPr>
          <w:rtl/>
        </w:rPr>
        <w:t xml:space="preserve"> </w:t>
      </w:r>
      <w:r w:rsidRPr="002E02E9">
        <w:rPr>
          <w:rFonts w:hint="eastAsia"/>
          <w:rtl/>
        </w:rPr>
        <w:t>רובם</w:t>
      </w:r>
      <w:r w:rsidRPr="002E02E9">
        <w:rPr>
          <w:rtl/>
        </w:rPr>
        <w:t xml:space="preserve"> </w:t>
      </w:r>
      <w:r w:rsidRPr="002E02E9">
        <w:rPr>
          <w:rFonts w:hint="eastAsia"/>
          <w:rtl/>
        </w:rPr>
        <w:t>של</w:t>
      </w:r>
      <w:r w:rsidRPr="002E02E9">
        <w:rPr>
          <w:rtl/>
        </w:rPr>
        <w:t xml:space="preserve"> </w:t>
      </w:r>
      <w:r w:rsidRPr="002E02E9">
        <w:rPr>
          <w:rFonts w:hint="eastAsia"/>
          <w:rtl/>
        </w:rPr>
        <w:t>הליכי</w:t>
      </w:r>
      <w:r w:rsidRPr="002E02E9">
        <w:rPr>
          <w:rtl/>
        </w:rPr>
        <w:t xml:space="preserve"> </w:t>
      </w:r>
      <w:r w:rsidRPr="002E02E9">
        <w:rPr>
          <w:rFonts w:hint="eastAsia"/>
          <w:rtl/>
        </w:rPr>
        <w:t>המעצר</w:t>
      </w:r>
      <w:r>
        <w:rPr>
          <w:rFonts w:hint="cs"/>
          <w:rtl/>
        </w:rPr>
        <w:t>,</w:t>
      </w:r>
      <w:r w:rsidRPr="002E02E9">
        <w:rPr>
          <w:rFonts w:hint="cs"/>
          <w:rtl/>
        </w:rPr>
        <w:t xml:space="preserve"> </w:t>
      </w:r>
      <w:r>
        <w:rPr>
          <w:rFonts w:hint="cs"/>
          <w:rtl/>
        </w:rPr>
        <w:t>ואילו</w:t>
      </w:r>
      <w:r w:rsidRPr="002E02E9">
        <w:rPr>
          <w:rFonts w:hint="cs"/>
          <w:rtl/>
        </w:rPr>
        <w:t xml:space="preserve"> </w:t>
      </w:r>
      <w:r>
        <w:rPr>
          <w:rFonts w:hint="cs"/>
          <w:rtl/>
        </w:rPr>
        <w:t>ב</w:t>
      </w:r>
      <w:r w:rsidRPr="002E02E9">
        <w:rPr>
          <w:rFonts w:hint="cs"/>
          <w:rtl/>
        </w:rPr>
        <w:t>יחידות הארציות</w:t>
      </w:r>
      <w:r>
        <w:rPr>
          <w:rFonts w:hint="cs"/>
          <w:rtl/>
        </w:rPr>
        <w:t>, כדוגמת מחלקת הסייבר ומחלקת מיסוי וכלכלה, הליכי המעצר מעטים. לפי הנתונים שברשות פרקליטות המדינה,</w:t>
      </w:r>
      <w:r w:rsidRPr="00DD762E">
        <w:rPr>
          <w:rFonts w:hint="cs"/>
          <w:rtl/>
        </w:rPr>
        <w:t xml:space="preserve"> בשנת 2018 מספר כתבי האישום </w:t>
      </w:r>
      <w:r>
        <w:rPr>
          <w:rFonts w:hint="cs"/>
          <w:rtl/>
        </w:rPr>
        <w:t xml:space="preserve">שלצדם הוגשו </w:t>
      </w:r>
      <w:r w:rsidRPr="00DD762E">
        <w:rPr>
          <w:rFonts w:hint="cs"/>
          <w:rtl/>
        </w:rPr>
        <w:t>בקש</w:t>
      </w:r>
      <w:r>
        <w:rPr>
          <w:rFonts w:hint="cs"/>
          <w:rtl/>
        </w:rPr>
        <w:t>ות</w:t>
      </w:r>
      <w:r w:rsidRPr="00DD762E">
        <w:rPr>
          <w:rFonts w:hint="cs"/>
          <w:rtl/>
        </w:rPr>
        <w:t xml:space="preserve"> למעצר עד תום ההליכים או בקשות לשחרור בתנאים מגבילים</w:t>
      </w:r>
      <w:r>
        <w:rPr>
          <w:rFonts w:hint="cs"/>
          <w:rtl/>
        </w:rPr>
        <w:t>,</w:t>
      </w:r>
      <w:r w:rsidRPr="00DD762E">
        <w:rPr>
          <w:rFonts w:hint="cs"/>
          <w:rtl/>
        </w:rPr>
        <w:t xml:space="preserve"> עמד על כ-57% ממספר כתבי האישום שהוגשו </w:t>
      </w:r>
      <w:r>
        <w:rPr>
          <w:rFonts w:hint="cs"/>
          <w:rtl/>
        </w:rPr>
        <w:t>ב</w:t>
      </w:r>
      <w:r w:rsidRPr="00DD762E">
        <w:rPr>
          <w:rFonts w:hint="cs"/>
          <w:rtl/>
        </w:rPr>
        <w:t xml:space="preserve">אותם המחוזות. הפרקליטות הודיעה </w:t>
      </w:r>
      <w:r>
        <w:rPr>
          <w:rFonts w:hint="cs"/>
          <w:rtl/>
        </w:rPr>
        <w:t>למשרד מבקר המדינה, כי אין ב</w:t>
      </w:r>
      <w:r w:rsidRPr="00DD762E">
        <w:rPr>
          <w:rFonts w:hint="cs"/>
          <w:rtl/>
        </w:rPr>
        <w:t>אפשרות</w:t>
      </w:r>
      <w:r>
        <w:rPr>
          <w:rFonts w:hint="cs"/>
          <w:rtl/>
        </w:rPr>
        <w:t>ה</w:t>
      </w:r>
      <w:r w:rsidRPr="00DD762E">
        <w:rPr>
          <w:rFonts w:hint="cs"/>
          <w:rtl/>
        </w:rPr>
        <w:t xml:space="preserve"> להפיק</w:t>
      </w:r>
      <w:r w:rsidRPr="00D80AD1">
        <w:rPr>
          <w:rFonts w:hint="cs"/>
          <w:rtl/>
        </w:rPr>
        <w:t xml:space="preserve"> </w:t>
      </w:r>
      <w:r w:rsidRPr="00DD762E">
        <w:rPr>
          <w:rFonts w:hint="cs"/>
          <w:rtl/>
        </w:rPr>
        <w:t xml:space="preserve">מן המערכת הממוחשבת, בצורה מהימנה דיה, את </w:t>
      </w:r>
      <w:r>
        <w:rPr>
          <w:rFonts w:hint="cs"/>
          <w:rtl/>
        </w:rPr>
        <w:t>ה</w:t>
      </w:r>
      <w:r w:rsidRPr="00DD762E">
        <w:rPr>
          <w:rFonts w:hint="cs"/>
          <w:rtl/>
        </w:rPr>
        <w:t xml:space="preserve">מספר המדויק </w:t>
      </w:r>
      <w:r>
        <w:rPr>
          <w:rFonts w:hint="cs"/>
          <w:rtl/>
        </w:rPr>
        <w:t>של ה</w:t>
      </w:r>
      <w:r w:rsidRPr="00DD762E">
        <w:rPr>
          <w:rFonts w:hint="cs"/>
          <w:rtl/>
        </w:rPr>
        <w:t xml:space="preserve">בקשות </w:t>
      </w:r>
      <w:r>
        <w:rPr>
          <w:rFonts w:hint="cs"/>
          <w:rtl/>
        </w:rPr>
        <w:t>ל</w:t>
      </w:r>
      <w:r w:rsidRPr="00DD762E">
        <w:rPr>
          <w:rFonts w:hint="cs"/>
          <w:rtl/>
        </w:rPr>
        <w:t xml:space="preserve">מעצר עד תום ההליכים. </w:t>
      </w:r>
      <w:r>
        <w:rPr>
          <w:rFonts w:hint="cs"/>
          <w:rtl/>
        </w:rPr>
        <w:t>היא גם</w:t>
      </w:r>
      <w:r w:rsidRPr="00DD762E">
        <w:rPr>
          <w:rFonts w:hint="cs"/>
          <w:rtl/>
        </w:rPr>
        <w:t xml:space="preserve"> הבהירה</w:t>
      </w:r>
      <w:r>
        <w:rPr>
          <w:rFonts w:hint="cs"/>
          <w:rtl/>
        </w:rPr>
        <w:t>,</w:t>
      </w:r>
      <w:r w:rsidRPr="00DD762E">
        <w:rPr>
          <w:rFonts w:hint="cs"/>
          <w:rtl/>
        </w:rPr>
        <w:t xml:space="preserve"> כי הקושי בפילוח הנתונים קשור </w:t>
      </w:r>
      <w:r>
        <w:rPr>
          <w:rFonts w:hint="cs"/>
          <w:rtl/>
        </w:rPr>
        <w:t>לחוסר האחידות</w:t>
      </w:r>
      <w:r w:rsidRPr="004B22B6">
        <w:rPr>
          <w:rFonts w:hint="cs"/>
          <w:rtl/>
        </w:rPr>
        <w:t xml:space="preserve"> </w:t>
      </w:r>
      <w:r w:rsidRPr="00DD762E">
        <w:rPr>
          <w:rFonts w:hint="cs"/>
          <w:rtl/>
        </w:rPr>
        <w:t xml:space="preserve">בין המחוזות </w:t>
      </w:r>
      <w:r>
        <w:rPr>
          <w:rFonts w:hint="cs"/>
          <w:rtl/>
        </w:rPr>
        <w:t>בהזנתן ל</w:t>
      </w:r>
      <w:r w:rsidRPr="00DD762E">
        <w:rPr>
          <w:rFonts w:hint="cs"/>
          <w:rtl/>
        </w:rPr>
        <w:t xml:space="preserve">מערכת הממוחשבת </w:t>
      </w:r>
      <w:r>
        <w:rPr>
          <w:rFonts w:hint="cs"/>
          <w:rtl/>
        </w:rPr>
        <w:t>וב</w:t>
      </w:r>
      <w:r w:rsidRPr="00DD762E">
        <w:rPr>
          <w:rFonts w:hint="cs"/>
          <w:rtl/>
        </w:rPr>
        <w:t>תיעוד</w:t>
      </w:r>
      <w:r>
        <w:rPr>
          <w:rFonts w:hint="cs"/>
          <w:rtl/>
        </w:rPr>
        <w:t>ן של</w:t>
      </w:r>
      <w:r w:rsidRPr="00DD762E">
        <w:rPr>
          <w:rFonts w:hint="cs"/>
          <w:rtl/>
        </w:rPr>
        <w:t xml:space="preserve"> בקשות לשחרור בתנאים מגבילים. </w:t>
      </w:r>
    </w:p>
    <w:p w14:paraId="55261D01" w14:textId="77777777" w:rsidR="00BA23AE" w:rsidRPr="00154427" w:rsidRDefault="00BA23AE" w:rsidP="005C5648">
      <w:pPr>
        <w:pStyle w:val="100"/>
        <w:rPr>
          <w:rtl/>
        </w:rPr>
      </w:pPr>
      <w:r>
        <w:rPr>
          <w:rFonts w:hint="cs"/>
          <w:rtl/>
        </w:rPr>
        <w:t xml:space="preserve">פרקליטות המדינה מסרה בתשובתה מדצמבר 2019 כי היא רואה חשיבות רבה ביכולת להפיק נתונים מהימנים על הליך המעצר, ולכן היא פועלת בימים אלו כדי </w:t>
      </w:r>
      <w:r w:rsidRPr="00DD762E">
        <w:rPr>
          <w:rFonts w:hint="cs"/>
          <w:rtl/>
        </w:rPr>
        <w:t xml:space="preserve">לטייב ולתקף את הנתונים </w:t>
      </w:r>
      <w:r>
        <w:rPr>
          <w:rFonts w:hint="cs"/>
          <w:rtl/>
        </w:rPr>
        <w:t xml:space="preserve">באמצעות הנחיית המחוזות בנוגע לאופן הזנת הנתונים </w:t>
      </w:r>
      <w:r w:rsidRPr="00DD762E">
        <w:rPr>
          <w:rFonts w:hint="cs"/>
          <w:rtl/>
        </w:rPr>
        <w:t xml:space="preserve">במערכת הממוחשבת </w:t>
      </w:r>
      <w:r>
        <w:rPr>
          <w:rFonts w:hint="cs"/>
          <w:rtl/>
        </w:rPr>
        <w:t>ובאמצעות אפיון ופיתוח של דוח קבוע, שיפיק תמונת מצב מהימנה</w:t>
      </w:r>
      <w:r w:rsidRPr="00DD762E">
        <w:rPr>
          <w:rFonts w:hint="cs"/>
          <w:rtl/>
        </w:rPr>
        <w:t>.</w:t>
      </w:r>
    </w:p>
    <w:p w14:paraId="7DF563A1" w14:textId="58B1062D" w:rsidR="005C5648" w:rsidRDefault="00BA23AE" w:rsidP="005C5648">
      <w:pPr>
        <w:pStyle w:val="100"/>
        <w:rPr>
          <w:rtl/>
        </w:rPr>
      </w:pPr>
      <w:r w:rsidRPr="005C5648">
        <w:rPr>
          <w:rStyle w:val="Heading5Char"/>
          <w:rFonts w:hint="eastAsia"/>
          <w:color w:val="387026"/>
          <w:spacing w:val="0"/>
          <w:rtl/>
        </w:rPr>
        <w:t>מינהל התביעות</w:t>
      </w:r>
      <w:r w:rsidRPr="005C5648">
        <w:rPr>
          <w:rStyle w:val="Heading5Char"/>
          <w:rFonts w:hint="cs"/>
          <w:color w:val="387026"/>
          <w:spacing w:val="0"/>
          <w:rtl/>
        </w:rPr>
        <w:t>:</w:t>
      </w:r>
      <w:r w:rsidRPr="00DD762E">
        <w:rPr>
          <w:rFonts w:hint="cs"/>
          <w:rtl/>
        </w:rPr>
        <w:t xml:space="preserve"> בשנת 2018 הגיש מינהל התביעות 17,423 בקשות למעצר עד תום </w:t>
      </w:r>
      <w:r>
        <w:rPr>
          <w:rFonts w:hint="cs"/>
          <w:rtl/>
        </w:rPr>
        <w:t>ה</w:t>
      </w:r>
      <w:r w:rsidRPr="00DD762E">
        <w:rPr>
          <w:rFonts w:hint="cs"/>
          <w:rtl/>
        </w:rPr>
        <w:t xml:space="preserve">הליכים ובקשות לשחרור בתנאים מגבילים. </w:t>
      </w:r>
      <w:r>
        <w:rPr>
          <w:rFonts w:hint="cs"/>
          <w:rtl/>
        </w:rPr>
        <w:t>שיעור התיקים</w:t>
      </w:r>
      <w:r>
        <w:t xml:space="preserve"> </w:t>
      </w:r>
      <w:r>
        <w:rPr>
          <w:rFonts w:hint="cs"/>
          <w:rtl/>
        </w:rPr>
        <w:t>שהוגשה בהם בקשה למעצר עד תום ההליכים</w:t>
      </w:r>
      <w:r w:rsidRPr="00DD762E">
        <w:rPr>
          <w:rFonts w:hint="cs"/>
          <w:rtl/>
        </w:rPr>
        <w:t xml:space="preserve"> </w:t>
      </w:r>
      <w:r>
        <w:rPr>
          <w:rFonts w:hint="cs"/>
          <w:rtl/>
        </w:rPr>
        <w:t>הוא</w:t>
      </w:r>
      <w:r w:rsidRPr="00DD762E">
        <w:rPr>
          <w:rFonts w:hint="cs"/>
          <w:rtl/>
        </w:rPr>
        <w:t xml:space="preserve"> 47% מתיקי החקירה שמינהל התביעות הגיש בהם כתבי אישום</w:t>
      </w:r>
      <w:r w:rsidRPr="00DD762E">
        <w:rPr>
          <w:rtl/>
        </w:rPr>
        <w:t>.</w:t>
      </w:r>
      <w:r w:rsidRPr="00DD762E">
        <w:rPr>
          <w:rFonts w:hint="cs"/>
          <w:rtl/>
        </w:rPr>
        <w:t xml:space="preserve"> יחידת הבקרה של מינהל התביעות </w:t>
      </w:r>
      <w:r>
        <w:rPr>
          <w:rFonts w:hint="cs"/>
          <w:rtl/>
        </w:rPr>
        <w:t>בדקה</w:t>
      </w:r>
      <w:r w:rsidRPr="00DD762E">
        <w:rPr>
          <w:rFonts w:hint="cs"/>
          <w:rtl/>
        </w:rPr>
        <w:t xml:space="preserve"> </w:t>
      </w:r>
      <w:r>
        <w:rPr>
          <w:rFonts w:hint="cs"/>
          <w:rtl/>
        </w:rPr>
        <w:t>את</w:t>
      </w:r>
      <w:r w:rsidRPr="00DD762E">
        <w:rPr>
          <w:rFonts w:hint="cs"/>
          <w:rtl/>
        </w:rPr>
        <w:t xml:space="preserve"> נושא </w:t>
      </w:r>
      <w:r>
        <w:rPr>
          <w:rFonts w:hint="cs"/>
          <w:rtl/>
        </w:rPr>
        <w:t>ה</w:t>
      </w:r>
      <w:r w:rsidRPr="00DD762E">
        <w:rPr>
          <w:rFonts w:hint="cs"/>
          <w:rtl/>
        </w:rPr>
        <w:t>בקשות למעצר עד תום ההליכים</w:t>
      </w:r>
      <w:r w:rsidRPr="00A4069C">
        <w:rPr>
          <w:rFonts w:hint="cs"/>
          <w:rtl/>
        </w:rPr>
        <w:t xml:space="preserve"> </w:t>
      </w:r>
      <w:r>
        <w:rPr>
          <w:rFonts w:hint="cs"/>
          <w:rtl/>
        </w:rPr>
        <w:t>ל</w:t>
      </w:r>
      <w:r w:rsidRPr="00DD762E">
        <w:rPr>
          <w:rFonts w:hint="cs"/>
          <w:rtl/>
        </w:rPr>
        <w:t>שנים 201</w:t>
      </w:r>
      <w:r>
        <w:rPr>
          <w:rFonts w:hint="cs"/>
          <w:rtl/>
        </w:rPr>
        <w:t xml:space="preserve">8 </w:t>
      </w:r>
      <w:r w:rsidRPr="00DD762E">
        <w:rPr>
          <w:rFonts w:hint="cs"/>
          <w:rtl/>
        </w:rPr>
        <w:t>-</w:t>
      </w:r>
      <w:r>
        <w:rPr>
          <w:rFonts w:hint="cs"/>
          <w:rtl/>
        </w:rPr>
        <w:t xml:space="preserve"> </w:t>
      </w:r>
      <w:r w:rsidRPr="00DD762E">
        <w:rPr>
          <w:rFonts w:hint="cs"/>
          <w:rtl/>
        </w:rPr>
        <w:t>201</w:t>
      </w:r>
      <w:r>
        <w:rPr>
          <w:rFonts w:hint="cs"/>
          <w:rtl/>
        </w:rPr>
        <w:t>9</w:t>
      </w:r>
      <w:r w:rsidRPr="00DD762E">
        <w:rPr>
          <w:rFonts w:hint="cs"/>
          <w:rtl/>
        </w:rPr>
        <w:t>. מתוך 253 בקשות שנבדקו</w:t>
      </w:r>
      <w:r>
        <w:rPr>
          <w:rFonts w:hint="cs"/>
          <w:rtl/>
        </w:rPr>
        <w:t xml:space="preserve">, </w:t>
      </w:r>
      <w:r w:rsidRPr="00DD762E">
        <w:rPr>
          <w:rFonts w:hint="cs"/>
          <w:rtl/>
        </w:rPr>
        <w:t xml:space="preserve">רק </w:t>
      </w:r>
      <w:r>
        <w:rPr>
          <w:rFonts w:hint="cs"/>
          <w:rtl/>
        </w:rPr>
        <w:t>23 בקשות (</w:t>
      </w:r>
      <w:r w:rsidRPr="00DD762E">
        <w:rPr>
          <w:rFonts w:hint="cs"/>
          <w:rtl/>
        </w:rPr>
        <w:t>כ-9%</w:t>
      </w:r>
      <w:r>
        <w:rPr>
          <w:rFonts w:hint="cs"/>
          <w:rtl/>
        </w:rPr>
        <w:t>)</w:t>
      </w:r>
      <w:r w:rsidRPr="00DD762E">
        <w:rPr>
          <w:rFonts w:hint="cs"/>
          <w:rtl/>
        </w:rPr>
        <w:t xml:space="preserve"> הוגשו בדרישה להארכת תנאי שחרור, וכל שאר הבקשות (כ-91%) הוגשו בדרישה למעצר עד תום ההליכים.</w:t>
      </w:r>
    </w:p>
    <w:p w14:paraId="1A46C1B2" w14:textId="77777777" w:rsidR="005C5648" w:rsidRDefault="005C5648">
      <w:pPr>
        <w:bidi w:val="0"/>
        <w:spacing w:after="200" w:line="276" w:lineRule="auto"/>
        <w:rPr>
          <w:rFonts w:ascii="Tahoma" w:hAnsi="Tahoma" w:cs="Tahoma"/>
          <w:szCs w:val="20"/>
          <w:rtl/>
        </w:rPr>
      </w:pPr>
      <w:r>
        <w:rPr>
          <w:rtl/>
        </w:rPr>
        <w:br w:type="page"/>
      </w:r>
    </w:p>
    <w:p w14:paraId="65768672" w14:textId="77777777" w:rsidR="00BA23AE" w:rsidRDefault="00BA23AE" w:rsidP="005C5648">
      <w:pPr>
        <w:pStyle w:val="af4"/>
        <w:rPr>
          <w:rtl/>
        </w:rPr>
      </w:pPr>
      <w:r w:rsidRPr="00DD762E">
        <w:rPr>
          <w:rFonts w:hint="cs"/>
          <w:rtl/>
        </w:rPr>
        <w:lastRenderedPageBreak/>
        <w:t xml:space="preserve">נמצא כי הן בפרקליטות המדינה והן במינהל התביעות לא מתבצעת </w:t>
      </w:r>
      <w:r>
        <w:rPr>
          <w:rFonts w:hint="cs"/>
          <w:rtl/>
        </w:rPr>
        <w:t>ה</w:t>
      </w:r>
      <w:r w:rsidRPr="00DD762E">
        <w:rPr>
          <w:rFonts w:hint="cs"/>
          <w:rtl/>
        </w:rPr>
        <w:t>בחנה בניהול הנתונים הממוחשבים בין בקשות למעצר ובין בקשות לשחרור בתנאים מגבילים. לדעת משרד מבקר המדינה</w:t>
      </w:r>
      <w:r>
        <w:rPr>
          <w:rFonts w:hint="cs"/>
          <w:rtl/>
        </w:rPr>
        <w:t>,</w:t>
      </w:r>
      <w:r w:rsidRPr="00DD762E">
        <w:rPr>
          <w:rFonts w:hint="cs"/>
          <w:rtl/>
        </w:rPr>
        <w:t xml:space="preserve"> היעדר </w:t>
      </w:r>
      <w:r>
        <w:rPr>
          <w:rFonts w:hint="cs"/>
          <w:rtl/>
        </w:rPr>
        <w:t>ה</w:t>
      </w:r>
      <w:r w:rsidRPr="00DD762E">
        <w:rPr>
          <w:rFonts w:hint="cs"/>
          <w:rtl/>
        </w:rPr>
        <w:t xml:space="preserve">בחנה זו מונע את האפשרות לבקר </w:t>
      </w:r>
      <w:r>
        <w:rPr>
          <w:rFonts w:hint="cs"/>
          <w:rtl/>
        </w:rPr>
        <w:t>ביעילות</w:t>
      </w:r>
      <w:r w:rsidRPr="00DD762E">
        <w:rPr>
          <w:rFonts w:hint="cs"/>
          <w:rtl/>
        </w:rPr>
        <w:t xml:space="preserve"> ברמה הארצית את הבקשות למעצר עד תום ההליכים. כמו כן, על פרקליטות המדינה לבחון את הקשיים המונעים הצגת נתונים מלאה </w:t>
      </w:r>
      <w:r>
        <w:rPr>
          <w:rFonts w:hint="cs"/>
          <w:rtl/>
        </w:rPr>
        <w:t>ב</w:t>
      </w:r>
      <w:r w:rsidRPr="00DD762E">
        <w:rPr>
          <w:rFonts w:hint="cs"/>
          <w:rtl/>
        </w:rPr>
        <w:t>תחום המעצרים.</w:t>
      </w:r>
    </w:p>
    <w:p w14:paraId="0D0E6589" w14:textId="77777777" w:rsidR="00BA23AE" w:rsidRDefault="00BA23AE" w:rsidP="005C5648">
      <w:pPr>
        <w:pStyle w:val="100"/>
        <w:rPr>
          <w:rtl/>
        </w:rPr>
      </w:pPr>
      <w:r w:rsidRPr="00DD762E">
        <w:rPr>
          <w:rFonts w:hint="cs"/>
          <w:rtl/>
        </w:rPr>
        <w:t>יצוין כי מדגם שנערך בשנת 2012 מטעם אוניברסיטת חיפה ומחלקת המחקר של הרשות השופטת מצא</w:t>
      </w:r>
      <w:r>
        <w:rPr>
          <w:rFonts w:hint="cs"/>
          <w:rtl/>
        </w:rPr>
        <w:t>,</w:t>
      </w:r>
      <w:r w:rsidRPr="00DD762E">
        <w:rPr>
          <w:rFonts w:hint="cs"/>
          <w:rtl/>
        </w:rPr>
        <w:t xml:space="preserve"> כי </w:t>
      </w:r>
      <w:r>
        <w:rPr>
          <w:rFonts w:hint="cs"/>
          <w:rtl/>
        </w:rPr>
        <w:t>מספר</w:t>
      </w:r>
      <w:r w:rsidRPr="00DD762E">
        <w:rPr>
          <w:rFonts w:hint="cs"/>
          <w:rtl/>
        </w:rPr>
        <w:t xml:space="preserve"> הבקשות </w:t>
      </w:r>
      <w:r>
        <w:rPr>
          <w:rFonts w:hint="cs"/>
          <w:rtl/>
        </w:rPr>
        <w:t>ש</w:t>
      </w:r>
      <w:r w:rsidRPr="00DD762E">
        <w:rPr>
          <w:rFonts w:hint="cs"/>
          <w:rtl/>
        </w:rPr>
        <w:t>בהן ביקשו גורמי התביעה ל</w:t>
      </w:r>
      <w:r>
        <w:rPr>
          <w:rFonts w:hint="cs"/>
          <w:rtl/>
        </w:rPr>
        <w:t>שחרר עצורים בתנאים מגבילים</w:t>
      </w:r>
      <w:r w:rsidRPr="00DD762E">
        <w:rPr>
          <w:rFonts w:hint="cs"/>
          <w:rtl/>
        </w:rPr>
        <w:t xml:space="preserve"> נמו</w:t>
      </w:r>
      <w:r>
        <w:rPr>
          <w:rFonts w:hint="cs"/>
          <w:rtl/>
        </w:rPr>
        <w:t>ך</w:t>
      </w:r>
      <w:r w:rsidRPr="00DD762E">
        <w:rPr>
          <w:rFonts w:hint="cs"/>
          <w:rtl/>
        </w:rPr>
        <w:t xml:space="preserve"> מאוד </w:t>
      </w:r>
      <w:r>
        <w:rPr>
          <w:rFonts w:hint="cs"/>
          <w:rtl/>
        </w:rPr>
        <w:t>לעומת</w:t>
      </w:r>
      <w:r w:rsidRPr="00DD762E">
        <w:rPr>
          <w:rFonts w:hint="cs"/>
          <w:rtl/>
        </w:rPr>
        <w:t xml:space="preserve"> </w:t>
      </w:r>
      <w:r>
        <w:rPr>
          <w:rFonts w:hint="cs"/>
          <w:rtl/>
        </w:rPr>
        <w:t>ה</w:t>
      </w:r>
      <w:r w:rsidRPr="00DD762E">
        <w:rPr>
          <w:rFonts w:hint="cs"/>
          <w:rtl/>
        </w:rPr>
        <w:t>בקשות למעצר עד תום ההליכים</w:t>
      </w:r>
      <w:r>
        <w:rPr>
          <w:rFonts w:hint="cs"/>
          <w:rtl/>
        </w:rPr>
        <w:t>:</w:t>
      </w:r>
      <w:r w:rsidRPr="00DD762E">
        <w:rPr>
          <w:rFonts w:hint="cs"/>
          <w:rtl/>
        </w:rPr>
        <w:t xml:space="preserve"> </w:t>
      </w:r>
      <w:r w:rsidRPr="007A4449">
        <w:rPr>
          <w:rFonts w:hint="cs"/>
          <w:rtl/>
        </w:rPr>
        <w:t>בהליכים שהתנהלו בבית המשפט המחוזי ביקשה התביעה שכ-88% מהנאשמים יישלחו למעצר עד תום ההליכים</w:t>
      </w:r>
      <w:r>
        <w:rPr>
          <w:rFonts w:hint="cs"/>
          <w:rtl/>
        </w:rPr>
        <w:t>,</w:t>
      </w:r>
      <w:r w:rsidRPr="007A4449">
        <w:rPr>
          <w:rFonts w:hint="cs"/>
          <w:rtl/>
        </w:rPr>
        <w:t xml:space="preserve"> ורק </w:t>
      </w:r>
      <w:r>
        <w:rPr>
          <w:rFonts w:hint="cs"/>
          <w:rtl/>
        </w:rPr>
        <w:t>בנוגע</w:t>
      </w:r>
      <w:r w:rsidRPr="007A4449">
        <w:rPr>
          <w:rFonts w:hint="cs"/>
          <w:rtl/>
        </w:rPr>
        <w:t xml:space="preserve"> ל-0.6% מהנאשמים ביקשה </w:t>
      </w:r>
      <w:r>
        <w:rPr>
          <w:rFonts w:hint="cs"/>
          <w:rtl/>
        </w:rPr>
        <w:t>שחרור בתנאים מגבילים</w:t>
      </w:r>
      <w:r w:rsidRPr="007A4449">
        <w:rPr>
          <w:rFonts w:hint="cs"/>
          <w:rtl/>
        </w:rPr>
        <w:t xml:space="preserve">. בית המשפט קיבל את בקשת התביעה ב-60% </w:t>
      </w:r>
      <w:r>
        <w:rPr>
          <w:rFonts w:hint="cs"/>
          <w:rtl/>
        </w:rPr>
        <w:t>מהבקשות</w:t>
      </w:r>
      <w:r w:rsidRPr="007A4449">
        <w:rPr>
          <w:rFonts w:hint="cs"/>
          <w:rtl/>
        </w:rPr>
        <w:t>, דהיינו לגבי 54.5% מהנאשמים</w:t>
      </w:r>
      <w:r>
        <w:rPr>
          <w:rFonts w:hint="cs"/>
          <w:rtl/>
        </w:rPr>
        <w:t>,</w:t>
      </w:r>
      <w:r w:rsidRPr="007A4449">
        <w:rPr>
          <w:rFonts w:hint="cs"/>
          <w:rtl/>
        </w:rPr>
        <w:t xml:space="preserve"> ורק 6.2% </w:t>
      </w:r>
      <w:r>
        <w:rPr>
          <w:rFonts w:hint="cs"/>
          <w:rtl/>
        </w:rPr>
        <w:t>השתחררו בתנאים מגבילים.</w:t>
      </w:r>
      <w:r w:rsidRPr="007A4449">
        <w:rPr>
          <w:rFonts w:hint="cs"/>
          <w:rtl/>
        </w:rPr>
        <w:t xml:space="preserve"> </w:t>
      </w:r>
      <w:r>
        <w:rPr>
          <w:rFonts w:hint="cs"/>
          <w:rtl/>
        </w:rPr>
        <w:t>כמו כן,</w:t>
      </w:r>
      <w:r w:rsidRPr="007A4449">
        <w:rPr>
          <w:rFonts w:hint="cs"/>
          <w:rtl/>
        </w:rPr>
        <w:t xml:space="preserve"> בבית משפט השלום ביקשה התביעה שכ-27% מהנאשמים </w:t>
      </w:r>
      <w:r>
        <w:rPr>
          <w:rFonts w:hint="cs"/>
          <w:rtl/>
        </w:rPr>
        <w:t>ש</w:t>
      </w:r>
      <w:r w:rsidRPr="007A4449">
        <w:rPr>
          <w:rFonts w:hint="cs"/>
          <w:rtl/>
        </w:rPr>
        <w:t>במדגם יישלחו למעצר עד תום ההליכים</w:t>
      </w:r>
      <w:r>
        <w:rPr>
          <w:rFonts w:hint="cs"/>
          <w:rtl/>
        </w:rPr>
        <w:t>,</w:t>
      </w:r>
      <w:r w:rsidRPr="007A4449">
        <w:rPr>
          <w:rFonts w:hint="cs"/>
          <w:rtl/>
        </w:rPr>
        <w:t xml:space="preserve"> ורק</w:t>
      </w:r>
      <w:r>
        <w:rPr>
          <w:rFonts w:hint="cs"/>
          <w:rtl/>
        </w:rPr>
        <w:t xml:space="preserve"> לגבי</w:t>
      </w:r>
      <w:r w:rsidRPr="007A4449">
        <w:rPr>
          <w:rFonts w:hint="cs"/>
          <w:rtl/>
        </w:rPr>
        <w:t xml:space="preserve"> 1.4% מהנאשמים ביקשה </w:t>
      </w:r>
      <w:r>
        <w:rPr>
          <w:rFonts w:hint="cs"/>
          <w:rtl/>
        </w:rPr>
        <w:t>לשחרר בתנאים מגבילים</w:t>
      </w:r>
      <w:r w:rsidRPr="007A4449">
        <w:rPr>
          <w:rFonts w:hint="cs"/>
          <w:rtl/>
        </w:rPr>
        <w:t>. בית המשפט קיבל כמחצית מבקשות התביעה למעצר עד תום ההליכים</w:t>
      </w:r>
      <w:r>
        <w:rPr>
          <w:rFonts w:hint="cs"/>
          <w:rtl/>
        </w:rPr>
        <w:t>,</w:t>
      </w:r>
      <w:r w:rsidRPr="007A4449">
        <w:rPr>
          <w:rFonts w:hint="cs"/>
          <w:rtl/>
        </w:rPr>
        <w:t xml:space="preserve"> ורק כ-10% </w:t>
      </w:r>
      <w:r>
        <w:rPr>
          <w:rFonts w:hint="cs"/>
          <w:rtl/>
        </w:rPr>
        <w:t>השתחררו בתנאים מגבילים</w:t>
      </w:r>
      <w:r>
        <w:rPr>
          <w:rStyle w:val="FootnoteReference"/>
          <w:rtl/>
        </w:rPr>
        <w:footnoteReference w:id="17"/>
      </w:r>
      <w:r>
        <w:rPr>
          <w:rFonts w:hint="cs"/>
          <w:rtl/>
        </w:rPr>
        <w:t>.</w:t>
      </w:r>
    </w:p>
    <w:p w14:paraId="23278346" w14:textId="77777777" w:rsidR="00BA23AE" w:rsidRPr="00DD762E" w:rsidRDefault="00BA23AE" w:rsidP="005C5648">
      <w:pPr>
        <w:pStyle w:val="af4"/>
        <w:rPr>
          <w:rtl/>
        </w:rPr>
      </w:pPr>
      <w:r w:rsidRPr="00DD762E">
        <w:rPr>
          <w:rFonts w:hint="cs"/>
          <w:rtl/>
        </w:rPr>
        <w:t xml:space="preserve">נמצא </w:t>
      </w:r>
      <w:r>
        <w:rPr>
          <w:rFonts w:hint="cs"/>
          <w:rtl/>
        </w:rPr>
        <w:t>אפוא</w:t>
      </w:r>
      <w:r w:rsidRPr="00DD762E">
        <w:rPr>
          <w:rFonts w:hint="cs"/>
          <w:rtl/>
        </w:rPr>
        <w:t xml:space="preserve"> כי </w:t>
      </w:r>
      <w:r>
        <w:rPr>
          <w:rFonts w:hint="cs"/>
          <w:rtl/>
        </w:rPr>
        <w:t>אין</w:t>
      </w:r>
      <w:r w:rsidRPr="00DD762E">
        <w:rPr>
          <w:rFonts w:hint="cs"/>
          <w:rtl/>
        </w:rPr>
        <w:t xml:space="preserve"> שינוי במגמות התביעה</w:t>
      </w:r>
      <w:r>
        <w:rPr>
          <w:rFonts w:hint="cs"/>
          <w:rtl/>
        </w:rPr>
        <w:t xml:space="preserve"> בין שנת 2012 לשנת 2018, ו</w:t>
      </w:r>
      <w:r w:rsidRPr="00DD762E">
        <w:rPr>
          <w:rFonts w:hint="cs"/>
          <w:rtl/>
        </w:rPr>
        <w:t>בקשות לשחרור בתנאים</w:t>
      </w:r>
      <w:r>
        <w:rPr>
          <w:rFonts w:hint="cs"/>
          <w:rtl/>
        </w:rPr>
        <w:t xml:space="preserve"> מגבילים</w:t>
      </w:r>
      <w:r w:rsidRPr="00DD762E">
        <w:rPr>
          <w:rFonts w:hint="cs"/>
          <w:rtl/>
        </w:rPr>
        <w:t xml:space="preserve"> שיוזמים גורמי התביעה הן מיעוט ניכר לעומת בקשות למעצר עד תום ההליכים.</w:t>
      </w:r>
    </w:p>
    <w:p w14:paraId="3DE3D458" w14:textId="77777777" w:rsidR="00BA23AE" w:rsidRPr="00F460A7" w:rsidRDefault="00BA23AE" w:rsidP="005C5648">
      <w:pPr>
        <w:pStyle w:val="316"/>
        <w:rPr>
          <w:rtl/>
        </w:rPr>
      </w:pPr>
      <w:r w:rsidRPr="00F460A7">
        <w:rPr>
          <w:rFonts w:hint="cs"/>
          <w:rtl/>
        </w:rPr>
        <w:t>הזנה של החלטות שיפוטיות</w:t>
      </w:r>
    </w:p>
    <w:p w14:paraId="480373E1" w14:textId="77777777" w:rsidR="00BA23AE" w:rsidRPr="00DD762E" w:rsidRDefault="00BA23AE" w:rsidP="005C5648">
      <w:pPr>
        <w:pStyle w:val="100"/>
        <w:rPr>
          <w:rtl/>
        </w:rPr>
      </w:pPr>
      <w:r w:rsidRPr="00DD762E">
        <w:rPr>
          <w:rFonts w:hint="cs"/>
          <w:rtl/>
        </w:rPr>
        <w:t>יחידות התביעה של המשטרה</w:t>
      </w:r>
      <w:r>
        <w:rPr>
          <w:rFonts w:hint="cs"/>
          <w:rtl/>
        </w:rPr>
        <w:t>,</w:t>
      </w:r>
      <w:r w:rsidRPr="00DD762E">
        <w:rPr>
          <w:rFonts w:hint="cs"/>
          <w:rtl/>
        </w:rPr>
        <w:t xml:space="preserve"> המחוברות למערכת המשטרתית</w:t>
      </w:r>
      <w:r>
        <w:rPr>
          <w:rFonts w:hint="cs"/>
          <w:rtl/>
        </w:rPr>
        <w:t>,</w:t>
      </w:r>
      <w:r w:rsidRPr="00DD762E">
        <w:rPr>
          <w:rFonts w:hint="cs"/>
          <w:rtl/>
        </w:rPr>
        <w:t xml:space="preserve"> אחראיות </w:t>
      </w:r>
      <w:r>
        <w:rPr>
          <w:rFonts w:hint="cs"/>
          <w:rtl/>
        </w:rPr>
        <w:t>ל</w:t>
      </w:r>
      <w:r w:rsidRPr="00DD762E">
        <w:rPr>
          <w:rFonts w:hint="cs"/>
          <w:rtl/>
        </w:rPr>
        <w:t>הזנת ההחלטות השיפוטיות בתיקי המעצרים עד תום ההליכים. פרקליטות המדינה אינה מחוברת למערכת הממוחשבת של המשטרה</w:t>
      </w:r>
      <w:r>
        <w:rPr>
          <w:rFonts w:hint="cs"/>
          <w:rtl/>
        </w:rPr>
        <w:t>,</w:t>
      </w:r>
      <w:r w:rsidRPr="00DD762E">
        <w:rPr>
          <w:rFonts w:hint="cs"/>
          <w:rtl/>
        </w:rPr>
        <w:t xml:space="preserve"> ועל כן בכל פרקליטות מחוז הוצב נציג משטרה שאחראי </w:t>
      </w:r>
      <w:r>
        <w:rPr>
          <w:rFonts w:hint="cs"/>
          <w:rtl/>
        </w:rPr>
        <w:t>ל</w:t>
      </w:r>
      <w:r w:rsidRPr="00DD762E">
        <w:rPr>
          <w:rFonts w:hint="cs"/>
          <w:rtl/>
        </w:rPr>
        <w:t>סריקת החלטות שיפוטיות בעניין מעצרים ו</w:t>
      </w:r>
      <w:r>
        <w:rPr>
          <w:rFonts w:hint="cs"/>
          <w:rtl/>
        </w:rPr>
        <w:t>ל</w:t>
      </w:r>
      <w:r w:rsidRPr="00DD762E">
        <w:rPr>
          <w:rFonts w:hint="cs"/>
          <w:rtl/>
        </w:rPr>
        <w:t xml:space="preserve">שליחתן </w:t>
      </w:r>
      <w:r>
        <w:rPr>
          <w:rFonts w:hint="cs"/>
          <w:rtl/>
        </w:rPr>
        <w:t>אל ה</w:t>
      </w:r>
      <w:r w:rsidRPr="00DD762E">
        <w:rPr>
          <w:rFonts w:hint="cs"/>
          <w:rtl/>
        </w:rPr>
        <w:t>יחידה החוקרת</w:t>
      </w:r>
      <w:r>
        <w:rPr>
          <w:rFonts w:hint="cs"/>
          <w:rtl/>
        </w:rPr>
        <w:t>,</w:t>
      </w:r>
      <w:r w:rsidRPr="00DD762E">
        <w:rPr>
          <w:rFonts w:hint="cs"/>
          <w:rtl/>
        </w:rPr>
        <w:t xml:space="preserve"> על מנת שזו תזין את ההחלטה במערכת המשטרתית. עם קבלת החלטה בבקשת המעצר עד תום ההליכים, נדרשת היחידה החוקרת לעדכן את סטטוס העצור במערכת המשטרתית. משטרת ישראל עורכת בקרות שוטפות על אודות הזנת ההחלטות השיפוטיות</w:t>
      </w:r>
      <w:r>
        <w:rPr>
          <w:rFonts w:hint="cs"/>
          <w:rtl/>
        </w:rPr>
        <w:t>,</w:t>
      </w:r>
      <w:r w:rsidRPr="00DD762E">
        <w:rPr>
          <w:rFonts w:hint="cs"/>
          <w:rtl/>
        </w:rPr>
        <w:t xml:space="preserve"> הן בתיקי מעצרים שבסמכות התביעות והן בתיקי המעצרים שבסמכות פרקליטות המדינה</w:t>
      </w:r>
      <w:r>
        <w:rPr>
          <w:rFonts w:hint="cs"/>
          <w:rtl/>
        </w:rPr>
        <w:t>,</w:t>
      </w:r>
      <w:r w:rsidRPr="00DD762E">
        <w:rPr>
          <w:rFonts w:hint="cs"/>
          <w:rtl/>
        </w:rPr>
        <w:t xml:space="preserve"> על מנת לאתר פערים בהזנת ההחלטות</w:t>
      </w:r>
      <w:r>
        <w:rPr>
          <w:vertAlign w:val="superscript"/>
          <w:rtl/>
        </w:rPr>
        <w:footnoteReference w:id="18"/>
      </w:r>
      <w:r w:rsidRPr="00DD762E">
        <w:rPr>
          <w:rFonts w:hint="cs"/>
          <w:rtl/>
        </w:rPr>
        <w:t xml:space="preserve">. </w:t>
      </w:r>
    </w:p>
    <w:p w14:paraId="478164CA" w14:textId="17150122" w:rsidR="005C5648" w:rsidRDefault="005C5648">
      <w:pPr>
        <w:bidi w:val="0"/>
        <w:spacing w:after="200" w:line="276" w:lineRule="auto"/>
        <w:rPr>
          <w:szCs w:val="20"/>
          <w:rtl/>
        </w:rPr>
      </w:pPr>
      <w:r>
        <w:rPr>
          <w:szCs w:val="20"/>
          <w:rtl/>
        </w:rPr>
        <w:br w:type="page"/>
      </w:r>
    </w:p>
    <w:p w14:paraId="4A04825B" w14:textId="77777777" w:rsidR="00BA23AE" w:rsidRPr="00EA28D1" w:rsidRDefault="00BA23AE" w:rsidP="00EA28D1">
      <w:pPr>
        <w:pStyle w:val="a9"/>
        <w:rPr>
          <w:b/>
          <w:bCs/>
          <w:rtl/>
        </w:rPr>
      </w:pPr>
      <w:r w:rsidRPr="00DD762E">
        <w:rPr>
          <w:rFonts w:hint="cs"/>
          <w:rtl/>
        </w:rPr>
        <w:lastRenderedPageBreak/>
        <w:t xml:space="preserve">לוח </w:t>
      </w:r>
      <w:r>
        <w:rPr>
          <w:rFonts w:hint="cs"/>
          <w:rtl/>
        </w:rPr>
        <w:t>19</w:t>
      </w:r>
      <w:r w:rsidRPr="00DD762E">
        <w:rPr>
          <w:rFonts w:hint="cs"/>
          <w:rtl/>
        </w:rPr>
        <w:t xml:space="preserve">: </w:t>
      </w:r>
      <w:r w:rsidRPr="00EA28D1">
        <w:rPr>
          <w:rFonts w:hint="cs"/>
          <w:b/>
          <w:bCs/>
          <w:rtl/>
        </w:rPr>
        <w:t>היקף המעצרים, לפי סוג המעצר ואופן סיום המעצר הפלילי, 2016 - 2018</w:t>
      </w:r>
    </w:p>
    <w:tbl>
      <w:tblPr>
        <w:tblStyle w:val="TableGrid"/>
        <w:bidiVisual/>
        <w:tblW w:w="8356" w:type="dxa"/>
        <w:tblInd w:w="905" w:type="dxa"/>
        <w:tblLook w:val="04A0" w:firstRow="1" w:lastRow="0" w:firstColumn="1" w:lastColumn="0" w:noHBand="0" w:noVBand="1"/>
      </w:tblPr>
      <w:tblGrid>
        <w:gridCol w:w="1274"/>
        <w:gridCol w:w="2969"/>
        <w:gridCol w:w="1005"/>
        <w:gridCol w:w="986"/>
        <w:gridCol w:w="986"/>
        <w:gridCol w:w="1268"/>
      </w:tblGrid>
      <w:tr w:rsidR="00BA23AE" w:rsidRPr="00993244" w14:paraId="457556A2" w14:textId="77777777" w:rsidTr="001466D7">
        <w:trPr>
          <w:trHeight w:val="285"/>
        </w:trPr>
        <w:tc>
          <w:tcPr>
            <w:tcW w:w="1142" w:type="dxa"/>
            <w:shd w:val="clear" w:color="auto" w:fill="C6D9F1"/>
            <w:noWrap/>
            <w:vAlign w:val="bottom"/>
            <w:hideMark/>
          </w:tcPr>
          <w:p w14:paraId="2A09C942" w14:textId="77777777" w:rsidR="00BA23AE" w:rsidRPr="00A4189A" w:rsidRDefault="00BA23AE" w:rsidP="00A4189A">
            <w:pPr>
              <w:pStyle w:val="af0"/>
            </w:pPr>
            <w:r w:rsidRPr="00A4189A">
              <w:rPr>
                <w:rFonts w:hint="cs"/>
                <w:rtl/>
              </w:rPr>
              <w:t>סוג המעצר</w:t>
            </w:r>
          </w:p>
        </w:tc>
        <w:tc>
          <w:tcPr>
            <w:tcW w:w="2969" w:type="dxa"/>
            <w:shd w:val="clear" w:color="auto" w:fill="C6D9F1"/>
            <w:noWrap/>
            <w:vAlign w:val="bottom"/>
            <w:hideMark/>
          </w:tcPr>
          <w:p w14:paraId="547AA78A" w14:textId="77777777" w:rsidR="00BA23AE" w:rsidRPr="00A4189A" w:rsidRDefault="00BA23AE" w:rsidP="00A4189A">
            <w:pPr>
              <w:pStyle w:val="af0"/>
            </w:pPr>
            <w:r w:rsidRPr="00A4189A">
              <w:rPr>
                <w:rFonts w:hint="cs"/>
                <w:rtl/>
              </w:rPr>
              <w:t>אופן סיום המעצר הפלילי</w:t>
            </w:r>
          </w:p>
        </w:tc>
        <w:tc>
          <w:tcPr>
            <w:tcW w:w="1005" w:type="dxa"/>
            <w:shd w:val="clear" w:color="auto" w:fill="C6D9F1"/>
            <w:noWrap/>
            <w:vAlign w:val="bottom"/>
          </w:tcPr>
          <w:p w14:paraId="007A4CAD" w14:textId="77777777" w:rsidR="00BA23AE" w:rsidRPr="00A4189A" w:rsidRDefault="00BA23AE" w:rsidP="00A4189A">
            <w:pPr>
              <w:pStyle w:val="af0"/>
              <w:rPr>
                <w:rtl/>
              </w:rPr>
            </w:pPr>
            <w:r w:rsidRPr="00A4189A">
              <w:rPr>
                <w:rFonts w:hint="cs"/>
                <w:rtl/>
              </w:rPr>
              <w:t>2016</w:t>
            </w:r>
          </w:p>
        </w:tc>
        <w:tc>
          <w:tcPr>
            <w:tcW w:w="986" w:type="dxa"/>
            <w:shd w:val="clear" w:color="auto" w:fill="C6D9F1"/>
            <w:noWrap/>
            <w:vAlign w:val="bottom"/>
          </w:tcPr>
          <w:p w14:paraId="6EDC3FC4" w14:textId="77777777" w:rsidR="00BA23AE" w:rsidRPr="00A4189A" w:rsidRDefault="00BA23AE" w:rsidP="00A4189A">
            <w:pPr>
              <w:pStyle w:val="af0"/>
            </w:pPr>
            <w:r w:rsidRPr="00A4189A">
              <w:rPr>
                <w:rFonts w:hint="cs"/>
                <w:rtl/>
              </w:rPr>
              <w:t>2017</w:t>
            </w:r>
          </w:p>
        </w:tc>
        <w:tc>
          <w:tcPr>
            <w:tcW w:w="986" w:type="dxa"/>
            <w:shd w:val="clear" w:color="auto" w:fill="C6D9F1"/>
            <w:noWrap/>
            <w:vAlign w:val="bottom"/>
          </w:tcPr>
          <w:p w14:paraId="128747E1" w14:textId="77777777" w:rsidR="00BA23AE" w:rsidRPr="00A4189A" w:rsidRDefault="00BA23AE" w:rsidP="00A4189A">
            <w:pPr>
              <w:pStyle w:val="af0"/>
            </w:pPr>
            <w:r w:rsidRPr="00A4189A">
              <w:rPr>
                <w:rFonts w:hint="cs"/>
                <w:rtl/>
              </w:rPr>
              <w:t>2018</w:t>
            </w:r>
          </w:p>
        </w:tc>
        <w:tc>
          <w:tcPr>
            <w:tcW w:w="1268" w:type="dxa"/>
            <w:shd w:val="clear" w:color="auto" w:fill="C6D9F1"/>
            <w:noWrap/>
            <w:vAlign w:val="bottom"/>
            <w:hideMark/>
          </w:tcPr>
          <w:p w14:paraId="6ADD438D" w14:textId="77777777" w:rsidR="00BA23AE" w:rsidRPr="00A4189A" w:rsidRDefault="00BA23AE" w:rsidP="00A4189A">
            <w:pPr>
              <w:pStyle w:val="af0"/>
            </w:pPr>
            <w:r w:rsidRPr="00A4189A">
              <w:rPr>
                <w:rFonts w:hint="cs"/>
                <w:rtl/>
              </w:rPr>
              <w:t>תלת-שנתי</w:t>
            </w:r>
          </w:p>
        </w:tc>
      </w:tr>
      <w:tr w:rsidR="00BA23AE" w:rsidRPr="00993244" w14:paraId="3B9F0D07" w14:textId="77777777" w:rsidTr="001466D7">
        <w:trPr>
          <w:trHeight w:val="285"/>
        </w:trPr>
        <w:tc>
          <w:tcPr>
            <w:tcW w:w="1142" w:type="dxa"/>
            <w:vMerge w:val="restart"/>
            <w:shd w:val="clear" w:color="auto" w:fill="auto"/>
            <w:noWrap/>
            <w:hideMark/>
          </w:tcPr>
          <w:p w14:paraId="41895998" w14:textId="0DB9C331" w:rsidR="00BA23AE" w:rsidRPr="00A4189A" w:rsidRDefault="00BA23AE" w:rsidP="00A4189A">
            <w:pPr>
              <w:pStyle w:val="B"/>
              <w:rPr>
                <w:szCs w:val="20"/>
                <w:rtl/>
              </w:rPr>
            </w:pPr>
            <w:r w:rsidRPr="00A4189A">
              <w:rPr>
                <w:szCs w:val="20"/>
                <w:rtl/>
              </w:rPr>
              <w:t>עצורי</w:t>
            </w:r>
            <w:r w:rsidR="001466D7">
              <w:rPr>
                <w:szCs w:val="20"/>
                <w:rtl/>
              </w:rPr>
              <w:br/>
            </w:r>
            <w:r w:rsidRPr="00A4189A">
              <w:rPr>
                <w:szCs w:val="20"/>
                <w:rtl/>
              </w:rPr>
              <w:t>ימים</w:t>
            </w:r>
          </w:p>
        </w:tc>
        <w:tc>
          <w:tcPr>
            <w:tcW w:w="2969" w:type="dxa"/>
            <w:shd w:val="clear" w:color="auto" w:fill="auto"/>
            <w:noWrap/>
            <w:vAlign w:val="bottom"/>
            <w:hideMark/>
          </w:tcPr>
          <w:p w14:paraId="4D3F06C4" w14:textId="77777777" w:rsidR="00BA23AE" w:rsidRPr="00A4189A" w:rsidRDefault="00BA23AE" w:rsidP="00A4189A">
            <w:pPr>
              <w:pStyle w:val="B"/>
              <w:rPr>
                <w:szCs w:val="20"/>
                <w:rtl/>
              </w:rPr>
            </w:pPr>
            <w:r w:rsidRPr="00A4189A">
              <w:rPr>
                <w:szCs w:val="20"/>
                <w:rtl/>
              </w:rPr>
              <w:t>הועבר לגורמי חוץ</w:t>
            </w:r>
            <w:r w:rsidRPr="00A4189A">
              <w:rPr>
                <w:rStyle w:val="FootnoteReference"/>
                <w:szCs w:val="20"/>
                <w:rtl/>
              </w:rPr>
              <w:footnoteReference w:id="19"/>
            </w:r>
          </w:p>
        </w:tc>
        <w:tc>
          <w:tcPr>
            <w:tcW w:w="1005" w:type="dxa"/>
            <w:shd w:val="clear" w:color="auto" w:fill="auto"/>
            <w:noWrap/>
            <w:vAlign w:val="bottom"/>
            <w:hideMark/>
          </w:tcPr>
          <w:p w14:paraId="05F37249" w14:textId="77777777" w:rsidR="00BA23AE" w:rsidRPr="00A16421" w:rsidRDefault="00BA23AE" w:rsidP="00A16421">
            <w:pPr>
              <w:pStyle w:val="R"/>
              <w:rPr>
                <w:rtl/>
              </w:rPr>
            </w:pPr>
            <w:r w:rsidRPr="00A16421">
              <w:rPr>
                <w:rFonts w:hint="cs"/>
                <w:rtl/>
              </w:rPr>
              <w:t>1,197</w:t>
            </w:r>
          </w:p>
        </w:tc>
        <w:tc>
          <w:tcPr>
            <w:tcW w:w="986" w:type="dxa"/>
            <w:shd w:val="clear" w:color="auto" w:fill="auto"/>
            <w:noWrap/>
            <w:vAlign w:val="bottom"/>
            <w:hideMark/>
          </w:tcPr>
          <w:p w14:paraId="67740F44" w14:textId="77777777" w:rsidR="00BA23AE" w:rsidRPr="00A16421" w:rsidRDefault="00BA23AE" w:rsidP="00A16421">
            <w:pPr>
              <w:pStyle w:val="R"/>
              <w:rPr>
                <w:rtl/>
              </w:rPr>
            </w:pPr>
            <w:r w:rsidRPr="00A16421">
              <w:rPr>
                <w:rFonts w:hint="cs"/>
                <w:rtl/>
              </w:rPr>
              <w:t>1,199</w:t>
            </w:r>
          </w:p>
        </w:tc>
        <w:tc>
          <w:tcPr>
            <w:tcW w:w="986" w:type="dxa"/>
            <w:shd w:val="clear" w:color="auto" w:fill="auto"/>
            <w:noWrap/>
            <w:vAlign w:val="bottom"/>
            <w:hideMark/>
          </w:tcPr>
          <w:p w14:paraId="6A7A9F1C" w14:textId="77777777" w:rsidR="00BA23AE" w:rsidRPr="00A16421" w:rsidRDefault="00BA23AE" w:rsidP="00A16421">
            <w:pPr>
              <w:pStyle w:val="R"/>
            </w:pPr>
            <w:r w:rsidRPr="00A16421">
              <w:rPr>
                <w:rFonts w:hint="cs"/>
                <w:rtl/>
              </w:rPr>
              <w:t>844</w:t>
            </w:r>
          </w:p>
        </w:tc>
        <w:tc>
          <w:tcPr>
            <w:tcW w:w="1268" w:type="dxa"/>
            <w:shd w:val="clear" w:color="auto" w:fill="auto"/>
            <w:noWrap/>
            <w:vAlign w:val="bottom"/>
            <w:hideMark/>
          </w:tcPr>
          <w:p w14:paraId="7D36D53A" w14:textId="77777777" w:rsidR="00BA23AE" w:rsidRPr="00A16421" w:rsidRDefault="00BA23AE" w:rsidP="00A16421">
            <w:pPr>
              <w:pStyle w:val="R"/>
            </w:pPr>
            <w:r w:rsidRPr="00A16421">
              <w:rPr>
                <w:rFonts w:hint="cs"/>
                <w:rtl/>
              </w:rPr>
              <w:t>3,240</w:t>
            </w:r>
          </w:p>
        </w:tc>
      </w:tr>
      <w:tr w:rsidR="00BA23AE" w:rsidRPr="00993244" w14:paraId="25BDCEA2" w14:textId="77777777" w:rsidTr="001466D7">
        <w:trPr>
          <w:trHeight w:val="285"/>
        </w:trPr>
        <w:tc>
          <w:tcPr>
            <w:tcW w:w="1142" w:type="dxa"/>
            <w:vMerge/>
            <w:shd w:val="clear" w:color="auto" w:fill="auto"/>
            <w:noWrap/>
            <w:vAlign w:val="bottom"/>
            <w:hideMark/>
          </w:tcPr>
          <w:p w14:paraId="5FC3A23A" w14:textId="77777777" w:rsidR="00BA23AE" w:rsidRPr="00A4189A" w:rsidRDefault="00BA23AE" w:rsidP="00A4189A">
            <w:pPr>
              <w:pStyle w:val="B"/>
            </w:pPr>
          </w:p>
        </w:tc>
        <w:tc>
          <w:tcPr>
            <w:tcW w:w="2969" w:type="dxa"/>
            <w:shd w:val="clear" w:color="auto" w:fill="auto"/>
            <w:noWrap/>
            <w:vAlign w:val="bottom"/>
            <w:hideMark/>
          </w:tcPr>
          <w:p w14:paraId="6F337F5B" w14:textId="77777777" w:rsidR="00BA23AE" w:rsidRPr="00A4189A" w:rsidRDefault="00BA23AE" w:rsidP="00A4189A">
            <w:pPr>
              <w:pStyle w:val="B"/>
            </w:pPr>
            <w:r w:rsidRPr="00A4189A">
              <w:rPr>
                <w:szCs w:val="20"/>
                <w:rtl/>
              </w:rPr>
              <w:t>נשפט</w:t>
            </w:r>
            <w:r w:rsidRPr="00A4189A">
              <w:rPr>
                <w:rStyle w:val="FootnoteReference"/>
              </w:rPr>
              <w:footnoteReference w:id="20"/>
            </w:r>
          </w:p>
        </w:tc>
        <w:tc>
          <w:tcPr>
            <w:tcW w:w="1005" w:type="dxa"/>
            <w:shd w:val="clear" w:color="auto" w:fill="auto"/>
            <w:noWrap/>
            <w:vAlign w:val="bottom"/>
            <w:hideMark/>
          </w:tcPr>
          <w:p w14:paraId="25A9C2AB" w14:textId="77777777" w:rsidR="00BA23AE" w:rsidRPr="00A16421" w:rsidRDefault="00BA23AE" w:rsidP="00A16421">
            <w:pPr>
              <w:pStyle w:val="R"/>
              <w:rPr>
                <w:rtl/>
              </w:rPr>
            </w:pPr>
            <w:r w:rsidRPr="00A16421">
              <w:rPr>
                <w:rFonts w:hint="cs"/>
                <w:rtl/>
              </w:rPr>
              <w:t>129</w:t>
            </w:r>
          </w:p>
        </w:tc>
        <w:tc>
          <w:tcPr>
            <w:tcW w:w="986" w:type="dxa"/>
            <w:shd w:val="clear" w:color="auto" w:fill="auto"/>
            <w:noWrap/>
            <w:vAlign w:val="bottom"/>
            <w:hideMark/>
          </w:tcPr>
          <w:p w14:paraId="7C9DD04A" w14:textId="77777777" w:rsidR="00BA23AE" w:rsidRPr="00A16421" w:rsidRDefault="00BA23AE" w:rsidP="00A16421">
            <w:pPr>
              <w:pStyle w:val="R"/>
            </w:pPr>
            <w:r w:rsidRPr="00A16421">
              <w:rPr>
                <w:rFonts w:hint="cs"/>
                <w:rtl/>
              </w:rPr>
              <w:t>107</w:t>
            </w:r>
          </w:p>
        </w:tc>
        <w:tc>
          <w:tcPr>
            <w:tcW w:w="986" w:type="dxa"/>
            <w:shd w:val="clear" w:color="auto" w:fill="auto"/>
            <w:noWrap/>
            <w:vAlign w:val="bottom"/>
            <w:hideMark/>
          </w:tcPr>
          <w:p w14:paraId="4D4CB399" w14:textId="77777777" w:rsidR="00BA23AE" w:rsidRPr="00A16421" w:rsidRDefault="00BA23AE" w:rsidP="00A16421">
            <w:pPr>
              <w:pStyle w:val="R"/>
            </w:pPr>
            <w:r w:rsidRPr="00A16421">
              <w:rPr>
                <w:rFonts w:hint="cs"/>
                <w:rtl/>
              </w:rPr>
              <w:t>71</w:t>
            </w:r>
          </w:p>
        </w:tc>
        <w:tc>
          <w:tcPr>
            <w:tcW w:w="1268" w:type="dxa"/>
            <w:shd w:val="clear" w:color="auto" w:fill="auto"/>
            <w:noWrap/>
            <w:vAlign w:val="bottom"/>
            <w:hideMark/>
          </w:tcPr>
          <w:p w14:paraId="1292D338" w14:textId="77777777" w:rsidR="00BA23AE" w:rsidRPr="00A16421" w:rsidRDefault="00BA23AE" w:rsidP="00A16421">
            <w:pPr>
              <w:pStyle w:val="R"/>
            </w:pPr>
            <w:r w:rsidRPr="00A16421">
              <w:rPr>
                <w:rFonts w:hint="cs"/>
                <w:rtl/>
              </w:rPr>
              <w:t>307</w:t>
            </w:r>
          </w:p>
        </w:tc>
      </w:tr>
      <w:tr w:rsidR="00BA23AE" w:rsidRPr="00993244" w14:paraId="694F2968" w14:textId="77777777" w:rsidTr="001466D7">
        <w:trPr>
          <w:trHeight w:val="285"/>
        </w:trPr>
        <w:tc>
          <w:tcPr>
            <w:tcW w:w="1142" w:type="dxa"/>
            <w:vMerge/>
            <w:shd w:val="clear" w:color="auto" w:fill="auto"/>
            <w:noWrap/>
            <w:vAlign w:val="bottom"/>
            <w:hideMark/>
          </w:tcPr>
          <w:p w14:paraId="7DACD4AB" w14:textId="77777777" w:rsidR="00BA23AE" w:rsidRPr="00A4189A" w:rsidRDefault="00BA23AE" w:rsidP="00A4189A">
            <w:pPr>
              <w:pStyle w:val="B"/>
            </w:pPr>
          </w:p>
        </w:tc>
        <w:tc>
          <w:tcPr>
            <w:tcW w:w="2969" w:type="dxa"/>
            <w:shd w:val="clear" w:color="auto" w:fill="auto"/>
            <w:noWrap/>
            <w:vAlign w:val="bottom"/>
            <w:hideMark/>
          </w:tcPr>
          <w:p w14:paraId="6A67B0AF" w14:textId="77777777" w:rsidR="00BA23AE" w:rsidRPr="00A4189A" w:rsidRDefault="00BA23AE" w:rsidP="00A4189A">
            <w:pPr>
              <w:pStyle w:val="B"/>
            </w:pPr>
            <w:r w:rsidRPr="00A4189A">
              <w:rPr>
                <w:szCs w:val="20"/>
                <w:rtl/>
              </w:rPr>
              <w:t>שוחרר בהחלטת בית משפט</w:t>
            </w:r>
          </w:p>
        </w:tc>
        <w:tc>
          <w:tcPr>
            <w:tcW w:w="1005" w:type="dxa"/>
            <w:shd w:val="clear" w:color="auto" w:fill="auto"/>
            <w:noWrap/>
            <w:vAlign w:val="bottom"/>
            <w:hideMark/>
          </w:tcPr>
          <w:p w14:paraId="26F2207D" w14:textId="77777777" w:rsidR="00BA23AE" w:rsidRPr="00A16421" w:rsidRDefault="00BA23AE" w:rsidP="00A16421">
            <w:pPr>
              <w:pStyle w:val="R"/>
              <w:rPr>
                <w:rtl/>
              </w:rPr>
            </w:pPr>
            <w:r w:rsidRPr="00A16421">
              <w:rPr>
                <w:rFonts w:hint="cs"/>
                <w:rtl/>
              </w:rPr>
              <w:t>22,017</w:t>
            </w:r>
          </w:p>
        </w:tc>
        <w:tc>
          <w:tcPr>
            <w:tcW w:w="986" w:type="dxa"/>
            <w:shd w:val="clear" w:color="auto" w:fill="auto"/>
            <w:noWrap/>
            <w:vAlign w:val="bottom"/>
            <w:hideMark/>
          </w:tcPr>
          <w:p w14:paraId="31D51901" w14:textId="77777777" w:rsidR="00BA23AE" w:rsidRPr="00A16421" w:rsidRDefault="00BA23AE" w:rsidP="00A16421">
            <w:pPr>
              <w:pStyle w:val="R"/>
            </w:pPr>
            <w:r w:rsidRPr="00A16421">
              <w:rPr>
                <w:rFonts w:hint="cs"/>
                <w:rtl/>
              </w:rPr>
              <w:t>22,100</w:t>
            </w:r>
          </w:p>
        </w:tc>
        <w:tc>
          <w:tcPr>
            <w:tcW w:w="986" w:type="dxa"/>
            <w:shd w:val="clear" w:color="auto" w:fill="auto"/>
            <w:noWrap/>
            <w:vAlign w:val="bottom"/>
            <w:hideMark/>
          </w:tcPr>
          <w:p w14:paraId="572CFAAD" w14:textId="77777777" w:rsidR="00BA23AE" w:rsidRPr="00A16421" w:rsidRDefault="00BA23AE" w:rsidP="00A16421">
            <w:pPr>
              <w:pStyle w:val="R"/>
            </w:pPr>
            <w:r w:rsidRPr="00A16421">
              <w:rPr>
                <w:rFonts w:hint="cs"/>
                <w:rtl/>
              </w:rPr>
              <w:t>20,393</w:t>
            </w:r>
          </w:p>
        </w:tc>
        <w:tc>
          <w:tcPr>
            <w:tcW w:w="1268" w:type="dxa"/>
            <w:shd w:val="clear" w:color="auto" w:fill="auto"/>
            <w:noWrap/>
            <w:vAlign w:val="bottom"/>
            <w:hideMark/>
          </w:tcPr>
          <w:p w14:paraId="7399AB57" w14:textId="77777777" w:rsidR="00BA23AE" w:rsidRPr="00A16421" w:rsidRDefault="00BA23AE" w:rsidP="00A16421">
            <w:pPr>
              <w:pStyle w:val="R"/>
            </w:pPr>
            <w:r w:rsidRPr="00A16421">
              <w:rPr>
                <w:rFonts w:hint="cs"/>
                <w:rtl/>
              </w:rPr>
              <w:t>64,510</w:t>
            </w:r>
          </w:p>
        </w:tc>
      </w:tr>
      <w:tr w:rsidR="00BA23AE" w:rsidRPr="00993244" w14:paraId="4D188EED" w14:textId="77777777" w:rsidTr="001466D7">
        <w:trPr>
          <w:trHeight w:val="285"/>
        </w:trPr>
        <w:tc>
          <w:tcPr>
            <w:tcW w:w="1142" w:type="dxa"/>
            <w:vMerge/>
            <w:shd w:val="clear" w:color="auto" w:fill="auto"/>
            <w:noWrap/>
            <w:vAlign w:val="bottom"/>
            <w:hideMark/>
          </w:tcPr>
          <w:p w14:paraId="1CF45DEA" w14:textId="77777777" w:rsidR="00BA23AE" w:rsidRPr="00A4189A" w:rsidRDefault="00BA23AE" w:rsidP="00A4189A">
            <w:pPr>
              <w:pStyle w:val="B"/>
            </w:pPr>
          </w:p>
        </w:tc>
        <w:tc>
          <w:tcPr>
            <w:tcW w:w="2969" w:type="dxa"/>
            <w:shd w:val="clear" w:color="auto" w:fill="auto"/>
            <w:noWrap/>
            <w:vAlign w:val="bottom"/>
            <w:hideMark/>
          </w:tcPr>
          <w:p w14:paraId="65C39965" w14:textId="77777777" w:rsidR="00BA23AE" w:rsidRPr="00A4189A" w:rsidRDefault="00BA23AE" w:rsidP="00A4189A">
            <w:pPr>
              <w:pStyle w:val="B"/>
            </w:pPr>
            <w:r w:rsidRPr="00A4189A">
              <w:rPr>
                <w:szCs w:val="20"/>
                <w:rtl/>
              </w:rPr>
              <w:t xml:space="preserve">שוחרר </w:t>
            </w:r>
            <w:r w:rsidRPr="00A4189A">
              <w:rPr>
                <w:rFonts w:hint="cs"/>
                <w:szCs w:val="20"/>
                <w:rtl/>
              </w:rPr>
              <w:t>ל</w:t>
            </w:r>
            <w:r w:rsidRPr="00A4189A">
              <w:rPr>
                <w:szCs w:val="20"/>
                <w:rtl/>
              </w:rPr>
              <w:t xml:space="preserve">לא תיעוד </w:t>
            </w:r>
            <w:r w:rsidRPr="00A4189A">
              <w:rPr>
                <w:rFonts w:hint="cs"/>
                <w:szCs w:val="20"/>
                <w:rtl/>
              </w:rPr>
              <w:t>ה</w:t>
            </w:r>
            <w:r w:rsidRPr="00A4189A">
              <w:rPr>
                <w:szCs w:val="20"/>
                <w:rtl/>
              </w:rPr>
              <w:t xml:space="preserve">גורם </w:t>
            </w:r>
            <w:r w:rsidRPr="00A4189A">
              <w:rPr>
                <w:rFonts w:hint="cs"/>
                <w:szCs w:val="20"/>
                <w:rtl/>
              </w:rPr>
              <w:t>ה</w:t>
            </w:r>
            <w:r w:rsidRPr="00A4189A">
              <w:rPr>
                <w:szCs w:val="20"/>
                <w:rtl/>
              </w:rPr>
              <w:t>משחרר</w:t>
            </w:r>
          </w:p>
        </w:tc>
        <w:tc>
          <w:tcPr>
            <w:tcW w:w="1005" w:type="dxa"/>
            <w:shd w:val="clear" w:color="auto" w:fill="auto"/>
            <w:noWrap/>
            <w:vAlign w:val="bottom"/>
            <w:hideMark/>
          </w:tcPr>
          <w:p w14:paraId="1BE0AB29" w14:textId="77777777" w:rsidR="00BA23AE" w:rsidRPr="00A16421" w:rsidRDefault="00BA23AE" w:rsidP="00A16421">
            <w:pPr>
              <w:pStyle w:val="R"/>
              <w:rPr>
                <w:rtl/>
              </w:rPr>
            </w:pPr>
            <w:r w:rsidRPr="00A16421">
              <w:rPr>
                <w:rFonts w:hint="cs"/>
                <w:rtl/>
              </w:rPr>
              <w:t>210</w:t>
            </w:r>
          </w:p>
        </w:tc>
        <w:tc>
          <w:tcPr>
            <w:tcW w:w="986" w:type="dxa"/>
            <w:shd w:val="clear" w:color="auto" w:fill="auto"/>
            <w:noWrap/>
            <w:vAlign w:val="bottom"/>
            <w:hideMark/>
          </w:tcPr>
          <w:p w14:paraId="1512F3DA" w14:textId="77777777" w:rsidR="00BA23AE" w:rsidRPr="00A16421" w:rsidRDefault="00BA23AE" w:rsidP="00A16421">
            <w:pPr>
              <w:pStyle w:val="R"/>
            </w:pPr>
            <w:r w:rsidRPr="00A16421">
              <w:rPr>
                <w:rFonts w:hint="cs"/>
                <w:rtl/>
              </w:rPr>
              <w:t>188</w:t>
            </w:r>
          </w:p>
        </w:tc>
        <w:tc>
          <w:tcPr>
            <w:tcW w:w="986" w:type="dxa"/>
            <w:shd w:val="clear" w:color="auto" w:fill="auto"/>
            <w:noWrap/>
            <w:vAlign w:val="bottom"/>
            <w:hideMark/>
          </w:tcPr>
          <w:p w14:paraId="1321AF44" w14:textId="77777777" w:rsidR="00BA23AE" w:rsidRPr="00A16421" w:rsidRDefault="00BA23AE" w:rsidP="00A16421">
            <w:pPr>
              <w:pStyle w:val="R"/>
            </w:pPr>
            <w:r w:rsidRPr="00A16421">
              <w:rPr>
                <w:rFonts w:hint="cs"/>
                <w:rtl/>
              </w:rPr>
              <w:t>181</w:t>
            </w:r>
          </w:p>
        </w:tc>
        <w:tc>
          <w:tcPr>
            <w:tcW w:w="1268" w:type="dxa"/>
            <w:shd w:val="clear" w:color="auto" w:fill="auto"/>
            <w:noWrap/>
            <w:vAlign w:val="bottom"/>
            <w:hideMark/>
          </w:tcPr>
          <w:p w14:paraId="0E4D789B" w14:textId="77777777" w:rsidR="00BA23AE" w:rsidRPr="00A16421" w:rsidRDefault="00BA23AE" w:rsidP="00A16421">
            <w:pPr>
              <w:pStyle w:val="R"/>
            </w:pPr>
            <w:r w:rsidRPr="00A16421">
              <w:rPr>
                <w:rFonts w:hint="cs"/>
                <w:rtl/>
              </w:rPr>
              <w:t>579</w:t>
            </w:r>
          </w:p>
        </w:tc>
      </w:tr>
      <w:tr w:rsidR="00BA23AE" w:rsidRPr="00993244" w14:paraId="19349684" w14:textId="77777777" w:rsidTr="001466D7">
        <w:trPr>
          <w:trHeight w:val="285"/>
        </w:trPr>
        <w:tc>
          <w:tcPr>
            <w:tcW w:w="1142" w:type="dxa"/>
            <w:vMerge/>
            <w:shd w:val="clear" w:color="auto" w:fill="auto"/>
            <w:noWrap/>
            <w:vAlign w:val="bottom"/>
            <w:hideMark/>
          </w:tcPr>
          <w:p w14:paraId="422FF1EA" w14:textId="77777777" w:rsidR="00BA23AE" w:rsidRPr="00A4189A" w:rsidRDefault="00BA23AE" w:rsidP="00A4189A">
            <w:pPr>
              <w:pStyle w:val="B"/>
            </w:pPr>
          </w:p>
        </w:tc>
        <w:tc>
          <w:tcPr>
            <w:tcW w:w="2969" w:type="dxa"/>
            <w:shd w:val="clear" w:color="auto" w:fill="auto"/>
            <w:noWrap/>
            <w:vAlign w:val="bottom"/>
            <w:hideMark/>
          </w:tcPr>
          <w:p w14:paraId="4460735A" w14:textId="77777777" w:rsidR="00BA23AE" w:rsidRPr="00A4189A" w:rsidRDefault="00BA23AE" w:rsidP="00A4189A">
            <w:pPr>
              <w:pStyle w:val="B"/>
              <w:rPr>
                <w:szCs w:val="20"/>
                <w:rtl/>
              </w:rPr>
            </w:pPr>
            <w:r w:rsidRPr="00A4189A">
              <w:rPr>
                <w:szCs w:val="20"/>
                <w:rtl/>
              </w:rPr>
              <w:t>שוחרר על ידי קצין ממונה</w:t>
            </w:r>
          </w:p>
        </w:tc>
        <w:tc>
          <w:tcPr>
            <w:tcW w:w="1005" w:type="dxa"/>
            <w:shd w:val="clear" w:color="auto" w:fill="auto"/>
            <w:noWrap/>
            <w:vAlign w:val="bottom"/>
            <w:hideMark/>
          </w:tcPr>
          <w:p w14:paraId="43361943" w14:textId="77777777" w:rsidR="00BA23AE" w:rsidRPr="00A16421" w:rsidRDefault="00BA23AE" w:rsidP="00A16421">
            <w:pPr>
              <w:pStyle w:val="R"/>
              <w:rPr>
                <w:rtl/>
              </w:rPr>
            </w:pPr>
            <w:r w:rsidRPr="00A16421">
              <w:rPr>
                <w:rFonts w:hint="cs"/>
                <w:rtl/>
              </w:rPr>
              <w:t>16,986</w:t>
            </w:r>
          </w:p>
        </w:tc>
        <w:tc>
          <w:tcPr>
            <w:tcW w:w="986" w:type="dxa"/>
            <w:shd w:val="clear" w:color="auto" w:fill="auto"/>
            <w:noWrap/>
            <w:vAlign w:val="bottom"/>
            <w:hideMark/>
          </w:tcPr>
          <w:p w14:paraId="0D7409D1" w14:textId="77777777" w:rsidR="00BA23AE" w:rsidRPr="00A16421" w:rsidRDefault="00BA23AE" w:rsidP="00A16421">
            <w:pPr>
              <w:pStyle w:val="R"/>
            </w:pPr>
            <w:r w:rsidRPr="00A16421">
              <w:rPr>
                <w:rFonts w:hint="cs"/>
                <w:rtl/>
              </w:rPr>
              <w:t>15,890</w:t>
            </w:r>
          </w:p>
        </w:tc>
        <w:tc>
          <w:tcPr>
            <w:tcW w:w="986" w:type="dxa"/>
            <w:shd w:val="clear" w:color="auto" w:fill="auto"/>
            <w:noWrap/>
            <w:vAlign w:val="bottom"/>
            <w:hideMark/>
          </w:tcPr>
          <w:p w14:paraId="37A94EAC" w14:textId="77777777" w:rsidR="00BA23AE" w:rsidRPr="00A16421" w:rsidRDefault="00BA23AE" w:rsidP="00A16421">
            <w:pPr>
              <w:pStyle w:val="R"/>
            </w:pPr>
            <w:r w:rsidRPr="00A16421">
              <w:rPr>
                <w:rFonts w:hint="cs"/>
                <w:rtl/>
              </w:rPr>
              <w:t>13,015</w:t>
            </w:r>
          </w:p>
        </w:tc>
        <w:tc>
          <w:tcPr>
            <w:tcW w:w="1268" w:type="dxa"/>
            <w:shd w:val="clear" w:color="auto" w:fill="auto"/>
            <w:noWrap/>
            <w:vAlign w:val="bottom"/>
            <w:hideMark/>
          </w:tcPr>
          <w:p w14:paraId="753BFBB7" w14:textId="77777777" w:rsidR="00BA23AE" w:rsidRPr="00A16421" w:rsidRDefault="00BA23AE" w:rsidP="00A16421">
            <w:pPr>
              <w:pStyle w:val="R"/>
            </w:pPr>
            <w:r w:rsidRPr="00A16421">
              <w:rPr>
                <w:rFonts w:hint="cs"/>
                <w:rtl/>
              </w:rPr>
              <w:t>45,891</w:t>
            </w:r>
          </w:p>
        </w:tc>
      </w:tr>
      <w:tr w:rsidR="00BA23AE" w:rsidRPr="00993244" w14:paraId="40BBD860" w14:textId="77777777" w:rsidTr="001466D7">
        <w:trPr>
          <w:trHeight w:val="285"/>
        </w:trPr>
        <w:tc>
          <w:tcPr>
            <w:tcW w:w="1142" w:type="dxa"/>
            <w:vMerge/>
            <w:shd w:val="clear" w:color="auto" w:fill="auto"/>
            <w:noWrap/>
            <w:vAlign w:val="bottom"/>
            <w:hideMark/>
          </w:tcPr>
          <w:p w14:paraId="117F0353" w14:textId="77777777" w:rsidR="00BA23AE" w:rsidRPr="00A4189A" w:rsidRDefault="00BA23AE" w:rsidP="00A4189A">
            <w:pPr>
              <w:pStyle w:val="B"/>
            </w:pPr>
          </w:p>
        </w:tc>
        <w:tc>
          <w:tcPr>
            <w:tcW w:w="2969" w:type="dxa"/>
            <w:shd w:val="clear" w:color="auto" w:fill="C6D9F1"/>
            <w:noWrap/>
            <w:vAlign w:val="bottom"/>
            <w:hideMark/>
          </w:tcPr>
          <w:p w14:paraId="50AF3190" w14:textId="77777777" w:rsidR="00BA23AE" w:rsidRPr="00A4189A" w:rsidRDefault="00BA23AE" w:rsidP="00A4189A">
            <w:pPr>
              <w:pStyle w:val="B"/>
            </w:pPr>
            <w:r w:rsidRPr="00A4189A">
              <w:rPr>
                <w:szCs w:val="20"/>
                <w:rtl/>
              </w:rPr>
              <w:t>סה"כ</w:t>
            </w:r>
          </w:p>
        </w:tc>
        <w:tc>
          <w:tcPr>
            <w:tcW w:w="1005" w:type="dxa"/>
            <w:shd w:val="clear" w:color="auto" w:fill="C6D9F1"/>
            <w:noWrap/>
            <w:vAlign w:val="bottom"/>
            <w:hideMark/>
          </w:tcPr>
          <w:p w14:paraId="6C0D33CE" w14:textId="77777777" w:rsidR="00BA23AE" w:rsidRPr="00A16421" w:rsidRDefault="00BA23AE" w:rsidP="00A16421">
            <w:pPr>
              <w:pStyle w:val="B"/>
              <w:rPr>
                <w:szCs w:val="20"/>
                <w:rtl/>
              </w:rPr>
            </w:pPr>
            <w:r w:rsidRPr="00A16421">
              <w:rPr>
                <w:rFonts w:hint="cs"/>
                <w:szCs w:val="20"/>
                <w:rtl/>
              </w:rPr>
              <w:t>40,539</w:t>
            </w:r>
          </w:p>
        </w:tc>
        <w:tc>
          <w:tcPr>
            <w:tcW w:w="986" w:type="dxa"/>
            <w:shd w:val="clear" w:color="auto" w:fill="C6D9F1"/>
            <w:noWrap/>
            <w:vAlign w:val="bottom"/>
            <w:hideMark/>
          </w:tcPr>
          <w:p w14:paraId="51896583" w14:textId="77777777" w:rsidR="00BA23AE" w:rsidRPr="00A16421" w:rsidRDefault="00BA23AE" w:rsidP="00A16421">
            <w:pPr>
              <w:pStyle w:val="B"/>
            </w:pPr>
            <w:r w:rsidRPr="00A16421">
              <w:rPr>
                <w:rFonts w:hint="cs"/>
                <w:szCs w:val="20"/>
                <w:rtl/>
              </w:rPr>
              <w:t>39,484</w:t>
            </w:r>
          </w:p>
        </w:tc>
        <w:tc>
          <w:tcPr>
            <w:tcW w:w="986" w:type="dxa"/>
            <w:shd w:val="clear" w:color="auto" w:fill="C6D9F1"/>
            <w:noWrap/>
            <w:vAlign w:val="bottom"/>
            <w:hideMark/>
          </w:tcPr>
          <w:p w14:paraId="1F084036" w14:textId="77777777" w:rsidR="00BA23AE" w:rsidRPr="00A16421" w:rsidRDefault="00BA23AE" w:rsidP="00A16421">
            <w:pPr>
              <w:pStyle w:val="B"/>
            </w:pPr>
            <w:r w:rsidRPr="00A16421">
              <w:rPr>
                <w:rFonts w:hint="cs"/>
                <w:szCs w:val="20"/>
                <w:rtl/>
              </w:rPr>
              <w:t>34,504</w:t>
            </w:r>
          </w:p>
        </w:tc>
        <w:tc>
          <w:tcPr>
            <w:tcW w:w="1268" w:type="dxa"/>
            <w:shd w:val="clear" w:color="auto" w:fill="C6D9F1"/>
            <w:noWrap/>
            <w:vAlign w:val="bottom"/>
            <w:hideMark/>
          </w:tcPr>
          <w:p w14:paraId="1A94277E" w14:textId="77777777" w:rsidR="00BA23AE" w:rsidRPr="00A16421" w:rsidRDefault="00BA23AE" w:rsidP="00A16421">
            <w:pPr>
              <w:pStyle w:val="B"/>
            </w:pPr>
            <w:r w:rsidRPr="00A16421">
              <w:rPr>
                <w:rFonts w:hint="cs"/>
                <w:szCs w:val="20"/>
                <w:rtl/>
              </w:rPr>
              <w:t>114,527</w:t>
            </w:r>
          </w:p>
        </w:tc>
      </w:tr>
      <w:tr w:rsidR="00BA23AE" w:rsidRPr="00993244" w14:paraId="54C796F8" w14:textId="77777777" w:rsidTr="001466D7">
        <w:trPr>
          <w:trHeight w:val="285"/>
        </w:trPr>
        <w:tc>
          <w:tcPr>
            <w:tcW w:w="1142" w:type="dxa"/>
            <w:vMerge w:val="restart"/>
            <w:shd w:val="clear" w:color="auto" w:fill="auto"/>
            <w:noWrap/>
            <w:hideMark/>
          </w:tcPr>
          <w:p w14:paraId="0168BF48" w14:textId="531A97BE" w:rsidR="00BA23AE" w:rsidRPr="00A4189A" w:rsidRDefault="00BA23AE" w:rsidP="00A4189A">
            <w:pPr>
              <w:pStyle w:val="B"/>
            </w:pPr>
            <w:r w:rsidRPr="00A4189A">
              <w:rPr>
                <w:szCs w:val="20"/>
                <w:rtl/>
              </w:rPr>
              <w:t>החלטה אחרת ומעצר</w:t>
            </w:r>
            <w:r w:rsidR="001466D7">
              <w:rPr>
                <w:szCs w:val="20"/>
                <w:rtl/>
              </w:rPr>
              <w:br/>
            </w:r>
            <w:r w:rsidRPr="00A4189A">
              <w:rPr>
                <w:szCs w:val="20"/>
                <w:rtl/>
              </w:rPr>
              <w:t>עד תום ההליכים המשפטיים</w:t>
            </w:r>
          </w:p>
        </w:tc>
        <w:tc>
          <w:tcPr>
            <w:tcW w:w="2969" w:type="dxa"/>
            <w:shd w:val="clear" w:color="auto" w:fill="auto"/>
            <w:noWrap/>
            <w:vAlign w:val="bottom"/>
            <w:hideMark/>
          </w:tcPr>
          <w:p w14:paraId="2A7EEFEB" w14:textId="77777777" w:rsidR="00BA23AE" w:rsidRPr="00A4189A" w:rsidRDefault="00BA23AE" w:rsidP="00A4189A">
            <w:pPr>
              <w:pStyle w:val="B"/>
              <w:rPr>
                <w:szCs w:val="20"/>
                <w:rtl/>
              </w:rPr>
            </w:pPr>
            <w:r w:rsidRPr="00A4189A">
              <w:rPr>
                <w:szCs w:val="20"/>
                <w:rtl/>
              </w:rPr>
              <w:t>הועבר לגורמי חוץ</w:t>
            </w:r>
          </w:p>
        </w:tc>
        <w:tc>
          <w:tcPr>
            <w:tcW w:w="1005" w:type="dxa"/>
            <w:shd w:val="clear" w:color="auto" w:fill="auto"/>
            <w:noWrap/>
            <w:vAlign w:val="bottom"/>
            <w:hideMark/>
          </w:tcPr>
          <w:p w14:paraId="62C6DE24" w14:textId="77777777" w:rsidR="00BA23AE" w:rsidRPr="00A16421" w:rsidRDefault="00BA23AE" w:rsidP="00A16421">
            <w:pPr>
              <w:pStyle w:val="R"/>
              <w:rPr>
                <w:rtl/>
              </w:rPr>
            </w:pPr>
            <w:r w:rsidRPr="00A16421">
              <w:rPr>
                <w:rFonts w:hint="cs"/>
                <w:rtl/>
              </w:rPr>
              <w:t>403</w:t>
            </w:r>
          </w:p>
        </w:tc>
        <w:tc>
          <w:tcPr>
            <w:tcW w:w="986" w:type="dxa"/>
            <w:shd w:val="clear" w:color="auto" w:fill="auto"/>
            <w:noWrap/>
            <w:vAlign w:val="bottom"/>
            <w:hideMark/>
          </w:tcPr>
          <w:p w14:paraId="0244F345" w14:textId="77777777" w:rsidR="00BA23AE" w:rsidRPr="00A16421" w:rsidRDefault="00BA23AE" w:rsidP="00A16421">
            <w:pPr>
              <w:pStyle w:val="R"/>
            </w:pPr>
            <w:r w:rsidRPr="00A16421">
              <w:rPr>
                <w:rFonts w:hint="cs"/>
                <w:rtl/>
              </w:rPr>
              <w:t>293</w:t>
            </w:r>
          </w:p>
        </w:tc>
        <w:tc>
          <w:tcPr>
            <w:tcW w:w="986" w:type="dxa"/>
            <w:shd w:val="clear" w:color="auto" w:fill="auto"/>
            <w:noWrap/>
            <w:vAlign w:val="bottom"/>
            <w:hideMark/>
          </w:tcPr>
          <w:p w14:paraId="2A355451" w14:textId="77777777" w:rsidR="00BA23AE" w:rsidRPr="00A16421" w:rsidRDefault="00BA23AE" w:rsidP="00A16421">
            <w:pPr>
              <w:pStyle w:val="R"/>
            </w:pPr>
            <w:r w:rsidRPr="00A16421">
              <w:rPr>
                <w:rFonts w:hint="cs"/>
                <w:rtl/>
              </w:rPr>
              <w:t>158</w:t>
            </w:r>
          </w:p>
        </w:tc>
        <w:tc>
          <w:tcPr>
            <w:tcW w:w="1268" w:type="dxa"/>
            <w:shd w:val="clear" w:color="auto" w:fill="auto"/>
            <w:noWrap/>
            <w:vAlign w:val="bottom"/>
            <w:hideMark/>
          </w:tcPr>
          <w:p w14:paraId="5AF06E62" w14:textId="77777777" w:rsidR="00BA23AE" w:rsidRPr="00A16421" w:rsidRDefault="00BA23AE" w:rsidP="00A16421">
            <w:pPr>
              <w:pStyle w:val="R"/>
            </w:pPr>
            <w:r w:rsidRPr="00A16421">
              <w:rPr>
                <w:rFonts w:hint="cs"/>
                <w:rtl/>
              </w:rPr>
              <w:t>854</w:t>
            </w:r>
          </w:p>
        </w:tc>
      </w:tr>
      <w:tr w:rsidR="00BA23AE" w:rsidRPr="00993244" w14:paraId="415B9A9B" w14:textId="77777777" w:rsidTr="001466D7">
        <w:trPr>
          <w:trHeight w:val="285"/>
        </w:trPr>
        <w:tc>
          <w:tcPr>
            <w:tcW w:w="1142" w:type="dxa"/>
            <w:vMerge/>
            <w:shd w:val="clear" w:color="auto" w:fill="auto"/>
            <w:noWrap/>
            <w:vAlign w:val="bottom"/>
            <w:hideMark/>
          </w:tcPr>
          <w:p w14:paraId="07F77B1E" w14:textId="77777777" w:rsidR="00BA23AE" w:rsidRPr="00A4189A" w:rsidRDefault="00BA23AE" w:rsidP="00A4189A">
            <w:pPr>
              <w:pStyle w:val="B"/>
            </w:pPr>
          </w:p>
        </w:tc>
        <w:tc>
          <w:tcPr>
            <w:tcW w:w="2969" w:type="dxa"/>
            <w:shd w:val="clear" w:color="auto" w:fill="auto"/>
            <w:noWrap/>
            <w:vAlign w:val="bottom"/>
            <w:hideMark/>
          </w:tcPr>
          <w:p w14:paraId="3C3AEB44" w14:textId="77777777" w:rsidR="00BA23AE" w:rsidRPr="00A4189A" w:rsidRDefault="00BA23AE" w:rsidP="00A4189A">
            <w:pPr>
              <w:pStyle w:val="B"/>
            </w:pPr>
            <w:r w:rsidRPr="00A4189A">
              <w:rPr>
                <w:szCs w:val="20"/>
                <w:rtl/>
              </w:rPr>
              <w:t>נשפט</w:t>
            </w:r>
          </w:p>
        </w:tc>
        <w:tc>
          <w:tcPr>
            <w:tcW w:w="1005" w:type="dxa"/>
            <w:shd w:val="clear" w:color="auto" w:fill="auto"/>
            <w:noWrap/>
            <w:vAlign w:val="bottom"/>
            <w:hideMark/>
          </w:tcPr>
          <w:p w14:paraId="3B60607A" w14:textId="77777777" w:rsidR="00BA23AE" w:rsidRPr="00A16421" w:rsidRDefault="00BA23AE" w:rsidP="00A16421">
            <w:pPr>
              <w:pStyle w:val="R"/>
              <w:rPr>
                <w:rtl/>
              </w:rPr>
            </w:pPr>
            <w:r w:rsidRPr="00A16421">
              <w:rPr>
                <w:rFonts w:hint="cs"/>
                <w:rtl/>
              </w:rPr>
              <w:t>11,229</w:t>
            </w:r>
          </w:p>
        </w:tc>
        <w:tc>
          <w:tcPr>
            <w:tcW w:w="986" w:type="dxa"/>
            <w:shd w:val="clear" w:color="auto" w:fill="auto"/>
            <w:noWrap/>
            <w:vAlign w:val="bottom"/>
            <w:hideMark/>
          </w:tcPr>
          <w:p w14:paraId="7B61FAD0" w14:textId="77777777" w:rsidR="00BA23AE" w:rsidRPr="00A16421" w:rsidRDefault="00BA23AE" w:rsidP="00A16421">
            <w:pPr>
              <w:pStyle w:val="R"/>
            </w:pPr>
            <w:r w:rsidRPr="00A16421">
              <w:rPr>
                <w:rFonts w:hint="cs"/>
                <w:rtl/>
              </w:rPr>
              <w:t>11,582</w:t>
            </w:r>
          </w:p>
        </w:tc>
        <w:tc>
          <w:tcPr>
            <w:tcW w:w="986" w:type="dxa"/>
            <w:shd w:val="clear" w:color="auto" w:fill="auto"/>
            <w:noWrap/>
            <w:vAlign w:val="bottom"/>
            <w:hideMark/>
          </w:tcPr>
          <w:p w14:paraId="78DFFD3D" w14:textId="77777777" w:rsidR="00BA23AE" w:rsidRPr="00A16421" w:rsidRDefault="00BA23AE" w:rsidP="00A16421">
            <w:pPr>
              <w:pStyle w:val="R"/>
            </w:pPr>
            <w:r w:rsidRPr="00A16421">
              <w:rPr>
                <w:rFonts w:hint="cs"/>
                <w:rtl/>
              </w:rPr>
              <w:t>9,115</w:t>
            </w:r>
          </w:p>
        </w:tc>
        <w:tc>
          <w:tcPr>
            <w:tcW w:w="1268" w:type="dxa"/>
            <w:shd w:val="clear" w:color="auto" w:fill="auto"/>
            <w:noWrap/>
            <w:vAlign w:val="bottom"/>
            <w:hideMark/>
          </w:tcPr>
          <w:p w14:paraId="4402FAC8" w14:textId="77777777" w:rsidR="00BA23AE" w:rsidRPr="00A16421" w:rsidRDefault="00BA23AE" w:rsidP="00A16421">
            <w:pPr>
              <w:pStyle w:val="R"/>
            </w:pPr>
            <w:r w:rsidRPr="00A16421">
              <w:rPr>
                <w:rFonts w:hint="cs"/>
                <w:rtl/>
              </w:rPr>
              <w:t>31,926</w:t>
            </w:r>
          </w:p>
        </w:tc>
      </w:tr>
      <w:tr w:rsidR="00BA23AE" w:rsidRPr="00993244" w14:paraId="67438A57" w14:textId="77777777" w:rsidTr="001466D7">
        <w:trPr>
          <w:trHeight w:val="285"/>
        </w:trPr>
        <w:tc>
          <w:tcPr>
            <w:tcW w:w="1142" w:type="dxa"/>
            <w:vMerge/>
            <w:shd w:val="clear" w:color="auto" w:fill="auto"/>
            <w:noWrap/>
            <w:vAlign w:val="bottom"/>
            <w:hideMark/>
          </w:tcPr>
          <w:p w14:paraId="7246FEE0" w14:textId="77777777" w:rsidR="00BA23AE" w:rsidRPr="00A4189A" w:rsidRDefault="00BA23AE" w:rsidP="00A4189A">
            <w:pPr>
              <w:pStyle w:val="B"/>
            </w:pPr>
          </w:p>
        </w:tc>
        <w:tc>
          <w:tcPr>
            <w:tcW w:w="2969" w:type="dxa"/>
            <w:shd w:val="clear" w:color="auto" w:fill="auto"/>
            <w:noWrap/>
            <w:vAlign w:val="bottom"/>
            <w:hideMark/>
          </w:tcPr>
          <w:p w14:paraId="28ACDE06" w14:textId="77777777" w:rsidR="00BA23AE" w:rsidRPr="00A4189A" w:rsidRDefault="00BA23AE" w:rsidP="00A4189A">
            <w:pPr>
              <w:pStyle w:val="B"/>
            </w:pPr>
            <w:r w:rsidRPr="00A4189A">
              <w:rPr>
                <w:szCs w:val="20"/>
                <w:rtl/>
              </w:rPr>
              <w:t>שוחרר בהחלטת בית משפט</w:t>
            </w:r>
          </w:p>
        </w:tc>
        <w:tc>
          <w:tcPr>
            <w:tcW w:w="1005" w:type="dxa"/>
            <w:shd w:val="clear" w:color="auto" w:fill="auto"/>
            <w:noWrap/>
            <w:vAlign w:val="bottom"/>
            <w:hideMark/>
          </w:tcPr>
          <w:p w14:paraId="0ACE4F65" w14:textId="77777777" w:rsidR="00BA23AE" w:rsidRPr="00A16421" w:rsidRDefault="00BA23AE" w:rsidP="00A16421">
            <w:pPr>
              <w:pStyle w:val="R"/>
              <w:rPr>
                <w:rtl/>
              </w:rPr>
            </w:pPr>
            <w:r w:rsidRPr="00A16421">
              <w:rPr>
                <w:rFonts w:hint="cs"/>
                <w:rtl/>
              </w:rPr>
              <w:t>7,245</w:t>
            </w:r>
          </w:p>
        </w:tc>
        <w:tc>
          <w:tcPr>
            <w:tcW w:w="986" w:type="dxa"/>
            <w:shd w:val="clear" w:color="auto" w:fill="auto"/>
            <w:noWrap/>
            <w:vAlign w:val="bottom"/>
            <w:hideMark/>
          </w:tcPr>
          <w:p w14:paraId="27C8868C" w14:textId="77777777" w:rsidR="00BA23AE" w:rsidRPr="00A16421" w:rsidRDefault="00BA23AE" w:rsidP="00A16421">
            <w:pPr>
              <w:pStyle w:val="R"/>
            </w:pPr>
            <w:r w:rsidRPr="00A16421">
              <w:rPr>
                <w:rFonts w:hint="cs"/>
                <w:rtl/>
              </w:rPr>
              <w:t>7,108</w:t>
            </w:r>
          </w:p>
        </w:tc>
        <w:tc>
          <w:tcPr>
            <w:tcW w:w="986" w:type="dxa"/>
            <w:shd w:val="clear" w:color="auto" w:fill="auto"/>
            <w:noWrap/>
            <w:vAlign w:val="bottom"/>
            <w:hideMark/>
          </w:tcPr>
          <w:p w14:paraId="52DE6CD2" w14:textId="77777777" w:rsidR="00BA23AE" w:rsidRPr="00A16421" w:rsidRDefault="00BA23AE" w:rsidP="00A16421">
            <w:pPr>
              <w:pStyle w:val="R"/>
            </w:pPr>
            <w:r w:rsidRPr="00A16421">
              <w:rPr>
                <w:rFonts w:hint="cs"/>
                <w:rtl/>
              </w:rPr>
              <w:t>6,502</w:t>
            </w:r>
          </w:p>
        </w:tc>
        <w:tc>
          <w:tcPr>
            <w:tcW w:w="1268" w:type="dxa"/>
            <w:shd w:val="clear" w:color="auto" w:fill="auto"/>
            <w:noWrap/>
            <w:vAlign w:val="bottom"/>
            <w:hideMark/>
          </w:tcPr>
          <w:p w14:paraId="3A018477" w14:textId="77777777" w:rsidR="00BA23AE" w:rsidRPr="00A16421" w:rsidRDefault="00BA23AE" w:rsidP="00A16421">
            <w:pPr>
              <w:pStyle w:val="R"/>
            </w:pPr>
            <w:r w:rsidRPr="00A16421">
              <w:rPr>
                <w:rFonts w:hint="cs"/>
                <w:rtl/>
              </w:rPr>
              <w:t>20,855</w:t>
            </w:r>
          </w:p>
        </w:tc>
      </w:tr>
      <w:tr w:rsidR="00BA23AE" w:rsidRPr="00993244" w14:paraId="5A9A3342" w14:textId="77777777" w:rsidTr="001466D7">
        <w:trPr>
          <w:trHeight w:val="285"/>
        </w:trPr>
        <w:tc>
          <w:tcPr>
            <w:tcW w:w="1142" w:type="dxa"/>
            <w:vMerge/>
            <w:shd w:val="clear" w:color="auto" w:fill="auto"/>
            <w:noWrap/>
            <w:vAlign w:val="bottom"/>
            <w:hideMark/>
          </w:tcPr>
          <w:p w14:paraId="251F25E4" w14:textId="77777777" w:rsidR="00BA23AE" w:rsidRPr="00A4189A" w:rsidRDefault="00BA23AE" w:rsidP="00A4189A">
            <w:pPr>
              <w:pStyle w:val="B"/>
            </w:pPr>
          </w:p>
        </w:tc>
        <w:tc>
          <w:tcPr>
            <w:tcW w:w="2969" w:type="dxa"/>
            <w:shd w:val="clear" w:color="auto" w:fill="auto"/>
            <w:noWrap/>
            <w:vAlign w:val="bottom"/>
            <w:hideMark/>
          </w:tcPr>
          <w:p w14:paraId="36FD6017" w14:textId="77777777" w:rsidR="00BA23AE" w:rsidRPr="00A4189A" w:rsidRDefault="00BA23AE" w:rsidP="00A4189A">
            <w:pPr>
              <w:pStyle w:val="B"/>
            </w:pPr>
            <w:r w:rsidRPr="00A4189A">
              <w:rPr>
                <w:szCs w:val="20"/>
                <w:rtl/>
              </w:rPr>
              <w:t xml:space="preserve">שוחרר </w:t>
            </w:r>
            <w:r w:rsidRPr="00A4189A">
              <w:rPr>
                <w:rFonts w:hint="cs"/>
                <w:szCs w:val="20"/>
                <w:rtl/>
              </w:rPr>
              <w:t>ל</w:t>
            </w:r>
            <w:r w:rsidRPr="00A4189A">
              <w:rPr>
                <w:szCs w:val="20"/>
                <w:rtl/>
              </w:rPr>
              <w:t xml:space="preserve">לא תיעוד </w:t>
            </w:r>
            <w:r w:rsidRPr="00A4189A">
              <w:rPr>
                <w:rFonts w:hint="cs"/>
                <w:szCs w:val="20"/>
                <w:rtl/>
              </w:rPr>
              <w:t>ה</w:t>
            </w:r>
            <w:r w:rsidRPr="00A4189A">
              <w:rPr>
                <w:szCs w:val="20"/>
                <w:rtl/>
              </w:rPr>
              <w:t xml:space="preserve">גורם </w:t>
            </w:r>
            <w:r w:rsidRPr="00A4189A">
              <w:rPr>
                <w:rFonts w:hint="cs"/>
                <w:szCs w:val="20"/>
                <w:rtl/>
              </w:rPr>
              <w:t>ה</w:t>
            </w:r>
            <w:r w:rsidRPr="00A4189A">
              <w:rPr>
                <w:szCs w:val="20"/>
                <w:rtl/>
              </w:rPr>
              <w:t>משחרר</w:t>
            </w:r>
          </w:p>
        </w:tc>
        <w:tc>
          <w:tcPr>
            <w:tcW w:w="1005" w:type="dxa"/>
            <w:shd w:val="clear" w:color="auto" w:fill="auto"/>
            <w:noWrap/>
            <w:vAlign w:val="bottom"/>
            <w:hideMark/>
          </w:tcPr>
          <w:p w14:paraId="315C180A" w14:textId="77777777" w:rsidR="00BA23AE" w:rsidRPr="00A16421" w:rsidRDefault="00BA23AE" w:rsidP="00A16421">
            <w:pPr>
              <w:pStyle w:val="R"/>
              <w:rPr>
                <w:rtl/>
              </w:rPr>
            </w:pPr>
            <w:r w:rsidRPr="00A16421">
              <w:rPr>
                <w:rFonts w:hint="cs"/>
                <w:rtl/>
              </w:rPr>
              <w:t>1,358</w:t>
            </w:r>
          </w:p>
        </w:tc>
        <w:tc>
          <w:tcPr>
            <w:tcW w:w="986" w:type="dxa"/>
            <w:shd w:val="clear" w:color="auto" w:fill="auto"/>
            <w:noWrap/>
            <w:vAlign w:val="bottom"/>
            <w:hideMark/>
          </w:tcPr>
          <w:p w14:paraId="35130EA0" w14:textId="77777777" w:rsidR="00BA23AE" w:rsidRPr="00A16421" w:rsidRDefault="00BA23AE" w:rsidP="00A16421">
            <w:pPr>
              <w:pStyle w:val="R"/>
            </w:pPr>
            <w:r w:rsidRPr="00A16421">
              <w:rPr>
                <w:rFonts w:hint="cs"/>
                <w:rtl/>
              </w:rPr>
              <w:t>1,535</w:t>
            </w:r>
          </w:p>
        </w:tc>
        <w:tc>
          <w:tcPr>
            <w:tcW w:w="986" w:type="dxa"/>
            <w:shd w:val="clear" w:color="auto" w:fill="auto"/>
            <w:noWrap/>
            <w:vAlign w:val="bottom"/>
            <w:hideMark/>
          </w:tcPr>
          <w:p w14:paraId="3724E58B" w14:textId="77777777" w:rsidR="00BA23AE" w:rsidRPr="00A16421" w:rsidRDefault="00BA23AE" w:rsidP="00A16421">
            <w:pPr>
              <w:pStyle w:val="R"/>
            </w:pPr>
            <w:r w:rsidRPr="00A16421">
              <w:rPr>
                <w:rFonts w:hint="cs"/>
                <w:rtl/>
              </w:rPr>
              <w:t>2,919</w:t>
            </w:r>
          </w:p>
        </w:tc>
        <w:tc>
          <w:tcPr>
            <w:tcW w:w="1268" w:type="dxa"/>
            <w:shd w:val="clear" w:color="auto" w:fill="auto"/>
            <w:noWrap/>
            <w:vAlign w:val="bottom"/>
            <w:hideMark/>
          </w:tcPr>
          <w:p w14:paraId="1D86E209" w14:textId="77777777" w:rsidR="00BA23AE" w:rsidRPr="00A16421" w:rsidRDefault="00BA23AE" w:rsidP="00A16421">
            <w:pPr>
              <w:pStyle w:val="R"/>
            </w:pPr>
            <w:r w:rsidRPr="00A16421">
              <w:rPr>
                <w:rFonts w:hint="cs"/>
                <w:rtl/>
              </w:rPr>
              <w:t>5,812</w:t>
            </w:r>
          </w:p>
        </w:tc>
      </w:tr>
      <w:tr w:rsidR="00BA23AE" w:rsidRPr="00993244" w14:paraId="48441A3C" w14:textId="77777777" w:rsidTr="001466D7">
        <w:trPr>
          <w:trHeight w:val="285"/>
        </w:trPr>
        <w:tc>
          <w:tcPr>
            <w:tcW w:w="1142" w:type="dxa"/>
            <w:vMerge/>
            <w:shd w:val="clear" w:color="auto" w:fill="auto"/>
            <w:noWrap/>
            <w:vAlign w:val="bottom"/>
            <w:hideMark/>
          </w:tcPr>
          <w:p w14:paraId="68AD4975" w14:textId="77777777" w:rsidR="00BA23AE" w:rsidRPr="00A4189A" w:rsidRDefault="00BA23AE" w:rsidP="00A4189A">
            <w:pPr>
              <w:pStyle w:val="B"/>
            </w:pPr>
          </w:p>
        </w:tc>
        <w:tc>
          <w:tcPr>
            <w:tcW w:w="2969" w:type="dxa"/>
            <w:shd w:val="clear" w:color="auto" w:fill="auto"/>
            <w:noWrap/>
            <w:vAlign w:val="bottom"/>
            <w:hideMark/>
          </w:tcPr>
          <w:p w14:paraId="5AE80F94" w14:textId="77777777" w:rsidR="00BA23AE" w:rsidRPr="00A4189A" w:rsidRDefault="00BA23AE" w:rsidP="00A4189A">
            <w:pPr>
              <w:pStyle w:val="B"/>
            </w:pPr>
            <w:r w:rsidRPr="00A4189A">
              <w:rPr>
                <w:szCs w:val="20"/>
                <w:rtl/>
              </w:rPr>
              <w:t>שוחרר על ידי קצין ממונה</w:t>
            </w:r>
          </w:p>
        </w:tc>
        <w:tc>
          <w:tcPr>
            <w:tcW w:w="1005" w:type="dxa"/>
            <w:shd w:val="clear" w:color="auto" w:fill="auto"/>
            <w:noWrap/>
            <w:vAlign w:val="bottom"/>
            <w:hideMark/>
          </w:tcPr>
          <w:p w14:paraId="13AA8732" w14:textId="77777777" w:rsidR="00BA23AE" w:rsidRPr="00A16421" w:rsidRDefault="00BA23AE" w:rsidP="00A16421">
            <w:pPr>
              <w:pStyle w:val="R"/>
              <w:rPr>
                <w:rtl/>
              </w:rPr>
            </w:pPr>
            <w:r w:rsidRPr="00A16421">
              <w:rPr>
                <w:rFonts w:hint="cs"/>
                <w:rtl/>
              </w:rPr>
              <w:t>29</w:t>
            </w:r>
          </w:p>
        </w:tc>
        <w:tc>
          <w:tcPr>
            <w:tcW w:w="986" w:type="dxa"/>
            <w:shd w:val="clear" w:color="auto" w:fill="auto"/>
            <w:noWrap/>
            <w:vAlign w:val="bottom"/>
            <w:hideMark/>
          </w:tcPr>
          <w:p w14:paraId="10114842" w14:textId="77777777" w:rsidR="00BA23AE" w:rsidRPr="00A16421" w:rsidRDefault="00BA23AE" w:rsidP="00A16421">
            <w:pPr>
              <w:pStyle w:val="R"/>
            </w:pPr>
            <w:r w:rsidRPr="00A16421">
              <w:rPr>
                <w:rFonts w:hint="cs"/>
                <w:rtl/>
              </w:rPr>
              <w:t>27</w:t>
            </w:r>
          </w:p>
        </w:tc>
        <w:tc>
          <w:tcPr>
            <w:tcW w:w="986" w:type="dxa"/>
            <w:shd w:val="clear" w:color="auto" w:fill="auto"/>
            <w:noWrap/>
            <w:vAlign w:val="bottom"/>
            <w:hideMark/>
          </w:tcPr>
          <w:p w14:paraId="020DBD35" w14:textId="77777777" w:rsidR="00BA23AE" w:rsidRPr="00A16421" w:rsidRDefault="00BA23AE" w:rsidP="00A16421">
            <w:pPr>
              <w:pStyle w:val="R"/>
            </w:pPr>
            <w:r w:rsidRPr="00A16421">
              <w:rPr>
                <w:rFonts w:hint="cs"/>
                <w:rtl/>
              </w:rPr>
              <w:t>15</w:t>
            </w:r>
          </w:p>
        </w:tc>
        <w:tc>
          <w:tcPr>
            <w:tcW w:w="1268" w:type="dxa"/>
            <w:shd w:val="clear" w:color="auto" w:fill="auto"/>
            <w:noWrap/>
            <w:vAlign w:val="bottom"/>
            <w:hideMark/>
          </w:tcPr>
          <w:p w14:paraId="64205AB1" w14:textId="77777777" w:rsidR="00BA23AE" w:rsidRPr="00A16421" w:rsidRDefault="00BA23AE" w:rsidP="00A16421">
            <w:pPr>
              <w:pStyle w:val="R"/>
            </w:pPr>
            <w:r w:rsidRPr="00A16421">
              <w:rPr>
                <w:rFonts w:hint="cs"/>
                <w:rtl/>
              </w:rPr>
              <w:t>71</w:t>
            </w:r>
          </w:p>
        </w:tc>
      </w:tr>
      <w:tr w:rsidR="00BA23AE" w:rsidRPr="00993244" w14:paraId="63A10957" w14:textId="77777777" w:rsidTr="001466D7">
        <w:trPr>
          <w:trHeight w:val="285"/>
        </w:trPr>
        <w:tc>
          <w:tcPr>
            <w:tcW w:w="1142" w:type="dxa"/>
            <w:vMerge/>
            <w:shd w:val="clear" w:color="auto" w:fill="auto"/>
            <w:noWrap/>
            <w:vAlign w:val="bottom"/>
            <w:hideMark/>
          </w:tcPr>
          <w:p w14:paraId="77AF49C8" w14:textId="77777777" w:rsidR="00BA23AE" w:rsidRPr="00A4189A" w:rsidRDefault="00BA23AE" w:rsidP="00A4189A">
            <w:pPr>
              <w:pStyle w:val="B"/>
            </w:pPr>
          </w:p>
        </w:tc>
        <w:tc>
          <w:tcPr>
            <w:tcW w:w="2969" w:type="dxa"/>
            <w:shd w:val="clear" w:color="auto" w:fill="auto"/>
            <w:noWrap/>
            <w:vAlign w:val="bottom"/>
            <w:hideMark/>
          </w:tcPr>
          <w:p w14:paraId="1AAE83A1" w14:textId="77777777" w:rsidR="00BA23AE" w:rsidRPr="00A4189A" w:rsidRDefault="00BA23AE" w:rsidP="00A4189A">
            <w:pPr>
              <w:pStyle w:val="B"/>
            </w:pPr>
            <w:r w:rsidRPr="00A4189A">
              <w:rPr>
                <w:szCs w:val="20"/>
                <w:rtl/>
              </w:rPr>
              <w:t xml:space="preserve">כתב </w:t>
            </w:r>
            <w:r w:rsidRPr="00A4189A">
              <w:rPr>
                <w:rFonts w:hint="cs"/>
                <w:szCs w:val="20"/>
                <w:rtl/>
              </w:rPr>
              <w:t>ה</w:t>
            </w:r>
            <w:r w:rsidRPr="00A4189A">
              <w:rPr>
                <w:szCs w:val="20"/>
                <w:rtl/>
              </w:rPr>
              <w:t>אישום בוטל</w:t>
            </w:r>
          </w:p>
        </w:tc>
        <w:tc>
          <w:tcPr>
            <w:tcW w:w="1005" w:type="dxa"/>
            <w:shd w:val="clear" w:color="auto" w:fill="auto"/>
            <w:noWrap/>
            <w:vAlign w:val="bottom"/>
            <w:hideMark/>
          </w:tcPr>
          <w:p w14:paraId="33FC88A3" w14:textId="77777777" w:rsidR="00BA23AE" w:rsidRPr="00A16421" w:rsidRDefault="00BA23AE" w:rsidP="00A16421">
            <w:pPr>
              <w:pStyle w:val="R"/>
              <w:rPr>
                <w:rtl/>
              </w:rPr>
            </w:pPr>
            <w:r w:rsidRPr="00A16421">
              <w:rPr>
                <w:rFonts w:hint="cs"/>
                <w:rtl/>
              </w:rPr>
              <w:t>45</w:t>
            </w:r>
          </w:p>
        </w:tc>
        <w:tc>
          <w:tcPr>
            <w:tcW w:w="986" w:type="dxa"/>
            <w:shd w:val="clear" w:color="auto" w:fill="auto"/>
            <w:noWrap/>
            <w:vAlign w:val="bottom"/>
            <w:hideMark/>
          </w:tcPr>
          <w:p w14:paraId="7A12A430" w14:textId="77777777" w:rsidR="00BA23AE" w:rsidRPr="00A16421" w:rsidRDefault="00BA23AE" w:rsidP="00A16421">
            <w:pPr>
              <w:pStyle w:val="R"/>
            </w:pPr>
            <w:r w:rsidRPr="00A16421">
              <w:rPr>
                <w:rFonts w:hint="cs"/>
                <w:rtl/>
              </w:rPr>
              <w:t>43</w:t>
            </w:r>
          </w:p>
        </w:tc>
        <w:tc>
          <w:tcPr>
            <w:tcW w:w="986" w:type="dxa"/>
            <w:shd w:val="clear" w:color="auto" w:fill="auto"/>
            <w:noWrap/>
            <w:vAlign w:val="bottom"/>
            <w:hideMark/>
          </w:tcPr>
          <w:p w14:paraId="3831B083" w14:textId="77777777" w:rsidR="00BA23AE" w:rsidRPr="00A16421" w:rsidRDefault="00BA23AE" w:rsidP="00A16421">
            <w:pPr>
              <w:pStyle w:val="R"/>
            </w:pPr>
            <w:r w:rsidRPr="00A16421">
              <w:rPr>
                <w:rFonts w:hint="cs"/>
                <w:rtl/>
              </w:rPr>
              <w:t>40</w:t>
            </w:r>
          </w:p>
        </w:tc>
        <w:tc>
          <w:tcPr>
            <w:tcW w:w="1268" w:type="dxa"/>
            <w:shd w:val="clear" w:color="auto" w:fill="auto"/>
            <w:noWrap/>
            <w:vAlign w:val="bottom"/>
            <w:hideMark/>
          </w:tcPr>
          <w:p w14:paraId="654D5ACB" w14:textId="77777777" w:rsidR="00BA23AE" w:rsidRPr="00A16421" w:rsidRDefault="00BA23AE" w:rsidP="00A16421">
            <w:pPr>
              <w:pStyle w:val="R"/>
            </w:pPr>
            <w:r w:rsidRPr="00A16421">
              <w:rPr>
                <w:rFonts w:hint="cs"/>
                <w:rtl/>
              </w:rPr>
              <w:t>128</w:t>
            </w:r>
          </w:p>
        </w:tc>
      </w:tr>
      <w:tr w:rsidR="00BA23AE" w:rsidRPr="00993244" w14:paraId="010EDD7D" w14:textId="77777777" w:rsidTr="001466D7">
        <w:trPr>
          <w:trHeight w:val="285"/>
        </w:trPr>
        <w:tc>
          <w:tcPr>
            <w:tcW w:w="1142" w:type="dxa"/>
            <w:vMerge/>
            <w:shd w:val="clear" w:color="auto" w:fill="auto"/>
            <w:noWrap/>
            <w:vAlign w:val="bottom"/>
            <w:hideMark/>
          </w:tcPr>
          <w:p w14:paraId="33F04884" w14:textId="77777777" w:rsidR="00BA23AE" w:rsidRPr="00A4189A" w:rsidRDefault="00BA23AE" w:rsidP="00A4189A">
            <w:pPr>
              <w:pStyle w:val="B"/>
            </w:pPr>
          </w:p>
        </w:tc>
        <w:tc>
          <w:tcPr>
            <w:tcW w:w="2969" w:type="dxa"/>
            <w:shd w:val="clear" w:color="auto" w:fill="C6D9F1"/>
            <w:noWrap/>
            <w:vAlign w:val="bottom"/>
            <w:hideMark/>
          </w:tcPr>
          <w:p w14:paraId="241AB7BD" w14:textId="77777777" w:rsidR="00BA23AE" w:rsidRPr="00A4189A" w:rsidRDefault="00BA23AE" w:rsidP="00A4189A">
            <w:pPr>
              <w:pStyle w:val="B"/>
            </w:pPr>
            <w:r w:rsidRPr="00A4189A">
              <w:rPr>
                <w:szCs w:val="20"/>
                <w:rtl/>
              </w:rPr>
              <w:t>סה"כ</w:t>
            </w:r>
          </w:p>
        </w:tc>
        <w:tc>
          <w:tcPr>
            <w:tcW w:w="1005" w:type="dxa"/>
            <w:shd w:val="clear" w:color="auto" w:fill="C6D9F1"/>
            <w:noWrap/>
            <w:vAlign w:val="bottom"/>
            <w:hideMark/>
          </w:tcPr>
          <w:p w14:paraId="30078196" w14:textId="77777777" w:rsidR="00BA23AE" w:rsidRPr="002C3967" w:rsidRDefault="00BA23AE" w:rsidP="00A4189A">
            <w:pPr>
              <w:pStyle w:val="B"/>
              <w:rPr>
                <w:sz w:val="22"/>
                <w:szCs w:val="22"/>
                <w:rtl/>
              </w:rPr>
            </w:pPr>
            <w:r w:rsidRPr="002C3967">
              <w:rPr>
                <w:rFonts w:ascii="Arial" w:hAnsi="Arial" w:hint="cs"/>
                <w:color w:val="000000"/>
                <w:sz w:val="22"/>
                <w:szCs w:val="22"/>
                <w:rtl/>
              </w:rPr>
              <w:t>20,309</w:t>
            </w:r>
          </w:p>
        </w:tc>
        <w:tc>
          <w:tcPr>
            <w:tcW w:w="986" w:type="dxa"/>
            <w:shd w:val="clear" w:color="auto" w:fill="C6D9F1"/>
            <w:noWrap/>
            <w:vAlign w:val="bottom"/>
            <w:hideMark/>
          </w:tcPr>
          <w:p w14:paraId="2B032C9D" w14:textId="77777777" w:rsidR="00BA23AE" w:rsidRPr="002C3967" w:rsidRDefault="00BA23AE" w:rsidP="00A4189A">
            <w:pPr>
              <w:pStyle w:val="B"/>
              <w:rPr>
                <w:sz w:val="22"/>
                <w:szCs w:val="22"/>
              </w:rPr>
            </w:pPr>
            <w:r w:rsidRPr="002C3967">
              <w:rPr>
                <w:rFonts w:ascii="Arial" w:hAnsi="Arial" w:hint="cs"/>
                <w:color w:val="000000"/>
                <w:sz w:val="22"/>
                <w:szCs w:val="22"/>
                <w:rtl/>
              </w:rPr>
              <w:t>20,588</w:t>
            </w:r>
          </w:p>
        </w:tc>
        <w:tc>
          <w:tcPr>
            <w:tcW w:w="986" w:type="dxa"/>
            <w:shd w:val="clear" w:color="auto" w:fill="C6D9F1"/>
            <w:noWrap/>
            <w:vAlign w:val="bottom"/>
            <w:hideMark/>
          </w:tcPr>
          <w:p w14:paraId="33D343B3" w14:textId="77777777" w:rsidR="00BA23AE" w:rsidRPr="002C3967" w:rsidRDefault="00BA23AE" w:rsidP="00A4189A">
            <w:pPr>
              <w:pStyle w:val="B"/>
              <w:rPr>
                <w:sz w:val="22"/>
                <w:szCs w:val="22"/>
              </w:rPr>
            </w:pPr>
            <w:r w:rsidRPr="002C3967">
              <w:rPr>
                <w:rFonts w:ascii="Arial" w:hAnsi="Arial" w:hint="cs"/>
                <w:color w:val="000000"/>
                <w:sz w:val="22"/>
                <w:szCs w:val="22"/>
                <w:rtl/>
              </w:rPr>
              <w:t>18,749</w:t>
            </w:r>
          </w:p>
        </w:tc>
        <w:tc>
          <w:tcPr>
            <w:tcW w:w="1268" w:type="dxa"/>
            <w:shd w:val="clear" w:color="auto" w:fill="C6D9F1"/>
            <w:noWrap/>
            <w:vAlign w:val="bottom"/>
            <w:hideMark/>
          </w:tcPr>
          <w:p w14:paraId="4AD8FA80" w14:textId="77777777" w:rsidR="00BA23AE" w:rsidRPr="002C3967" w:rsidRDefault="00BA23AE" w:rsidP="00A4189A">
            <w:pPr>
              <w:pStyle w:val="B"/>
              <w:rPr>
                <w:sz w:val="22"/>
                <w:szCs w:val="22"/>
              </w:rPr>
            </w:pPr>
            <w:r w:rsidRPr="002C3967">
              <w:rPr>
                <w:rFonts w:ascii="Arial" w:hAnsi="Arial" w:hint="cs"/>
                <w:color w:val="000000"/>
                <w:sz w:val="22"/>
                <w:szCs w:val="22"/>
                <w:rtl/>
              </w:rPr>
              <w:t>59,646</w:t>
            </w:r>
          </w:p>
        </w:tc>
      </w:tr>
      <w:tr w:rsidR="00BA23AE" w:rsidRPr="00993244" w14:paraId="4F667368" w14:textId="77777777" w:rsidTr="001466D7">
        <w:trPr>
          <w:trHeight w:val="285"/>
        </w:trPr>
        <w:tc>
          <w:tcPr>
            <w:tcW w:w="4111" w:type="dxa"/>
            <w:gridSpan w:val="2"/>
            <w:shd w:val="clear" w:color="auto" w:fill="C6D9F1"/>
            <w:noWrap/>
            <w:vAlign w:val="bottom"/>
          </w:tcPr>
          <w:p w14:paraId="3253C7D9" w14:textId="77777777" w:rsidR="00BA23AE" w:rsidRPr="00993244" w:rsidRDefault="00BA23AE" w:rsidP="00A4189A">
            <w:pPr>
              <w:pStyle w:val="B"/>
              <w:rPr>
                <w:sz w:val="22"/>
                <w:szCs w:val="22"/>
                <w:rtl/>
              </w:rPr>
            </w:pPr>
            <w:r w:rsidRPr="00993244">
              <w:rPr>
                <w:rFonts w:hint="cs"/>
                <w:sz w:val="22"/>
                <w:szCs w:val="22"/>
                <w:rtl/>
              </w:rPr>
              <w:t>סה"כ מעצרים</w:t>
            </w:r>
          </w:p>
        </w:tc>
        <w:tc>
          <w:tcPr>
            <w:tcW w:w="1005" w:type="dxa"/>
            <w:shd w:val="clear" w:color="auto" w:fill="C6D9F1"/>
            <w:noWrap/>
            <w:vAlign w:val="bottom"/>
          </w:tcPr>
          <w:p w14:paraId="53269597" w14:textId="77777777" w:rsidR="00BA23AE" w:rsidRPr="00993244" w:rsidRDefault="00BA23AE" w:rsidP="00A4189A">
            <w:pPr>
              <w:pStyle w:val="B"/>
              <w:rPr>
                <w:rFonts w:ascii="Arial" w:hAnsi="Arial"/>
                <w:color w:val="000000"/>
                <w:sz w:val="22"/>
                <w:szCs w:val="22"/>
              </w:rPr>
            </w:pPr>
            <w:r w:rsidRPr="00993244">
              <w:rPr>
                <w:rFonts w:ascii="Arial" w:hAnsi="Arial" w:hint="cs"/>
                <w:color w:val="000000"/>
                <w:sz w:val="22"/>
                <w:szCs w:val="22"/>
                <w:rtl/>
              </w:rPr>
              <w:t>60,848</w:t>
            </w:r>
          </w:p>
        </w:tc>
        <w:tc>
          <w:tcPr>
            <w:tcW w:w="986" w:type="dxa"/>
            <w:shd w:val="clear" w:color="auto" w:fill="C6D9F1"/>
            <w:noWrap/>
            <w:vAlign w:val="bottom"/>
          </w:tcPr>
          <w:p w14:paraId="0A45AB52" w14:textId="77777777" w:rsidR="00BA23AE" w:rsidRPr="00993244" w:rsidRDefault="00BA23AE" w:rsidP="00A4189A">
            <w:pPr>
              <w:pStyle w:val="B"/>
              <w:rPr>
                <w:rFonts w:ascii="Arial" w:hAnsi="Arial"/>
                <w:color w:val="000000"/>
                <w:sz w:val="22"/>
                <w:szCs w:val="22"/>
              </w:rPr>
            </w:pPr>
            <w:r w:rsidRPr="00993244">
              <w:rPr>
                <w:rFonts w:ascii="Arial" w:hAnsi="Arial" w:hint="cs"/>
                <w:color w:val="000000"/>
                <w:sz w:val="22"/>
                <w:szCs w:val="22"/>
                <w:rtl/>
              </w:rPr>
              <w:t>60,072</w:t>
            </w:r>
          </w:p>
        </w:tc>
        <w:tc>
          <w:tcPr>
            <w:tcW w:w="986" w:type="dxa"/>
            <w:shd w:val="clear" w:color="auto" w:fill="C6D9F1"/>
            <w:noWrap/>
            <w:vAlign w:val="bottom"/>
          </w:tcPr>
          <w:p w14:paraId="2DCA2256" w14:textId="77777777" w:rsidR="00BA23AE" w:rsidRPr="00993244" w:rsidRDefault="00BA23AE" w:rsidP="00A4189A">
            <w:pPr>
              <w:pStyle w:val="B"/>
              <w:rPr>
                <w:rFonts w:ascii="Arial" w:hAnsi="Arial"/>
                <w:color w:val="000000"/>
                <w:sz w:val="22"/>
                <w:szCs w:val="22"/>
              </w:rPr>
            </w:pPr>
            <w:r w:rsidRPr="00993244">
              <w:rPr>
                <w:rFonts w:ascii="Arial" w:hAnsi="Arial" w:hint="cs"/>
                <w:color w:val="000000"/>
                <w:sz w:val="22"/>
                <w:szCs w:val="22"/>
                <w:rtl/>
              </w:rPr>
              <w:t>53,253</w:t>
            </w:r>
          </w:p>
        </w:tc>
        <w:tc>
          <w:tcPr>
            <w:tcW w:w="1268" w:type="dxa"/>
            <w:shd w:val="clear" w:color="auto" w:fill="C6D9F1"/>
            <w:noWrap/>
            <w:vAlign w:val="bottom"/>
          </w:tcPr>
          <w:p w14:paraId="3E9403E6" w14:textId="77777777" w:rsidR="00BA23AE" w:rsidRPr="00993244" w:rsidRDefault="00BA23AE" w:rsidP="00A4189A">
            <w:pPr>
              <w:pStyle w:val="B"/>
              <w:rPr>
                <w:rFonts w:ascii="Arial" w:hAnsi="Arial"/>
                <w:color w:val="000000"/>
                <w:sz w:val="22"/>
                <w:szCs w:val="22"/>
              </w:rPr>
            </w:pPr>
            <w:r w:rsidRPr="00993244">
              <w:rPr>
                <w:rFonts w:ascii="Arial" w:hAnsi="Arial" w:hint="cs"/>
                <w:color w:val="000000"/>
                <w:sz w:val="22"/>
                <w:szCs w:val="22"/>
                <w:rtl/>
              </w:rPr>
              <w:t>174,173</w:t>
            </w:r>
          </w:p>
        </w:tc>
      </w:tr>
    </w:tbl>
    <w:p w14:paraId="2866495B" w14:textId="77777777" w:rsidR="00BA23AE" w:rsidRPr="00046CCF" w:rsidRDefault="00BA23AE" w:rsidP="001466D7">
      <w:pPr>
        <w:pStyle w:val="ab"/>
        <w:rPr>
          <w:rtl/>
        </w:rPr>
      </w:pPr>
      <w:r w:rsidRPr="00046CCF">
        <w:rPr>
          <w:rFonts w:hint="eastAsia"/>
          <w:rtl/>
        </w:rPr>
        <w:t>על</w:t>
      </w:r>
      <w:r w:rsidRPr="00046CCF">
        <w:rPr>
          <w:rtl/>
        </w:rPr>
        <w:t xml:space="preserve"> </w:t>
      </w:r>
      <w:r w:rsidRPr="00046CCF">
        <w:rPr>
          <w:rFonts w:hint="eastAsia"/>
          <w:rtl/>
        </w:rPr>
        <w:t>פי</w:t>
      </w:r>
      <w:r w:rsidRPr="00046CCF">
        <w:rPr>
          <w:rtl/>
        </w:rPr>
        <w:t xml:space="preserve"> </w:t>
      </w:r>
      <w:r w:rsidRPr="00046CCF">
        <w:rPr>
          <w:rFonts w:hint="eastAsia"/>
          <w:rtl/>
        </w:rPr>
        <w:t>נתוני</w:t>
      </w:r>
      <w:r w:rsidRPr="00046CCF">
        <w:rPr>
          <w:rtl/>
        </w:rPr>
        <w:t xml:space="preserve"> </w:t>
      </w:r>
      <w:r w:rsidRPr="00046CCF">
        <w:rPr>
          <w:rFonts w:hint="eastAsia"/>
          <w:rtl/>
        </w:rPr>
        <w:t>המעצרים</w:t>
      </w:r>
      <w:r w:rsidRPr="00046CCF">
        <w:rPr>
          <w:rtl/>
        </w:rPr>
        <w:t xml:space="preserve"> </w:t>
      </w:r>
      <w:r w:rsidRPr="00046CCF">
        <w:rPr>
          <w:rFonts w:hint="eastAsia"/>
          <w:rtl/>
        </w:rPr>
        <w:t>ומאגר</w:t>
      </w:r>
      <w:r w:rsidRPr="00046CCF">
        <w:rPr>
          <w:rtl/>
        </w:rPr>
        <w:t xml:space="preserve"> </w:t>
      </w:r>
      <w:r w:rsidRPr="00046CCF">
        <w:rPr>
          <w:rFonts w:hint="eastAsia"/>
          <w:rtl/>
        </w:rPr>
        <w:t>ההחלטות</w:t>
      </w:r>
      <w:r>
        <w:rPr>
          <w:rFonts w:hint="cs"/>
          <w:rtl/>
        </w:rPr>
        <w:t xml:space="preserve"> של המשטרה</w:t>
      </w:r>
      <w:r w:rsidRPr="00046CCF">
        <w:rPr>
          <w:rtl/>
        </w:rPr>
        <w:t xml:space="preserve">, </w:t>
      </w:r>
      <w:r w:rsidRPr="00046CCF">
        <w:rPr>
          <w:rFonts w:hint="eastAsia"/>
          <w:rtl/>
        </w:rPr>
        <w:t>בעיבוד</w:t>
      </w:r>
      <w:r w:rsidRPr="00046CCF">
        <w:rPr>
          <w:rtl/>
        </w:rPr>
        <w:t xml:space="preserve"> </w:t>
      </w:r>
      <w:r w:rsidRPr="00046CCF">
        <w:rPr>
          <w:rFonts w:hint="eastAsia"/>
          <w:rtl/>
        </w:rPr>
        <w:t>משרד</w:t>
      </w:r>
      <w:r w:rsidRPr="00046CCF">
        <w:rPr>
          <w:rtl/>
        </w:rPr>
        <w:t xml:space="preserve"> </w:t>
      </w:r>
      <w:r w:rsidRPr="00046CCF">
        <w:rPr>
          <w:rFonts w:hint="eastAsia"/>
          <w:rtl/>
        </w:rPr>
        <w:t>מבקר</w:t>
      </w:r>
      <w:r w:rsidRPr="00046CCF">
        <w:rPr>
          <w:rtl/>
        </w:rPr>
        <w:t xml:space="preserve"> </w:t>
      </w:r>
      <w:r w:rsidRPr="00046CCF">
        <w:rPr>
          <w:rFonts w:hint="eastAsia"/>
          <w:rtl/>
        </w:rPr>
        <w:t>המדינה</w:t>
      </w:r>
      <w:r w:rsidRPr="00046CCF">
        <w:rPr>
          <w:rtl/>
        </w:rPr>
        <w:t>.</w:t>
      </w:r>
    </w:p>
    <w:p w14:paraId="7718E319" w14:textId="0012F5AC" w:rsidR="00BA23AE" w:rsidRPr="00DD762E" w:rsidRDefault="00BA23AE" w:rsidP="00F05CF9">
      <w:pPr>
        <w:pStyle w:val="100"/>
        <w:rPr>
          <w:rtl/>
        </w:rPr>
      </w:pPr>
    </w:p>
    <w:p w14:paraId="10CD3B62" w14:textId="77777777" w:rsidR="00BA23AE" w:rsidRPr="00E36CE7" w:rsidRDefault="00BA23AE" w:rsidP="00F05CF9">
      <w:pPr>
        <w:pStyle w:val="af4"/>
        <w:rPr>
          <w:rtl/>
        </w:rPr>
      </w:pPr>
      <w:r w:rsidRPr="00AC6A16">
        <w:rPr>
          <w:rFonts w:hint="cs"/>
          <w:rtl/>
        </w:rPr>
        <w:t>מהלוח עולה כי לעומת 2016 ו-2017, בשנת 2018 הוכפל מספרם של תיקי עצורים עד תום ההליכים שלא הוזנה בהם החלטה שיפוטית על שחרור. בשנת 2016 נמצאו 1,358 תיקי מעצר שנסגרו בלא שתועד בהם השחרור או הגורם המשחרר, ובשנת 2017 עמד מספר התיקים שלא תועדה בהם החלטת השחרור על 1,535 תיקים</w:t>
      </w:r>
      <w:r>
        <w:rPr>
          <w:rFonts w:hint="cs"/>
          <w:rtl/>
        </w:rPr>
        <w:t>;</w:t>
      </w:r>
      <w:r w:rsidRPr="00E36CE7">
        <w:rPr>
          <w:rFonts w:hint="cs"/>
          <w:rtl/>
        </w:rPr>
        <w:t xml:space="preserve"> ואילו בשנת 2018 עמד מספר התיקים שלא תועדה בהם החלטת שחרור על 2,919 תיקים. </w:t>
      </w:r>
    </w:p>
    <w:p w14:paraId="403611A0" w14:textId="77777777" w:rsidR="00BA23AE" w:rsidRPr="00E36CE7" w:rsidRDefault="00BA23AE" w:rsidP="00F05CF9">
      <w:pPr>
        <w:pStyle w:val="af4"/>
        <w:rPr>
          <w:rtl/>
        </w:rPr>
      </w:pPr>
      <w:r w:rsidRPr="00E36CE7">
        <w:rPr>
          <w:rFonts w:hint="cs"/>
          <w:rtl/>
        </w:rPr>
        <w:lastRenderedPageBreak/>
        <w:t>עוד נמצא</w:t>
      </w:r>
      <w:r>
        <w:rPr>
          <w:rFonts w:hint="cs"/>
          <w:rtl/>
        </w:rPr>
        <w:t>,</w:t>
      </w:r>
      <w:r w:rsidRPr="00E36CE7">
        <w:rPr>
          <w:rFonts w:hint="cs"/>
          <w:rtl/>
        </w:rPr>
        <w:t xml:space="preserve"> כי בשנת 2018 מספר תיקי המעצר עד תום ההליכים שלא תועד בהם שחרור</w:t>
      </w:r>
      <w:r>
        <w:rPr>
          <w:rFonts w:hint="cs"/>
          <w:rtl/>
        </w:rPr>
        <w:t>,</w:t>
      </w:r>
      <w:r w:rsidRPr="00E36CE7">
        <w:rPr>
          <w:rFonts w:hint="cs"/>
          <w:rtl/>
        </w:rPr>
        <w:t xml:space="preserve"> גבוה פי 16 ממספר תיקי מעצר ימים שלא נמצא בהם מסמך של החלטת השחרור. </w:t>
      </w:r>
    </w:p>
    <w:p w14:paraId="745A8496" w14:textId="11AC164C" w:rsidR="00BA23AE" w:rsidRDefault="00BA23AE" w:rsidP="00F05CF9">
      <w:pPr>
        <w:pStyle w:val="100"/>
        <w:rPr>
          <w:rtl/>
        </w:rPr>
      </w:pPr>
      <w:r>
        <w:rPr>
          <w:rFonts w:hint="cs"/>
          <w:rtl/>
        </w:rPr>
        <w:t xml:space="preserve">משטרת ישראל מסרה בתשובתה כי הנתון העולה מהדוח מטריד והוביל לחידוד החובה המקצועית המוטלת על התביעה בקרב הדרג המנהל של </w:t>
      </w:r>
      <w:r w:rsidR="008205CA">
        <w:rPr>
          <w:rFonts w:hint="cs"/>
          <w:rtl/>
        </w:rPr>
        <w:t>מ</w:t>
      </w:r>
      <w:r w:rsidR="000F7195" w:rsidRPr="000F7195">
        <w:rPr>
          <w:rtl/>
        </w:rPr>
        <w:t>ִ</w:t>
      </w:r>
      <w:r w:rsidR="008205CA">
        <w:rPr>
          <w:rFonts w:hint="cs"/>
          <w:rtl/>
        </w:rPr>
        <w:t xml:space="preserve">נהל </w:t>
      </w:r>
      <w:r>
        <w:rPr>
          <w:rFonts w:hint="cs"/>
          <w:rtl/>
        </w:rPr>
        <w:t>התביעות.</w:t>
      </w:r>
    </w:p>
    <w:p w14:paraId="4F47B731" w14:textId="77777777" w:rsidR="00BA23AE" w:rsidRPr="004C1121" w:rsidRDefault="00BA23AE" w:rsidP="00F05CF9">
      <w:pPr>
        <w:pStyle w:val="100"/>
        <w:rPr>
          <w:rtl/>
        </w:rPr>
      </w:pPr>
      <w:r>
        <w:rPr>
          <w:rFonts w:hint="cs"/>
          <w:rtl/>
        </w:rPr>
        <w:t>הפרקליטות מסרה בתשובתה כי קיים ממשק ממוחשב המעביר את הנתונים המוזנים במערכת הפרקליטות (מערכת תנופה) למערכות המשטרה. עם זאת, דיווח זה אינו כולל את כל הנתונים המפורטים בהחלטות המעצר. בימים אלו נבחנת האפשרות להעביר גם את פרוטוקול הדיון בבית המשפט באמצעות הממשק הממוחשב.</w:t>
      </w:r>
    </w:p>
    <w:p w14:paraId="297BB4A7" w14:textId="77777777" w:rsidR="00BA23AE" w:rsidRPr="00DD762E" w:rsidRDefault="00BA23AE" w:rsidP="00F05CF9">
      <w:pPr>
        <w:pStyle w:val="af4"/>
        <w:rPr>
          <w:rtl/>
        </w:rPr>
      </w:pPr>
      <w:r w:rsidRPr="00DD762E">
        <w:rPr>
          <w:rFonts w:hint="eastAsia"/>
          <w:rtl/>
        </w:rPr>
        <w:t>בהיעדר</w:t>
      </w:r>
      <w:r w:rsidRPr="00DD762E">
        <w:rPr>
          <w:rtl/>
        </w:rPr>
        <w:t xml:space="preserve"> </w:t>
      </w:r>
      <w:r w:rsidRPr="00DD762E">
        <w:rPr>
          <w:rFonts w:hint="eastAsia"/>
          <w:rtl/>
        </w:rPr>
        <w:t>הזנת</w:t>
      </w:r>
      <w:r w:rsidRPr="00DD762E">
        <w:rPr>
          <w:rtl/>
        </w:rPr>
        <w:t xml:space="preserve"> </w:t>
      </w:r>
      <w:r w:rsidRPr="00DD762E">
        <w:rPr>
          <w:rFonts w:hint="eastAsia"/>
          <w:rtl/>
        </w:rPr>
        <w:t>החלטות</w:t>
      </w:r>
      <w:r w:rsidRPr="00DD762E">
        <w:rPr>
          <w:rtl/>
        </w:rPr>
        <w:t xml:space="preserve"> </w:t>
      </w:r>
      <w:r w:rsidRPr="00DD762E">
        <w:rPr>
          <w:rFonts w:hint="eastAsia"/>
          <w:rtl/>
        </w:rPr>
        <w:t>סדורה</w:t>
      </w:r>
      <w:r>
        <w:rPr>
          <w:rFonts w:hint="cs"/>
          <w:rtl/>
        </w:rPr>
        <w:t>,</w:t>
      </w:r>
      <w:r w:rsidRPr="00DD762E">
        <w:rPr>
          <w:rtl/>
        </w:rPr>
        <w:t xml:space="preserve"> </w:t>
      </w:r>
      <w:r w:rsidRPr="00DD762E">
        <w:rPr>
          <w:rFonts w:hint="eastAsia"/>
          <w:rtl/>
        </w:rPr>
        <w:t>עלולות</w:t>
      </w:r>
      <w:r w:rsidRPr="00DD762E">
        <w:rPr>
          <w:rtl/>
        </w:rPr>
        <w:t xml:space="preserve"> </w:t>
      </w:r>
      <w:r w:rsidRPr="00DD762E">
        <w:rPr>
          <w:rFonts w:hint="eastAsia"/>
          <w:rtl/>
        </w:rPr>
        <w:t>יחידות</w:t>
      </w:r>
      <w:r w:rsidRPr="00DD762E">
        <w:rPr>
          <w:rtl/>
        </w:rPr>
        <w:t xml:space="preserve"> </w:t>
      </w:r>
      <w:r w:rsidRPr="00DD762E">
        <w:rPr>
          <w:rFonts w:hint="eastAsia"/>
          <w:rtl/>
        </w:rPr>
        <w:t>הסיור</w:t>
      </w:r>
      <w:r w:rsidRPr="00DD762E">
        <w:rPr>
          <w:rtl/>
        </w:rPr>
        <w:t xml:space="preserve"> </w:t>
      </w:r>
      <w:r w:rsidRPr="00DD762E">
        <w:rPr>
          <w:rFonts w:hint="cs"/>
          <w:rtl/>
        </w:rPr>
        <w:t xml:space="preserve">של המשטרה </w:t>
      </w:r>
      <w:r w:rsidRPr="00DD762E">
        <w:rPr>
          <w:rFonts w:hint="eastAsia"/>
          <w:rtl/>
        </w:rPr>
        <w:t>לעצור</w:t>
      </w:r>
      <w:r w:rsidRPr="00DD762E">
        <w:rPr>
          <w:rtl/>
        </w:rPr>
        <w:t xml:space="preserve"> </w:t>
      </w:r>
      <w:r w:rsidRPr="00DD762E">
        <w:rPr>
          <w:rFonts w:hint="cs"/>
          <w:rtl/>
        </w:rPr>
        <w:t>משוחררים בתנאים מגבילים</w:t>
      </w:r>
      <w:r w:rsidRPr="00DD762E">
        <w:rPr>
          <w:rtl/>
        </w:rPr>
        <w:t xml:space="preserve"> </w:t>
      </w:r>
      <w:r w:rsidRPr="00DD762E">
        <w:rPr>
          <w:rFonts w:hint="cs"/>
          <w:rtl/>
        </w:rPr>
        <w:t>בניגוד להחלטות השיפוטיות</w:t>
      </w:r>
      <w:r w:rsidRPr="00DD762E">
        <w:rPr>
          <w:rtl/>
        </w:rPr>
        <w:t>.</w:t>
      </w:r>
    </w:p>
    <w:p w14:paraId="43FCBC63" w14:textId="77777777" w:rsidR="00BA23AE" w:rsidRDefault="00BA23AE" w:rsidP="00F05CF9">
      <w:pPr>
        <w:pStyle w:val="af4"/>
        <w:rPr>
          <w:rtl/>
        </w:rPr>
      </w:pPr>
      <w:r w:rsidRPr="00DD762E">
        <w:rPr>
          <w:rFonts w:hint="cs"/>
          <w:rtl/>
        </w:rPr>
        <w:t xml:space="preserve">על יחידות התביעה להקפיד על הזנת </w:t>
      </w:r>
      <w:r>
        <w:rPr>
          <w:rFonts w:hint="cs"/>
          <w:rtl/>
        </w:rPr>
        <w:t>ה</w:t>
      </w:r>
      <w:r w:rsidRPr="00DD762E">
        <w:rPr>
          <w:rFonts w:hint="cs"/>
          <w:rtl/>
        </w:rPr>
        <w:t xml:space="preserve">החלטות </w:t>
      </w:r>
      <w:r>
        <w:rPr>
          <w:rFonts w:hint="cs"/>
          <w:rtl/>
        </w:rPr>
        <w:t>ה</w:t>
      </w:r>
      <w:r w:rsidRPr="00DD762E">
        <w:rPr>
          <w:rFonts w:hint="cs"/>
          <w:rtl/>
        </w:rPr>
        <w:t xml:space="preserve">שיפוטיות למערכת הממוחשבת. כמו כן, </w:t>
      </w:r>
      <w:r>
        <w:rPr>
          <w:rFonts w:hint="cs"/>
          <w:rtl/>
        </w:rPr>
        <w:t>עליהן</w:t>
      </w:r>
      <w:r w:rsidRPr="00DD762E">
        <w:rPr>
          <w:rFonts w:hint="cs"/>
          <w:rtl/>
        </w:rPr>
        <w:t xml:space="preserve"> לערוך בקרות שוטפות על מנת לוודא את הזנת ההחלטות כנדרש. הפרקליטות</w:t>
      </w:r>
      <w:r>
        <w:rPr>
          <w:rFonts w:hint="cs"/>
          <w:rtl/>
        </w:rPr>
        <w:t xml:space="preserve"> נדרשת </w:t>
      </w:r>
      <w:r w:rsidRPr="00DD762E">
        <w:rPr>
          <w:rFonts w:hint="cs"/>
          <w:rtl/>
        </w:rPr>
        <w:t xml:space="preserve">לערוך בקרות על תיקי המעצרים ולוודא כי ההחלטות המתקבלות בבית המשפט עוברות באופן שוטף לידי נציג המשטרה בפרקליטות. </w:t>
      </w:r>
    </w:p>
    <w:p w14:paraId="4EC004DE" w14:textId="77777777" w:rsidR="00BA23AE" w:rsidRPr="00C83E26" w:rsidRDefault="00BA23AE" w:rsidP="00F05CF9">
      <w:pPr>
        <w:pStyle w:val="100"/>
        <w:rPr>
          <w:rtl/>
        </w:rPr>
      </w:pPr>
      <w:r>
        <w:rPr>
          <w:rFonts w:hint="cs"/>
          <w:rtl/>
        </w:rPr>
        <w:t>הפרקליטות ציינה בתשובתה כי נערכה בעבר בקרה על הזנת ההחלטות. בימים אלו מתבצעת עבודת מטה שנועדה לתקן את הכשלים שעלו בבקרה, ובסיומה תיערך בקרה משלימה.</w:t>
      </w:r>
    </w:p>
    <w:p w14:paraId="663CA064" w14:textId="77777777" w:rsidR="00BA23AE" w:rsidRPr="00DD762E" w:rsidRDefault="00BA23AE" w:rsidP="00F05CF9">
      <w:pPr>
        <w:pStyle w:val="316"/>
        <w:rPr>
          <w:rtl/>
        </w:rPr>
      </w:pPr>
      <w:r w:rsidRPr="00DD762E">
        <w:rPr>
          <w:rFonts w:hint="cs"/>
          <w:rtl/>
        </w:rPr>
        <w:t>בקרה בתחום המעצרים</w:t>
      </w:r>
    </w:p>
    <w:p w14:paraId="01D53172" w14:textId="77777777" w:rsidR="00BA23AE" w:rsidRPr="00DD762E" w:rsidRDefault="00BA23AE" w:rsidP="00F05CF9">
      <w:pPr>
        <w:pStyle w:val="100"/>
        <w:rPr>
          <w:rtl/>
        </w:rPr>
      </w:pPr>
      <w:r w:rsidRPr="00DD762E">
        <w:rPr>
          <w:rFonts w:hint="cs"/>
          <w:rtl/>
        </w:rPr>
        <w:t>חוק המעצרים קובע כי</w:t>
      </w:r>
      <w:r>
        <w:rPr>
          <w:rFonts w:hint="cs"/>
          <w:rtl/>
        </w:rPr>
        <w:t xml:space="preserve"> החלטה על מעצר תינתן על ידי בית המשפט רק במקרים שבהם לא ניתן להשיג את מטרת המעצר בדרך של שחרור בערובה ותנאי שחרור שפגיעתם בנאשם פחותה.</w:t>
      </w:r>
      <w:r w:rsidRPr="00DD762E">
        <w:rPr>
          <w:rFonts w:hint="cs"/>
          <w:rtl/>
        </w:rPr>
        <w:t xml:space="preserve"> </w:t>
      </w:r>
    </w:p>
    <w:p w14:paraId="46A58D77" w14:textId="77777777" w:rsidR="00BA23AE" w:rsidRDefault="00BA23AE" w:rsidP="00F05CF9">
      <w:pPr>
        <w:pStyle w:val="100"/>
        <w:rPr>
          <w:rtl/>
        </w:rPr>
      </w:pPr>
      <w:r w:rsidRPr="00F05CF9">
        <w:rPr>
          <w:rStyle w:val="Heading5Char"/>
          <w:rFonts w:hint="eastAsia"/>
          <w:color w:val="387026"/>
          <w:spacing w:val="0"/>
          <w:rtl/>
        </w:rPr>
        <w:t>מינהל</w:t>
      </w:r>
      <w:r w:rsidRPr="00F05CF9">
        <w:rPr>
          <w:rStyle w:val="Heading5Char"/>
          <w:rFonts w:hint="cs"/>
          <w:color w:val="387026"/>
          <w:spacing w:val="0"/>
          <w:rtl/>
        </w:rPr>
        <w:t xml:space="preserve"> ה</w:t>
      </w:r>
      <w:r w:rsidRPr="00F05CF9">
        <w:rPr>
          <w:rStyle w:val="Heading5Char"/>
          <w:rFonts w:hint="eastAsia"/>
          <w:color w:val="387026"/>
          <w:spacing w:val="0"/>
          <w:rtl/>
        </w:rPr>
        <w:t>תביעות</w:t>
      </w:r>
      <w:r w:rsidRPr="00F05CF9">
        <w:rPr>
          <w:rStyle w:val="Heading5Char"/>
          <w:rFonts w:hint="cs"/>
          <w:color w:val="387026"/>
          <w:spacing w:val="0"/>
          <w:rtl/>
        </w:rPr>
        <w:t xml:space="preserve"> (ב</w:t>
      </w:r>
      <w:r w:rsidRPr="00F05CF9">
        <w:rPr>
          <w:rStyle w:val="Heading5Char"/>
          <w:rFonts w:hint="eastAsia"/>
          <w:color w:val="387026"/>
          <w:spacing w:val="0"/>
          <w:rtl/>
        </w:rPr>
        <w:t>משטרה</w:t>
      </w:r>
      <w:r w:rsidRPr="00F05CF9">
        <w:rPr>
          <w:rStyle w:val="Heading5Char"/>
          <w:rFonts w:hint="cs"/>
          <w:color w:val="387026"/>
          <w:spacing w:val="0"/>
          <w:rtl/>
        </w:rPr>
        <w:t>):</w:t>
      </w:r>
      <w:r w:rsidRPr="00F05CF9">
        <w:rPr>
          <w:rStyle w:val="Heading7Char"/>
          <w:rFonts w:hint="cs"/>
          <w:color w:val="387026"/>
          <w:rtl/>
        </w:rPr>
        <w:t xml:space="preserve"> </w:t>
      </w:r>
      <w:r>
        <w:rPr>
          <w:rFonts w:hint="cs"/>
          <w:rtl/>
        </w:rPr>
        <w:t>במחוזות חטיבת התביעות מונו</w:t>
      </w:r>
      <w:r w:rsidRPr="00DD762E">
        <w:rPr>
          <w:rFonts w:hint="cs"/>
          <w:rtl/>
        </w:rPr>
        <w:t xml:space="preserve"> ראשי שלוחות מעצרים</w:t>
      </w:r>
      <w:r>
        <w:rPr>
          <w:rFonts w:hint="cs"/>
          <w:rtl/>
        </w:rPr>
        <w:t xml:space="preserve"> המנהלים צוות תובעים האחראי לתיקים שבהם מוגשת בקשה למעצר עד תום ההליכים. ראשי שלוחות המעצרים</w:t>
      </w:r>
      <w:r w:rsidRPr="00DD762E">
        <w:rPr>
          <w:rFonts w:hint="cs"/>
          <w:rtl/>
        </w:rPr>
        <w:t xml:space="preserve"> בודקים את כתבי האישום ואת הבקשות למעצר עד תום ההליכים טרם הגשתם לבית המשפט. </w:t>
      </w:r>
      <w:r>
        <w:rPr>
          <w:rFonts w:hint="cs"/>
          <w:rtl/>
        </w:rPr>
        <w:t>אין אפשרות לסווג את סוגי הבקשות</w:t>
      </w:r>
      <w:r w:rsidRPr="00DD762E">
        <w:rPr>
          <w:rFonts w:hint="cs"/>
          <w:rtl/>
        </w:rPr>
        <w:t xml:space="preserve"> למעצר עד תום ההליכים</w:t>
      </w:r>
      <w:r>
        <w:rPr>
          <w:rFonts w:hint="cs"/>
          <w:rtl/>
        </w:rPr>
        <w:t xml:space="preserve"> (</w:t>
      </w:r>
      <w:r w:rsidRPr="00DD762E">
        <w:rPr>
          <w:rFonts w:hint="cs"/>
          <w:rtl/>
        </w:rPr>
        <w:t>שחרור בערובה, שחרור בתנאים מגבילים</w:t>
      </w:r>
      <w:r>
        <w:rPr>
          <w:rFonts w:hint="cs"/>
          <w:rtl/>
        </w:rPr>
        <w:t xml:space="preserve"> או</w:t>
      </w:r>
      <w:r w:rsidRPr="00DD762E">
        <w:rPr>
          <w:rFonts w:hint="cs"/>
          <w:rtl/>
        </w:rPr>
        <w:t xml:space="preserve"> מעצר עד תום ההליכים</w:t>
      </w:r>
      <w:r>
        <w:rPr>
          <w:rFonts w:hint="cs"/>
          <w:rtl/>
        </w:rPr>
        <w:t>) במערכת הממוחשבת המשטרתית.</w:t>
      </w:r>
    </w:p>
    <w:p w14:paraId="68D07A5D" w14:textId="77777777" w:rsidR="00BA23AE" w:rsidRDefault="00BA23AE" w:rsidP="00F05CF9">
      <w:pPr>
        <w:pStyle w:val="af4"/>
        <w:rPr>
          <w:rtl/>
        </w:rPr>
      </w:pPr>
      <w:r w:rsidRPr="00DD762E">
        <w:rPr>
          <w:rFonts w:hint="cs"/>
          <w:rtl/>
        </w:rPr>
        <w:t xml:space="preserve">בהיעדר </w:t>
      </w:r>
      <w:r>
        <w:rPr>
          <w:rFonts w:hint="cs"/>
          <w:rtl/>
        </w:rPr>
        <w:t>אסמכתה</w:t>
      </w:r>
      <w:r w:rsidRPr="00DD762E">
        <w:rPr>
          <w:rFonts w:hint="cs"/>
          <w:rtl/>
        </w:rPr>
        <w:t xml:space="preserve"> </w:t>
      </w:r>
      <w:r>
        <w:rPr>
          <w:rFonts w:hint="cs"/>
          <w:rtl/>
        </w:rPr>
        <w:t>ל</w:t>
      </w:r>
      <w:r w:rsidRPr="00DD762E">
        <w:rPr>
          <w:rFonts w:hint="cs"/>
          <w:rtl/>
        </w:rPr>
        <w:t>סיווג הבקשה</w:t>
      </w:r>
      <w:r>
        <w:rPr>
          <w:rFonts w:hint="cs"/>
          <w:rtl/>
        </w:rPr>
        <w:t>,</w:t>
      </w:r>
      <w:r w:rsidRPr="00DD762E">
        <w:rPr>
          <w:rFonts w:hint="cs"/>
          <w:rtl/>
        </w:rPr>
        <w:t xml:space="preserve"> אין בידי גורמי התביעה כלים לבחון את נחיצות הגשתה במקרה הקונקרטי. סיווג הבקשות יסייע </w:t>
      </w:r>
      <w:r>
        <w:rPr>
          <w:rFonts w:hint="cs"/>
          <w:rtl/>
        </w:rPr>
        <w:t>ל</w:t>
      </w:r>
      <w:r w:rsidRPr="00DD762E">
        <w:rPr>
          <w:rFonts w:hint="cs"/>
          <w:rtl/>
        </w:rPr>
        <w:t xml:space="preserve">תחקר באופן מסודר וברמה הארצית </w:t>
      </w:r>
      <w:r>
        <w:rPr>
          <w:rFonts w:hint="cs"/>
          <w:rtl/>
        </w:rPr>
        <w:t>את</w:t>
      </w:r>
      <w:r w:rsidRPr="00DD762E">
        <w:rPr>
          <w:rFonts w:hint="cs"/>
          <w:rtl/>
        </w:rPr>
        <w:t xml:space="preserve"> הפערים בין עילות המעצר המפורטות בבקשה ובין הטעמים המפורטים בהחלטת בית המשפט. </w:t>
      </w:r>
    </w:p>
    <w:p w14:paraId="2A690FEF" w14:textId="77777777" w:rsidR="00BA23AE" w:rsidRPr="00DD762E" w:rsidRDefault="00BA23AE" w:rsidP="00F05CF9">
      <w:pPr>
        <w:pStyle w:val="100"/>
        <w:rPr>
          <w:rtl/>
        </w:rPr>
      </w:pPr>
      <w:r w:rsidRPr="00F05CF9">
        <w:rPr>
          <w:rStyle w:val="Heading5Char"/>
          <w:rFonts w:hint="cs"/>
          <w:color w:val="387026"/>
          <w:spacing w:val="0"/>
          <w:rtl/>
        </w:rPr>
        <w:t>פרקליטות המדינה:</w:t>
      </w:r>
      <w:r w:rsidRPr="00DD762E">
        <w:rPr>
          <w:rFonts w:hint="cs"/>
          <w:rtl/>
        </w:rPr>
        <w:t xml:space="preserve"> ראשי צוותי המעצרים עוברים במסגרת תפקידם על כל כתבי האישום המוגשים ועל הבקשות למ</w:t>
      </w:r>
      <w:r>
        <w:rPr>
          <w:rFonts w:hint="cs"/>
          <w:rtl/>
        </w:rPr>
        <w:t>עצר עד תום ההליכים המוגשות עימם</w:t>
      </w:r>
      <w:r w:rsidRPr="00DD762E">
        <w:rPr>
          <w:rFonts w:hint="cs"/>
          <w:rtl/>
        </w:rPr>
        <w:t xml:space="preserve">. ברמה הארצית לא נערכה ביקורת על פעילות צוותי המעצרים. ברמה המחוזית נערכה ביקורת בנושא מעצרים במחוז חיפה (פלילי). הביקורת ניתחה את התפלגות החלטות המעצר בבתי המשפט לפי סוגי עבירות. ממצאי </w:t>
      </w:r>
      <w:r w:rsidRPr="00DD762E">
        <w:rPr>
          <w:rFonts w:hint="cs"/>
          <w:rtl/>
        </w:rPr>
        <w:lastRenderedPageBreak/>
        <w:t>הביקורת הביאו לבחינה של יעילות הבקשות למעצר עד תום ההליכים ולהסקת מסקנות לגב</w:t>
      </w:r>
      <w:r>
        <w:rPr>
          <w:rFonts w:hint="cs"/>
          <w:rtl/>
        </w:rPr>
        <w:t>י בקשות למעצר בסוגי עבירות שונים</w:t>
      </w:r>
      <w:r w:rsidRPr="00DD762E">
        <w:rPr>
          <w:rFonts w:hint="cs"/>
          <w:rtl/>
        </w:rPr>
        <w:t>. יש לראות בחיוב את הבקרה שנערכה במחוז חיפה</w:t>
      </w:r>
      <w:r>
        <w:rPr>
          <w:rFonts w:hint="cs"/>
          <w:rtl/>
        </w:rPr>
        <w:t xml:space="preserve"> ואת התוצאות שנלוו לה</w:t>
      </w:r>
      <w:r w:rsidRPr="00DD762E">
        <w:rPr>
          <w:rFonts w:hint="cs"/>
          <w:rtl/>
        </w:rPr>
        <w:t>.</w:t>
      </w:r>
    </w:p>
    <w:p w14:paraId="426C16C2" w14:textId="6F7AB10D" w:rsidR="00BA23AE" w:rsidRDefault="00BA23AE" w:rsidP="00F05CF9">
      <w:pPr>
        <w:pStyle w:val="af4"/>
        <w:rPr>
          <w:rtl/>
        </w:rPr>
      </w:pPr>
      <w:r>
        <w:rPr>
          <w:rFonts w:hint="cs"/>
          <w:rtl/>
        </w:rPr>
        <w:t>לדעת משרד מבקר המדינה, נוכח</w:t>
      </w:r>
      <w:r w:rsidRPr="00DD762E">
        <w:rPr>
          <w:rFonts w:hint="cs"/>
          <w:rtl/>
        </w:rPr>
        <w:t xml:space="preserve"> החשש מפני פגיעה משמעותית בחירות העצור, על הפרקליטות לבקר את איכות הבקשות למעצר עד תום הה</w:t>
      </w:r>
      <w:r w:rsidRPr="00EF4B68">
        <w:rPr>
          <w:rFonts w:hint="cs"/>
          <w:rtl/>
        </w:rPr>
        <w:t>ל</w:t>
      </w:r>
      <w:r w:rsidRPr="00DD762E">
        <w:rPr>
          <w:rFonts w:hint="cs"/>
          <w:rtl/>
        </w:rPr>
        <w:t>יכים וסבירות הגשתן לבית המשפט, הן ברמה המחוזית והן ברמה הארצית</w:t>
      </w:r>
      <w:r>
        <w:rPr>
          <w:rFonts w:hint="cs"/>
          <w:rtl/>
        </w:rPr>
        <w:t>,</w:t>
      </w:r>
      <w:r w:rsidRPr="00DD762E">
        <w:rPr>
          <w:rFonts w:hint="cs"/>
          <w:rtl/>
        </w:rPr>
        <w:t xml:space="preserve"> </w:t>
      </w:r>
      <w:r>
        <w:rPr>
          <w:rFonts w:hint="cs"/>
          <w:rtl/>
        </w:rPr>
        <w:t>כדי</w:t>
      </w:r>
      <w:r w:rsidRPr="00DD762E">
        <w:rPr>
          <w:rFonts w:hint="cs"/>
          <w:rtl/>
        </w:rPr>
        <w:t xml:space="preserve"> לוודא מדיניות אחידה ולאתר בקשות בלתי סבירות.</w:t>
      </w:r>
    </w:p>
    <w:p w14:paraId="0F03FC46" w14:textId="77777777" w:rsidR="00BA23AE" w:rsidRDefault="00BA23AE" w:rsidP="00F05CF9">
      <w:pPr>
        <w:pStyle w:val="100"/>
        <w:rPr>
          <w:rtl/>
        </w:rPr>
      </w:pPr>
      <w:r>
        <w:rPr>
          <w:rFonts w:hint="cs"/>
          <w:rtl/>
        </w:rPr>
        <w:t>הפרקליטות מסרה בתשובתה כי היא מקבלת את ההמלצה לכלול את הבקרה בנושא מעצרים בתוכנית העבודה של תחום חקר ובקרה בפרקליטות לשנת 2020.</w:t>
      </w:r>
    </w:p>
    <w:p w14:paraId="19489175" w14:textId="77777777" w:rsidR="00BA23AE" w:rsidRPr="00DD762E" w:rsidRDefault="00BA23AE" w:rsidP="00F05CF9">
      <w:pPr>
        <w:pStyle w:val="218"/>
        <w:rPr>
          <w:rtl/>
        </w:rPr>
      </w:pPr>
      <w:bookmarkStart w:id="4" w:name="_Toc23159673"/>
      <w:bookmarkStart w:id="5" w:name="_Toc23160171"/>
      <w:bookmarkStart w:id="6" w:name="_Toc24624837"/>
      <w:r w:rsidRPr="00DD762E">
        <w:rPr>
          <w:rFonts w:hint="cs"/>
          <w:rtl/>
        </w:rPr>
        <w:t>חלופות למעצר עד תום ההליכים</w:t>
      </w:r>
      <w:bookmarkEnd w:id="4"/>
      <w:bookmarkEnd w:id="5"/>
      <w:bookmarkEnd w:id="6"/>
    </w:p>
    <w:p w14:paraId="1000E337" w14:textId="77777777" w:rsidR="00BA23AE" w:rsidRPr="00DD762E" w:rsidRDefault="00BA23AE" w:rsidP="00F05CF9">
      <w:pPr>
        <w:pStyle w:val="316"/>
        <w:rPr>
          <w:rtl/>
        </w:rPr>
      </w:pPr>
      <w:r w:rsidRPr="00DD762E">
        <w:rPr>
          <w:rFonts w:hint="cs"/>
          <w:rtl/>
        </w:rPr>
        <w:t xml:space="preserve">עלויות </w:t>
      </w:r>
      <w:r>
        <w:rPr>
          <w:rFonts w:hint="cs"/>
          <w:rtl/>
        </w:rPr>
        <w:t>ה</w:t>
      </w:r>
      <w:r w:rsidRPr="00DD762E">
        <w:rPr>
          <w:rFonts w:hint="cs"/>
          <w:rtl/>
        </w:rPr>
        <w:t>כליאה</w:t>
      </w:r>
    </w:p>
    <w:p w14:paraId="21A3EF5F" w14:textId="77777777" w:rsidR="00BA23AE" w:rsidRPr="00DD762E" w:rsidRDefault="00BA23AE" w:rsidP="00F05CF9">
      <w:pPr>
        <w:pStyle w:val="100"/>
        <w:rPr>
          <w:rtl/>
        </w:rPr>
      </w:pPr>
      <w:r w:rsidRPr="00DD762E">
        <w:rPr>
          <w:rFonts w:hint="cs"/>
          <w:rtl/>
        </w:rPr>
        <w:t xml:space="preserve">מדיניות המעצרים והכליאה בישראל נובעת מתפיסת הענישה כגורם מרתיע </w:t>
      </w:r>
      <w:r>
        <w:rPr>
          <w:rFonts w:hint="cs"/>
          <w:rtl/>
        </w:rPr>
        <w:t>וכפעולה המיועדת</w:t>
      </w:r>
      <w:r w:rsidRPr="00DD762E">
        <w:rPr>
          <w:rFonts w:hint="cs"/>
          <w:rtl/>
        </w:rPr>
        <w:t xml:space="preserve"> </w:t>
      </w:r>
      <w:r>
        <w:rPr>
          <w:rFonts w:hint="cs"/>
          <w:rtl/>
        </w:rPr>
        <w:t>להגן</w:t>
      </w:r>
      <w:r w:rsidRPr="00DD762E">
        <w:rPr>
          <w:rFonts w:hint="cs"/>
          <w:rtl/>
        </w:rPr>
        <w:t xml:space="preserve"> על הביטחון </w:t>
      </w:r>
      <w:r>
        <w:rPr>
          <w:rFonts w:hint="cs"/>
          <w:rtl/>
        </w:rPr>
        <w:t>ה</w:t>
      </w:r>
      <w:r w:rsidRPr="00DD762E">
        <w:rPr>
          <w:rFonts w:hint="cs"/>
          <w:rtl/>
        </w:rPr>
        <w:t xml:space="preserve">אישי של האזרחים. עם זאת, לכליאה מאחורי סורג ובריח עלות גבוהה, המורכבת מעלויות ישירות ועקיפות. העלות הישירה של החזקת אדם במתקן כליאה בישראל עומדת כיום על כ-10,000 ש"ח לחודש או כ-120,000 ש"ח לשנה לאדם. </w:t>
      </w:r>
    </w:p>
    <w:p w14:paraId="354EB934" w14:textId="1CB2ABED" w:rsidR="00BA23AE" w:rsidRPr="00DD762E" w:rsidRDefault="00BA23AE" w:rsidP="00F05CF9">
      <w:pPr>
        <w:pStyle w:val="100"/>
        <w:rPr>
          <w:rtl/>
        </w:rPr>
      </w:pPr>
      <w:r w:rsidRPr="00DD762E">
        <w:rPr>
          <w:rFonts w:hint="cs"/>
          <w:rtl/>
        </w:rPr>
        <w:t xml:space="preserve">בפרק זה יוצגו </w:t>
      </w:r>
      <w:r>
        <w:rPr>
          <w:rFonts w:hint="cs"/>
          <w:rtl/>
        </w:rPr>
        <w:t>אפשרויות</w:t>
      </w:r>
      <w:r w:rsidRPr="00DD762E">
        <w:rPr>
          <w:rFonts w:hint="cs"/>
          <w:rtl/>
        </w:rPr>
        <w:t xml:space="preserve"> </w:t>
      </w:r>
      <w:r>
        <w:rPr>
          <w:rFonts w:hint="cs"/>
          <w:rtl/>
        </w:rPr>
        <w:t>ה</w:t>
      </w:r>
      <w:r w:rsidRPr="00DD762E">
        <w:rPr>
          <w:rFonts w:hint="cs"/>
          <w:rtl/>
        </w:rPr>
        <w:t xml:space="preserve">כליאה לעצורים. </w:t>
      </w:r>
      <w:r>
        <w:rPr>
          <w:rFonts w:hint="cs"/>
          <w:rtl/>
        </w:rPr>
        <w:t>אפשרות</w:t>
      </w:r>
      <w:r w:rsidRPr="00DD762E">
        <w:rPr>
          <w:rFonts w:hint="cs"/>
          <w:rtl/>
        </w:rPr>
        <w:t xml:space="preserve"> אחת היא </w:t>
      </w:r>
      <w:r>
        <w:rPr>
          <w:rFonts w:hint="cs"/>
          <w:rtl/>
        </w:rPr>
        <w:t>מסגרת ממשלתית לשחרור בתנאים מגבילים,</w:t>
      </w:r>
      <w:r w:rsidRPr="00DD762E">
        <w:rPr>
          <w:rFonts w:hint="cs"/>
          <w:rtl/>
        </w:rPr>
        <w:t xml:space="preserve"> ששירות המבחן פועל בימים אלו להקמתה (יפורט </w:t>
      </w:r>
      <w:r>
        <w:rPr>
          <w:rFonts w:hint="cs"/>
          <w:rtl/>
        </w:rPr>
        <w:t>להלן</w:t>
      </w:r>
      <w:r w:rsidRPr="00DD762E">
        <w:rPr>
          <w:rFonts w:hint="cs"/>
          <w:rtl/>
        </w:rPr>
        <w:t xml:space="preserve">). עלויות הקמת </w:t>
      </w:r>
      <w:r>
        <w:rPr>
          <w:rFonts w:hint="cs"/>
          <w:rtl/>
        </w:rPr>
        <w:t>מסגרת ממשלתית</w:t>
      </w:r>
      <w:r w:rsidRPr="00DD762E">
        <w:rPr>
          <w:rFonts w:hint="cs"/>
          <w:rtl/>
        </w:rPr>
        <w:t xml:space="preserve"> ו</w:t>
      </w:r>
      <w:r w:rsidR="0051437C">
        <w:rPr>
          <w:rFonts w:hint="cs"/>
          <w:rtl/>
        </w:rPr>
        <w:t>ה</w:t>
      </w:r>
      <w:r w:rsidRPr="00DD762E">
        <w:rPr>
          <w:rFonts w:hint="cs"/>
          <w:rtl/>
        </w:rPr>
        <w:t>חזקת עצורים לשנה הן 4,400,000 ש"ח וכן 100,000 ש"ח נוספים עבור מחקר מלווה</w:t>
      </w:r>
      <w:r>
        <w:rPr>
          <w:vertAlign w:val="superscript"/>
          <w:rtl/>
        </w:rPr>
        <w:footnoteReference w:id="21"/>
      </w:r>
      <w:r w:rsidRPr="00DD762E">
        <w:rPr>
          <w:rFonts w:hint="cs"/>
          <w:rtl/>
        </w:rPr>
        <w:t>. לפי נתונים אלו</w:t>
      </w:r>
      <w:r>
        <w:rPr>
          <w:rFonts w:hint="cs"/>
          <w:rtl/>
        </w:rPr>
        <w:t>,</w:t>
      </w:r>
      <w:r w:rsidRPr="00DD762E">
        <w:rPr>
          <w:rFonts w:hint="cs"/>
          <w:rtl/>
        </w:rPr>
        <w:t xml:space="preserve"> העלות להחזקת עצור בחלופה זו היא כ-45,000 ש"ח לשנה, דהיינו </w:t>
      </w:r>
      <w:r>
        <w:rPr>
          <w:rFonts w:hint="cs"/>
          <w:rtl/>
        </w:rPr>
        <w:t>כשליש</w:t>
      </w:r>
      <w:r w:rsidRPr="00DD762E">
        <w:rPr>
          <w:rFonts w:hint="cs"/>
          <w:rtl/>
        </w:rPr>
        <w:t xml:space="preserve"> מעלות כליאה. הקמת חלופות מוסדיות גם תחסוך בהקמת בתי מעצר חדשים.</w:t>
      </w:r>
    </w:p>
    <w:p w14:paraId="0EB1BBEC" w14:textId="0A565AC4" w:rsidR="00F05CF9" w:rsidRDefault="00BA23AE" w:rsidP="00F05CF9">
      <w:pPr>
        <w:pStyle w:val="100"/>
        <w:rPr>
          <w:rtl/>
        </w:rPr>
      </w:pPr>
      <w:r>
        <w:rPr>
          <w:rFonts w:hint="cs"/>
          <w:rtl/>
        </w:rPr>
        <w:t>האפשרות</w:t>
      </w:r>
      <w:r w:rsidRPr="00DD762E">
        <w:rPr>
          <w:rFonts w:hint="cs"/>
          <w:rtl/>
        </w:rPr>
        <w:t xml:space="preserve"> השני</w:t>
      </w:r>
      <w:r>
        <w:rPr>
          <w:rFonts w:hint="cs"/>
          <w:rtl/>
        </w:rPr>
        <w:t>י</w:t>
      </w:r>
      <w:r w:rsidRPr="00DD762E">
        <w:rPr>
          <w:rFonts w:hint="cs"/>
          <w:rtl/>
        </w:rPr>
        <w:t xml:space="preserve">ה שתוצג היא מעצר בפיקוח אלקטרוני. במסגרת זו, העצור שוהה בביתו ומפוקח באמצעות אזיק אלקטרוני (יפורט להלן). עלויות יחידת הפיקוח האלקטרוני של </w:t>
      </w:r>
      <w:r>
        <w:rPr>
          <w:rFonts w:hint="cs"/>
          <w:rtl/>
        </w:rPr>
        <w:t>שב"ס</w:t>
      </w:r>
      <w:r w:rsidRPr="00DD762E">
        <w:rPr>
          <w:rFonts w:hint="cs"/>
          <w:rtl/>
        </w:rPr>
        <w:t xml:space="preserve"> כוללות את שכר העסקת עובדי היחידה, החזקת המפוקחים, ליווי סוציאלי והפעלת כלי רכב. העלות השנתית לשנת 2018 עמדה על סך של 40,293,000 ש"ח</w:t>
      </w:r>
      <w:r>
        <w:rPr>
          <w:vertAlign w:val="superscript"/>
          <w:rtl/>
        </w:rPr>
        <w:footnoteReference w:id="22"/>
      </w:r>
      <w:r w:rsidRPr="00DD762E">
        <w:rPr>
          <w:rFonts w:hint="cs"/>
          <w:rtl/>
        </w:rPr>
        <w:t xml:space="preserve">. </w:t>
      </w:r>
      <w:r>
        <w:rPr>
          <w:rFonts w:hint="cs"/>
          <w:rtl/>
        </w:rPr>
        <w:t>מכאן</w:t>
      </w:r>
      <w:r w:rsidRPr="00DD762E">
        <w:rPr>
          <w:rFonts w:hint="cs"/>
          <w:rtl/>
        </w:rPr>
        <w:t xml:space="preserve"> </w:t>
      </w:r>
      <w:r>
        <w:rPr>
          <w:rFonts w:hint="cs"/>
          <w:rtl/>
        </w:rPr>
        <w:t>ש</w:t>
      </w:r>
      <w:r w:rsidRPr="00DD762E">
        <w:rPr>
          <w:rFonts w:hint="cs"/>
          <w:rtl/>
        </w:rPr>
        <w:t xml:space="preserve">העלות המשוערת של החזקת עצור בפיקוח אלקטרוני היא כ- 65,000 ש"ח לשנה, </w:t>
      </w:r>
      <w:r>
        <w:rPr>
          <w:rFonts w:hint="cs"/>
          <w:rtl/>
        </w:rPr>
        <w:t>שהיא</w:t>
      </w:r>
      <w:r w:rsidRPr="00DD762E">
        <w:rPr>
          <w:rFonts w:hint="cs"/>
          <w:rtl/>
        </w:rPr>
        <w:t xml:space="preserve"> כחצי מעלויות הכליאה.</w:t>
      </w:r>
    </w:p>
    <w:p w14:paraId="2DE4D46A" w14:textId="77777777" w:rsidR="00F05CF9" w:rsidRDefault="00F05CF9">
      <w:pPr>
        <w:bidi w:val="0"/>
        <w:spacing w:after="200" w:line="276" w:lineRule="auto"/>
        <w:rPr>
          <w:rFonts w:ascii="Tahoma" w:hAnsi="Tahoma" w:cs="Tahoma"/>
          <w:szCs w:val="20"/>
          <w:rtl/>
        </w:rPr>
      </w:pPr>
      <w:r>
        <w:rPr>
          <w:rtl/>
        </w:rPr>
        <w:br w:type="page"/>
      </w:r>
    </w:p>
    <w:p w14:paraId="61D1B5A1" w14:textId="77777777" w:rsidR="00BA23AE" w:rsidRPr="00DD762E" w:rsidRDefault="00BA23AE" w:rsidP="00F05CF9">
      <w:pPr>
        <w:pStyle w:val="af4"/>
        <w:rPr>
          <w:rtl/>
        </w:rPr>
      </w:pPr>
      <w:r w:rsidRPr="00DD762E">
        <w:rPr>
          <w:rFonts w:hint="cs"/>
          <w:rtl/>
        </w:rPr>
        <w:lastRenderedPageBreak/>
        <w:t xml:space="preserve">נמצא פער </w:t>
      </w:r>
      <w:r>
        <w:rPr>
          <w:rFonts w:hint="cs"/>
          <w:rtl/>
        </w:rPr>
        <w:t>בשיעור של</w:t>
      </w:r>
      <w:r w:rsidRPr="00DD762E">
        <w:rPr>
          <w:rFonts w:hint="cs"/>
          <w:rtl/>
        </w:rPr>
        <w:t xml:space="preserve"> </w:t>
      </w:r>
      <w:r>
        <w:rPr>
          <w:rFonts w:hint="cs"/>
          <w:rtl/>
        </w:rPr>
        <w:t>46</w:t>
      </w:r>
      <w:r w:rsidRPr="00DD762E">
        <w:rPr>
          <w:rFonts w:hint="cs"/>
          <w:rtl/>
        </w:rPr>
        <w:t xml:space="preserve">% </w:t>
      </w:r>
      <w:r>
        <w:rPr>
          <w:rFonts w:hint="cs"/>
          <w:rtl/>
        </w:rPr>
        <w:t>עד</w:t>
      </w:r>
      <w:r w:rsidRPr="00DD762E">
        <w:rPr>
          <w:rFonts w:hint="cs"/>
          <w:rtl/>
        </w:rPr>
        <w:t xml:space="preserve"> </w:t>
      </w:r>
      <w:r>
        <w:rPr>
          <w:rFonts w:hint="cs"/>
          <w:rtl/>
        </w:rPr>
        <w:t xml:space="preserve">63% בין </w:t>
      </w:r>
      <w:r w:rsidRPr="00DD762E">
        <w:rPr>
          <w:rFonts w:hint="cs"/>
          <w:rtl/>
        </w:rPr>
        <w:t xml:space="preserve">עלויות </w:t>
      </w:r>
      <w:r>
        <w:rPr>
          <w:rFonts w:hint="cs"/>
          <w:rtl/>
        </w:rPr>
        <w:t>ה</w:t>
      </w:r>
      <w:r w:rsidRPr="00DD762E">
        <w:rPr>
          <w:rFonts w:hint="cs"/>
          <w:rtl/>
        </w:rPr>
        <w:t>חזקת העצורים בחלופות מעצר</w:t>
      </w:r>
      <w:r>
        <w:rPr>
          <w:rFonts w:hint="cs"/>
          <w:rtl/>
        </w:rPr>
        <w:t xml:space="preserve"> </w:t>
      </w:r>
      <w:r w:rsidRPr="00DD762E">
        <w:rPr>
          <w:rFonts w:hint="cs"/>
          <w:rtl/>
        </w:rPr>
        <w:t xml:space="preserve">ובין עלויות </w:t>
      </w:r>
      <w:r>
        <w:rPr>
          <w:rFonts w:hint="cs"/>
          <w:rtl/>
        </w:rPr>
        <w:t>ה</w:t>
      </w:r>
      <w:r w:rsidRPr="00DD762E">
        <w:rPr>
          <w:rFonts w:hint="cs"/>
          <w:rtl/>
        </w:rPr>
        <w:t>חזקת</w:t>
      </w:r>
      <w:r>
        <w:rPr>
          <w:rFonts w:hint="cs"/>
          <w:rtl/>
        </w:rPr>
        <w:t>ם</w:t>
      </w:r>
      <w:r w:rsidRPr="00DD762E">
        <w:rPr>
          <w:rFonts w:hint="cs"/>
          <w:rtl/>
        </w:rPr>
        <w:t xml:space="preserve"> בבתי מעצר. </w:t>
      </w:r>
    </w:p>
    <w:p w14:paraId="22A9B7A2" w14:textId="77777777" w:rsidR="00BA23AE" w:rsidRDefault="00BA23AE" w:rsidP="00F05CF9">
      <w:pPr>
        <w:pStyle w:val="100"/>
        <w:rPr>
          <w:rtl/>
        </w:rPr>
      </w:pPr>
      <w:r>
        <w:rPr>
          <w:rFonts w:hint="cs"/>
          <w:rtl/>
        </w:rPr>
        <w:t xml:space="preserve">נוסף על השיקולים הכספיים, </w:t>
      </w:r>
      <w:r w:rsidRPr="00562A98">
        <w:rPr>
          <w:rFonts w:hint="eastAsia"/>
          <w:rtl/>
        </w:rPr>
        <w:t>החזקת</w:t>
      </w:r>
      <w:r w:rsidRPr="00562A98">
        <w:rPr>
          <w:rtl/>
        </w:rPr>
        <w:t xml:space="preserve"> עצור </w:t>
      </w:r>
      <w:r>
        <w:rPr>
          <w:rFonts w:hint="cs"/>
          <w:rtl/>
        </w:rPr>
        <w:t>בחלופה</w:t>
      </w:r>
      <w:r w:rsidRPr="00562A98">
        <w:rPr>
          <w:rtl/>
        </w:rPr>
        <w:t xml:space="preserve"> מחוץ לכותלי הכלא </w:t>
      </w:r>
      <w:r>
        <w:rPr>
          <w:rFonts w:hint="cs"/>
          <w:rtl/>
        </w:rPr>
        <w:t>עשויה</w:t>
      </w:r>
      <w:r w:rsidRPr="00562A98">
        <w:rPr>
          <w:rtl/>
        </w:rPr>
        <w:t xml:space="preserve"> להפחית </w:t>
      </w:r>
      <w:r w:rsidRPr="00562A98">
        <w:rPr>
          <w:rFonts w:hint="eastAsia"/>
          <w:rtl/>
        </w:rPr>
        <w:t>את</w:t>
      </w:r>
      <w:r w:rsidRPr="00562A98">
        <w:rPr>
          <w:rtl/>
        </w:rPr>
        <w:t xml:space="preserve"> הסיכוי </w:t>
      </w:r>
      <w:r>
        <w:rPr>
          <w:rFonts w:hint="cs"/>
          <w:rtl/>
        </w:rPr>
        <w:t>שהוא ייגרר עוד לפשע</w:t>
      </w:r>
      <w:r w:rsidRPr="00562A98">
        <w:rPr>
          <w:rtl/>
        </w:rPr>
        <w:t xml:space="preserve"> כתוצאה מאימוץ דפוסי התנהגות עבריינית </w:t>
      </w:r>
      <w:r w:rsidRPr="00562A98">
        <w:rPr>
          <w:rFonts w:hint="eastAsia"/>
          <w:rtl/>
        </w:rPr>
        <w:t>במהלך</w:t>
      </w:r>
      <w:r w:rsidRPr="00562A98">
        <w:rPr>
          <w:rtl/>
        </w:rPr>
        <w:t xml:space="preserve"> </w:t>
      </w:r>
      <w:r w:rsidRPr="00562A98">
        <w:rPr>
          <w:rFonts w:hint="eastAsia"/>
          <w:rtl/>
        </w:rPr>
        <w:t>השהייה</w:t>
      </w:r>
      <w:r w:rsidRPr="00562A98">
        <w:rPr>
          <w:rtl/>
        </w:rPr>
        <w:t xml:space="preserve"> </w:t>
      </w:r>
      <w:r w:rsidRPr="00562A98">
        <w:rPr>
          <w:rFonts w:hint="eastAsia"/>
          <w:rtl/>
        </w:rPr>
        <w:t>בכלא</w:t>
      </w:r>
      <w:r>
        <w:rPr>
          <w:rFonts w:hint="cs"/>
          <w:rtl/>
        </w:rPr>
        <w:t>. זאת ועוד,</w:t>
      </w:r>
      <w:r w:rsidRPr="00562A98">
        <w:rPr>
          <w:rtl/>
        </w:rPr>
        <w:t xml:space="preserve"> במקרים </w:t>
      </w:r>
      <w:r>
        <w:rPr>
          <w:rFonts w:hint="cs"/>
          <w:rtl/>
        </w:rPr>
        <w:t>מסוימים,</w:t>
      </w:r>
      <w:r w:rsidRPr="00562A98">
        <w:rPr>
          <w:rtl/>
        </w:rPr>
        <w:t xml:space="preserve"> </w:t>
      </w:r>
      <w:r>
        <w:rPr>
          <w:rFonts w:hint="cs"/>
          <w:rtl/>
        </w:rPr>
        <w:t>כגון אצל</w:t>
      </w:r>
      <w:r w:rsidRPr="00562A98">
        <w:rPr>
          <w:rtl/>
        </w:rPr>
        <w:t xml:space="preserve"> עבריינים </w:t>
      </w:r>
      <w:r>
        <w:rPr>
          <w:rFonts w:hint="cs"/>
          <w:rtl/>
        </w:rPr>
        <w:t>ה</w:t>
      </w:r>
      <w:r w:rsidRPr="00562A98">
        <w:rPr>
          <w:rtl/>
        </w:rPr>
        <w:t xml:space="preserve">מכורים לסמים, </w:t>
      </w:r>
      <w:r>
        <w:rPr>
          <w:rFonts w:hint="cs"/>
          <w:rtl/>
        </w:rPr>
        <w:t>אפשרויות</w:t>
      </w:r>
      <w:r w:rsidRPr="00562A98">
        <w:rPr>
          <w:rtl/>
        </w:rPr>
        <w:t xml:space="preserve"> </w:t>
      </w:r>
      <w:r>
        <w:rPr>
          <w:rFonts w:hint="cs"/>
          <w:rtl/>
        </w:rPr>
        <w:t>ה</w:t>
      </w:r>
      <w:r w:rsidRPr="00562A98">
        <w:rPr>
          <w:rtl/>
        </w:rPr>
        <w:t xml:space="preserve">שיקום </w:t>
      </w:r>
      <w:r>
        <w:rPr>
          <w:rFonts w:hint="cs"/>
          <w:rtl/>
        </w:rPr>
        <w:t>במסגרת החלופה רחבות</w:t>
      </w:r>
      <w:r w:rsidRPr="002F6911">
        <w:rPr>
          <w:rFonts w:hint="cs"/>
          <w:rtl/>
        </w:rPr>
        <w:t xml:space="preserve"> יותר.</w:t>
      </w:r>
    </w:p>
    <w:p w14:paraId="0577F5B8" w14:textId="77777777" w:rsidR="00BA23AE" w:rsidRPr="00DD762E" w:rsidRDefault="00BA23AE" w:rsidP="00F05CF9">
      <w:pPr>
        <w:pStyle w:val="316"/>
        <w:rPr>
          <w:rtl/>
        </w:rPr>
      </w:pPr>
      <w:r w:rsidRPr="00DD762E">
        <w:rPr>
          <w:rFonts w:hint="cs"/>
          <w:rtl/>
        </w:rPr>
        <w:t>היערכות ליישום המלצות דוח הוועדה הציבורית לבחינת מדיניות הענישה והטיפול בעבריינים</w:t>
      </w:r>
    </w:p>
    <w:p w14:paraId="1A87D6F2" w14:textId="77777777" w:rsidR="00BA23AE" w:rsidRPr="00DD762E" w:rsidRDefault="00BA23AE" w:rsidP="00F05CF9">
      <w:pPr>
        <w:pStyle w:val="100"/>
        <w:rPr>
          <w:rtl/>
        </w:rPr>
      </w:pPr>
      <w:r w:rsidRPr="00DD762E">
        <w:rPr>
          <w:rFonts w:hint="cs"/>
          <w:rtl/>
        </w:rPr>
        <w:t>בנובמבר 2015 התפרסם דוח הוועדה הציבורית</w:t>
      </w:r>
      <w:r>
        <w:rPr>
          <w:rFonts w:hint="cs"/>
          <w:rtl/>
        </w:rPr>
        <w:t>,</w:t>
      </w:r>
      <w:r w:rsidRPr="00DD762E">
        <w:rPr>
          <w:rFonts w:hint="cs"/>
          <w:rtl/>
        </w:rPr>
        <w:t xml:space="preserve"> </w:t>
      </w:r>
      <w:r>
        <w:rPr>
          <w:rFonts w:hint="cs"/>
          <w:rtl/>
        </w:rPr>
        <w:t>ש</w:t>
      </w:r>
      <w:r w:rsidRPr="00DD762E">
        <w:rPr>
          <w:rFonts w:hint="cs"/>
          <w:rtl/>
        </w:rPr>
        <w:t>בראש</w:t>
      </w:r>
      <w:r>
        <w:rPr>
          <w:rFonts w:hint="cs"/>
          <w:rtl/>
        </w:rPr>
        <w:t>ה עמדה</w:t>
      </w:r>
      <w:r w:rsidRPr="00DD762E">
        <w:rPr>
          <w:rFonts w:hint="cs"/>
          <w:rtl/>
        </w:rPr>
        <w:t xml:space="preserve"> שופטת בית המשפט העליון (בדימוס) דליה דורנר. הוועדה הציבורית בחנה את </w:t>
      </w:r>
      <w:r>
        <w:rPr>
          <w:rFonts w:hint="cs"/>
          <w:rtl/>
        </w:rPr>
        <w:t>השפעת</w:t>
      </w:r>
      <w:r w:rsidRPr="00DD762E">
        <w:rPr>
          <w:rFonts w:hint="cs"/>
          <w:rtl/>
        </w:rPr>
        <w:t xml:space="preserve"> הכליאה על העבריינות</w:t>
      </w:r>
      <w:r>
        <w:rPr>
          <w:rFonts w:hint="cs"/>
          <w:rtl/>
        </w:rPr>
        <w:t>,</w:t>
      </w:r>
      <w:r w:rsidRPr="00DD762E">
        <w:rPr>
          <w:rFonts w:hint="cs"/>
          <w:rtl/>
        </w:rPr>
        <w:t xml:space="preserve"> והגיעה למסקנה כי מאסרים קצרים (</w:t>
      </w:r>
      <w:r>
        <w:rPr>
          <w:rFonts w:hint="cs"/>
          <w:rtl/>
        </w:rPr>
        <w:t>פחות</w:t>
      </w:r>
      <w:r w:rsidRPr="00DD762E">
        <w:rPr>
          <w:rFonts w:hint="cs"/>
          <w:rtl/>
        </w:rPr>
        <w:t xml:space="preserve"> משנתיים) אינם מועילים להגברת ההרתעה ואף </w:t>
      </w:r>
      <w:r>
        <w:rPr>
          <w:rFonts w:hint="cs"/>
          <w:rtl/>
        </w:rPr>
        <w:t>עלולים להגביר</w:t>
      </w:r>
      <w:r w:rsidRPr="00DD762E">
        <w:rPr>
          <w:rFonts w:hint="cs"/>
          <w:rtl/>
        </w:rPr>
        <w:t xml:space="preserve"> </w:t>
      </w:r>
      <w:r>
        <w:rPr>
          <w:rFonts w:hint="cs"/>
          <w:rtl/>
        </w:rPr>
        <w:t>את ה</w:t>
      </w:r>
      <w:r w:rsidRPr="00DD762E">
        <w:rPr>
          <w:rFonts w:hint="cs"/>
          <w:rtl/>
        </w:rPr>
        <w:t xml:space="preserve">פשיעה. לעומת זאת, שיקום בקהילה באמצעות ענישה </w:t>
      </w:r>
      <w:r>
        <w:rPr>
          <w:rFonts w:hint="cs"/>
          <w:rtl/>
        </w:rPr>
        <w:t>ב</w:t>
      </w:r>
      <w:r w:rsidRPr="00DD762E">
        <w:rPr>
          <w:rFonts w:hint="cs"/>
          <w:rtl/>
        </w:rPr>
        <w:t xml:space="preserve">עבודות שירות למען הציבור צפוי להפיק תוצאות טובות יותר </w:t>
      </w:r>
      <w:r>
        <w:rPr>
          <w:rFonts w:hint="cs"/>
          <w:rtl/>
        </w:rPr>
        <w:t xml:space="preserve">משימוש נרחב </w:t>
      </w:r>
      <w:r w:rsidRPr="00DD762E">
        <w:rPr>
          <w:rFonts w:hint="cs"/>
          <w:rtl/>
        </w:rPr>
        <w:t>במאסרים</w:t>
      </w:r>
      <w:r>
        <w:rPr>
          <w:vertAlign w:val="superscript"/>
          <w:rtl/>
        </w:rPr>
        <w:footnoteReference w:id="23"/>
      </w:r>
      <w:r w:rsidRPr="00DD762E">
        <w:rPr>
          <w:rFonts w:hint="cs"/>
          <w:rtl/>
        </w:rPr>
        <w:t xml:space="preserve">. הוועדה </w:t>
      </w:r>
      <w:r>
        <w:rPr>
          <w:rFonts w:hint="cs"/>
          <w:rtl/>
        </w:rPr>
        <w:t>קבעה</w:t>
      </w:r>
      <w:r w:rsidRPr="00DD762E">
        <w:rPr>
          <w:rFonts w:hint="cs"/>
          <w:rtl/>
        </w:rPr>
        <w:t xml:space="preserve"> כי</w:t>
      </w:r>
      <w:r>
        <w:rPr>
          <w:rFonts w:hint="cs"/>
          <w:rtl/>
        </w:rPr>
        <w:t xml:space="preserve"> </w:t>
      </w:r>
      <w:r w:rsidRPr="00DD762E">
        <w:rPr>
          <w:rFonts w:hint="cs"/>
          <w:rtl/>
        </w:rPr>
        <w:t>שיפור האפקטיביות של הענישה מחייב התייחסות גם לאופן הטיפול בנאשמים לאורך ההליך הפלילי</w:t>
      </w:r>
      <w:r>
        <w:rPr>
          <w:rFonts w:hint="cs"/>
          <w:rtl/>
        </w:rPr>
        <w:t xml:space="preserve"> ומציאת מסגרות </w:t>
      </w:r>
      <w:r w:rsidRPr="00DD762E">
        <w:rPr>
          <w:rFonts w:hint="cs"/>
          <w:rtl/>
        </w:rPr>
        <w:t xml:space="preserve">טיפוליות כבר בשלב הדיון המשפטי, טרם מתן גזר הדין. כדי לצמצם את השימוש בכליאה ולקדם את שיקומם של נאשמים, </w:t>
      </w:r>
      <w:r>
        <w:rPr>
          <w:rFonts w:hint="cs"/>
          <w:rtl/>
        </w:rPr>
        <w:t>המליצה הוועדה הציבורית</w:t>
      </w:r>
      <w:r w:rsidRPr="00DD762E">
        <w:rPr>
          <w:rFonts w:hint="cs"/>
          <w:rtl/>
        </w:rPr>
        <w:t xml:space="preserve"> להרחיב את השימוש בחלופות </w:t>
      </w:r>
      <w:r>
        <w:rPr>
          <w:rFonts w:hint="cs"/>
          <w:rtl/>
        </w:rPr>
        <w:t>מעצר</w:t>
      </w:r>
      <w:r w:rsidRPr="00DD762E">
        <w:rPr>
          <w:rFonts w:hint="cs"/>
          <w:rtl/>
        </w:rPr>
        <w:t>.</w:t>
      </w:r>
    </w:p>
    <w:p w14:paraId="08C4488A" w14:textId="77777777" w:rsidR="00BA23AE" w:rsidRPr="00DD762E" w:rsidRDefault="00BA23AE" w:rsidP="00F05CF9">
      <w:pPr>
        <w:pStyle w:val="100"/>
        <w:rPr>
          <w:rtl/>
        </w:rPr>
      </w:pPr>
      <w:r w:rsidRPr="00DD762E">
        <w:rPr>
          <w:rFonts w:hint="cs"/>
          <w:rtl/>
        </w:rPr>
        <w:t>ממשלת ישראל אימצה</w:t>
      </w:r>
      <w:r>
        <w:rPr>
          <w:vertAlign w:val="superscript"/>
          <w:rtl/>
        </w:rPr>
        <w:footnoteReference w:id="24"/>
      </w:r>
      <w:r w:rsidRPr="00DD762E">
        <w:rPr>
          <w:rFonts w:hint="cs"/>
          <w:rtl/>
        </w:rPr>
        <w:t xml:space="preserve"> את </w:t>
      </w:r>
      <w:r>
        <w:rPr>
          <w:rFonts w:hint="cs"/>
          <w:rtl/>
        </w:rPr>
        <w:t xml:space="preserve">עיקרי </w:t>
      </w:r>
      <w:r w:rsidRPr="00DD762E">
        <w:rPr>
          <w:rFonts w:hint="cs"/>
          <w:rtl/>
        </w:rPr>
        <w:t xml:space="preserve">המלצות הוועדה הציבורית </w:t>
      </w:r>
      <w:r>
        <w:rPr>
          <w:rFonts w:hint="cs"/>
          <w:rtl/>
        </w:rPr>
        <w:t>כמפורט להלן:</w:t>
      </w:r>
      <w:r w:rsidRPr="00DD762E">
        <w:rPr>
          <w:rFonts w:hint="cs"/>
          <w:rtl/>
        </w:rPr>
        <w:t xml:space="preserve"> הקמת יחידה למחקר ומידע במשרד המשפטים; הרחבת מודל בתי </w:t>
      </w:r>
      <w:r>
        <w:rPr>
          <w:rFonts w:hint="cs"/>
          <w:rtl/>
        </w:rPr>
        <w:t>ה</w:t>
      </w:r>
      <w:r w:rsidRPr="00DD762E">
        <w:rPr>
          <w:rFonts w:hint="cs"/>
          <w:rtl/>
        </w:rPr>
        <w:t xml:space="preserve">משפט </w:t>
      </w:r>
      <w:r>
        <w:rPr>
          <w:rFonts w:hint="cs"/>
          <w:rtl/>
        </w:rPr>
        <w:t>ה</w:t>
      </w:r>
      <w:r w:rsidRPr="00DD762E">
        <w:rPr>
          <w:rFonts w:hint="cs"/>
          <w:rtl/>
        </w:rPr>
        <w:t xml:space="preserve">קהילתיים; </w:t>
      </w:r>
      <w:r>
        <w:rPr>
          <w:rFonts w:hint="cs"/>
          <w:rtl/>
        </w:rPr>
        <w:t>הארכת</w:t>
      </w:r>
      <w:r w:rsidRPr="00DD762E">
        <w:rPr>
          <w:rFonts w:hint="cs"/>
          <w:rtl/>
        </w:rPr>
        <w:t xml:space="preserve"> התקופה </w:t>
      </w:r>
      <w:r>
        <w:rPr>
          <w:rFonts w:hint="cs"/>
          <w:rtl/>
        </w:rPr>
        <w:t>המרבית</w:t>
      </w:r>
      <w:r w:rsidRPr="00DD762E">
        <w:rPr>
          <w:rFonts w:hint="cs"/>
          <w:rtl/>
        </w:rPr>
        <w:t xml:space="preserve"> של עבודות שירות לתשעה חודשים; הקמת צוות לבחינת חלופות ענישה; הרחבת השימוש בפיקוח אלקטרוני עבור אסירים משוחררים על תנאי; קידום פרויקטים להפחתת הסיכון לעבריינות נוער. </w:t>
      </w:r>
    </w:p>
    <w:p w14:paraId="6BBB90B0" w14:textId="77777777" w:rsidR="00BA23AE" w:rsidRPr="00DD762E" w:rsidRDefault="00BA23AE" w:rsidP="00F05CF9">
      <w:pPr>
        <w:pStyle w:val="100"/>
        <w:rPr>
          <w:rtl/>
        </w:rPr>
      </w:pPr>
      <w:r w:rsidRPr="00DD762E">
        <w:rPr>
          <w:rFonts w:hint="cs"/>
          <w:rtl/>
        </w:rPr>
        <w:t>בעקבות פרסום דוח הוועדה הציבורית הקימה פרקליטות המדינה את צוות התביעה לבחינת יישום דוח הוועדה הציבורית (להלן - צוות התביעה)</w:t>
      </w:r>
      <w:r>
        <w:rPr>
          <w:rFonts w:hint="cs"/>
          <w:rtl/>
        </w:rPr>
        <w:t>,</w:t>
      </w:r>
      <w:r w:rsidRPr="00DD762E">
        <w:rPr>
          <w:rFonts w:hint="cs"/>
          <w:rtl/>
        </w:rPr>
        <w:t xml:space="preserve"> בראשות המשנה לפרקליט המדינה (פלילי)</w:t>
      </w:r>
      <w:r>
        <w:rPr>
          <w:vertAlign w:val="superscript"/>
          <w:rtl/>
        </w:rPr>
        <w:footnoteReference w:id="25"/>
      </w:r>
      <w:r w:rsidRPr="00DD762E">
        <w:rPr>
          <w:rFonts w:hint="cs"/>
          <w:rtl/>
        </w:rPr>
        <w:t xml:space="preserve">. הצוות התכנס </w:t>
      </w:r>
      <w:r>
        <w:rPr>
          <w:rFonts w:hint="cs"/>
          <w:rtl/>
        </w:rPr>
        <w:t>עשר</w:t>
      </w:r>
      <w:r w:rsidRPr="00DD762E">
        <w:rPr>
          <w:rFonts w:hint="cs"/>
          <w:rtl/>
        </w:rPr>
        <w:t xml:space="preserve"> פעמים ופרסם את מסקנותיו בינואר 2018. ב-25.2.18 אימצה הממשלה את מסקנות צוות התביעה</w:t>
      </w:r>
      <w:r>
        <w:rPr>
          <w:rFonts w:hint="cs"/>
          <w:rtl/>
        </w:rPr>
        <w:t>,</w:t>
      </w:r>
      <w:r w:rsidRPr="00DD762E">
        <w:rPr>
          <w:rFonts w:hint="cs"/>
          <w:rtl/>
        </w:rPr>
        <w:t xml:space="preserve"> </w:t>
      </w:r>
      <w:r>
        <w:rPr>
          <w:rFonts w:hint="cs"/>
          <w:rtl/>
        </w:rPr>
        <w:t>ו</w:t>
      </w:r>
      <w:r w:rsidRPr="00DD762E">
        <w:rPr>
          <w:rFonts w:hint="cs"/>
          <w:rtl/>
        </w:rPr>
        <w:t>החליטה כי אגף התקציבים במשרד האוצר יקצה לת</w:t>
      </w:r>
      <w:r>
        <w:rPr>
          <w:rFonts w:hint="cs"/>
          <w:rtl/>
        </w:rPr>
        <w:t>ו</w:t>
      </w:r>
      <w:r w:rsidRPr="00DD762E">
        <w:rPr>
          <w:rFonts w:hint="cs"/>
          <w:rtl/>
        </w:rPr>
        <w:t xml:space="preserve">כנית היישום של </w:t>
      </w:r>
      <w:r>
        <w:rPr>
          <w:rFonts w:hint="cs"/>
          <w:rtl/>
        </w:rPr>
        <w:t xml:space="preserve">דוח </w:t>
      </w:r>
      <w:r w:rsidRPr="00DD762E">
        <w:rPr>
          <w:rFonts w:hint="cs"/>
          <w:rtl/>
        </w:rPr>
        <w:t>הוועדה הציבורית ושל מסקנות צוות התביעה סך של 50 מיליון ש"ח בבסיס תקציב 2019</w:t>
      </w:r>
      <w:r>
        <w:rPr>
          <w:vertAlign w:val="superscript"/>
          <w:rtl/>
        </w:rPr>
        <w:footnoteReference w:id="26"/>
      </w:r>
      <w:r w:rsidRPr="00DD762E">
        <w:rPr>
          <w:rFonts w:hint="cs"/>
          <w:rtl/>
        </w:rPr>
        <w:t xml:space="preserve">. </w:t>
      </w:r>
    </w:p>
    <w:p w14:paraId="507923B8" w14:textId="77777777" w:rsidR="00BA23AE" w:rsidRPr="00DD762E" w:rsidRDefault="00BA23AE" w:rsidP="00F05CF9">
      <w:pPr>
        <w:pStyle w:val="100"/>
        <w:rPr>
          <w:rtl/>
        </w:rPr>
      </w:pPr>
      <w:r w:rsidRPr="00DD762E">
        <w:rPr>
          <w:rFonts w:hint="cs"/>
          <w:rtl/>
        </w:rPr>
        <w:lastRenderedPageBreak/>
        <w:t xml:space="preserve">בתקציר דוח צוות התביעה נכתב כי יש להעדיף את ההליך השיקומי על פני מעצר או מאסר במקום </w:t>
      </w:r>
      <w:r>
        <w:rPr>
          <w:rFonts w:hint="cs"/>
          <w:rtl/>
        </w:rPr>
        <w:t>ש</w:t>
      </w:r>
      <w:r w:rsidRPr="00DD762E">
        <w:rPr>
          <w:rFonts w:hint="cs"/>
          <w:rtl/>
        </w:rPr>
        <w:t>בו שיקולי ההלימה ואיון המסוכנות אינם מחייבים מאסר או מעצר בין כותלי הכלא</w:t>
      </w:r>
      <w:r>
        <w:rPr>
          <w:rFonts w:hint="cs"/>
          <w:rtl/>
        </w:rPr>
        <w:t>.</w:t>
      </w:r>
      <w:r w:rsidRPr="00DD762E">
        <w:rPr>
          <w:rFonts w:hint="cs"/>
          <w:rtl/>
        </w:rPr>
        <w:t xml:space="preserve"> צוות התביעה הציב כמטרה הראשית </w:t>
      </w:r>
      <w:r>
        <w:rPr>
          <w:rFonts w:hint="cs"/>
          <w:rtl/>
        </w:rPr>
        <w:t xml:space="preserve">לשקול </w:t>
      </w:r>
      <w:r w:rsidRPr="00DD762E">
        <w:rPr>
          <w:rFonts w:hint="cs"/>
          <w:rtl/>
        </w:rPr>
        <w:t>את שינוי מדיניות התביעה, על</w:t>
      </w:r>
      <w:r>
        <w:rPr>
          <w:rFonts w:hint="cs"/>
          <w:rtl/>
        </w:rPr>
        <w:t xml:space="preserve"> מנת שהיא תוכל להוביל</w:t>
      </w:r>
      <w:r w:rsidRPr="00DD762E">
        <w:rPr>
          <w:rFonts w:hint="cs"/>
          <w:rtl/>
        </w:rPr>
        <w:t xml:space="preserve"> </w:t>
      </w:r>
      <w:r>
        <w:rPr>
          <w:rFonts w:hint="cs"/>
          <w:rtl/>
        </w:rPr>
        <w:t>ל</w:t>
      </w:r>
      <w:r w:rsidRPr="00DD762E">
        <w:rPr>
          <w:rFonts w:hint="cs"/>
          <w:rtl/>
        </w:rPr>
        <w:t xml:space="preserve">צמצום שיעורי הכליאה (של עצורים ואסירים כאחד) </w:t>
      </w:r>
      <w:r>
        <w:rPr>
          <w:rFonts w:hint="cs"/>
          <w:rtl/>
        </w:rPr>
        <w:t>לטובת הליכי שיקום, העשויים למנוע</w:t>
      </w:r>
      <w:r w:rsidRPr="00DD762E">
        <w:rPr>
          <w:rFonts w:hint="cs"/>
          <w:rtl/>
        </w:rPr>
        <w:t xml:space="preserve"> </w:t>
      </w:r>
      <w:r>
        <w:rPr>
          <w:rFonts w:hint="cs"/>
          <w:rtl/>
        </w:rPr>
        <w:t>חזרה לפשע</w:t>
      </w:r>
      <w:r w:rsidRPr="00DD762E">
        <w:rPr>
          <w:rFonts w:hint="cs"/>
          <w:rtl/>
        </w:rPr>
        <w:t xml:space="preserve">. </w:t>
      </w:r>
    </w:p>
    <w:p w14:paraId="3738BB10" w14:textId="77777777" w:rsidR="00BA23AE" w:rsidRPr="00DD762E" w:rsidRDefault="00BA23AE" w:rsidP="00F05CF9">
      <w:pPr>
        <w:pStyle w:val="af4"/>
        <w:rPr>
          <w:rtl/>
        </w:rPr>
      </w:pPr>
      <w:r w:rsidRPr="00DD762E">
        <w:rPr>
          <w:rFonts w:hint="cs"/>
          <w:rtl/>
        </w:rPr>
        <w:t>משרד מבקר המדינה רואה בחיוב את עבודת צוות התביעה</w:t>
      </w:r>
      <w:r>
        <w:rPr>
          <w:rFonts w:hint="cs"/>
          <w:rtl/>
        </w:rPr>
        <w:t>,</w:t>
      </w:r>
      <w:r w:rsidRPr="00DD762E">
        <w:rPr>
          <w:rFonts w:hint="cs"/>
          <w:rtl/>
        </w:rPr>
        <w:t xml:space="preserve"> אשר </w:t>
      </w:r>
      <w:r>
        <w:rPr>
          <w:rFonts w:hint="cs"/>
          <w:rtl/>
        </w:rPr>
        <w:t>קיבל על עצמו</w:t>
      </w:r>
      <w:r w:rsidRPr="00DD762E">
        <w:rPr>
          <w:rFonts w:hint="cs"/>
          <w:rtl/>
        </w:rPr>
        <w:t xml:space="preserve"> אחריות </w:t>
      </w:r>
      <w:r>
        <w:rPr>
          <w:rFonts w:hint="cs"/>
          <w:rtl/>
        </w:rPr>
        <w:t>ל</w:t>
      </w:r>
      <w:r w:rsidRPr="00DD762E">
        <w:rPr>
          <w:rFonts w:hint="cs"/>
          <w:rtl/>
        </w:rPr>
        <w:t>כל גורמי אכיפת החוק</w:t>
      </w:r>
      <w:r>
        <w:rPr>
          <w:rFonts w:hint="cs"/>
          <w:rtl/>
        </w:rPr>
        <w:t>,</w:t>
      </w:r>
      <w:r w:rsidRPr="00DD762E">
        <w:rPr>
          <w:rFonts w:hint="cs"/>
          <w:rtl/>
        </w:rPr>
        <w:t xml:space="preserve"> ופעל לקידום מסקנות הצוות </w:t>
      </w:r>
      <w:r>
        <w:rPr>
          <w:rFonts w:hint="cs"/>
          <w:rtl/>
        </w:rPr>
        <w:t>בקרב</w:t>
      </w:r>
      <w:r w:rsidRPr="00DD762E">
        <w:rPr>
          <w:rFonts w:hint="cs"/>
          <w:rtl/>
        </w:rPr>
        <w:t xml:space="preserve"> כלל הגורמים הרלוונטיים. </w:t>
      </w:r>
    </w:p>
    <w:p w14:paraId="726A9374" w14:textId="77777777" w:rsidR="00BA23AE" w:rsidRDefault="00BA23AE" w:rsidP="00F05CF9">
      <w:pPr>
        <w:pStyle w:val="100"/>
        <w:rPr>
          <w:rtl/>
        </w:rPr>
      </w:pPr>
      <w:r w:rsidRPr="00DD762E">
        <w:rPr>
          <w:rFonts w:hint="cs"/>
          <w:rtl/>
        </w:rPr>
        <w:t>בחודשים אוגוסט-ספטמבר 2019 חתמו פרקליטות המדינה, משטרת ישראל ושיר</w:t>
      </w:r>
      <w:r>
        <w:rPr>
          <w:rFonts w:hint="cs"/>
          <w:rtl/>
        </w:rPr>
        <w:t>ות המבחן על סיכומים תקציביים עם</w:t>
      </w:r>
      <w:r w:rsidRPr="00DD762E">
        <w:rPr>
          <w:rFonts w:hint="cs"/>
          <w:rtl/>
        </w:rPr>
        <w:t xml:space="preserve"> אגף התקציבים במשרד האוצר. לצורך </w:t>
      </w:r>
      <w:r>
        <w:rPr>
          <w:rFonts w:hint="cs"/>
          <w:rtl/>
        </w:rPr>
        <w:t>כך</w:t>
      </w:r>
      <w:r w:rsidRPr="00DD762E">
        <w:rPr>
          <w:rFonts w:hint="cs"/>
          <w:rtl/>
        </w:rPr>
        <w:t xml:space="preserve"> פירטו הגורמים את מטרות השימוש בכספים </w:t>
      </w:r>
      <w:r>
        <w:rPr>
          <w:rFonts w:hint="cs"/>
          <w:rtl/>
        </w:rPr>
        <w:t>בהתאם</w:t>
      </w:r>
      <w:r w:rsidRPr="00DD762E">
        <w:rPr>
          <w:rFonts w:hint="cs"/>
          <w:rtl/>
        </w:rPr>
        <w:t xml:space="preserve"> </w:t>
      </w:r>
      <w:r>
        <w:rPr>
          <w:rFonts w:hint="cs"/>
          <w:rtl/>
        </w:rPr>
        <w:t>להמלצות הוועדה הציבורית, לרבות</w:t>
      </w:r>
      <w:r w:rsidRPr="00DD762E">
        <w:rPr>
          <w:rFonts w:hint="cs"/>
          <w:rtl/>
        </w:rPr>
        <w:t xml:space="preserve"> הקמת מחלקות שיקום בפרקליטות ובמינהל </w:t>
      </w:r>
      <w:r>
        <w:rPr>
          <w:rFonts w:hint="cs"/>
          <w:rtl/>
        </w:rPr>
        <w:t>ה</w:t>
      </w:r>
      <w:r w:rsidRPr="00DD762E">
        <w:rPr>
          <w:rFonts w:hint="cs"/>
          <w:rtl/>
        </w:rPr>
        <w:t xml:space="preserve">תביעות, קידום מחקר מלווה והקמת </w:t>
      </w:r>
      <w:r>
        <w:rPr>
          <w:rFonts w:hint="cs"/>
          <w:rtl/>
        </w:rPr>
        <w:t>מסגרת ממשלתית לשחרור בתנאים מגבילים</w:t>
      </w:r>
      <w:r w:rsidRPr="00DD762E">
        <w:rPr>
          <w:rFonts w:hint="cs"/>
          <w:rtl/>
        </w:rPr>
        <w:t xml:space="preserve"> (יפורט בהמשך).</w:t>
      </w:r>
    </w:p>
    <w:p w14:paraId="27D8B2D2" w14:textId="77777777" w:rsidR="00BA23AE" w:rsidRPr="00F25910" w:rsidRDefault="00BA23AE" w:rsidP="00F05CF9">
      <w:pPr>
        <w:pStyle w:val="100"/>
        <w:rPr>
          <w:rtl/>
        </w:rPr>
      </w:pPr>
      <w:r>
        <w:rPr>
          <w:rFonts w:hint="cs"/>
          <w:rtl/>
        </w:rPr>
        <w:t>המשטרה מסרה בתשובתה כי בימים אלו התקבלו תקנים ייעודיים ליישום דוח הוועדה הציבורית והוקם מדור שיקום בחטיבת התביעות, אשר תפקידו להטמיע את עיקרי הדוח. הליך זה עתיד להרחיב לדברי המשטרה את מגמת השיקום ומניעת חזרה לפשע.</w:t>
      </w:r>
    </w:p>
    <w:p w14:paraId="1D1F7B1E" w14:textId="77777777" w:rsidR="00BA23AE" w:rsidRPr="008D590C" w:rsidRDefault="00BA23AE" w:rsidP="00F05CF9">
      <w:pPr>
        <w:pStyle w:val="100"/>
      </w:pPr>
      <w:r>
        <w:rPr>
          <w:rFonts w:hint="cs"/>
          <w:rtl/>
        </w:rPr>
        <w:t>הפרקליטות מסרה בתשובתה כי נבחרו פרקליטים שיובילו את יישום המסקנות והוקם פורום שיקום, שיחל את עבודתו בינואר 2020. עוד ציינה, כי החלה לקדם מדיניות הליכי שיקום במקרים המתאימים, ולמערכת הממוחשבת הוכנס השימוש בחיווי "שיקום", המאפשר מעקב אחר תהליך השיקום ובחינת הצלחתו.</w:t>
      </w:r>
    </w:p>
    <w:p w14:paraId="5EC5AC1D" w14:textId="77777777" w:rsidR="00BA23AE" w:rsidRPr="00DD762E" w:rsidRDefault="00BA23AE" w:rsidP="00F05CF9">
      <w:pPr>
        <w:pStyle w:val="af4"/>
        <w:rPr>
          <w:rtl/>
        </w:rPr>
      </w:pPr>
      <w:r w:rsidRPr="00DD762E">
        <w:rPr>
          <w:rFonts w:hint="cs"/>
          <w:rtl/>
        </w:rPr>
        <w:t>דוח הוועדה הציבורית המליץ על חלופות שיקומיות כבר בשלב המעצר, אך נמצא כי בשלב זה גורמי התביעה אינם יוזמים בקשות ל</w:t>
      </w:r>
      <w:r>
        <w:rPr>
          <w:rFonts w:hint="cs"/>
          <w:rtl/>
        </w:rPr>
        <w:t>שחרור</w:t>
      </w:r>
      <w:r w:rsidRPr="00DD762E">
        <w:rPr>
          <w:rFonts w:hint="cs"/>
          <w:rtl/>
        </w:rPr>
        <w:t xml:space="preserve"> </w:t>
      </w:r>
      <w:r>
        <w:rPr>
          <w:rFonts w:hint="cs"/>
          <w:rtl/>
        </w:rPr>
        <w:t>בתנאים מגבילים, גם לא למסגרות שיקומיות</w:t>
      </w:r>
      <w:r w:rsidRPr="00DD762E">
        <w:rPr>
          <w:rFonts w:hint="cs"/>
          <w:rtl/>
        </w:rPr>
        <w:t xml:space="preserve">. כמו כן, הסיכום התקציבי </w:t>
      </w:r>
      <w:r>
        <w:rPr>
          <w:rFonts w:hint="cs"/>
          <w:rtl/>
        </w:rPr>
        <w:t>ש</w:t>
      </w:r>
      <w:r w:rsidRPr="00DD762E">
        <w:rPr>
          <w:rFonts w:hint="cs"/>
          <w:rtl/>
        </w:rPr>
        <w:t xml:space="preserve">עליו חתמה פרקליטות המדינה </w:t>
      </w:r>
      <w:r>
        <w:rPr>
          <w:rFonts w:hint="cs"/>
          <w:rtl/>
        </w:rPr>
        <w:t xml:space="preserve">עם משרד האוצר </w:t>
      </w:r>
      <w:r w:rsidRPr="00DD762E">
        <w:rPr>
          <w:rFonts w:hint="cs"/>
          <w:rtl/>
        </w:rPr>
        <w:t xml:space="preserve">לא קבע יעדים </w:t>
      </w:r>
      <w:r>
        <w:rPr>
          <w:rFonts w:hint="cs"/>
          <w:rtl/>
        </w:rPr>
        <w:t>ליישומן של</w:t>
      </w:r>
      <w:r w:rsidRPr="00DD762E">
        <w:rPr>
          <w:rFonts w:hint="cs"/>
          <w:rtl/>
        </w:rPr>
        <w:t xml:space="preserve"> המלצות הוועדה בנוגע למעצרים עד תום ההליכים. מוצע אפוא כי יגובש מענה מעשי גם לעניין זה.</w:t>
      </w:r>
    </w:p>
    <w:p w14:paraId="2DB3CAFE" w14:textId="77777777" w:rsidR="00BA23AE" w:rsidRPr="00DD762E" w:rsidRDefault="00BA23AE" w:rsidP="00F05CF9">
      <w:pPr>
        <w:pStyle w:val="316"/>
      </w:pPr>
      <w:r w:rsidRPr="00DD762E">
        <w:rPr>
          <w:rFonts w:hint="cs"/>
          <w:rtl/>
        </w:rPr>
        <w:t>שירות המבחן למבוגרים</w:t>
      </w:r>
    </w:p>
    <w:p w14:paraId="5E5014F3" w14:textId="77777777" w:rsidR="00BA23AE" w:rsidRDefault="00BA23AE" w:rsidP="00F05CF9">
      <w:pPr>
        <w:pStyle w:val="100"/>
        <w:rPr>
          <w:rtl/>
        </w:rPr>
      </w:pPr>
      <w:r w:rsidRPr="00DD762E">
        <w:rPr>
          <w:rFonts w:hint="cs"/>
          <w:rtl/>
        </w:rPr>
        <w:t>חוק המעצרים קובע כאמור כי ברירת המחדל בהליך מעצר עד תום ההליכים ה</w:t>
      </w:r>
      <w:r>
        <w:rPr>
          <w:rFonts w:hint="cs"/>
          <w:rtl/>
        </w:rPr>
        <w:t>י</w:t>
      </w:r>
      <w:r w:rsidRPr="00DD762E">
        <w:rPr>
          <w:rFonts w:hint="cs"/>
          <w:rtl/>
        </w:rPr>
        <w:t>א מציאת חלופ</w:t>
      </w:r>
      <w:r>
        <w:rPr>
          <w:rFonts w:hint="cs"/>
          <w:rtl/>
        </w:rPr>
        <w:t>ה</w:t>
      </w:r>
      <w:r w:rsidRPr="00DD762E">
        <w:rPr>
          <w:rFonts w:hint="cs"/>
          <w:rtl/>
        </w:rPr>
        <w:t xml:space="preserve"> </w:t>
      </w:r>
      <w:r>
        <w:rPr>
          <w:rFonts w:hint="cs"/>
          <w:rtl/>
        </w:rPr>
        <w:t>ל</w:t>
      </w:r>
      <w:r w:rsidRPr="00DD762E">
        <w:rPr>
          <w:rFonts w:hint="cs"/>
          <w:rtl/>
        </w:rPr>
        <w:t>מעצר</w:t>
      </w:r>
      <w:r>
        <w:rPr>
          <w:rFonts w:hint="cs"/>
          <w:rtl/>
        </w:rPr>
        <w:t>,</w:t>
      </w:r>
      <w:r w:rsidRPr="00DD762E">
        <w:rPr>
          <w:rFonts w:hint="cs"/>
          <w:rtl/>
        </w:rPr>
        <w:t xml:space="preserve"> ש</w:t>
      </w:r>
      <w:r>
        <w:rPr>
          <w:rFonts w:hint="cs"/>
          <w:rtl/>
        </w:rPr>
        <w:t xml:space="preserve">מקיימת אחר מטרת המעצר אך </w:t>
      </w:r>
      <w:r w:rsidRPr="00DD762E">
        <w:rPr>
          <w:rFonts w:hint="cs"/>
          <w:rtl/>
        </w:rPr>
        <w:t>פגיעתה בחירות</w:t>
      </w:r>
      <w:r>
        <w:rPr>
          <w:rFonts w:hint="cs"/>
          <w:rtl/>
        </w:rPr>
        <w:t xml:space="preserve"> הנאשם</w:t>
      </w:r>
      <w:r w:rsidRPr="00DD762E">
        <w:rPr>
          <w:rFonts w:hint="cs"/>
          <w:rtl/>
        </w:rPr>
        <w:t xml:space="preserve"> פחותה</w:t>
      </w:r>
      <w:r>
        <w:rPr>
          <w:rFonts w:hint="cs"/>
          <w:rtl/>
        </w:rPr>
        <w:t xml:space="preserve"> (להלן - שחרור בתנאים מגבילים)</w:t>
      </w:r>
      <w:r w:rsidRPr="00DD762E">
        <w:rPr>
          <w:rFonts w:hint="cs"/>
          <w:rtl/>
        </w:rPr>
        <w:t xml:space="preserve">. תנאי הכרחי לשחרור </w:t>
      </w:r>
      <w:r>
        <w:rPr>
          <w:rFonts w:hint="cs"/>
          <w:rtl/>
        </w:rPr>
        <w:t>בתנאים מגבילים</w:t>
      </w:r>
      <w:r w:rsidRPr="00DD762E">
        <w:rPr>
          <w:rFonts w:hint="cs"/>
          <w:rtl/>
        </w:rPr>
        <w:t xml:space="preserve"> הוא קיומו של מפקח אנושי (בדרך כלל</w:t>
      </w:r>
      <w:r>
        <w:rPr>
          <w:rFonts w:hint="cs"/>
          <w:rtl/>
        </w:rPr>
        <w:t>,</w:t>
      </w:r>
      <w:r w:rsidRPr="00DD762E">
        <w:rPr>
          <w:rFonts w:hint="cs"/>
          <w:rtl/>
        </w:rPr>
        <w:t xml:space="preserve"> קרוב משפחה מדרגה ראשונה)</w:t>
      </w:r>
      <w:r>
        <w:rPr>
          <w:rFonts w:hint="cs"/>
          <w:rtl/>
        </w:rPr>
        <w:t>,</w:t>
      </w:r>
      <w:r w:rsidRPr="00DD762E">
        <w:rPr>
          <w:rFonts w:hint="cs"/>
          <w:rtl/>
        </w:rPr>
        <w:t xml:space="preserve"> </w:t>
      </w:r>
      <w:r>
        <w:rPr>
          <w:rFonts w:hint="cs"/>
          <w:rtl/>
        </w:rPr>
        <w:t>שיכול</w:t>
      </w:r>
      <w:r w:rsidRPr="00DD762E">
        <w:rPr>
          <w:rFonts w:hint="cs"/>
          <w:rtl/>
        </w:rPr>
        <w:t xml:space="preserve"> לאכוף על הנאשם את התנאים המגבילים שישית עליו בית המשפט ולדווח לגורמי האכיפה אם </w:t>
      </w:r>
      <w:r>
        <w:rPr>
          <w:rFonts w:hint="cs"/>
          <w:rtl/>
        </w:rPr>
        <w:t>הופרו</w:t>
      </w:r>
      <w:r w:rsidRPr="00DD762E">
        <w:rPr>
          <w:rFonts w:hint="cs"/>
          <w:rtl/>
        </w:rPr>
        <w:t xml:space="preserve"> התנאים המגבילים. בית המשפט מחליט לפי שיקול דע</w:t>
      </w:r>
      <w:r>
        <w:rPr>
          <w:rFonts w:hint="cs"/>
          <w:rtl/>
        </w:rPr>
        <w:t>תו אם להפנות את העצור ל</w:t>
      </w:r>
      <w:r w:rsidRPr="00DD762E">
        <w:rPr>
          <w:rFonts w:hint="cs"/>
          <w:rtl/>
        </w:rPr>
        <w:t xml:space="preserve">שירות המבחן לצורך </w:t>
      </w:r>
      <w:r>
        <w:rPr>
          <w:rFonts w:hint="cs"/>
          <w:rtl/>
        </w:rPr>
        <w:t>אבחון התאמתו של העצור לחלופה לשחרור בתנאים מגבילים</w:t>
      </w:r>
      <w:r w:rsidRPr="00DD762E">
        <w:rPr>
          <w:rFonts w:hint="cs"/>
          <w:rtl/>
        </w:rPr>
        <w:t xml:space="preserve"> (להלן - הפניות לתסקירי מעצר)</w:t>
      </w:r>
      <w:r>
        <w:rPr>
          <w:rFonts w:hint="cs"/>
          <w:rtl/>
        </w:rPr>
        <w:t>,</w:t>
      </w:r>
      <w:r w:rsidRPr="00DD762E">
        <w:rPr>
          <w:rFonts w:hint="cs"/>
          <w:rtl/>
        </w:rPr>
        <w:t xml:space="preserve"> או להסתפק בחקירת </w:t>
      </w:r>
      <w:r w:rsidRPr="00DD762E">
        <w:rPr>
          <w:rFonts w:hint="cs"/>
          <w:rtl/>
        </w:rPr>
        <w:lastRenderedPageBreak/>
        <w:t xml:space="preserve">המפקחים מטעם הנאשם </w:t>
      </w:r>
      <w:r>
        <w:rPr>
          <w:rFonts w:hint="cs"/>
          <w:rtl/>
        </w:rPr>
        <w:t>ב</w:t>
      </w:r>
      <w:r w:rsidRPr="00DD762E">
        <w:rPr>
          <w:rFonts w:hint="cs"/>
          <w:rtl/>
        </w:rPr>
        <w:t>ידי התביעה</w:t>
      </w:r>
      <w:r>
        <w:rPr>
          <w:vertAlign w:val="superscript"/>
          <w:rtl/>
        </w:rPr>
        <w:footnoteReference w:id="27"/>
      </w:r>
      <w:r w:rsidRPr="00DD762E">
        <w:rPr>
          <w:rFonts w:hint="cs"/>
          <w:rtl/>
        </w:rPr>
        <w:t xml:space="preserve">. </w:t>
      </w:r>
      <w:r>
        <w:rPr>
          <w:rFonts w:hint="cs"/>
          <w:rtl/>
        </w:rPr>
        <w:t>במסגרת חקירת המפקחים המוצעים מוודא בית המשפט שהם מכירים את הנאשם ויודעים במה הוא נאשם, וכי הם מסוגלים להשגיח על הנאשם ומודעים לחובתם לדווח על הפרת תנאי המעצר אם יהיה צורך בכך.</w:t>
      </w:r>
      <w:r w:rsidRPr="00DD762E">
        <w:rPr>
          <w:rFonts w:hint="cs"/>
          <w:rtl/>
        </w:rPr>
        <w:t xml:space="preserve"> אם החליט בית המשפט לקבל את הבקשה למעצר עד תום ההליכים, רשאי הנאשם לבקש </w:t>
      </w:r>
      <w:r>
        <w:rPr>
          <w:rFonts w:hint="cs"/>
          <w:rtl/>
        </w:rPr>
        <w:t>ש</w:t>
      </w:r>
      <w:r w:rsidRPr="00DD762E">
        <w:rPr>
          <w:rFonts w:hint="cs"/>
          <w:rtl/>
        </w:rPr>
        <w:t xml:space="preserve">המעצר בכליאה </w:t>
      </w:r>
      <w:r>
        <w:rPr>
          <w:rFonts w:hint="cs"/>
          <w:rtl/>
        </w:rPr>
        <w:t xml:space="preserve">יומר </w:t>
      </w:r>
      <w:r w:rsidRPr="00DD762E">
        <w:rPr>
          <w:rFonts w:hint="cs"/>
          <w:rtl/>
        </w:rPr>
        <w:t xml:space="preserve">במעצר בפיקוח אלקטרוני. </w:t>
      </w:r>
      <w:r>
        <w:rPr>
          <w:rFonts w:hint="cs"/>
          <w:rtl/>
        </w:rPr>
        <w:t>אלו</w:t>
      </w:r>
      <w:r w:rsidRPr="00DD762E">
        <w:rPr>
          <w:rFonts w:hint="cs"/>
          <w:rtl/>
        </w:rPr>
        <w:t xml:space="preserve"> </w:t>
      </w:r>
      <w:r>
        <w:rPr>
          <w:rFonts w:hint="cs"/>
          <w:rtl/>
        </w:rPr>
        <w:t xml:space="preserve">הם </w:t>
      </w:r>
      <w:r w:rsidRPr="00DD762E">
        <w:rPr>
          <w:rFonts w:hint="cs"/>
          <w:rtl/>
        </w:rPr>
        <w:t xml:space="preserve">הליכי המעצר </w:t>
      </w:r>
      <w:r>
        <w:rPr>
          <w:rFonts w:hint="cs"/>
          <w:rtl/>
        </w:rPr>
        <w:t>ש</w:t>
      </w:r>
      <w:r w:rsidRPr="00DD762E">
        <w:rPr>
          <w:rFonts w:hint="cs"/>
          <w:rtl/>
        </w:rPr>
        <w:t>בהם שירות המבחן</w:t>
      </w:r>
      <w:r w:rsidRPr="002C619C">
        <w:rPr>
          <w:rFonts w:hint="cs"/>
          <w:rtl/>
        </w:rPr>
        <w:t xml:space="preserve"> </w:t>
      </w:r>
      <w:r w:rsidRPr="00DD762E">
        <w:rPr>
          <w:rFonts w:hint="cs"/>
          <w:rtl/>
        </w:rPr>
        <w:t>מעורב:</w:t>
      </w:r>
    </w:p>
    <w:p w14:paraId="650BA90D" w14:textId="77777777" w:rsidR="00BA23AE" w:rsidRPr="00F05CF9" w:rsidRDefault="00BA23AE" w:rsidP="00F05CF9">
      <w:pPr>
        <w:pStyle w:val="a9"/>
        <w:rPr>
          <w:b/>
          <w:bCs/>
          <w:rtl/>
        </w:rPr>
      </w:pPr>
      <w:r w:rsidRPr="00DD762E">
        <w:rPr>
          <w:rFonts w:hint="cs"/>
          <w:rtl/>
        </w:rPr>
        <w:t xml:space="preserve">תרשים </w:t>
      </w:r>
      <w:r>
        <w:rPr>
          <w:rFonts w:hint="cs"/>
          <w:rtl/>
        </w:rPr>
        <w:t>29</w:t>
      </w:r>
      <w:r w:rsidRPr="00DD762E">
        <w:rPr>
          <w:rFonts w:hint="cs"/>
          <w:rtl/>
        </w:rPr>
        <w:t xml:space="preserve">: </w:t>
      </w:r>
      <w:r w:rsidRPr="00F05CF9">
        <w:rPr>
          <w:rFonts w:hint="cs"/>
          <w:b/>
          <w:bCs/>
          <w:rtl/>
        </w:rPr>
        <w:t>ההליכים המשפטיים בשלב הבקשה למעצר עד תום ההליכים</w:t>
      </w:r>
    </w:p>
    <w:p w14:paraId="0B613550" w14:textId="77777777" w:rsidR="00BA23AE" w:rsidRPr="00DD762E" w:rsidRDefault="00BA23AE" w:rsidP="00F05CF9">
      <w:pPr>
        <w:pStyle w:val="a9"/>
        <w:rPr>
          <w:rtl/>
        </w:rPr>
      </w:pPr>
      <w:r>
        <w:rPr>
          <w:noProof/>
          <w:rtl/>
        </w:rPr>
        <w:drawing>
          <wp:inline distT="0" distB="0" distL="0" distR="0" wp14:anchorId="6817361F" wp14:editId="5D843680">
            <wp:extent cx="5220335" cy="553275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רשים הליכי מעצר עד תום ההליכים.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335" cy="5532755"/>
                    </a:xfrm>
                    <a:prstGeom prst="rect">
                      <a:avLst/>
                    </a:prstGeom>
                  </pic:spPr>
                </pic:pic>
              </a:graphicData>
            </a:graphic>
          </wp:inline>
        </w:drawing>
      </w:r>
    </w:p>
    <w:p w14:paraId="2B46EC85" w14:textId="77777777" w:rsidR="00BA23AE" w:rsidRPr="008E7C85" w:rsidRDefault="00BA23AE" w:rsidP="00F05CF9">
      <w:pPr>
        <w:pStyle w:val="ab"/>
        <w:rPr>
          <w:rtl/>
        </w:rPr>
      </w:pPr>
      <w:r w:rsidRPr="008E7C85">
        <w:rPr>
          <w:rFonts w:hint="eastAsia"/>
          <w:rtl/>
        </w:rPr>
        <w:t>על</w:t>
      </w:r>
      <w:r w:rsidRPr="008E7C85">
        <w:rPr>
          <w:rtl/>
        </w:rPr>
        <w:t xml:space="preserve"> פי חוק המעצרים, </w:t>
      </w:r>
      <w:r w:rsidRPr="008E7C85">
        <w:rPr>
          <w:rFonts w:hint="eastAsia"/>
          <w:rtl/>
        </w:rPr>
        <w:t>בעיבוד</w:t>
      </w:r>
      <w:r w:rsidRPr="008E7C85">
        <w:rPr>
          <w:rtl/>
        </w:rPr>
        <w:t xml:space="preserve"> משרד מבקר </w:t>
      </w:r>
      <w:r w:rsidRPr="008E7C85">
        <w:rPr>
          <w:rFonts w:hint="eastAsia"/>
          <w:rtl/>
        </w:rPr>
        <w:t>המדינה</w:t>
      </w:r>
      <w:r w:rsidRPr="008E7C85">
        <w:rPr>
          <w:rtl/>
        </w:rPr>
        <w:t>.</w:t>
      </w:r>
    </w:p>
    <w:p w14:paraId="3C635D8D" w14:textId="6485CF04" w:rsidR="00BA23AE" w:rsidRDefault="00F05CF9" w:rsidP="003C2534">
      <w:pPr>
        <w:pStyle w:val="100"/>
        <w:rPr>
          <w:rtl/>
        </w:rPr>
      </w:pPr>
      <w:r>
        <w:rPr>
          <w:rtl/>
        </w:rPr>
        <w:br w:type="page"/>
      </w:r>
      <w:r w:rsidR="00BA23AE" w:rsidRPr="003C2534">
        <w:rPr>
          <w:rFonts w:hint="cs"/>
          <w:rtl/>
        </w:rPr>
        <w:lastRenderedPageBreak/>
        <w:t>מרבית</w:t>
      </w:r>
      <w:r w:rsidR="00BA23AE" w:rsidRPr="00DD762E">
        <w:rPr>
          <w:rFonts w:hint="cs"/>
          <w:rtl/>
        </w:rPr>
        <w:t xml:space="preserve"> המופנים לשירות המבחן על ידי מערכות אכיפת החוק מצויים באחד משני </w:t>
      </w:r>
      <w:r w:rsidR="00BA23AE">
        <w:rPr>
          <w:rFonts w:hint="cs"/>
          <w:rtl/>
        </w:rPr>
        <w:t>השלבים האלה במשפטם</w:t>
      </w:r>
      <w:r w:rsidR="00BA23AE" w:rsidRPr="00DD762E">
        <w:rPr>
          <w:rFonts w:hint="cs"/>
          <w:rtl/>
        </w:rPr>
        <w:t xml:space="preserve">: </w:t>
      </w:r>
      <w:r w:rsidR="00BA23AE">
        <w:rPr>
          <w:rFonts w:hint="cs"/>
          <w:rtl/>
        </w:rPr>
        <w:t>שלב</w:t>
      </w:r>
      <w:r w:rsidR="00BA23AE" w:rsidRPr="00DD762E">
        <w:rPr>
          <w:rFonts w:hint="cs"/>
          <w:rtl/>
        </w:rPr>
        <w:t xml:space="preserve"> </w:t>
      </w:r>
      <w:r w:rsidR="00BA23AE">
        <w:rPr>
          <w:rFonts w:hint="cs"/>
          <w:rtl/>
        </w:rPr>
        <w:t>הבקשה למעצר עד תום ההליכים המתקיים בתחילת ההליך הפלילי,</w:t>
      </w:r>
      <w:r w:rsidR="00BA23AE" w:rsidRPr="00DD762E">
        <w:rPr>
          <w:rFonts w:hint="cs"/>
          <w:rtl/>
        </w:rPr>
        <w:t xml:space="preserve"> </w:t>
      </w:r>
      <w:r w:rsidR="00BA23AE">
        <w:rPr>
          <w:rFonts w:hint="cs"/>
          <w:rtl/>
        </w:rPr>
        <w:t>ושלב</w:t>
      </w:r>
      <w:r w:rsidR="00BA23AE" w:rsidRPr="00DD762E">
        <w:rPr>
          <w:rFonts w:hint="cs"/>
          <w:rtl/>
        </w:rPr>
        <w:t xml:space="preserve"> </w:t>
      </w:r>
      <w:r w:rsidR="00BA23AE">
        <w:rPr>
          <w:rFonts w:hint="cs"/>
          <w:rtl/>
        </w:rPr>
        <w:t>השתת העונש, שבסופו של ההליך הפלילי</w:t>
      </w:r>
      <w:r w:rsidR="00BA23AE" w:rsidRPr="00DD762E">
        <w:rPr>
          <w:rFonts w:hint="cs"/>
          <w:rtl/>
        </w:rPr>
        <w:t xml:space="preserve">. בכל אחד </w:t>
      </w:r>
      <w:r w:rsidR="00BA23AE">
        <w:rPr>
          <w:rFonts w:hint="cs"/>
          <w:rtl/>
        </w:rPr>
        <w:t>משלבים</w:t>
      </w:r>
      <w:r w:rsidR="00BA23AE" w:rsidRPr="00DD762E">
        <w:rPr>
          <w:rFonts w:hint="cs"/>
          <w:rtl/>
        </w:rPr>
        <w:t xml:space="preserve"> אלה קצין מבחן מבצע </w:t>
      </w:r>
      <w:r w:rsidR="00BA23AE">
        <w:rPr>
          <w:rFonts w:hint="cs"/>
          <w:rtl/>
        </w:rPr>
        <w:t xml:space="preserve">חקירת מעצר - </w:t>
      </w:r>
      <w:r w:rsidR="00BA23AE" w:rsidRPr="00DD762E">
        <w:rPr>
          <w:rFonts w:hint="cs"/>
          <w:rtl/>
        </w:rPr>
        <w:t>אבחון והערכת סיכון</w:t>
      </w:r>
      <w:r w:rsidR="00BA23AE">
        <w:rPr>
          <w:rFonts w:hint="cs"/>
          <w:rtl/>
        </w:rPr>
        <w:t xml:space="preserve"> -</w:t>
      </w:r>
      <w:r w:rsidR="00BA23AE" w:rsidRPr="00DD762E">
        <w:rPr>
          <w:rFonts w:hint="cs"/>
          <w:rtl/>
        </w:rPr>
        <w:t xml:space="preserve"> </w:t>
      </w:r>
      <w:r w:rsidR="00BA23AE">
        <w:rPr>
          <w:rFonts w:hint="cs"/>
          <w:rtl/>
        </w:rPr>
        <w:t>ועל פי</w:t>
      </w:r>
      <w:r w:rsidR="00BA23AE" w:rsidRPr="00DD762E">
        <w:rPr>
          <w:rFonts w:hint="cs"/>
          <w:rtl/>
        </w:rPr>
        <w:t xml:space="preserve"> </w:t>
      </w:r>
      <w:r w:rsidR="00BA23AE">
        <w:rPr>
          <w:rFonts w:hint="cs"/>
          <w:rtl/>
        </w:rPr>
        <w:t xml:space="preserve">תוצאותיה </w:t>
      </w:r>
      <w:r w:rsidR="00BA23AE" w:rsidRPr="00DD762E">
        <w:rPr>
          <w:rFonts w:hint="cs"/>
          <w:rtl/>
        </w:rPr>
        <w:t xml:space="preserve">הוא ממליץ לבתי המשפט על חלופות </w:t>
      </w:r>
      <w:r w:rsidR="00BA23AE">
        <w:rPr>
          <w:rFonts w:hint="cs"/>
          <w:rtl/>
        </w:rPr>
        <w:t xml:space="preserve">המתאימות לשחרור בתנאים מגבילים (בשלב הבקשה למעצר עד תום ההליכים) או על </w:t>
      </w:r>
      <w:r w:rsidR="00BA23AE" w:rsidRPr="00DD762E">
        <w:rPr>
          <w:rFonts w:hint="cs"/>
          <w:rtl/>
        </w:rPr>
        <w:t xml:space="preserve">חלופות </w:t>
      </w:r>
      <w:r w:rsidR="00BA23AE">
        <w:rPr>
          <w:rFonts w:hint="cs"/>
          <w:rtl/>
        </w:rPr>
        <w:t xml:space="preserve">למאסר (בשלב השתת העונש) </w:t>
      </w:r>
      <w:r w:rsidR="00BA23AE" w:rsidRPr="00DD762E">
        <w:rPr>
          <w:rFonts w:hint="cs"/>
          <w:rtl/>
        </w:rPr>
        <w:t xml:space="preserve">המותאמות למאפייני המופנים, </w:t>
      </w:r>
      <w:r w:rsidR="00BA23AE">
        <w:rPr>
          <w:rFonts w:hint="cs"/>
          <w:rtl/>
        </w:rPr>
        <w:t>ל</w:t>
      </w:r>
      <w:r w:rsidR="00BA23AE" w:rsidRPr="00DD762E">
        <w:rPr>
          <w:rFonts w:hint="cs"/>
          <w:rtl/>
        </w:rPr>
        <w:t>הערכת הסיכון ו</w:t>
      </w:r>
      <w:r w:rsidR="00BA23AE">
        <w:rPr>
          <w:rFonts w:hint="cs"/>
          <w:rtl/>
        </w:rPr>
        <w:t>ל</w:t>
      </w:r>
      <w:r w:rsidR="00BA23AE" w:rsidRPr="00DD762E">
        <w:rPr>
          <w:rFonts w:hint="cs"/>
          <w:rtl/>
        </w:rPr>
        <w:t xml:space="preserve">יכולתם לעבור תהליך של הפחתת סיכון, שיקום ושינוי. </w:t>
      </w:r>
    </w:p>
    <w:p w14:paraId="4A736708" w14:textId="77777777" w:rsidR="00BA23AE" w:rsidRPr="00DD762E" w:rsidRDefault="00BA23AE" w:rsidP="003C2534">
      <w:pPr>
        <w:pStyle w:val="100"/>
        <w:rPr>
          <w:rtl/>
        </w:rPr>
      </w:pPr>
      <w:r w:rsidRPr="00DD762E">
        <w:rPr>
          <w:rFonts w:hint="cs"/>
          <w:rtl/>
        </w:rPr>
        <w:t xml:space="preserve">אוכלוסיית העצורים היא בעלת מאפיינים וצרכים ייחודיים בתוך אוכלוסיית </w:t>
      </w:r>
      <w:r>
        <w:rPr>
          <w:rFonts w:hint="cs"/>
          <w:rtl/>
        </w:rPr>
        <w:t>ה</w:t>
      </w:r>
      <w:r w:rsidRPr="00DD762E">
        <w:rPr>
          <w:rFonts w:hint="cs"/>
          <w:rtl/>
        </w:rPr>
        <w:t>עוברי</w:t>
      </w:r>
      <w:r>
        <w:rPr>
          <w:rFonts w:hint="cs"/>
          <w:rtl/>
        </w:rPr>
        <w:t>ם על</w:t>
      </w:r>
      <w:r w:rsidRPr="00DD762E">
        <w:rPr>
          <w:rFonts w:hint="cs"/>
          <w:rtl/>
        </w:rPr>
        <w:t xml:space="preserve"> החוק. </w:t>
      </w:r>
      <w:r>
        <w:rPr>
          <w:rFonts w:hint="cs"/>
          <w:rtl/>
        </w:rPr>
        <w:t>ככלל, העצורים</w:t>
      </w:r>
      <w:r w:rsidRPr="00DD762E">
        <w:rPr>
          <w:rFonts w:hint="cs"/>
          <w:rtl/>
        </w:rPr>
        <w:t xml:space="preserve"> מצויים במעצר לצורך הרחקתם מהחברה, חלקם לראשונה בחייהם. שלילת החופש </w:t>
      </w:r>
      <w:r>
        <w:rPr>
          <w:rFonts w:hint="cs"/>
          <w:rtl/>
        </w:rPr>
        <w:t>ותנאי המעצר יוצרים</w:t>
      </w:r>
      <w:r w:rsidRPr="00DD762E">
        <w:rPr>
          <w:rFonts w:hint="cs"/>
          <w:rtl/>
        </w:rPr>
        <w:t xml:space="preserve"> משבר </w:t>
      </w:r>
      <w:r>
        <w:rPr>
          <w:rFonts w:hint="cs"/>
          <w:rtl/>
        </w:rPr>
        <w:t>שיש לו</w:t>
      </w:r>
      <w:r w:rsidRPr="00DD762E">
        <w:rPr>
          <w:rFonts w:hint="cs"/>
          <w:rtl/>
        </w:rPr>
        <w:t xml:space="preserve"> השלכות הן על העצור והן על המערך המשפחתי</w:t>
      </w:r>
      <w:r>
        <w:rPr>
          <w:rFonts w:hint="cs"/>
          <w:rtl/>
        </w:rPr>
        <w:t xml:space="preserve"> שלו</w:t>
      </w:r>
      <w:r w:rsidRPr="00DD762E">
        <w:rPr>
          <w:rFonts w:hint="cs"/>
          <w:rtl/>
        </w:rPr>
        <w:t xml:space="preserve">. במסגרת </w:t>
      </w:r>
      <w:r>
        <w:rPr>
          <w:rFonts w:hint="cs"/>
          <w:rtl/>
        </w:rPr>
        <w:t>החקירה</w:t>
      </w:r>
      <w:r w:rsidRPr="00DD762E">
        <w:rPr>
          <w:rFonts w:hint="cs"/>
          <w:rtl/>
        </w:rPr>
        <w:t xml:space="preserve"> נפגש קצין המבחן עם העצור במקום מעצרו בעיתוי קרוב יחסית לזמן אירוע העבירה. קצין המבחן עורך הערכת סיכון להישנות ההתנהגות העבריינית</w:t>
      </w:r>
      <w:r>
        <w:rPr>
          <w:rFonts w:hint="cs"/>
          <w:rtl/>
        </w:rPr>
        <w:t>,</w:t>
      </w:r>
      <w:r w:rsidRPr="00DD762E">
        <w:rPr>
          <w:rFonts w:hint="cs"/>
          <w:rtl/>
        </w:rPr>
        <w:t xml:space="preserve"> וכן בוחן את נכונותו של העצור </w:t>
      </w:r>
      <w:r>
        <w:rPr>
          <w:rFonts w:hint="cs"/>
          <w:rtl/>
        </w:rPr>
        <w:t>להצטרף</w:t>
      </w:r>
      <w:r w:rsidRPr="00DD762E">
        <w:rPr>
          <w:rFonts w:hint="cs"/>
          <w:rtl/>
        </w:rPr>
        <w:t xml:space="preserve"> כבר בשלב המעצר להליך שיקום. במקביל נבחנות חלופות מתאימות</w:t>
      </w:r>
      <w:r>
        <w:rPr>
          <w:rFonts w:hint="cs"/>
          <w:rtl/>
        </w:rPr>
        <w:t>,</w:t>
      </w:r>
      <w:r w:rsidRPr="00DD762E">
        <w:rPr>
          <w:rFonts w:hint="cs"/>
          <w:rtl/>
        </w:rPr>
        <w:t xml:space="preserve"> </w:t>
      </w:r>
      <w:r>
        <w:rPr>
          <w:rFonts w:hint="cs"/>
          <w:rtl/>
        </w:rPr>
        <w:t>ש</w:t>
      </w:r>
      <w:r w:rsidRPr="00DD762E">
        <w:rPr>
          <w:rFonts w:hint="cs"/>
          <w:rtl/>
        </w:rPr>
        <w:t xml:space="preserve">אליהן ניתן להמליץ לשחרר את העצור בתנאים מגבילים. </w:t>
      </w:r>
    </w:p>
    <w:p w14:paraId="053151E2" w14:textId="77777777" w:rsidR="00BA23AE" w:rsidRPr="00DD762E" w:rsidRDefault="00BA23AE" w:rsidP="003C2534">
      <w:pPr>
        <w:pStyle w:val="100"/>
        <w:rPr>
          <w:rtl/>
        </w:rPr>
      </w:pPr>
      <w:r>
        <w:rPr>
          <w:rFonts w:hint="cs"/>
          <w:rtl/>
        </w:rPr>
        <w:t xml:space="preserve">לפי חוק המעצרים, </w:t>
      </w:r>
      <w:r w:rsidRPr="00DD762E">
        <w:rPr>
          <w:rFonts w:hint="cs"/>
          <w:rtl/>
        </w:rPr>
        <w:t>בית המשפט דן בתסקיר המעצר</w:t>
      </w:r>
      <w:r>
        <w:rPr>
          <w:rFonts w:hint="cs"/>
          <w:rtl/>
        </w:rPr>
        <w:t>,</w:t>
      </w:r>
      <w:r w:rsidRPr="00DD762E">
        <w:rPr>
          <w:rFonts w:hint="cs"/>
          <w:rtl/>
        </w:rPr>
        <w:t xml:space="preserve"> ולאורו ר</w:t>
      </w:r>
      <w:r>
        <w:rPr>
          <w:rFonts w:hint="cs"/>
          <w:rtl/>
        </w:rPr>
        <w:t xml:space="preserve">שאי להטיל על נאשם צו פיקוח מעצר </w:t>
      </w:r>
      <w:r w:rsidRPr="00DD762E">
        <w:rPr>
          <w:rFonts w:hint="cs"/>
          <w:rtl/>
        </w:rPr>
        <w:t xml:space="preserve">במסגרת </w:t>
      </w:r>
      <w:r>
        <w:rPr>
          <w:rFonts w:hint="cs"/>
          <w:rtl/>
        </w:rPr>
        <w:t>בקשה ל</w:t>
      </w:r>
      <w:r w:rsidRPr="00DD762E">
        <w:rPr>
          <w:rFonts w:hint="cs"/>
          <w:rtl/>
        </w:rPr>
        <w:t xml:space="preserve">שחרור </w:t>
      </w:r>
      <w:r>
        <w:rPr>
          <w:rFonts w:hint="cs"/>
          <w:rtl/>
        </w:rPr>
        <w:t>בתנאים מגבילים</w:t>
      </w:r>
      <w:r w:rsidRPr="00DD762E">
        <w:rPr>
          <w:rFonts w:hint="cs"/>
          <w:rtl/>
        </w:rPr>
        <w:t xml:space="preserve"> וכחלק מתנאי השחרור. מטרת צו </w:t>
      </w:r>
      <w:r>
        <w:rPr>
          <w:rFonts w:hint="cs"/>
          <w:rtl/>
        </w:rPr>
        <w:t>הפיקוח</w:t>
      </w:r>
      <w:r w:rsidRPr="00DD762E">
        <w:rPr>
          <w:rFonts w:hint="cs"/>
          <w:rtl/>
        </w:rPr>
        <w:t xml:space="preserve"> היא לפקח על הנאשם בתקופת שחרורו בערובה ובתנאים, לסייע לו ולמשפחתו בהתמודדות עם השלכות מעצרו ועם </w:t>
      </w:r>
      <w:r>
        <w:rPr>
          <w:rFonts w:hint="cs"/>
          <w:rtl/>
        </w:rPr>
        <w:t>ה</w:t>
      </w:r>
      <w:r w:rsidRPr="00DD762E">
        <w:rPr>
          <w:rFonts w:hint="cs"/>
          <w:rtl/>
        </w:rPr>
        <w:t xml:space="preserve">תנאים </w:t>
      </w:r>
      <w:r>
        <w:rPr>
          <w:rFonts w:hint="cs"/>
          <w:rtl/>
        </w:rPr>
        <w:t>ה</w:t>
      </w:r>
      <w:r w:rsidRPr="00DD762E">
        <w:rPr>
          <w:rFonts w:hint="cs"/>
          <w:rtl/>
        </w:rPr>
        <w:t xml:space="preserve">מגבילים </w:t>
      </w:r>
      <w:r>
        <w:rPr>
          <w:rFonts w:hint="cs"/>
          <w:rtl/>
        </w:rPr>
        <w:t xml:space="preserve">החלים עליו </w:t>
      </w:r>
      <w:r w:rsidRPr="00DD762E">
        <w:rPr>
          <w:rFonts w:hint="cs"/>
          <w:rtl/>
        </w:rPr>
        <w:t xml:space="preserve">ולבחון עימו את הליכי השיקום. משך </w:t>
      </w:r>
      <w:r>
        <w:rPr>
          <w:rFonts w:hint="cs"/>
          <w:rtl/>
        </w:rPr>
        <w:t>צו הפיקוח</w:t>
      </w:r>
      <w:r w:rsidRPr="00DD762E">
        <w:rPr>
          <w:rFonts w:hint="cs"/>
          <w:rtl/>
        </w:rPr>
        <w:t xml:space="preserve"> נקבע לשישה חודשים</w:t>
      </w:r>
      <w:r>
        <w:rPr>
          <w:rFonts w:hint="cs"/>
          <w:rtl/>
        </w:rPr>
        <w:t>,</w:t>
      </w:r>
      <w:r w:rsidRPr="00DD762E">
        <w:rPr>
          <w:rFonts w:hint="cs"/>
          <w:rtl/>
        </w:rPr>
        <w:t xml:space="preserve"> </w:t>
      </w:r>
      <w:r>
        <w:rPr>
          <w:rFonts w:hint="cs"/>
          <w:rtl/>
        </w:rPr>
        <w:t>והוא ניתן</w:t>
      </w:r>
      <w:r w:rsidRPr="00DD762E">
        <w:rPr>
          <w:rFonts w:hint="cs"/>
          <w:rtl/>
        </w:rPr>
        <w:t xml:space="preserve"> להארכה </w:t>
      </w:r>
      <w:r>
        <w:rPr>
          <w:rFonts w:hint="cs"/>
          <w:rtl/>
        </w:rPr>
        <w:t>בידי</w:t>
      </w:r>
      <w:r w:rsidRPr="00DD762E">
        <w:rPr>
          <w:rFonts w:hint="cs"/>
          <w:rtl/>
        </w:rPr>
        <w:t xml:space="preserve"> בית המשפט. שירות המבחן הוא הממונה על אכיפת צווי </w:t>
      </w:r>
      <w:r>
        <w:rPr>
          <w:rFonts w:hint="cs"/>
          <w:rtl/>
        </w:rPr>
        <w:t>ה</w:t>
      </w:r>
      <w:r w:rsidRPr="00DD762E">
        <w:rPr>
          <w:rFonts w:hint="cs"/>
          <w:rtl/>
        </w:rPr>
        <w:t xml:space="preserve">פיקוח. </w:t>
      </w:r>
    </w:p>
    <w:p w14:paraId="4F13B135" w14:textId="77777777" w:rsidR="00BA23AE" w:rsidRPr="00DD762E" w:rsidRDefault="00BA23AE" w:rsidP="003C2534">
      <w:pPr>
        <w:pStyle w:val="414"/>
        <w:rPr>
          <w:rtl/>
        </w:rPr>
      </w:pPr>
      <w:r w:rsidRPr="00DD762E">
        <w:rPr>
          <w:rFonts w:hint="cs"/>
          <w:rtl/>
        </w:rPr>
        <w:t>מקומו של שירות המבחן במסגרת יישום המלצות הוועדה הציבורית</w:t>
      </w:r>
    </w:p>
    <w:p w14:paraId="3587520A" w14:textId="77777777" w:rsidR="00BA23AE" w:rsidRPr="00DD762E" w:rsidRDefault="00BA23AE" w:rsidP="003C2534">
      <w:pPr>
        <w:pStyle w:val="100"/>
        <w:rPr>
          <w:b/>
          <w:rtl/>
        </w:rPr>
      </w:pPr>
      <w:r w:rsidRPr="00DD762E">
        <w:rPr>
          <w:rFonts w:hint="cs"/>
          <w:rtl/>
        </w:rPr>
        <w:t xml:space="preserve">לעמדת צוות התביעה, יישום המלצות הוועדה הציבורית ושינוי של מדיניות התביעה מחייב שיתוף פעולה עם שירות המבחן וגיוסו לטובת שינוי מערכתי בכלל הגופים </w:t>
      </w:r>
      <w:r>
        <w:rPr>
          <w:rFonts w:hint="cs"/>
          <w:rtl/>
        </w:rPr>
        <w:t>המשתתפים</w:t>
      </w:r>
      <w:r w:rsidRPr="00DD762E">
        <w:rPr>
          <w:rFonts w:hint="cs"/>
          <w:rtl/>
        </w:rPr>
        <w:t xml:space="preserve"> בהליך הפלילי. </w:t>
      </w:r>
      <w:r w:rsidRPr="00DD762E">
        <w:rPr>
          <w:rFonts w:hint="cs"/>
          <w:b/>
          <w:rtl/>
        </w:rPr>
        <w:t xml:space="preserve">שירות המבחן הוא חוליה מרכזית ביישום המלצות הוועדה הציבורית בשל הגידול </w:t>
      </w:r>
      <w:r>
        <w:rPr>
          <w:rFonts w:hint="cs"/>
          <w:b/>
          <w:rtl/>
        </w:rPr>
        <w:t>הניכר</w:t>
      </w:r>
      <w:r w:rsidRPr="00DD762E">
        <w:rPr>
          <w:rFonts w:hint="cs"/>
          <w:b/>
          <w:rtl/>
        </w:rPr>
        <w:t xml:space="preserve"> הצפוי במספר הנאשמים שיופנו לאבחון שירות המבחן על מנת להפנותם לאפיקי שיקום. </w:t>
      </w:r>
    </w:p>
    <w:p w14:paraId="2D408B89" w14:textId="77777777" w:rsidR="00BA23AE" w:rsidRPr="00DD762E" w:rsidRDefault="00BA23AE" w:rsidP="003C2534">
      <w:pPr>
        <w:pStyle w:val="100"/>
        <w:rPr>
          <w:rtl/>
        </w:rPr>
      </w:pPr>
      <w:r w:rsidRPr="00DD762E">
        <w:rPr>
          <w:rFonts w:hint="cs"/>
          <w:rtl/>
        </w:rPr>
        <w:t>במסגרת הסיכום התקציבי של שירות המבחן עם משרד האוצר</w:t>
      </w:r>
      <w:r>
        <w:rPr>
          <w:rFonts w:hint="cs"/>
          <w:rtl/>
        </w:rPr>
        <w:t>,</w:t>
      </w:r>
      <w:r w:rsidRPr="00DD762E">
        <w:rPr>
          <w:rFonts w:hint="cs"/>
          <w:rtl/>
        </w:rPr>
        <w:t xml:space="preserve"> התחייב </w:t>
      </w:r>
      <w:r>
        <w:rPr>
          <w:rFonts w:hint="cs"/>
          <w:rtl/>
        </w:rPr>
        <w:t>ה</w:t>
      </w:r>
      <w:r w:rsidRPr="00DD762E">
        <w:rPr>
          <w:rFonts w:hint="cs"/>
          <w:rtl/>
        </w:rPr>
        <w:t xml:space="preserve">שירות כי תסקיר מעצר יוגש בתוך חודש ימים מהיום </w:t>
      </w:r>
      <w:r>
        <w:rPr>
          <w:rFonts w:hint="cs"/>
          <w:rtl/>
        </w:rPr>
        <w:t>ש</w:t>
      </w:r>
      <w:r w:rsidRPr="00DD762E">
        <w:rPr>
          <w:rFonts w:hint="cs"/>
          <w:rtl/>
        </w:rPr>
        <w:t>בו התבקש</w:t>
      </w:r>
      <w:r>
        <w:rPr>
          <w:rFonts w:hint="cs"/>
          <w:rtl/>
        </w:rPr>
        <w:t>,</w:t>
      </w:r>
      <w:r w:rsidRPr="00DD762E">
        <w:rPr>
          <w:rFonts w:hint="cs"/>
          <w:rtl/>
        </w:rPr>
        <w:t xml:space="preserve"> אך אם החשוד נמצא במעצר</w:t>
      </w:r>
      <w:r>
        <w:rPr>
          <w:rFonts w:hint="cs"/>
          <w:rtl/>
        </w:rPr>
        <w:t>,</w:t>
      </w:r>
      <w:r w:rsidRPr="00DD762E">
        <w:rPr>
          <w:rFonts w:hint="cs"/>
          <w:rtl/>
        </w:rPr>
        <w:t xml:space="preserve"> פרק הזמן המרבי לתסקיר יהיה שבועיים ימים. </w:t>
      </w:r>
      <w:r>
        <w:rPr>
          <w:rFonts w:hint="cs"/>
          <w:rtl/>
        </w:rPr>
        <w:t>כמו כן</w:t>
      </w:r>
      <w:r w:rsidRPr="00DD762E">
        <w:rPr>
          <w:rFonts w:hint="cs"/>
          <w:rtl/>
        </w:rPr>
        <w:t xml:space="preserve">, שירות המבחן התחייב להפעיל מערכת מדידה ממוחשבת לצורך בחינת פרקי הזמן להגשת התסקירים (תסקירי המעצר והתסקירים לעונש). </w:t>
      </w:r>
    </w:p>
    <w:p w14:paraId="4C78438B" w14:textId="77777777" w:rsidR="00BA23AE" w:rsidRPr="00DD762E" w:rsidRDefault="00BA23AE" w:rsidP="003C2534">
      <w:pPr>
        <w:pStyle w:val="414"/>
        <w:rPr>
          <w:rtl/>
        </w:rPr>
      </w:pPr>
      <w:r w:rsidRPr="00DD762E">
        <w:rPr>
          <w:rFonts w:hint="cs"/>
          <w:rtl/>
        </w:rPr>
        <w:t>נתונים על עבודת שירות המבחן למבוגרים בשלב המעצר</w:t>
      </w:r>
    </w:p>
    <w:p w14:paraId="48A2D3AE" w14:textId="77777777" w:rsidR="00BA23AE" w:rsidRPr="00DD762E" w:rsidRDefault="00BA23AE" w:rsidP="003C2534">
      <w:pPr>
        <w:pStyle w:val="a1"/>
        <w:numPr>
          <w:ilvl w:val="0"/>
          <w:numId w:val="40"/>
        </w:numPr>
        <w:rPr>
          <w:rtl/>
          <w:lang w:eastAsia="he-IL"/>
        </w:rPr>
      </w:pPr>
      <w:r w:rsidRPr="00DD762E">
        <w:rPr>
          <w:rFonts w:hint="cs"/>
          <w:rtl/>
          <w:lang w:eastAsia="he-IL"/>
        </w:rPr>
        <w:t xml:space="preserve">בשנת 2018 כ-39% מכלל ההפניות לשירות המבחן למבוגרים היו לתסקירי מעצר, כ-57% היו לתסקירי ענישה, כ-2% היו </w:t>
      </w:r>
      <w:r>
        <w:rPr>
          <w:rFonts w:hint="cs"/>
          <w:rtl/>
          <w:lang w:eastAsia="he-IL"/>
        </w:rPr>
        <w:t xml:space="preserve">עבור </w:t>
      </w:r>
      <w:r w:rsidRPr="00DD762E">
        <w:rPr>
          <w:rFonts w:hint="cs"/>
          <w:rtl/>
          <w:lang w:eastAsia="he-IL"/>
        </w:rPr>
        <w:t>עיכוב הליכים, אי</w:t>
      </w:r>
      <w:r>
        <w:rPr>
          <w:rFonts w:hint="cs"/>
          <w:rtl/>
          <w:lang w:eastAsia="he-IL"/>
        </w:rPr>
        <w:t>-</w:t>
      </w:r>
      <w:r w:rsidRPr="00DD762E">
        <w:rPr>
          <w:rFonts w:hint="cs"/>
          <w:rtl/>
          <w:lang w:eastAsia="he-IL"/>
        </w:rPr>
        <w:t>העמדה לדין וחנינה וכ-1.5% לסגירת תיק בהסדר. להלן השוואה בין היקף הפניות לעריכת תסקיר מעצר לעומת היקף צווי פיקוח מעצר:</w:t>
      </w:r>
    </w:p>
    <w:p w14:paraId="26D8E2F0" w14:textId="71333D4B" w:rsidR="00BA23AE" w:rsidRPr="00BE1D73" w:rsidRDefault="003C2534" w:rsidP="00BE1D73">
      <w:pPr>
        <w:pStyle w:val="a9"/>
        <w:bidi w:val="0"/>
        <w:rPr>
          <w:b/>
          <w:bCs/>
          <w:rtl/>
        </w:rPr>
      </w:pPr>
      <w:r>
        <w:rPr>
          <w:rtl/>
        </w:rPr>
        <w:br w:type="page"/>
      </w:r>
      <w:r w:rsidR="00BA23AE" w:rsidRPr="00DD762E">
        <w:rPr>
          <w:rFonts w:hint="cs"/>
          <w:rtl/>
        </w:rPr>
        <w:lastRenderedPageBreak/>
        <w:t xml:space="preserve">תרשים </w:t>
      </w:r>
      <w:r w:rsidR="00BA23AE">
        <w:rPr>
          <w:rFonts w:hint="cs"/>
          <w:rtl/>
        </w:rPr>
        <w:t>30</w:t>
      </w:r>
      <w:r w:rsidR="00BA23AE" w:rsidRPr="00DD762E">
        <w:rPr>
          <w:rtl/>
        </w:rPr>
        <w:t xml:space="preserve">: </w:t>
      </w:r>
      <w:r w:rsidR="00BA23AE" w:rsidRPr="00BE1D73">
        <w:rPr>
          <w:b/>
          <w:bCs/>
          <w:rtl/>
        </w:rPr>
        <w:t xml:space="preserve">היקף </w:t>
      </w:r>
      <w:r w:rsidR="00BA23AE" w:rsidRPr="00BE1D73">
        <w:rPr>
          <w:rFonts w:hint="cs"/>
          <w:b/>
          <w:bCs/>
          <w:rtl/>
        </w:rPr>
        <w:t>הפניות לעריכת תסקירי מעצר והיקף צווי פיקוח מעצר,</w:t>
      </w:r>
      <w:r w:rsidR="00BE1D73">
        <w:rPr>
          <w:b/>
          <w:bCs/>
          <w:rtl/>
        </w:rPr>
        <w:br/>
      </w:r>
      <w:r w:rsidR="00BE1D73">
        <w:rPr>
          <w:rFonts w:hint="cs"/>
          <w:b/>
          <w:bCs/>
          <w:rtl/>
        </w:rPr>
        <w:t>2014</w:t>
      </w:r>
      <w:r w:rsidR="00BA23AE" w:rsidRPr="00BE1D73">
        <w:rPr>
          <w:rFonts w:hint="cs"/>
          <w:b/>
          <w:bCs/>
          <w:rtl/>
        </w:rPr>
        <w:t xml:space="preserve"> - 201</w:t>
      </w:r>
      <w:r w:rsidR="00BA23AE" w:rsidRPr="00BE1D73">
        <w:rPr>
          <w:b/>
          <w:bCs/>
          <w:rtl/>
        </w:rPr>
        <w:t>8</w:t>
      </w:r>
    </w:p>
    <w:p w14:paraId="6986E76E" w14:textId="77777777" w:rsidR="00BA23AE" w:rsidRPr="00DD762E" w:rsidRDefault="00BA23AE" w:rsidP="00BE1D73">
      <w:pPr>
        <w:pStyle w:val="a9"/>
        <w:rPr>
          <w:rtl/>
        </w:rPr>
      </w:pPr>
      <w:r w:rsidRPr="00DD762E">
        <w:rPr>
          <w:noProof/>
          <w:rtl/>
        </w:rPr>
        <w:drawing>
          <wp:inline distT="0" distB="0" distL="0" distR="0" wp14:anchorId="342BB447" wp14:editId="0BAFD13A">
            <wp:extent cx="4875530" cy="2664000"/>
            <wp:effectExtent l="0" t="0" r="1270" b="3175"/>
            <wp:docPr id="1992297221"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69436B" w14:textId="77777777" w:rsidR="00BA23AE" w:rsidRPr="008E7C85" w:rsidRDefault="00BA23AE" w:rsidP="00BE1D73">
      <w:pPr>
        <w:pStyle w:val="ab"/>
        <w:rPr>
          <w:rtl/>
        </w:rPr>
      </w:pPr>
      <w:r w:rsidRPr="008E7C85">
        <w:rPr>
          <w:rFonts w:hint="eastAsia"/>
          <w:rtl/>
        </w:rPr>
        <w:t>על</w:t>
      </w:r>
      <w:r w:rsidRPr="008E7C85">
        <w:rPr>
          <w:rtl/>
        </w:rPr>
        <w:t xml:space="preserve"> </w:t>
      </w:r>
      <w:r w:rsidRPr="008E7C85">
        <w:rPr>
          <w:rFonts w:hint="eastAsia"/>
          <w:rtl/>
        </w:rPr>
        <w:t>פי</w:t>
      </w:r>
      <w:r w:rsidRPr="008E7C85">
        <w:rPr>
          <w:rtl/>
        </w:rPr>
        <w:t xml:space="preserve"> </w:t>
      </w:r>
      <w:r w:rsidRPr="008E7C85">
        <w:rPr>
          <w:rFonts w:hint="eastAsia"/>
          <w:rtl/>
        </w:rPr>
        <w:t>נתוני</w:t>
      </w:r>
      <w:r w:rsidRPr="008E7C85">
        <w:rPr>
          <w:rtl/>
        </w:rPr>
        <w:t xml:space="preserve"> </w:t>
      </w:r>
      <w:r w:rsidRPr="008E7C85">
        <w:rPr>
          <w:rFonts w:hint="eastAsia"/>
          <w:rtl/>
        </w:rPr>
        <w:t>שירות</w:t>
      </w:r>
      <w:r w:rsidRPr="008E7C85">
        <w:rPr>
          <w:rtl/>
        </w:rPr>
        <w:t xml:space="preserve"> </w:t>
      </w:r>
      <w:r w:rsidRPr="008E7C85">
        <w:rPr>
          <w:rFonts w:hint="eastAsia"/>
          <w:rtl/>
        </w:rPr>
        <w:t>המבחן</w:t>
      </w:r>
      <w:r w:rsidRPr="008E7C85">
        <w:rPr>
          <w:rtl/>
        </w:rPr>
        <w:t xml:space="preserve"> </w:t>
      </w:r>
      <w:r w:rsidRPr="008E7C85">
        <w:rPr>
          <w:rFonts w:hint="eastAsia"/>
          <w:rtl/>
        </w:rPr>
        <w:t>למבוגרים</w:t>
      </w:r>
      <w:r w:rsidRPr="008E7C85">
        <w:rPr>
          <w:rtl/>
        </w:rPr>
        <w:t>, בעיבוד משרד מבקר המדינה.</w:t>
      </w:r>
    </w:p>
    <w:p w14:paraId="1C4C659F" w14:textId="543C745D" w:rsidR="00BA23AE" w:rsidRPr="00DD762E" w:rsidRDefault="00BA23AE" w:rsidP="00BE1D73">
      <w:pPr>
        <w:pStyle w:val="100"/>
        <w:rPr>
          <w:rtl/>
        </w:rPr>
      </w:pPr>
    </w:p>
    <w:p w14:paraId="39E34114" w14:textId="77777777" w:rsidR="00BA23AE" w:rsidRPr="00DD762E" w:rsidRDefault="00BA23AE" w:rsidP="00DB0DA7">
      <w:pPr>
        <w:pStyle w:val="af3"/>
        <w:rPr>
          <w:rtl/>
        </w:rPr>
      </w:pPr>
      <w:r>
        <w:rPr>
          <w:rFonts w:hint="cs"/>
          <w:rtl/>
        </w:rPr>
        <w:t>ב</w:t>
      </w:r>
      <w:r w:rsidRPr="00DD762E">
        <w:rPr>
          <w:rFonts w:hint="cs"/>
          <w:rtl/>
        </w:rPr>
        <w:t xml:space="preserve">תרשים </w:t>
      </w:r>
      <w:r>
        <w:rPr>
          <w:rFonts w:hint="cs"/>
          <w:rtl/>
        </w:rPr>
        <w:t>נראית</w:t>
      </w:r>
      <w:r w:rsidRPr="00DD762E">
        <w:rPr>
          <w:rFonts w:hint="cs"/>
          <w:rtl/>
        </w:rPr>
        <w:t xml:space="preserve"> עלי</w:t>
      </w:r>
      <w:r>
        <w:rPr>
          <w:rFonts w:hint="cs"/>
          <w:rtl/>
        </w:rPr>
        <w:t>י</w:t>
      </w:r>
      <w:r w:rsidRPr="00DD762E">
        <w:rPr>
          <w:rFonts w:hint="cs"/>
          <w:rtl/>
        </w:rPr>
        <w:t xml:space="preserve">ה </w:t>
      </w:r>
      <w:r>
        <w:rPr>
          <w:rFonts w:hint="cs"/>
          <w:rtl/>
        </w:rPr>
        <w:t xml:space="preserve">מתונה לאורך השנים </w:t>
      </w:r>
      <w:r w:rsidRPr="00DD762E">
        <w:rPr>
          <w:rFonts w:hint="cs"/>
          <w:rtl/>
        </w:rPr>
        <w:t>בצווי הפיקוח שניתנו ועלי</w:t>
      </w:r>
      <w:r>
        <w:rPr>
          <w:rFonts w:hint="cs"/>
          <w:rtl/>
        </w:rPr>
        <w:t>י</w:t>
      </w:r>
      <w:r w:rsidRPr="00DD762E">
        <w:rPr>
          <w:rFonts w:hint="cs"/>
          <w:rtl/>
        </w:rPr>
        <w:t xml:space="preserve">ה בהפניות לעריכת תסקירי מעצר. כמו כן, בחודשים ינואר-ספטמבר 2018 הופנו </w:t>
      </w:r>
      <w:r>
        <w:rPr>
          <w:rFonts w:hint="cs"/>
          <w:rtl/>
        </w:rPr>
        <w:t>5,120 נאשמים</w:t>
      </w:r>
      <w:r w:rsidRPr="002C619C">
        <w:rPr>
          <w:rFonts w:hint="cs"/>
          <w:rtl/>
        </w:rPr>
        <w:t xml:space="preserve"> </w:t>
      </w:r>
      <w:r w:rsidRPr="00DD762E">
        <w:rPr>
          <w:rFonts w:hint="cs"/>
          <w:rtl/>
        </w:rPr>
        <w:t>ל</w:t>
      </w:r>
      <w:r>
        <w:rPr>
          <w:rFonts w:hint="cs"/>
          <w:rtl/>
        </w:rPr>
        <w:t>עריכת תסקירי מעצר, ובחודשים המקבילים</w:t>
      </w:r>
      <w:r w:rsidRPr="00DD762E">
        <w:rPr>
          <w:rFonts w:hint="cs"/>
          <w:rtl/>
        </w:rPr>
        <w:t xml:space="preserve"> בשנת 2019 הופנו 5,863 נאשמים. העלייה בצווי הפיקוח מלמדת על העבודה המאומצת של קציני המבחן </w:t>
      </w:r>
      <w:r>
        <w:rPr>
          <w:rFonts w:hint="cs"/>
          <w:rtl/>
        </w:rPr>
        <w:t xml:space="preserve">בתחום המעצרים (להלן - קציני מעצרים) </w:t>
      </w:r>
      <w:r w:rsidRPr="00DD762E">
        <w:rPr>
          <w:rFonts w:hint="cs"/>
          <w:rtl/>
        </w:rPr>
        <w:t xml:space="preserve">למציאת </w:t>
      </w:r>
      <w:r>
        <w:rPr>
          <w:rFonts w:hint="cs"/>
          <w:rtl/>
        </w:rPr>
        <w:t xml:space="preserve">חלופות מעצר מותאמות </w:t>
      </w:r>
      <w:r w:rsidRPr="00DD762E">
        <w:rPr>
          <w:rFonts w:hint="cs"/>
          <w:rtl/>
        </w:rPr>
        <w:t>לעצורים.</w:t>
      </w:r>
    </w:p>
    <w:p w14:paraId="04B88CDF" w14:textId="77777777" w:rsidR="00BA23AE" w:rsidRPr="00DD762E" w:rsidRDefault="00BA23AE" w:rsidP="00DB0DA7">
      <w:pPr>
        <w:pStyle w:val="af3"/>
        <w:rPr>
          <w:rtl/>
        </w:rPr>
      </w:pPr>
      <w:r w:rsidRPr="00DD762E">
        <w:rPr>
          <w:rFonts w:hint="cs"/>
          <w:rtl/>
        </w:rPr>
        <w:t xml:space="preserve">עם זאת, ניכר הפער בין כמות ההפניות לעריכת תסקירי מעצר ובין כמות צווי הפיקוח שהוצאו בפועל. בשנת 2018 הופנו לשירות המבחן למבוגרים 7,627 עצורים לעריכת תסקירי מעצר, אך רק </w:t>
      </w:r>
      <w:r>
        <w:rPr>
          <w:rFonts w:hint="cs"/>
          <w:rtl/>
        </w:rPr>
        <w:t>בנוגע</w:t>
      </w:r>
      <w:r w:rsidRPr="00DD762E">
        <w:rPr>
          <w:rFonts w:hint="cs"/>
          <w:rtl/>
        </w:rPr>
        <w:t xml:space="preserve"> </w:t>
      </w:r>
      <w:r>
        <w:rPr>
          <w:rFonts w:hint="cs"/>
          <w:rtl/>
        </w:rPr>
        <w:t>ל</w:t>
      </w:r>
      <w:r w:rsidRPr="00DD762E">
        <w:rPr>
          <w:rFonts w:hint="cs"/>
          <w:rtl/>
        </w:rPr>
        <w:t xml:space="preserve">כ-23% </w:t>
      </w:r>
      <w:r>
        <w:rPr>
          <w:rFonts w:hint="cs"/>
          <w:rtl/>
        </w:rPr>
        <w:t>מהם</w:t>
      </w:r>
      <w:r w:rsidRPr="00DD762E">
        <w:rPr>
          <w:rFonts w:hint="cs"/>
          <w:rtl/>
        </w:rPr>
        <w:t xml:space="preserve"> המליצו קציני המ</w:t>
      </w:r>
      <w:r>
        <w:rPr>
          <w:rFonts w:hint="cs"/>
          <w:rtl/>
        </w:rPr>
        <w:t>עצרים</w:t>
      </w:r>
      <w:r w:rsidRPr="00DD762E">
        <w:rPr>
          <w:rFonts w:hint="cs"/>
          <w:rtl/>
        </w:rPr>
        <w:t xml:space="preserve"> על שחרור מהמעצר בתנאים מגבילים ושילוב </w:t>
      </w:r>
      <w:r>
        <w:rPr>
          <w:rFonts w:hint="cs"/>
          <w:rtl/>
        </w:rPr>
        <w:t xml:space="preserve">העצור </w:t>
      </w:r>
      <w:r w:rsidRPr="00DD762E">
        <w:rPr>
          <w:rFonts w:hint="cs"/>
          <w:rtl/>
        </w:rPr>
        <w:t xml:space="preserve">בטיפול באמצעות צווי פיקוח. </w:t>
      </w:r>
      <w:r>
        <w:rPr>
          <w:rFonts w:hint="cs"/>
          <w:rtl/>
        </w:rPr>
        <w:t>שיעור</w:t>
      </w:r>
      <w:r w:rsidRPr="00DD762E">
        <w:rPr>
          <w:rFonts w:hint="cs"/>
          <w:rtl/>
        </w:rPr>
        <w:t xml:space="preserve"> דומה היה גם בשנת 2017. אחד ההסברים למיעוט ההמלצות לשחרור נעוץ בהיעדר מענים מתאימים לאוכלוסיית העצורים</w:t>
      </w:r>
      <w:r>
        <w:rPr>
          <w:rFonts w:hint="cs"/>
          <w:rtl/>
        </w:rPr>
        <w:t>. דוגמה מובהקת לכך היא עצורים שהם דרי רחוב</w:t>
      </w:r>
      <w:r w:rsidRPr="00DD762E">
        <w:rPr>
          <w:rFonts w:hint="cs"/>
          <w:rtl/>
        </w:rPr>
        <w:t>.</w:t>
      </w:r>
    </w:p>
    <w:p w14:paraId="3AB9090A" w14:textId="76257CF5" w:rsidR="00BA23AE" w:rsidRPr="00DD762E" w:rsidRDefault="00BA23AE" w:rsidP="00BE1D73">
      <w:pPr>
        <w:pStyle w:val="a1"/>
        <w:rPr>
          <w:sz w:val="24"/>
          <w:rtl/>
          <w:lang w:eastAsia="he-IL"/>
        </w:rPr>
      </w:pPr>
      <w:r w:rsidRPr="00DD762E">
        <w:rPr>
          <w:rFonts w:hint="cs"/>
          <w:rtl/>
          <w:lang w:eastAsia="he-IL"/>
        </w:rPr>
        <w:t>שירות המבחן מפעיל קבוצות טיפוליות לעצורים ששוחררו בתנאים מגבילים (להלן - עצורי בית)</w:t>
      </w:r>
      <w:r w:rsidRPr="002C619C">
        <w:rPr>
          <w:rFonts w:hint="cs"/>
          <w:rtl/>
          <w:lang w:eastAsia="he-IL"/>
        </w:rPr>
        <w:t xml:space="preserve"> </w:t>
      </w:r>
      <w:r w:rsidRPr="00DD762E">
        <w:rPr>
          <w:rFonts w:hint="cs"/>
          <w:rtl/>
          <w:lang w:eastAsia="he-IL"/>
        </w:rPr>
        <w:t>כחלק ממערך השיקום. מרבית</w:t>
      </w:r>
      <w:r>
        <w:rPr>
          <w:rFonts w:hint="cs"/>
          <w:rtl/>
          <w:lang w:eastAsia="he-IL"/>
        </w:rPr>
        <w:t>ן</w:t>
      </w:r>
      <w:r w:rsidRPr="00DD762E">
        <w:rPr>
          <w:rFonts w:hint="cs"/>
          <w:rtl/>
          <w:lang w:eastAsia="he-IL"/>
        </w:rPr>
        <w:t xml:space="preserve"> הן קבוצות עצורי בית כלליות</w:t>
      </w:r>
      <w:r>
        <w:rPr>
          <w:rFonts w:hint="cs"/>
          <w:rtl/>
          <w:lang w:eastAsia="he-IL"/>
        </w:rPr>
        <w:t>,</w:t>
      </w:r>
      <w:r w:rsidRPr="00DD762E">
        <w:rPr>
          <w:rFonts w:hint="cs"/>
          <w:rtl/>
          <w:lang w:eastAsia="he-IL"/>
        </w:rPr>
        <w:t xml:space="preserve"> </w:t>
      </w:r>
      <w:r>
        <w:rPr>
          <w:rFonts w:hint="cs"/>
          <w:rtl/>
          <w:lang w:eastAsia="he-IL"/>
        </w:rPr>
        <w:t>התומכות</w:t>
      </w:r>
      <w:r w:rsidRPr="00DD762E">
        <w:rPr>
          <w:rFonts w:hint="cs"/>
          <w:rtl/>
          <w:lang w:eastAsia="he-IL"/>
        </w:rPr>
        <w:t xml:space="preserve"> בעצורי הבית </w:t>
      </w:r>
      <w:r>
        <w:rPr>
          <w:rFonts w:hint="cs"/>
          <w:rtl/>
          <w:lang w:eastAsia="he-IL"/>
        </w:rPr>
        <w:t>ומקילות</w:t>
      </w:r>
      <w:r w:rsidRPr="00DD762E">
        <w:rPr>
          <w:rFonts w:hint="cs"/>
          <w:rtl/>
          <w:lang w:eastAsia="he-IL"/>
        </w:rPr>
        <w:t xml:space="preserve"> עליהם את השהות הממושכת במקום אחד ללא מעש. מיעוטן הן קבוצות ייעודיות </w:t>
      </w:r>
      <w:r>
        <w:rPr>
          <w:rFonts w:hint="cs"/>
          <w:rtl/>
          <w:lang w:eastAsia="he-IL"/>
        </w:rPr>
        <w:t xml:space="preserve">לעצורים בשל עבריינות </w:t>
      </w:r>
      <w:r w:rsidRPr="00DD762E">
        <w:rPr>
          <w:rFonts w:hint="cs"/>
          <w:rtl/>
          <w:lang w:eastAsia="he-IL"/>
        </w:rPr>
        <w:t xml:space="preserve">מין, אלימות במשפחה </w:t>
      </w:r>
      <w:r>
        <w:rPr>
          <w:rFonts w:hint="cs"/>
          <w:rtl/>
          <w:lang w:eastAsia="he-IL"/>
        </w:rPr>
        <w:t>וכו'</w:t>
      </w:r>
      <w:r w:rsidRPr="00DD762E">
        <w:rPr>
          <w:rFonts w:hint="cs"/>
          <w:rtl/>
          <w:lang w:eastAsia="he-IL"/>
        </w:rPr>
        <w:t xml:space="preserve">. </w:t>
      </w:r>
      <w:r>
        <w:rPr>
          <w:rFonts w:hint="cs"/>
          <w:sz w:val="24"/>
          <w:rtl/>
          <w:lang w:eastAsia="he-IL"/>
        </w:rPr>
        <w:t>אלו</w:t>
      </w:r>
      <w:r w:rsidRPr="00DD762E">
        <w:rPr>
          <w:rFonts w:hint="cs"/>
          <w:sz w:val="24"/>
          <w:rtl/>
          <w:lang w:eastAsia="he-IL"/>
        </w:rPr>
        <w:t xml:space="preserve"> נתוני קבוצות הטיפול לשנים</w:t>
      </w:r>
      <w:r w:rsidR="00BE1D73">
        <w:rPr>
          <w:sz w:val="24"/>
          <w:rtl/>
          <w:lang w:eastAsia="he-IL"/>
        </w:rPr>
        <w:br/>
      </w:r>
      <w:r w:rsidRPr="00DD762E">
        <w:rPr>
          <w:rFonts w:hint="cs"/>
          <w:sz w:val="24"/>
          <w:rtl/>
          <w:lang w:eastAsia="he-IL"/>
        </w:rPr>
        <w:t>201</w:t>
      </w:r>
      <w:r>
        <w:rPr>
          <w:rFonts w:hint="cs"/>
          <w:sz w:val="24"/>
          <w:rtl/>
          <w:lang w:eastAsia="he-IL"/>
        </w:rPr>
        <w:t xml:space="preserve">6 </w:t>
      </w:r>
      <w:r w:rsidRPr="00DD762E">
        <w:rPr>
          <w:rFonts w:hint="cs"/>
          <w:sz w:val="24"/>
          <w:rtl/>
          <w:lang w:eastAsia="he-IL"/>
        </w:rPr>
        <w:t>-</w:t>
      </w:r>
      <w:r>
        <w:rPr>
          <w:rFonts w:hint="cs"/>
          <w:sz w:val="24"/>
          <w:rtl/>
          <w:lang w:eastAsia="he-IL"/>
        </w:rPr>
        <w:t xml:space="preserve"> </w:t>
      </w:r>
      <w:r w:rsidRPr="00DD762E">
        <w:rPr>
          <w:rFonts w:hint="cs"/>
          <w:sz w:val="24"/>
          <w:rtl/>
          <w:lang w:eastAsia="he-IL"/>
        </w:rPr>
        <w:t>201</w:t>
      </w:r>
      <w:r>
        <w:rPr>
          <w:rFonts w:hint="cs"/>
          <w:sz w:val="24"/>
          <w:rtl/>
          <w:lang w:eastAsia="he-IL"/>
        </w:rPr>
        <w:t>8</w:t>
      </w:r>
      <w:r w:rsidRPr="00DD762E">
        <w:rPr>
          <w:rFonts w:hint="cs"/>
          <w:sz w:val="24"/>
          <w:rtl/>
          <w:lang w:eastAsia="he-IL"/>
        </w:rPr>
        <w:t xml:space="preserve">: </w:t>
      </w:r>
    </w:p>
    <w:p w14:paraId="679CA86F" w14:textId="50C45FF3" w:rsidR="00BE1D73" w:rsidRDefault="00BE1D73">
      <w:pPr>
        <w:bidi w:val="0"/>
        <w:spacing w:after="200" w:line="276" w:lineRule="auto"/>
        <w:rPr>
          <w:szCs w:val="20"/>
          <w:rtl/>
        </w:rPr>
      </w:pPr>
      <w:r>
        <w:rPr>
          <w:szCs w:val="20"/>
          <w:rtl/>
        </w:rPr>
        <w:br w:type="page"/>
      </w:r>
    </w:p>
    <w:p w14:paraId="7FF6A86D" w14:textId="6BD910A1" w:rsidR="00BA23AE" w:rsidRPr="006364F7" w:rsidRDefault="00BA23AE" w:rsidP="006364F7">
      <w:pPr>
        <w:pStyle w:val="a9"/>
        <w:rPr>
          <w:b/>
          <w:bCs/>
        </w:rPr>
      </w:pPr>
      <w:r w:rsidRPr="00DD762E">
        <w:rPr>
          <w:rFonts w:hint="eastAsia"/>
          <w:rtl/>
        </w:rPr>
        <w:lastRenderedPageBreak/>
        <w:t>לוח</w:t>
      </w:r>
      <w:r w:rsidRPr="00DD762E">
        <w:rPr>
          <w:rtl/>
        </w:rPr>
        <w:t xml:space="preserve"> </w:t>
      </w:r>
      <w:r>
        <w:rPr>
          <w:rFonts w:hint="cs"/>
          <w:rtl/>
        </w:rPr>
        <w:t>20</w:t>
      </w:r>
      <w:r w:rsidRPr="00DD762E">
        <w:rPr>
          <w:rFonts w:hint="cs"/>
          <w:rtl/>
        </w:rPr>
        <w:t xml:space="preserve">: </w:t>
      </w:r>
      <w:r w:rsidRPr="006364F7">
        <w:rPr>
          <w:rFonts w:hint="cs"/>
          <w:b/>
          <w:bCs/>
          <w:rtl/>
        </w:rPr>
        <w:t>היקף עצורי הבית שהשתתפו בקבוצות הטיפוליות של שירות המבחן,</w:t>
      </w:r>
      <w:r w:rsidR="006364F7">
        <w:rPr>
          <w:b/>
          <w:bCs/>
          <w:rtl/>
        </w:rPr>
        <w:br/>
      </w:r>
      <w:r w:rsidRPr="006364F7">
        <w:rPr>
          <w:rFonts w:hint="cs"/>
          <w:b/>
          <w:bCs/>
          <w:rtl/>
        </w:rPr>
        <w:t>2016 - 2018</w:t>
      </w:r>
    </w:p>
    <w:tbl>
      <w:tblPr>
        <w:tblStyle w:val="TableGrid"/>
        <w:bidiVisual/>
        <w:tblW w:w="0" w:type="auto"/>
        <w:jc w:val="center"/>
        <w:tblLook w:val="04A0" w:firstRow="1" w:lastRow="0" w:firstColumn="1" w:lastColumn="0" w:noHBand="0" w:noVBand="1"/>
      </w:tblPr>
      <w:tblGrid>
        <w:gridCol w:w="3123"/>
        <w:gridCol w:w="1319"/>
        <w:gridCol w:w="1319"/>
        <w:gridCol w:w="1319"/>
      </w:tblGrid>
      <w:tr w:rsidR="00BA23AE" w:rsidRPr="00F061B0" w14:paraId="441E4703" w14:textId="77777777" w:rsidTr="006364F7">
        <w:trPr>
          <w:jc w:val="center"/>
        </w:trPr>
        <w:tc>
          <w:tcPr>
            <w:tcW w:w="3123" w:type="dxa"/>
            <w:shd w:val="clear" w:color="auto" w:fill="C6D9F1"/>
            <w:vAlign w:val="bottom"/>
          </w:tcPr>
          <w:p w14:paraId="34A85256" w14:textId="77777777" w:rsidR="00BA23AE" w:rsidRPr="006364F7" w:rsidRDefault="00BA23AE" w:rsidP="006364F7">
            <w:pPr>
              <w:pStyle w:val="af0"/>
              <w:rPr>
                <w:rtl/>
              </w:rPr>
            </w:pPr>
          </w:p>
        </w:tc>
        <w:tc>
          <w:tcPr>
            <w:tcW w:w="1319" w:type="dxa"/>
            <w:shd w:val="clear" w:color="auto" w:fill="C6D9F1"/>
            <w:vAlign w:val="bottom"/>
          </w:tcPr>
          <w:p w14:paraId="386B8715" w14:textId="77777777" w:rsidR="00BA23AE" w:rsidRPr="006364F7" w:rsidRDefault="00BA23AE" w:rsidP="006364F7">
            <w:pPr>
              <w:pStyle w:val="af0"/>
              <w:rPr>
                <w:rtl/>
              </w:rPr>
            </w:pPr>
            <w:r w:rsidRPr="006364F7">
              <w:rPr>
                <w:rFonts w:hint="cs"/>
                <w:rtl/>
              </w:rPr>
              <w:t>2016</w:t>
            </w:r>
          </w:p>
        </w:tc>
        <w:tc>
          <w:tcPr>
            <w:tcW w:w="1319" w:type="dxa"/>
            <w:shd w:val="clear" w:color="auto" w:fill="C6D9F1"/>
            <w:vAlign w:val="bottom"/>
          </w:tcPr>
          <w:p w14:paraId="102A024E" w14:textId="77777777" w:rsidR="00BA23AE" w:rsidRPr="006364F7" w:rsidRDefault="00BA23AE" w:rsidP="006364F7">
            <w:pPr>
              <w:pStyle w:val="af0"/>
              <w:rPr>
                <w:rtl/>
              </w:rPr>
            </w:pPr>
            <w:r w:rsidRPr="006364F7">
              <w:rPr>
                <w:rFonts w:hint="cs"/>
                <w:rtl/>
              </w:rPr>
              <w:t>2017</w:t>
            </w:r>
          </w:p>
        </w:tc>
        <w:tc>
          <w:tcPr>
            <w:tcW w:w="1319" w:type="dxa"/>
            <w:shd w:val="clear" w:color="auto" w:fill="C6D9F1"/>
            <w:vAlign w:val="bottom"/>
          </w:tcPr>
          <w:p w14:paraId="36A71D5D" w14:textId="77777777" w:rsidR="00BA23AE" w:rsidRPr="006364F7" w:rsidRDefault="00BA23AE" w:rsidP="006364F7">
            <w:pPr>
              <w:pStyle w:val="af0"/>
              <w:rPr>
                <w:rtl/>
              </w:rPr>
            </w:pPr>
            <w:r w:rsidRPr="006364F7">
              <w:rPr>
                <w:rFonts w:hint="cs"/>
                <w:rtl/>
              </w:rPr>
              <w:t>2018</w:t>
            </w:r>
          </w:p>
        </w:tc>
      </w:tr>
      <w:tr w:rsidR="00BA23AE" w:rsidRPr="00F061B0" w14:paraId="24F170A2" w14:textId="77777777" w:rsidTr="006364F7">
        <w:trPr>
          <w:jc w:val="center"/>
        </w:trPr>
        <w:tc>
          <w:tcPr>
            <w:tcW w:w="3123" w:type="dxa"/>
            <w:shd w:val="clear" w:color="auto" w:fill="auto"/>
            <w:vAlign w:val="bottom"/>
          </w:tcPr>
          <w:p w14:paraId="589709D7" w14:textId="77777777" w:rsidR="00BA23AE" w:rsidRPr="006364F7" w:rsidRDefault="00BA23AE" w:rsidP="006364F7">
            <w:pPr>
              <w:pStyle w:val="B"/>
              <w:rPr>
                <w:szCs w:val="20"/>
                <w:rtl/>
              </w:rPr>
            </w:pPr>
            <w:r w:rsidRPr="006364F7">
              <w:rPr>
                <w:rFonts w:hint="eastAsia"/>
                <w:szCs w:val="20"/>
                <w:rtl/>
              </w:rPr>
              <w:t>מספר</w:t>
            </w:r>
            <w:r w:rsidRPr="006364F7">
              <w:rPr>
                <w:szCs w:val="20"/>
                <w:rtl/>
              </w:rPr>
              <w:t xml:space="preserve"> </w:t>
            </w:r>
            <w:r w:rsidRPr="006364F7">
              <w:rPr>
                <w:rFonts w:hint="cs"/>
                <w:szCs w:val="20"/>
                <w:rtl/>
              </w:rPr>
              <w:t>ה</w:t>
            </w:r>
            <w:r w:rsidRPr="006364F7">
              <w:rPr>
                <w:rFonts w:hint="eastAsia"/>
                <w:szCs w:val="20"/>
                <w:rtl/>
              </w:rPr>
              <w:t>קבוצות</w:t>
            </w:r>
            <w:r w:rsidRPr="006364F7">
              <w:rPr>
                <w:szCs w:val="20"/>
                <w:rtl/>
              </w:rPr>
              <w:t xml:space="preserve"> </w:t>
            </w:r>
            <w:r w:rsidRPr="006364F7">
              <w:rPr>
                <w:rFonts w:hint="cs"/>
                <w:szCs w:val="20"/>
                <w:rtl/>
              </w:rPr>
              <w:t>ה</w:t>
            </w:r>
            <w:r w:rsidRPr="006364F7">
              <w:rPr>
                <w:rFonts w:hint="eastAsia"/>
                <w:szCs w:val="20"/>
                <w:rtl/>
              </w:rPr>
              <w:t>טיפוליות</w:t>
            </w:r>
            <w:r w:rsidRPr="006364F7">
              <w:rPr>
                <w:rFonts w:hint="cs"/>
                <w:szCs w:val="20"/>
                <w:rtl/>
              </w:rPr>
              <w:t xml:space="preserve"> בשירות המבחן</w:t>
            </w:r>
          </w:p>
        </w:tc>
        <w:tc>
          <w:tcPr>
            <w:tcW w:w="1319" w:type="dxa"/>
            <w:shd w:val="clear" w:color="auto" w:fill="auto"/>
            <w:vAlign w:val="bottom"/>
          </w:tcPr>
          <w:p w14:paraId="35616F72" w14:textId="77777777" w:rsidR="00BA23AE" w:rsidRPr="006364F7" w:rsidRDefault="00BA23AE" w:rsidP="006364F7">
            <w:pPr>
              <w:pStyle w:val="R"/>
              <w:rPr>
                <w:rtl/>
              </w:rPr>
            </w:pPr>
            <w:r w:rsidRPr="006364F7">
              <w:rPr>
                <w:rtl/>
              </w:rPr>
              <w:t>231</w:t>
            </w:r>
          </w:p>
        </w:tc>
        <w:tc>
          <w:tcPr>
            <w:tcW w:w="1319" w:type="dxa"/>
            <w:shd w:val="clear" w:color="auto" w:fill="auto"/>
            <w:vAlign w:val="bottom"/>
          </w:tcPr>
          <w:p w14:paraId="75FD494B" w14:textId="77777777" w:rsidR="00BA23AE" w:rsidRPr="006364F7" w:rsidRDefault="00BA23AE" w:rsidP="006364F7">
            <w:pPr>
              <w:pStyle w:val="R"/>
              <w:rPr>
                <w:rtl/>
              </w:rPr>
            </w:pPr>
            <w:r w:rsidRPr="006364F7">
              <w:rPr>
                <w:rtl/>
              </w:rPr>
              <w:t>235</w:t>
            </w:r>
          </w:p>
        </w:tc>
        <w:tc>
          <w:tcPr>
            <w:tcW w:w="1319" w:type="dxa"/>
            <w:shd w:val="clear" w:color="auto" w:fill="auto"/>
            <w:vAlign w:val="bottom"/>
          </w:tcPr>
          <w:p w14:paraId="10F1BD22" w14:textId="77777777" w:rsidR="00BA23AE" w:rsidRPr="006364F7" w:rsidRDefault="00BA23AE" w:rsidP="006364F7">
            <w:pPr>
              <w:pStyle w:val="R"/>
              <w:rPr>
                <w:rtl/>
              </w:rPr>
            </w:pPr>
            <w:r w:rsidRPr="006364F7">
              <w:rPr>
                <w:rtl/>
              </w:rPr>
              <w:t>251</w:t>
            </w:r>
          </w:p>
        </w:tc>
      </w:tr>
      <w:tr w:rsidR="00BA23AE" w:rsidRPr="00F061B0" w14:paraId="486A2A82" w14:textId="77777777" w:rsidTr="006364F7">
        <w:trPr>
          <w:jc w:val="center"/>
        </w:trPr>
        <w:tc>
          <w:tcPr>
            <w:tcW w:w="3123" w:type="dxa"/>
            <w:shd w:val="clear" w:color="auto" w:fill="auto"/>
            <w:vAlign w:val="bottom"/>
          </w:tcPr>
          <w:p w14:paraId="5D7AC1EE" w14:textId="77777777" w:rsidR="00BA23AE" w:rsidRPr="006364F7" w:rsidRDefault="00BA23AE" w:rsidP="006364F7">
            <w:pPr>
              <w:pStyle w:val="B"/>
              <w:rPr>
                <w:szCs w:val="20"/>
                <w:rtl/>
              </w:rPr>
            </w:pPr>
            <w:r w:rsidRPr="006364F7">
              <w:rPr>
                <w:rFonts w:hint="cs"/>
                <w:szCs w:val="20"/>
                <w:rtl/>
              </w:rPr>
              <w:t xml:space="preserve">מספר הקבוצות הטיפוליות לעצורים </w:t>
            </w:r>
          </w:p>
        </w:tc>
        <w:tc>
          <w:tcPr>
            <w:tcW w:w="1319" w:type="dxa"/>
            <w:shd w:val="clear" w:color="auto" w:fill="auto"/>
            <w:vAlign w:val="bottom"/>
          </w:tcPr>
          <w:p w14:paraId="496EA173" w14:textId="77777777" w:rsidR="00BA23AE" w:rsidRPr="006364F7" w:rsidRDefault="00BA23AE" w:rsidP="006364F7">
            <w:pPr>
              <w:pStyle w:val="R"/>
              <w:rPr>
                <w:rtl/>
              </w:rPr>
            </w:pPr>
            <w:r w:rsidRPr="006364F7">
              <w:rPr>
                <w:rFonts w:hint="cs"/>
                <w:rtl/>
              </w:rPr>
              <w:t>49 (21%)</w:t>
            </w:r>
          </w:p>
        </w:tc>
        <w:tc>
          <w:tcPr>
            <w:tcW w:w="1319" w:type="dxa"/>
            <w:shd w:val="clear" w:color="auto" w:fill="auto"/>
            <w:vAlign w:val="bottom"/>
          </w:tcPr>
          <w:p w14:paraId="34349863" w14:textId="77777777" w:rsidR="00BA23AE" w:rsidRPr="006364F7" w:rsidRDefault="00BA23AE" w:rsidP="006364F7">
            <w:pPr>
              <w:pStyle w:val="R"/>
              <w:rPr>
                <w:rtl/>
              </w:rPr>
            </w:pPr>
            <w:r w:rsidRPr="006364F7">
              <w:rPr>
                <w:rFonts w:hint="cs"/>
                <w:rtl/>
              </w:rPr>
              <w:t>38 (16%)</w:t>
            </w:r>
          </w:p>
        </w:tc>
        <w:tc>
          <w:tcPr>
            <w:tcW w:w="1319" w:type="dxa"/>
            <w:shd w:val="clear" w:color="auto" w:fill="auto"/>
            <w:vAlign w:val="bottom"/>
          </w:tcPr>
          <w:p w14:paraId="60C6DF1C" w14:textId="77777777" w:rsidR="00BA23AE" w:rsidRPr="006364F7" w:rsidRDefault="00BA23AE" w:rsidP="006364F7">
            <w:pPr>
              <w:pStyle w:val="R"/>
              <w:rPr>
                <w:rtl/>
              </w:rPr>
            </w:pPr>
            <w:r w:rsidRPr="006364F7">
              <w:rPr>
                <w:rFonts w:hint="cs"/>
                <w:rtl/>
              </w:rPr>
              <w:t>40 (16%)</w:t>
            </w:r>
          </w:p>
        </w:tc>
      </w:tr>
      <w:tr w:rsidR="00BA23AE" w:rsidRPr="00F061B0" w14:paraId="0C35F973" w14:textId="77777777" w:rsidTr="006364F7">
        <w:trPr>
          <w:jc w:val="center"/>
        </w:trPr>
        <w:tc>
          <w:tcPr>
            <w:tcW w:w="3123" w:type="dxa"/>
            <w:shd w:val="clear" w:color="auto" w:fill="auto"/>
            <w:vAlign w:val="bottom"/>
          </w:tcPr>
          <w:p w14:paraId="2BEDA84D" w14:textId="77777777" w:rsidR="00BA23AE" w:rsidRPr="006364F7" w:rsidRDefault="00BA23AE" w:rsidP="006364F7">
            <w:pPr>
              <w:pStyle w:val="B"/>
              <w:rPr>
                <w:szCs w:val="20"/>
                <w:rtl/>
              </w:rPr>
            </w:pPr>
            <w:r w:rsidRPr="006364F7">
              <w:rPr>
                <w:rFonts w:hint="cs"/>
                <w:szCs w:val="20"/>
                <w:rtl/>
              </w:rPr>
              <w:t>מספר המפוקחים הכולל שהשתתפו בקבוצות הטיפוליות</w:t>
            </w:r>
          </w:p>
        </w:tc>
        <w:tc>
          <w:tcPr>
            <w:tcW w:w="1319" w:type="dxa"/>
            <w:shd w:val="clear" w:color="auto" w:fill="auto"/>
          </w:tcPr>
          <w:p w14:paraId="575E5B1A" w14:textId="77777777" w:rsidR="00BA23AE" w:rsidRPr="006364F7" w:rsidRDefault="00BA23AE" w:rsidP="006364F7">
            <w:pPr>
              <w:pStyle w:val="R"/>
              <w:rPr>
                <w:rtl/>
              </w:rPr>
            </w:pPr>
            <w:r w:rsidRPr="006364F7">
              <w:rPr>
                <w:rFonts w:hint="cs"/>
                <w:rtl/>
              </w:rPr>
              <w:t>2,938</w:t>
            </w:r>
          </w:p>
        </w:tc>
        <w:tc>
          <w:tcPr>
            <w:tcW w:w="1319" w:type="dxa"/>
            <w:shd w:val="clear" w:color="auto" w:fill="auto"/>
          </w:tcPr>
          <w:p w14:paraId="59D9D913" w14:textId="77777777" w:rsidR="00BA23AE" w:rsidRPr="006364F7" w:rsidRDefault="00BA23AE" w:rsidP="006364F7">
            <w:pPr>
              <w:pStyle w:val="R"/>
              <w:rPr>
                <w:rtl/>
              </w:rPr>
            </w:pPr>
            <w:r w:rsidRPr="006364F7">
              <w:rPr>
                <w:rFonts w:hint="cs"/>
                <w:rtl/>
              </w:rPr>
              <w:t>3,141</w:t>
            </w:r>
          </w:p>
        </w:tc>
        <w:tc>
          <w:tcPr>
            <w:tcW w:w="1319" w:type="dxa"/>
            <w:shd w:val="clear" w:color="auto" w:fill="auto"/>
          </w:tcPr>
          <w:p w14:paraId="15698592" w14:textId="77777777" w:rsidR="00BA23AE" w:rsidRPr="006364F7" w:rsidRDefault="00BA23AE" w:rsidP="006364F7">
            <w:pPr>
              <w:pStyle w:val="R"/>
              <w:rPr>
                <w:rtl/>
              </w:rPr>
            </w:pPr>
            <w:r w:rsidRPr="006364F7">
              <w:rPr>
                <w:rFonts w:hint="cs"/>
                <w:rtl/>
              </w:rPr>
              <w:t>3,475</w:t>
            </w:r>
          </w:p>
        </w:tc>
      </w:tr>
      <w:tr w:rsidR="00BA23AE" w:rsidRPr="00F061B0" w14:paraId="7DC7E564" w14:textId="77777777" w:rsidTr="006364F7">
        <w:trPr>
          <w:jc w:val="center"/>
        </w:trPr>
        <w:tc>
          <w:tcPr>
            <w:tcW w:w="3123" w:type="dxa"/>
            <w:shd w:val="clear" w:color="auto" w:fill="auto"/>
            <w:vAlign w:val="bottom"/>
          </w:tcPr>
          <w:p w14:paraId="0DAF683A" w14:textId="77777777" w:rsidR="00BA23AE" w:rsidRPr="006364F7" w:rsidRDefault="00BA23AE" w:rsidP="006364F7">
            <w:pPr>
              <w:pStyle w:val="B"/>
              <w:rPr>
                <w:szCs w:val="20"/>
                <w:rtl/>
              </w:rPr>
            </w:pPr>
            <w:r w:rsidRPr="006364F7">
              <w:rPr>
                <w:rFonts w:hint="cs"/>
                <w:szCs w:val="20"/>
                <w:rtl/>
              </w:rPr>
              <w:t>מספר העצורים שהשתתפו בקבוצות הטיפוליות</w:t>
            </w:r>
          </w:p>
        </w:tc>
        <w:tc>
          <w:tcPr>
            <w:tcW w:w="1319" w:type="dxa"/>
            <w:shd w:val="clear" w:color="auto" w:fill="auto"/>
            <w:vAlign w:val="bottom"/>
          </w:tcPr>
          <w:p w14:paraId="1D3E3C6F" w14:textId="77777777" w:rsidR="00BA23AE" w:rsidRPr="006364F7" w:rsidRDefault="00BA23AE" w:rsidP="006364F7">
            <w:pPr>
              <w:pStyle w:val="R"/>
              <w:rPr>
                <w:rtl/>
              </w:rPr>
            </w:pPr>
            <w:r w:rsidRPr="006364F7">
              <w:rPr>
                <w:rFonts w:hint="cs"/>
                <w:rtl/>
              </w:rPr>
              <w:t>861 (29%)</w:t>
            </w:r>
          </w:p>
        </w:tc>
        <w:tc>
          <w:tcPr>
            <w:tcW w:w="1319" w:type="dxa"/>
            <w:shd w:val="clear" w:color="auto" w:fill="auto"/>
            <w:vAlign w:val="bottom"/>
          </w:tcPr>
          <w:p w14:paraId="77A12D1C" w14:textId="77777777" w:rsidR="00BA23AE" w:rsidRPr="006364F7" w:rsidRDefault="00BA23AE" w:rsidP="006364F7">
            <w:pPr>
              <w:pStyle w:val="R"/>
              <w:rPr>
                <w:rtl/>
              </w:rPr>
            </w:pPr>
            <w:r w:rsidRPr="006364F7">
              <w:rPr>
                <w:rFonts w:hint="cs"/>
                <w:rtl/>
              </w:rPr>
              <w:t>901 (29%)</w:t>
            </w:r>
          </w:p>
        </w:tc>
        <w:tc>
          <w:tcPr>
            <w:tcW w:w="1319" w:type="dxa"/>
            <w:shd w:val="clear" w:color="auto" w:fill="auto"/>
            <w:vAlign w:val="bottom"/>
          </w:tcPr>
          <w:p w14:paraId="7D4C939D" w14:textId="77777777" w:rsidR="00BA23AE" w:rsidRPr="006364F7" w:rsidRDefault="00BA23AE" w:rsidP="006364F7">
            <w:pPr>
              <w:pStyle w:val="R"/>
              <w:rPr>
                <w:rtl/>
              </w:rPr>
            </w:pPr>
            <w:r w:rsidRPr="006364F7">
              <w:rPr>
                <w:rFonts w:hint="cs"/>
                <w:rtl/>
              </w:rPr>
              <w:t>969 (28%)</w:t>
            </w:r>
          </w:p>
        </w:tc>
      </w:tr>
    </w:tbl>
    <w:p w14:paraId="78B83B2A" w14:textId="77777777" w:rsidR="00BA23AE" w:rsidRPr="008E7C85" w:rsidRDefault="00BA23AE" w:rsidP="006364F7">
      <w:pPr>
        <w:pStyle w:val="ab"/>
        <w:rPr>
          <w:rtl/>
        </w:rPr>
      </w:pPr>
      <w:r>
        <w:rPr>
          <w:rFonts w:hint="cs"/>
          <w:szCs w:val="20"/>
          <w:rtl/>
        </w:rPr>
        <w:t xml:space="preserve"> </w:t>
      </w:r>
      <w:r w:rsidRPr="008E7C85">
        <w:rPr>
          <w:rFonts w:hint="eastAsia"/>
          <w:rtl/>
        </w:rPr>
        <w:t>על</w:t>
      </w:r>
      <w:r w:rsidRPr="008E7C85">
        <w:rPr>
          <w:rtl/>
        </w:rPr>
        <w:t xml:space="preserve"> </w:t>
      </w:r>
      <w:r w:rsidRPr="008E7C85">
        <w:rPr>
          <w:rFonts w:hint="eastAsia"/>
          <w:rtl/>
        </w:rPr>
        <w:t>פי</w:t>
      </w:r>
      <w:r w:rsidRPr="008E7C85">
        <w:rPr>
          <w:rtl/>
        </w:rPr>
        <w:t xml:space="preserve"> </w:t>
      </w:r>
      <w:r w:rsidRPr="008E7C85">
        <w:rPr>
          <w:rFonts w:hint="eastAsia"/>
          <w:rtl/>
        </w:rPr>
        <w:t>נתוני</w:t>
      </w:r>
      <w:r w:rsidRPr="008E7C85">
        <w:rPr>
          <w:rtl/>
        </w:rPr>
        <w:t xml:space="preserve"> </w:t>
      </w:r>
      <w:r w:rsidRPr="008E7C85">
        <w:rPr>
          <w:rFonts w:hint="eastAsia"/>
          <w:rtl/>
        </w:rPr>
        <w:t>שירות</w:t>
      </w:r>
      <w:r w:rsidRPr="008E7C85">
        <w:rPr>
          <w:rtl/>
        </w:rPr>
        <w:t xml:space="preserve"> </w:t>
      </w:r>
      <w:r w:rsidRPr="008E7C85">
        <w:rPr>
          <w:rFonts w:hint="eastAsia"/>
          <w:rtl/>
        </w:rPr>
        <w:t>המבחן</w:t>
      </w:r>
      <w:r w:rsidRPr="008E7C85">
        <w:rPr>
          <w:rtl/>
        </w:rPr>
        <w:t xml:space="preserve"> </w:t>
      </w:r>
      <w:r w:rsidRPr="008E7C85">
        <w:rPr>
          <w:rFonts w:hint="eastAsia"/>
          <w:rtl/>
        </w:rPr>
        <w:t>למבוגרים</w:t>
      </w:r>
      <w:r w:rsidRPr="008E7C85">
        <w:rPr>
          <w:rtl/>
        </w:rPr>
        <w:t>, בעיבוד משרד מבקר המדינה.</w:t>
      </w:r>
    </w:p>
    <w:p w14:paraId="4EC2B49D" w14:textId="47FE4CBE" w:rsidR="00BA23AE" w:rsidRPr="00DD762E" w:rsidRDefault="00BA23AE" w:rsidP="006364F7">
      <w:pPr>
        <w:pStyle w:val="100"/>
        <w:rPr>
          <w:rtl/>
        </w:rPr>
      </w:pPr>
    </w:p>
    <w:p w14:paraId="1E97DCB4" w14:textId="77777777" w:rsidR="00BA23AE" w:rsidRDefault="00BA23AE" w:rsidP="006364F7">
      <w:pPr>
        <w:pStyle w:val="af3"/>
        <w:rPr>
          <w:rtl/>
        </w:rPr>
      </w:pPr>
      <w:r w:rsidRPr="00DD762E">
        <w:rPr>
          <w:rFonts w:hint="cs"/>
          <w:rtl/>
        </w:rPr>
        <w:t>כעולה מן הנתונים, על אף העלייה במספר העצורים המשתתפים בקבוצות הטיפוליות, שיעורם מכלל העצורים שהוצא להם צו פיקוח נותר יציב</w:t>
      </w:r>
      <w:r>
        <w:rPr>
          <w:rFonts w:hint="cs"/>
          <w:rtl/>
        </w:rPr>
        <w:t>,</w:t>
      </w:r>
      <w:r w:rsidRPr="00DD762E">
        <w:rPr>
          <w:rFonts w:hint="cs"/>
          <w:rtl/>
        </w:rPr>
        <w:t xml:space="preserve"> ואינו עולה על 50%</w:t>
      </w:r>
      <w:r>
        <w:rPr>
          <w:rFonts w:hint="cs"/>
          <w:rtl/>
        </w:rPr>
        <w:t>.</w:t>
      </w:r>
      <w:r w:rsidRPr="00DD762E">
        <w:rPr>
          <w:rFonts w:hint="cs"/>
          <w:rtl/>
        </w:rPr>
        <w:t xml:space="preserve"> שיעורם מכלל המפוקחים יציב אף הוא</w:t>
      </w:r>
      <w:r>
        <w:rPr>
          <w:rFonts w:hint="cs"/>
          <w:rtl/>
        </w:rPr>
        <w:t>,</w:t>
      </w:r>
      <w:r w:rsidRPr="00DD762E">
        <w:rPr>
          <w:rFonts w:hint="cs"/>
          <w:rtl/>
        </w:rPr>
        <w:t xml:space="preserve"> ואינו עולה על 30%. </w:t>
      </w:r>
      <w:r>
        <w:rPr>
          <w:rFonts w:hint="cs"/>
          <w:rtl/>
        </w:rPr>
        <w:t>יצוין</w:t>
      </w:r>
      <w:r w:rsidRPr="00DD762E">
        <w:rPr>
          <w:rFonts w:hint="cs"/>
          <w:rtl/>
        </w:rPr>
        <w:t xml:space="preserve"> כי חלק </w:t>
      </w:r>
      <w:r>
        <w:rPr>
          <w:rFonts w:hint="cs"/>
          <w:rtl/>
        </w:rPr>
        <w:t xml:space="preserve">נוסף </w:t>
      </w:r>
      <w:r w:rsidRPr="00DD762E">
        <w:rPr>
          <w:rFonts w:hint="cs"/>
          <w:rtl/>
        </w:rPr>
        <w:t>מהעצורים המפוקחים מופנים למסגרות חוץ</w:t>
      </w:r>
      <w:r>
        <w:rPr>
          <w:rFonts w:hint="cs"/>
          <w:rtl/>
        </w:rPr>
        <w:t>-</w:t>
      </w:r>
      <w:r w:rsidRPr="00DD762E">
        <w:rPr>
          <w:rFonts w:hint="cs"/>
          <w:rtl/>
        </w:rPr>
        <w:t>ביתיות</w:t>
      </w:r>
      <w:r>
        <w:rPr>
          <w:rFonts w:hint="cs"/>
          <w:rtl/>
        </w:rPr>
        <w:t>,</w:t>
      </w:r>
      <w:r w:rsidRPr="00DD762E">
        <w:rPr>
          <w:rFonts w:hint="cs"/>
          <w:rtl/>
        </w:rPr>
        <w:t xml:space="preserve"> דוגמת מסגרות שיקומיות לגברים אלימים כלפי בנות זוג, מסגרות לשיקום מונע לעברייני מין</w:t>
      </w:r>
      <w:r>
        <w:rPr>
          <w:rFonts w:hint="cs"/>
          <w:rtl/>
        </w:rPr>
        <w:t xml:space="preserve">, </w:t>
      </w:r>
      <w:r w:rsidRPr="00DD762E">
        <w:rPr>
          <w:rFonts w:hint="cs"/>
          <w:rtl/>
        </w:rPr>
        <w:t>קהילות טיפוליות לגמילה מסמים</w:t>
      </w:r>
      <w:r>
        <w:rPr>
          <w:rFonts w:hint="cs"/>
          <w:rtl/>
        </w:rPr>
        <w:t xml:space="preserve"> ועוד</w:t>
      </w:r>
      <w:r w:rsidRPr="00DD762E">
        <w:rPr>
          <w:rFonts w:hint="cs"/>
          <w:rtl/>
        </w:rPr>
        <w:t xml:space="preserve">. חלק </w:t>
      </w:r>
      <w:r>
        <w:rPr>
          <w:rFonts w:hint="cs"/>
          <w:rtl/>
        </w:rPr>
        <w:t>אחר</w:t>
      </w:r>
      <w:r w:rsidRPr="00DD762E">
        <w:rPr>
          <w:rFonts w:hint="cs"/>
          <w:rtl/>
        </w:rPr>
        <w:t xml:space="preserve"> מופנ</w:t>
      </w:r>
      <w:r>
        <w:rPr>
          <w:rFonts w:hint="cs"/>
          <w:rtl/>
        </w:rPr>
        <w:t>ה</w:t>
      </w:r>
      <w:r w:rsidRPr="00DD762E">
        <w:rPr>
          <w:rFonts w:hint="cs"/>
          <w:rtl/>
        </w:rPr>
        <w:t xml:space="preserve"> לטיפול במסגרות טיפול ייעודיות בקהילה</w:t>
      </w:r>
      <w:r>
        <w:rPr>
          <w:rFonts w:hint="cs"/>
          <w:rtl/>
        </w:rPr>
        <w:t>.</w:t>
      </w:r>
      <w:r w:rsidRPr="00DD762E">
        <w:rPr>
          <w:rFonts w:hint="cs"/>
          <w:rtl/>
        </w:rPr>
        <w:t xml:space="preserve"> </w:t>
      </w:r>
      <w:r w:rsidRPr="00DD762E">
        <w:rPr>
          <w:rFonts w:hint="eastAsia"/>
          <w:rtl/>
        </w:rPr>
        <w:t>מסגרות</w:t>
      </w:r>
      <w:r w:rsidRPr="00DD762E">
        <w:rPr>
          <w:rtl/>
        </w:rPr>
        <w:t xml:space="preserve"> </w:t>
      </w:r>
      <w:r w:rsidRPr="00DD762E">
        <w:rPr>
          <w:rFonts w:hint="cs"/>
          <w:rtl/>
        </w:rPr>
        <w:t xml:space="preserve">אלו </w:t>
      </w:r>
      <w:r w:rsidRPr="00DD762E">
        <w:rPr>
          <w:rFonts w:hint="eastAsia"/>
          <w:rtl/>
        </w:rPr>
        <w:t>מפוקחות</w:t>
      </w:r>
      <w:r w:rsidRPr="00DD762E">
        <w:rPr>
          <w:rtl/>
        </w:rPr>
        <w:t xml:space="preserve"> </w:t>
      </w:r>
      <w:r w:rsidRPr="00DD762E">
        <w:rPr>
          <w:rFonts w:hint="eastAsia"/>
          <w:rtl/>
        </w:rPr>
        <w:t>על</w:t>
      </w:r>
      <w:r w:rsidRPr="00DD762E">
        <w:rPr>
          <w:rtl/>
        </w:rPr>
        <w:t xml:space="preserve"> </w:t>
      </w:r>
      <w:r w:rsidRPr="00DD762E">
        <w:rPr>
          <w:rFonts w:hint="eastAsia"/>
          <w:rtl/>
        </w:rPr>
        <w:t>ידי</w:t>
      </w:r>
      <w:r w:rsidRPr="00DD762E">
        <w:rPr>
          <w:rtl/>
        </w:rPr>
        <w:t xml:space="preserve"> </w:t>
      </w:r>
      <w:r w:rsidRPr="00DD762E">
        <w:rPr>
          <w:rFonts w:hint="eastAsia"/>
          <w:rtl/>
        </w:rPr>
        <w:t>שירות</w:t>
      </w:r>
      <w:r w:rsidRPr="00DD762E">
        <w:rPr>
          <w:rtl/>
        </w:rPr>
        <w:t xml:space="preserve"> </w:t>
      </w:r>
      <w:r w:rsidRPr="00DD762E">
        <w:rPr>
          <w:rFonts w:hint="eastAsia"/>
          <w:rtl/>
        </w:rPr>
        <w:t>המבחן</w:t>
      </w:r>
      <w:r w:rsidRPr="00DD762E">
        <w:rPr>
          <w:rFonts w:hint="cs"/>
          <w:rtl/>
        </w:rPr>
        <w:t>, אך אין בידי שירות המבחן נתונים לגבי מספר העצורים המוחזקים</w:t>
      </w:r>
      <w:r>
        <w:rPr>
          <w:rFonts w:hint="cs"/>
          <w:rtl/>
        </w:rPr>
        <w:t xml:space="preserve"> ומשתתפים</w:t>
      </w:r>
      <w:r w:rsidRPr="00DD762E">
        <w:rPr>
          <w:rFonts w:hint="cs"/>
          <w:rtl/>
        </w:rPr>
        <w:t xml:space="preserve"> במגוון מסגרות אלו.</w:t>
      </w:r>
    </w:p>
    <w:p w14:paraId="25EF09FB" w14:textId="77777777" w:rsidR="00BA23AE" w:rsidRPr="00764A06" w:rsidRDefault="00BA23AE" w:rsidP="006364F7">
      <w:pPr>
        <w:pStyle w:val="ad"/>
        <w:rPr>
          <w:rtl/>
        </w:rPr>
      </w:pPr>
      <w:r w:rsidRPr="00DD762E">
        <w:rPr>
          <w:rFonts w:hint="cs"/>
          <w:rtl/>
        </w:rPr>
        <w:t xml:space="preserve">נמצא שהמערכת הממוחשבת של שירות המבחן אינה מאפשרת איסוף נתונים ופילוח סטטיסטי של המפוקחים במסגרות הטיפול המגוונות </w:t>
      </w:r>
      <w:r>
        <w:rPr>
          <w:rFonts w:hint="cs"/>
          <w:rtl/>
        </w:rPr>
        <w:t>שה</w:t>
      </w:r>
      <w:r w:rsidRPr="00DD762E">
        <w:rPr>
          <w:rFonts w:hint="cs"/>
          <w:rtl/>
        </w:rPr>
        <w:t xml:space="preserve">שירות </w:t>
      </w:r>
      <w:r>
        <w:rPr>
          <w:rFonts w:hint="cs"/>
          <w:rtl/>
        </w:rPr>
        <w:t>מפקח עליהן</w:t>
      </w:r>
      <w:r w:rsidRPr="00DD762E">
        <w:rPr>
          <w:rFonts w:hint="cs"/>
          <w:rtl/>
        </w:rPr>
        <w:t>.</w:t>
      </w:r>
    </w:p>
    <w:p w14:paraId="723DB0E9" w14:textId="77777777" w:rsidR="00BA23AE" w:rsidRPr="00581DB8" w:rsidRDefault="00BA23AE" w:rsidP="006364F7">
      <w:pPr>
        <w:pStyle w:val="af3"/>
        <w:rPr>
          <w:rtl/>
        </w:rPr>
      </w:pPr>
      <w:r>
        <w:rPr>
          <w:rFonts w:hint="cs"/>
          <w:rtl/>
        </w:rPr>
        <w:t>משרד הרווחה מסר בתשובתו מדצמבר 2019 כי בחודש פברואר 2020 צפויה לעלות מערכת חדשה לשירות המבחן למבוגרים (מערכת שה"ם). המערכת החדשה צפויה להכיל עושר נתונים ותמיכה בתהליכי העבודה של שירות המבחן. מטעם זה אגף טכנולוגיות דיגיטליות ומידע לא שיפר את יכולות איסוף הנתונים במערכת הקיימת.</w:t>
      </w:r>
    </w:p>
    <w:p w14:paraId="24C1F33D" w14:textId="77777777" w:rsidR="00BA23AE" w:rsidRPr="00DD762E" w:rsidRDefault="00BA23AE" w:rsidP="006364F7">
      <w:pPr>
        <w:pStyle w:val="ad"/>
        <w:rPr>
          <w:rtl/>
        </w:rPr>
      </w:pPr>
      <w:r w:rsidRPr="00DD762E">
        <w:rPr>
          <w:rFonts w:hint="cs"/>
          <w:rtl/>
        </w:rPr>
        <w:t>בהיעדר אפשרות למעקב ולניתוח אחר הנתונים</w:t>
      </w:r>
      <w:r>
        <w:rPr>
          <w:rFonts w:hint="cs"/>
          <w:rtl/>
        </w:rPr>
        <w:t>,</w:t>
      </w:r>
      <w:r w:rsidRPr="00DD762E">
        <w:rPr>
          <w:rFonts w:hint="cs"/>
          <w:rtl/>
        </w:rPr>
        <w:t xml:space="preserve"> לא ניתן ללמוד על המגמות במיצוי הכלים השונים המצויים בידי שירות המבחן.</w:t>
      </w:r>
    </w:p>
    <w:p w14:paraId="69A4F1BC" w14:textId="77777777" w:rsidR="006364F7" w:rsidRDefault="006364F7">
      <w:pPr>
        <w:bidi w:val="0"/>
        <w:spacing w:after="200" w:line="276" w:lineRule="auto"/>
        <w:rPr>
          <w:rFonts w:eastAsiaTheme="majorEastAsia"/>
          <w:bCs/>
          <w:szCs w:val="26"/>
          <w:rtl/>
        </w:rPr>
      </w:pPr>
      <w:r>
        <w:rPr>
          <w:rtl/>
        </w:rPr>
        <w:br w:type="page"/>
      </w:r>
    </w:p>
    <w:p w14:paraId="0EE00903" w14:textId="18C8C7C8" w:rsidR="00BA23AE" w:rsidRPr="00DD762E" w:rsidRDefault="00BA23AE" w:rsidP="006364F7">
      <w:pPr>
        <w:pStyle w:val="414"/>
        <w:rPr>
          <w:rtl/>
        </w:rPr>
      </w:pPr>
      <w:r>
        <w:rPr>
          <w:rFonts w:hint="cs"/>
          <w:rtl/>
        </w:rPr>
        <w:lastRenderedPageBreak/>
        <w:t>תקן</w:t>
      </w:r>
      <w:r w:rsidRPr="00DD762E">
        <w:rPr>
          <w:rFonts w:hint="cs"/>
          <w:rtl/>
        </w:rPr>
        <w:t xml:space="preserve"> כוח </w:t>
      </w:r>
      <w:r>
        <w:rPr>
          <w:rFonts w:hint="cs"/>
          <w:rtl/>
        </w:rPr>
        <w:t>ה</w:t>
      </w:r>
      <w:r w:rsidRPr="00DD762E">
        <w:rPr>
          <w:rFonts w:hint="cs"/>
          <w:rtl/>
        </w:rPr>
        <w:t>אדם בתחום המעצרים</w:t>
      </w:r>
    </w:p>
    <w:p w14:paraId="2F8C3AAA" w14:textId="77777777" w:rsidR="00BA23AE" w:rsidRPr="00DD762E" w:rsidRDefault="00BA23AE" w:rsidP="006364F7">
      <w:pPr>
        <w:pStyle w:val="100"/>
        <w:rPr>
          <w:rtl/>
        </w:rPr>
      </w:pPr>
      <w:r w:rsidRPr="00DD762E">
        <w:rPr>
          <w:rFonts w:hint="cs"/>
          <w:rtl/>
        </w:rPr>
        <w:t>מצבת כ</w:t>
      </w:r>
      <w:r>
        <w:rPr>
          <w:rFonts w:hint="cs"/>
          <w:rtl/>
        </w:rPr>
        <w:t>ו</w:t>
      </w:r>
      <w:r w:rsidRPr="00DD762E">
        <w:rPr>
          <w:rFonts w:hint="cs"/>
          <w:rtl/>
        </w:rPr>
        <w:t xml:space="preserve">ח </w:t>
      </w:r>
      <w:r>
        <w:rPr>
          <w:rFonts w:hint="cs"/>
          <w:rtl/>
        </w:rPr>
        <w:t>ה</w:t>
      </w:r>
      <w:r w:rsidRPr="00DD762E">
        <w:rPr>
          <w:rFonts w:hint="cs"/>
          <w:rtl/>
        </w:rPr>
        <w:t xml:space="preserve">אדם </w:t>
      </w:r>
      <w:r>
        <w:rPr>
          <w:rFonts w:hint="cs"/>
          <w:rtl/>
        </w:rPr>
        <w:t>של קציני</w:t>
      </w:r>
      <w:r w:rsidRPr="00DD762E">
        <w:rPr>
          <w:rFonts w:hint="cs"/>
          <w:rtl/>
        </w:rPr>
        <w:t xml:space="preserve"> המעצרים </w:t>
      </w:r>
      <w:r>
        <w:rPr>
          <w:rFonts w:hint="cs"/>
          <w:rtl/>
        </w:rPr>
        <w:t>מקיפה</w:t>
      </w:r>
      <w:r w:rsidRPr="00DD762E">
        <w:rPr>
          <w:rFonts w:hint="cs"/>
          <w:rtl/>
        </w:rPr>
        <w:t xml:space="preserve"> 99 </w:t>
      </w:r>
      <w:r>
        <w:rPr>
          <w:rFonts w:hint="cs"/>
          <w:rtl/>
        </w:rPr>
        <w:t>משרות של</w:t>
      </w:r>
      <w:r w:rsidRPr="00DD762E">
        <w:rPr>
          <w:rFonts w:hint="cs"/>
          <w:rtl/>
        </w:rPr>
        <w:t xml:space="preserve"> </w:t>
      </w:r>
      <w:r>
        <w:rPr>
          <w:rFonts w:hint="cs"/>
          <w:sz w:val="24"/>
          <w:rtl/>
        </w:rPr>
        <w:t xml:space="preserve">עובד סוציאלי (להלן - </w:t>
      </w:r>
      <w:r w:rsidRPr="00DD762E">
        <w:rPr>
          <w:rFonts w:hint="cs"/>
          <w:rtl/>
        </w:rPr>
        <w:t>עו"ס</w:t>
      </w:r>
      <w:r>
        <w:rPr>
          <w:rFonts w:hint="cs"/>
          <w:rtl/>
        </w:rPr>
        <w:t>)</w:t>
      </w:r>
      <w:r w:rsidRPr="00DD762E">
        <w:rPr>
          <w:rFonts w:hint="cs"/>
          <w:rtl/>
        </w:rPr>
        <w:t xml:space="preserve"> בכיר מעצרים, 17 </w:t>
      </w:r>
      <w:r>
        <w:rPr>
          <w:rFonts w:hint="cs"/>
          <w:rtl/>
        </w:rPr>
        <w:t>משרות של</w:t>
      </w:r>
      <w:r w:rsidRPr="00DD762E">
        <w:rPr>
          <w:rFonts w:hint="cs"/>
          <w:rtl/>
        </w:rPr>
        <w:t xml:space="preserve"> מפקח מחוזי מעצרים </w:t>
      </w:r>
      <w:r>
        <w:rPr>
          <w:rFonts w:hint="cs"/>
          <w:rtl/>
        </w:rPr>
        <w:t xml:space="preserve">ומשרה אחת של </w:t>
      </w:r>
      <w:r w:rsidRPr="00DD762E">
        <w:rPr>
          <w:rFonts w:hint="cs"/>
          <w:rtl/>
        </w:rPr>
        <w:t>מפקח מעצרים ארצי</w:t>
      </w:r>
      <w:r>
        <w:rPr>
          <w:rFonts w:hint="cs"/>
          <w:rtl/>
        </w:rPr>
        <w:t>,</w:t>
      </w:r>
      <w:r w:rsidRPr="00DD762E">
        <w:rPr>
          <w:rFonts w:hint="cs"/>
          <w:rtl/>
        </w:rPr>
        <w:t xml:space="preserve"> </w:t>
      </w:r>
      <w:r>
        <w:rPr>
          <w:rFonts w:hint="cs"/>
          <w:rtl/>
        </w:rPr>
        <w:t>דהיינו</w:t>
      </w:r>
      <w:r w:rsidRPr="00DD762E">
        <w:rPr>
          <w:rFonts w:hint="cs"/>
          <w:rtl/>
        </w:rPr>
        <w:t xml:space="preserve"> 117 </w:t>
      </w:r>
      <w:r>
        <w:rPr>
          <w:rFonts w:hint="cs"/>
          <w:rtl/>
        </w:rPr>
        <w:t>משרות תקן</w:t>
      </w:r>
      <w:r w:rsidRPr="00DD762E">
        <w:rPr>
          <w:rFonts w:hint="cs"/>
          <w:rtl/>
        </w:rPr>
        <w:t xml:space="preserve">. </w:t>
      </w:r>
      <w:r>
        <w:rPr>
          <w:rFonts w:hint="cs"/>
          <w:rtl/>
        </w:rPr>
        <w:t>ב-2017</w:t>
      </w:r>
      <w:r w:rsidRPr="00DD762E">
        <w:rPr>
          <w:rFonts w:hint="cs"/>
          <w:rtl/>
        </w:rPr>
        <w:t xml:space="preserve"> </w:t>
      </w:r>
      <w:r>
        <w:rPr>
          <w:rFonts w:hint="cs"/>
          <w:rtl/>
        </w:rPr>
        <w:t>הכיל היקף</w:t>
      </w:r>
      <w:r w:rsidRPr="00DD762E">
        <w:rPr>
          <w:rFonts w:hint="cs"/>
          <w:rtl/>
        </w:rPr>
        <w:t xml:space="preserve"> </w:t>
      </w:r>
      <w:r>
        <w:rPr>
          <w:rFonts w:hint="cs"/>
          <w:rtl/>
        </w:rPr>
        <w:t xml:space="preserve">התקן </w:t>
      </w:r>
      <w:r w:rsidRPr="00DD762E">
        <w:rPr>
          <w:rFonts w:hint="cs"/>
          <w:rtl/>
        </w:rPr>
        <w:t xml:space="preserve">של קציני המבחן בתחומי העבודה האחרים של שירות המבחן 270.57 </w:t>
      </w:r>
      <w:r>
        <w:rPr>
          <w:rFonts w:hint="cs"/>
          <w:rtl/>
        </w:rPr>
        <w:t>משרות</w:t>
      </w:r>
      <w:r w:rsidRPr="00DD762E">
        <w:rPr>
          <w:rFonts w:hint="cs"/>
          <w:b/>
          <w:rtl/>
        </w:rPr>
        <w:t xml:space="preserve">. </w:t>
      </w:r>
    </w:p>
    <w:p w14:paraId="4B0E0797" w14:textId="77777777" w:rsidR="00BA23AE" w:rsidRPr="00DD762E" w:rsidRDefault="00BA23AE" w:rsidP="006364F7">
      <w:pPr>
        <w:pStyle w:val="100"/>
        <w:rPr>
          <w:sz w:val="24"/>
          <w:rtl/>
        </w:rPr>
      </w:pPr>
      <w:r w:rsidRPr="00DD762E">
        <w:rPr>
          <w:rFonts w:hint="cs"/>
          <w:sz w:val="24"/>
          <w:rtl/>
        </w:rPr>
        <w:t>לאורך שנת 2018 עלתה בישיבות ועדת היגוי מעצרים</w:t>
      </w:r>
      <w:r>
        <w:rPr>
          <w:rStyle w:val="FootnoteReference"/>
          <w:sz w:val="24"/>
          <w:rtl/>
        </w:rPr>
        <w:footnoteReference w:id="28"/>
      </w:r>
      <w:r w:rsidRPr="00DD762E">
        <w:rPr>
          <w:rFonts w:hint="cs"/>
          <w:sz w:val="24"/>
          <w:rtl/>
        </w:rPr>
        <w:t>, פעם אחר פעם,</w:t>
      </w:r>
      <w:r>
        <w:rPr>
          <w:rFonts w:hint="cs"/>
          <w:sz w:val="24"/>
          <w:rtl/>
        </w:rPr>
        <w:t xml:space="preserve"> </w:t>
      </w:r>
      <w:r w:rsidRPr="00DD762E">
        <w:rPr>
          <w:rFonts w:hint="cs"/>
          <w:sz w:val="24"/>
          <w:rtl/>
        </w:rPr>
        <w:t xml:space="preserve">הסוגיה של תת-איוש </w:t>
      </w:r>
      <w:r>
        <w:rPr>
          <w:rFonts w:hint="cs"/>
          <w:sz w:val="24"/>
          <w:rtl/>
        </w:rPr>
        <w:t>של משרות התקן</w:t>
      </w:r>
      <w:r w:rsidRPr="00DD762E">
        <w:rPr>
          <w:rFonts w:hint="cs"/>
          <w:sz w:val="24"/>
          <w:rtl/>
        </w:rPr>
        <w:t xml:space="preserve"> </w:t>
      </w:r>
      <w:r>
        <w:rPr>
          <w:rFonts w:hint="cs"/>
          <w:sz w:val="24"/>
          <w:rtl/>
        </w:rPr>
        <w:t>ל</w:t>
      </w:r>
      <w:r w:rsidRPr="00DD762E">
        <w:rPr>
          <w:rFonts w:hint="cs"/>
          <w:sz w:val="24"/>
          <w:rtl/>
        </w:rPr>
        <w:t>קציני המעצרים</w:t>
      </w:r>
      <w:r>
        <w:rPr>
          <w:rFonts w:hint="cs"/>
          <w:sz w:val="24"/>
          <w:rtl/>
        </w:rPr>
        <w:t>, אף שבשנת 2017 נוספו לתקן עשר משרות של</w:t>
      </w:r>
      <w:r w:rsidRPr="00DD762E">
        <w:rPr>
          <w:rFonts w:hint="cs"/>
          <w:sz w:val="24"/>
          <w:rtl/>
        </w:rPr>
        <w:t xml:space="preserve"> עו"ס בכיר </w:t>
      </w:r>
      <w:r>
        <w:rPr>
          <w:rFonts w:hint="cs"/>
          <w:sz w:val="24"/>
          <w:rtl/>
        </w:rPr>
        <w:t>וארבע משרות של</w:t>
      </w:r>
      <w:r w:rsidRPr="00DD762E">
        <w:rPr>
          <w:rFonts w:hint="cs"/>
          <w:sz w:val="24"/>
          <w:rtl/>
        </w:rPr>
        <w:t xml:space="preserve"> מפקח מחוזי. </w:t>
      </w:r>
      <w:r>
        <w:rPr>
          <w:rFonts w:hint="cs"/>
          <w:sz w:val="24"/>
          <w:rtl/>
        </w:rPr>
        <w:t>ראו</w:t>
      </w:r>
      <w:r w:rsidRPr="00DD762E">
        <w:rPr>
          <w:rFonts w:hint="cs"/>
          <w:sz w:val="24"/>
          <w:rtl/>
        </w:rPr>
        <w:t xml:space="preserve"> פירוט החוסרים בכוח האדם בפילוח </w:t>
      </w:r>
      <w:r>
        <w:rPr>
          <w:rFonts w:hint="cs"/>
          <w:sz w:val="24"/>
          <w:rtl/>
        </w:rPr>
        <w:t>לפי</w:t>
      </w:r>
      <w:r w:rsidRPr="00DD762E">
        <w:rPr>
          <w:rFonts w:hint="cs"/>
          <w:sz w:val="24"/>
          <w:rtl/>
        </w:rPr>
        <w:t xml:space="preserve"> המחוזות השונים: </w:t>
      </w:r>
    </w:p>
    <w:p w14:paraId="3C21BD2D" w14:textId="77777777" w:rsidR="00BA23AE" w:rsidRPr="003466B0" w:rsidRDefault="00BA23AE" w:rsidP="003466B0">
      <w:pPr>
        <w:pStyle w:val="a9"/>
        <w:rPr>
          <w:b/>
          <w:bCs/>
          <w:rtl/>
        </w:rPr>
      </w:pPr>
      <w:r w:rsidRPr="00DD762E">
        <w:rPr>
          <w:rFonts w:hint="eastAsia"/>
          <w:rtl/>
        </w:rPr>
        <w:t>לוח</w:t>
      </w:r>
      <w:r w:rsidRPr="00DD762E">
        <w:rPr>
          <w:rtl/>
        </w:rPr>
        <w:t xml:space="preserve"> </w:t>
      </w:r>
      <w:r>
        <w:rPr>
          <w:rFonts w:hint="cs"/>
          <w:rtl/>
        </w:rPr>
        <w:t>21</w:t>
      </w:r>
      <w:r w:rsidRPr="00DD762E">
        <w:rPr>
          <w:rtl/>
        </w:rPr>
        <w:t xml:space="preserve">: </w:t>
      </w:r>
      <w:r w:rsidRPr="003466B0">
        <w:rPr>
          <w:rFonts w:hint="cs"/>
          <w:b/>
          <w:bCs/>
          <w:rtl/>
        </w:rPr>
        <w:t>משרות</w:t>
      </w:r>
      <w:r w:rsidRPr="003466B0">
        <w:rPr>
          <w:b/>
          <w:bCs/>
          <w:rtl/>
        </w:rPr>
        <w:t xml:space="preserve"> </w:t>
      </w:r>
      <w:r w:rsidRPr="003466B0">
        <w:rPr>
          <w:rFonts w:hint="eastAsia"/>
          <w:b/>
          <w:bCs/>
          <w:rtl/>
        </w:rPr>
        <w:t>קציני</w:t>
      </w:r>
      <w:r w:rsidRPr="003466B0">
        <w:rPr>
          <w:b/>
          <w:bCs/>
          <w:rtl/>
        </w:rPr>
        <w:t xml:space="preserve"> </w:t>
      </w:r>
      <w:r w:rsidRPr="003466B0">
        <w:rPr>
          <w:rFonts w:hint="eastAsia"/>
          <w:b/>
          <w:bCs/>
          <w:rtl/>
        </w:rPr>
        <w:t>מעצרים</w:t>
      </w:r>
      <w:r w:rsidRPr="003466B0">
        <w:rPr>
          <w:b/>
          <w:bCs/>
          <w:rtl/>
        </w:rPr>
        <w:t xml:space="preserve"> </w:t>
      </w:r>
      <w:r w:rsidRPr="003466B0">
        <w:rPr>
          <w:rFonts w:hint="eastAsia"/>
          <w:b/>
          <w:bCs/>
          <w:rtl/>
        </w:rPr>
        <w:t>לא</w:t>
      </w:r>
      <w:r w:rsidRPr="003466B0">
        <w:rPr>
          <w:rFonts w:hint="cs"/>
          <w:b/>
          <w:bCs/>
          <w:rtl/>
        </w:rPr>
        <w:t>-</w:t>
      </w:r>
      <w:r w:rsidRPr="003466B0">
        <w:rPr>
          <w:rFonts w:hint="eastAsia"/>
          <w:b/>
          <w:bCs/>
          <w:rtl/>
        </w:rPr>
        <w:t>מאויש</w:t>
      </w:r>
      <w:r w:rsidRPr="003466B0">
        <w:rPr>
          <w:rFonts w:hint="cs"/>
          <w:b/>
          <w:bCs/>
          <w:rtl/>
        </w:rPr>
        <w:t>ות,</w:t>
      </w:r>
      <w:r w:rsidRPr="003466B0">
        <w:rPr>
          <w:b/>
          <w:bCs/>
          <w:rtl/>
        </w:rPr>
        <w:t xml:space="preserve"> </w:t>
      </w:r>
      <w:r w:rsidRPr="003466B0">
        <w:rPr>
          <w:rFonts w:hint="eastAsia"/>
          <w:b/>
          <w:bCs/>
          <w:rtl/>
        </w:rPr>
        <w:t>לפי</w:t>
      </w:r>
      <w:r w:rsidRPr="003466B0">
        <w:rPr>
          <w:b/>
          <w:bCs/>
          <w:rtl/>
        </w:rPr>
        <w:t xml:space="preserve"> </w:t>
      </w:r>
      <w:r w:rsidRPr="003466B0">
        <w:rPr>
          <w:rFonts w:hint="eastAsia"/>
          <w:b/>
          <w:bCs/>
          <w:rtl/>
        </w:rPr>
        <w:t>מחוזות</w:t>
      </w:r>
      <w:r w:rsidRPr="003466B0">
        <w:rPr>
          <w:rFonts w:hint="cs"/>
          <w:b/>
          <w:bCs/>
          <w:rtl/>
        </w:rPr>
        <w:t>, 2018 (חודשים שונים)</w:t>
      </w:r>
    </w:p>
    <w:tbl>
      <w:tblPr>
        <w:tblStyle w:val="TableGrid"/>
        <w:bidiVisual/>
        <w:tblW w:w="0" w:type="auto"/>
        <w:tblLook w:val="04A0" w:firstRow="1" w:lastRow="0" w:firstColumn="1" w:lastColumn="0" w:noHBand="0" w:noVBand="1"/>
      </w:tblPr>
      <w:tblGrid>
        <w:gridCol w:w="1550"/>
        <w:gridCol w:w="1418"/>
        <w:gridCol w:w="1416"/>
        <w:gridCol w:w="1843"/>
        <w:gridCol w:w="1983"/>
      </w:tblGrid>
      <w:tr w:rsidR="00BA23AE" w:rsidRPr="00B35E01" w14:paraId="38289970" w14:textId="77777777" w:rsidTr="00D60D80">
        <w:tc>
          <w:tcPr>
            <w:tcW w:w="1550" w:type="dxa"/>
            <w:shd w:val="clear" w:color="auto" w:fill="C6D9F1"/>
            <w:vAlign w:val="bottom"/>
          </w:tcPr>
          <w:p w14:paraId="75632D67" w14:textId="77777777" w:rsidR="00BA23AE" w:rsidRPr="003466B0" w:rsidRDefault="00BA23AE" w:rsidP="003466B0">
            <w:pPr>
              <w:pStyle w:val="af0"/>
              <w:rPr>
                <w:rtl/>
              </w:rPr>
            </w:pPr>
          </w:p>
        </w:tc>
        <w:tc>
          <w:tcPr>
            <w:tcW w:w="1418" w:type="dxa"/>
            <w:shd w:val="clear" w:color="auto" w:fill="C6D9F1"/>
            <w:vAlign w:val="bottom"/>
          </w:tcPr>
          <w:p w14:paraId="78D1C240" w14:textId="77777777" w:rsidR="00BA23AE" w:rsidRPr="003466B0" w:rsidRDefault="00BA23AE" w:rsidP="003466B0">
            <w:pPr>
              <w:pStyle w:val="af0"/>
              <w:rPr>
                <w:rtl/>
              </w:rPr>
            </w:pPr>
            <w:r w:rsidRPr="003466B0">
              <w:rPr>
                <w:rFonts w:hint="cs"/>
                <w:rtl/>
              </w:rPr>
              <w:t>חיפה</w:t>
            </w:r>
          </w:p>
        </w:tc>
        <w:tc>
          <w:tcPr>
            <w:tcW w:w="1416" w:type="dxa"/>
            <w:shd w:val="clear" w:color="auto" w:fill="C6D9F1"/>
            <w:vAlign w:val="bottom"/>
          </w:tcPr>
          <w:p w14:paraId="2215F894" w14:textId="77777777" w:rsidR="00BA23AE" w:rsidRPr="003466B0" w:rsidRDefault="00BA23AE" w:rsidP="003466B0">
            <w:pPr>
              <w:pStyle w:val="af0"/>
              <w:rPr>
                <w:rtl/>
              </w:rPr>
            </w:pPr>
            <w:r w:rsidRPr="003466B0">
              <w:rPr>
                <w:rFonts w:hint="cs"/>
                <w:rtl/>
              </w:rPr>
              <w:t>באר שבע</w:t>
            </w:r>
          </w:p>
        </w:tc>
        <w:tc>
          <w:tcPr>
            <w:tcW w:w="1843" w:type="dxa"/>
            <w:shd w:val="clear" w:color="auto" w:fill="C6D9F1"/>
            <w:vAlign w:val="bottom"/>
          </w:tcPr>
          <w:p w14:paraId="3FEE0BD3" w14:textId="77777777" w:rsidR="00BA23AE" w:rsidRPr="003466B0" w:rsidRDefault="00BA23AE" w:rsidP="003466B0">
            <w:pPr>
              <w:pStyle w:val="af0"/>
              <w:rPr>
                <w:rtl/>
              </w:rPr>
            </w:pPr>
            <w:r w:rsidRPr="003466B0">
              <w:rPr>
                <w:rFonts w:hint="cs"/>
                <w:rtl/>
              </w:rPr>
              <w:t>תל אביב</w:t>
            </w:r>
          </w:p>
        </w:tc>
        <w:tc>
          <w:tcPr>
            <w:tcW w:w="1983" w:type="dxa"/>
            <w:shd w:val="clear" w:color="auto" w:fill="C6D9F1"/>
            <w:vAlign w:val="bottom"/>
          </w:tcPr>
          <w:p w14:paraId="2A487120" w14:textId="77777777" w:rsidR="00BA23AE" w:rsidRPr="003466B0" w:rsidRDefault="00BA23AE" w:rsidP="003466B0">
            <w:pPr>
              <w:pStyle w:val="af0"/>
              <w:rPr>
                <w:rtl/>
              </w:rPr>
            </w:pPr>
            <w:r w:rsidRPr="003466B0">
              <w:rPr>
                <w:rFonts w:hint="cs"/>
                <w:rtl/>
              </w:rPr>
              <w:t>ירושלים</w:t>
            </w:r>
          </w:p>
        </w:tc>
      </w:tr>
      <w:tr w:rsidR="00BA23AE" w:rsidRPr="00B35E01" w14:paraId="2F8D7248" w14:textId="77777777" w:rsidTr="00D60D80">
        <w:tc>
          <w:tcPr>
            <w:tcW w:w="1550" w:type="dxa"/>
            <w:shd w:val="clear" w:color="auto" w:fill="auto"/>
            <w:vAlign w:val="bottom"/>
          </w:tcPr>
          <w:p w14:paraId="08933C1A" w14:textId="77777777" w:rsidR="00BA23AE" w:rsidRPr="003466B0" w:rsidRDefault="00BA23AE" w:rsidP="003466B0">
            <w:pPr>
              <w:pStyle w:val="B"/>
              <w:rPr>
                <w:szCs w:val="20"/>
                <w:rtl/>
              </w:rPr>
            </w:pPr>
            <w:r w:rsidRPr="003466B0">
              <w:rPr>
                <w:rFonts w:hint="cs"/>
                <w:szCs w:val="20"/>
                <w:rtl/>
              </w:rPr>
              <w:t>פברואר 2018</w:t>
            </w:r>
          </w:p>
        </w:tc>
        <w:tc>
          <w:tcPr>
            <w:tcW w:w="1418" w:type="dxa"/>
            <w:shd w:val="clear" w:color="auto" w:fill="auto"/>
            <w:vAlign w:val="bottom"/>
          </w:tcPr>
          <w:p w14:paraId="13755FD4" w14:textId="77777777" w:rsidR="00BA23AE" w:rsidRPr="003466B0" w:rsidRDefault="00BA23AE" w:rsidP="003466B0">
            <w:pPr>
              <w:pStyle w:val="R"/>
              <w:rPr>
                <w:rtl/>
              </w:rPr>
            </w:pPr>
            <w:r w:rsidRPr="003466B0">
              <w:rPr>
                <w:rFonts w:hint="cs"/>
                <w:rtl/>
              </w:rPr>
              <w:t>4</w:t>
            </w:r>
          </w:p>
        </w:tc>
        <w:tc>
          <w:tcPr>
            <w:tcW w:w="1416" w:type="dxa"/>
            <w:shd w:val="clear" w:color="auto" w:fill="auto"/>
            <w:vAlign w:val="bottom"/>
          </w:tcPr>
          <w:p w14:paraId="18EA0C34" w14:textId="77777777" w:rsidR="00BA23AE" w:rsidRPr="003466B0" w:rsidRDefault="00BA23AE" w:rsidP="003466B0">
            <w:pPr>
              <w:pStyle w:val="R"/>
              <w:rPr>
                <w:rtl/>
              </w:rPr>
            </w:pPr>
            <w:r w:rsidRPr="003466B0">
              <w:rPr>
                <w:rFonts w:hint="cs"/>
                <w:rtl/>
              </w:rPr>
              <w:t>5</w:t>
            </w:r>
          </w:p>
        </w:tc>
        <w:tc>
          <w:tcPr>
            <w:tcW w:w="1843" w:type="dxa"/>
            <w:shd w:val="clear" w:color="auto" w:fill="auto"/>
            <w:vAlign w:val="bottom"/>
          </w:tcPr>
          <w:p w14:paraId="65E2E59B" w14:textId="77777777" w:rsidR="00BA23AE" w:rsidRPr="003466B0" w:rsidRDefault="00BA23AE" w:rsidP="003466B0">
            <w:pPr>
              <w:pStyle w:val="R"/>
              <w:rPr>
                <w:rtl/>
              </w:rPr>
            </w:pPr>
            <w:r w:rsidRPr="003466B0">
              <w:rPr>
                <w:rFonts w:hint="cs"/>
                <w:rtl/>
              </w:rPr>
              <w:t>7 - 8</w:t>
            </w:r>
          </w:p>
        </w:tc>
        <w:tc>
          <w:tcPr>
            <w:tcW w:w="1983" w:type="dxa"/>
            <w:shd w:val="clear" w:color="auto" w:fill="auto"/>
            <w:vAlign w:val="bottom"/>
          </w:tcPr>
          <w:p w14:paraId="4C8F466C" w14:textId="77777777" w:rsidR="00BA23AE" w:rsidRPr="003466B0" w:rsidRDefault="00BA23AE" w:rsidP="003466B0">
            <w:pPr>
              <w:pStyle w:val="R"/>
              <w:rPr>
                <w:rtl/>
              </w:rPr>
            </w:pPr>
            <w:r w:rsidRPr="003466B0">
              <w:rPr>
                <w:rFonts w:hint="cs"/>
                <w:rtl/>
              </w:rPr>
              <w:t>3</w:t>
            </w:r>
          </w:p>
        </w:tc>
      </w:tr>
      <w:tr w:rsidR="00BA23AE" w:rsidRPr="00B35E01" w14:paraId="7D14EF15" w14:textId="77777777" w:rsidTr="00D60D80">
        <w:tc>
          <w:tcPr>
            <w:tcW w:w="1550" w:type="dxa"/>
            <w:shd w:val="clear" w:color="auto" w:fill="auto"/>
            <w:vAlign w:val="bottom"/>
          </w:tcPr>
          <w:p w14:paraId="6065EDD9" w14:textId="77777777" w:rsidR="00BA23AE" w:rsidRPr="003466B0" w:rsidRDefault="00BA23AE" w:rsidP="003466B0">
            <w:pPr>
              <w:pStyle w:val="B"/>
              <w:rPr>
                <w:szCs w:val="20"/>
                <w:rtl/>
              </w:rPr>
            </w:pPr>
            <w:r w:rsidRPr="003466B0">
              <w:rPr>
                <w:rFonts w:hint="cs"/>
                <w:szCs w:val="20"/>
                <w:rtl/>
              </w:rPr>
              <w:t>אפריל 2018</w:t>
            </w:r>
          </w:p>
        </w:tc>
        <w:tc>
          <w:tcPr>
            <w:tcW w:w="1418" w:type="dxa"/>
            <w:shd w:val="clear" w:color="auto" w:fill="auto"/>
            <w:vAlign w:val="bottom"/>
          </w:tcPr>
          <w:p w14:paraId="416298CA" w14:textId="77777777" w:rsidR="00BA23AE" w:rsidRPr="003466B0" w:rsidRDefault="00BA23AE" w:rsidP="003466B0">
            <w:pPr>
              <w:pStyle w:val="R"/>
              <w:rPr>
                <w:rtl/>
              </w:rPr>
            </w:pPr>
            <w:r w:rsidRPr="003466B0">
              <w:rPr>
                <w:rFonts w:hint="cs"/>
                <w:rtl/>
              </w:rPr>
              <w:t>11</w:t>
            </w:r>
          </w:p>
        </w:tc>
        <w:tc>
          <w:tcPr>
            <w:tcW w:w="1416" w:type="dxa"/>
            <w:shd w:val="clear" w:color="auto" w:fill="auto"/>
            <w:vAlign w:val="bottom"/>
          </w:tcPr>
          <w:p w14:paraId="7E8C59FE" w14:textId="77777777" w:rsidR="00BA23AE" w:rsidRPr="003466B0" w:rsidRDefault="00BA23AE" w:rsidP="003466B0">
            <w:pPr>
              <w:pStyle w:val="R"/>
              <w:rPr>
                <w:rtl/>
              </w:rPr>
            </w:pPr>
            <w:r w:rsidRPr="003466B0">
              <w:rPr>
                <w:rFonts w:hint="cs"/>
                <w:rtl/>
              </w:rPr>
              <w:t>אין דיווח</w:t>
            </w:r>
          </w:p>
        </w:tc>
        <w:tc>
          <w:tcPr>
            <w:tcW w:w="1843" w:type="dxa"/>
            <w:shd w:val="clear" w:color="auto" w:fill="auto"/>
            <w:vAlign w:val="bottom"/>
          </w:tcPr>
          <w:p w14:paraId="69655297" w14:textId="77777777" w:rsidR="00BA23AE" w:rsidRPr="003466B0" w:rsidRDefault="00BA23AE" w:rsidP="003466B0">
            <w:pPr>
              <w:pStyle w:val="R"/>
              <w:rPr>
                <w:rtl/>
              </w:rPr>
            </w:pPr>
            <w:r w:rsidRPr="003466B0">
              <w:rPr>
                <w:rFonts w:hint="cs"/>
                <w:rtl/>
              </w:rPr>
              <w:t>7 - 8</w:t>
            </w:r>
          </w:p>
        </w:tc>
        <w:tc>
          <w:tcPr>
            <w:tcW w:w="1983" w:type="dxa"/>
            <w:shd w:val="clear" w:color="auto" w:fill="auto"/>
            <w:vAlign w:val="bottom"/>
          </w:tcPr>
          <w:p w14:paraId="6F1E6BA8" w14:textId="77777777" w:rsidR="00BA23AE" w:rsidRPr="003466B0" w:rsidRDefault="00BA23AE" w:rsidP="003466B0">
            <w:pPr>
              <w:pStyle w:val="R"/>
              <w:rPr>
                <w:rtl/>
              </w:rPr>
            </w:pPr>
            <w:r w:rsidRPr="003466B0">
              <w:rPr>
                <w:rFonts w:hint="cs"/>
                <w:rtl/>
              </w:rPr>
              <w:t>1</w:t>
            </w:r>
          </w:p>
        </w:tc>
      </w:tr>
      <w:tr w:rsidR="00BA23AE" w:rsidRPr="00B35E01" w14:paraId="38E63B13" w14:textId="77777777" w:rsidTr="00D60D80">
        <w:tc>
          <w:tcPr>
            <w:tcW w:w="1550" w:type="dxa"/>
            <w:shd w:val="clear" w:color="auto" w:fill="auto"/>
            <w:vAlign w:val="bottom"/>
          </w:tcPr>
          <w:p w14:paraId="2724FDEE" w14:textId="77777777" w:rsidR="00BA23AE" w:rsidRPr="003466B0" w:rsidRDefault="00BA23AE" w:rsidP="003466B0">
            <w:pPr>
              <w:pStyle w:val="B"/>
              <w:rPr>
                <w:szCs w:val="20"/>
                <w:rtl/>
              </w:rPr>
            </w:pPr>
            <w:r w:rsidRPr="003466B0">
              <w:rPr>
                <w:rFonts w:hint="cs"/>
                <w:szCs w:val="20"/>
                <w:rtl/>
              </w:rPr>
              <w:t>יולי 2018</w:t>
            </w:r>
          </w:p>
        </w:tc>
        <w:tc>
          <w:tcPr>
            <w:tcW w:w="1418" w:type="dxa"/>
            <w:shd w:val="clear" w:color="auto" w:fill="auto"/>
            <w:vAlign w:val="bottom"/>
          </w:tcPr>
          <w:p w14:paraId="512E4C55" w14:textId="77777777" w:rsidR="00BA23AE" w:rsidRPr="003466B0" w:rsidRDefault="00BA23AE" w:rsidP="003466B0">
            <w:pPr>
              <w:pStyle w:val="R"/>
              <w:rPr>
                <w:rtl/>
              </w:rPr>
            </w:pPr>
            <w:r w:rsidRPr="003466B0">
              <w:rPr>
                <w:rFonts w:hint="cs"/>
                <w:rtl/>
              </w:rPr>
              <w:t>2</w:t>
            </w:r>
          </w:p>
        </w:tc>
        <w:tc>
          <w:tcPr>
            <w:tcW w:w="1416" w:type="dxa"/>
            <w:shd w:val="clear" w:color="auto" w:fill="auto"/>
            <w:vAlign w:val="bottom"/>
          </w:tcPr>
          <w:p w14:paraId="78332D8B" w14:textId="77777777" w:rsidR="00BA23AE" w:rsidRPr="003466B0" w:rsidRDefault="00BA23AE" w:rsidP="003466B0">
            <w:pPr>
              <w:pStyle w:val="R"/>
              <w:rPr>
                <w:rtl/>
              </w:rPr>
            </w:pPr>
            <w:r w:rsidRPr="003466B0">
              <w:rPr>
                <w:rFonts w:hint="cs"/>
                <w:rtl/>
              </w:rPr>
              <w:t>8</w:t>
            </w:r>
          </w:p>
        </w:tc>
        <w:tc>
          <w:tcPr>
            <w:tcW w:w="1843" w:type="dxa"/>
            <w:shd w:val="clear" w:color="auto" w:fill="auto"/>
            <w:vAlign w:val="bottom"/>
          </w:tcPr>
          <w:p w14:paraId="5E673770" w14:textId="77777777" w:rsidR="00BA23AE" w:rsidRPr="003466B0" w:rsidRDefault="00BA23AE" w:rsidP="003466B0">
            <w:pPr>
              <w:pStyle w:val="R"/>
              <w:rPr>
                <w:rtl/>
              </w:rPr>
            </w:pPr>
            <w:r w:rsidRPr="003466B0">
              <w:rPr>
                <w:rFonts w:hint="cs"/>
                <w:rtl/>
              </w:rPr>
              <w:t>9</w:t>
            </w:r>
          </w:p>
        </w:tc>
        <w:tc>
          <w:tcPr>
            <w:tcW w:w="1983" w:type="dxa"/>
            <w:shd w:val="clear" w:color="auto" w:fill="auto"/>
            <w:vAlign w:val="bottom"/>
          </w:tcPr>
          <w:p w14:paraId="38C6ACF6" w14:textId="77777777" w:rsidR="00BA23AE" w:rsidRPr="003466B0" w:rsidRDefault="00BA23AE" w:rsidP="003466B0">
            <w:pPr>
              <w:pStyle w:val="R"/>
              <w:rPr>
                <w:rtl/>
              </w:rPr>
            </w:pPr>
            <w:r w:rsidRPr="003466B0">
              <w:rPr>
                <w:rFonts w:hint="cs"/>
                <w:rtl/>
              </w:rPr>
              <w:t>4</w:t>
            </w:r>
          </w:p>
        </w:tc>
      </w:tr>
      <w:tr w:rsidR="00BA23AE" w:rsidRPr="00B35E01" w14:paraId="0AD3F2F0" w14:textId="77777777" w:rsidTr="00D60D80">
        <w:tc>
          <w:tcPr>
            <w:tcW w:w="1550" w:type="dxa"/>
            <w:shd w:val="clear" w:color="auto" w:fill="auto"/>
            <w:vAlign w:val="bottom"/>
          </w:tcPr>
          <w:p w14:paraId="73751C58" w14:textId="77777777" w:rsidR="00BA23AE" w:rsidRPr="003466B0" w:rsidRDefault="00BA23AE" w:rsidP="003466B0">
            <w:pPr>
              <w:pStyle w:val="B"/>
              <w:rPr>
                <w:szCs w:val="20"/>
                <w:rtl/>
              </w:rPr>
            </w:pPr>
            <w:r w:rsidRPr="003466B0">
              <w:rPr>
                <w:rFonts w:hint="cs"/>
                <w:szCs w:val="20"/>
                <w:rtl/>
              </w:rPr>
              <w:t>אוגוסט 2018</w:t>
            </w:r>
          </w:p>
        </w:tc>
        <w:tc>
          <w:tcPr>
            <w:tcW w:w="1418" w:type="dxa"/>
            <w:shd w:val="clear" w:color="auto" w:fill="auto"/>
            <w:vAlign w:val="bottom"/>
          </w:tcPr>
          <w:p w14:paraId="6ECD5101" w14:textId="77777777" w:rsidR="00BA23AE" w:rsidRPr="003466B0" w:rsidRDefault="00BA23AE" w:rsidP="003466B0">
            <w:pPr>
              <w:pStyle w:val="R"/>
              <w:rPr>
                <w:rtl/>
              </w:rPr>
            </w:pPr>
            <w:r w:rsidRPr="003466B0">
              <w:rPr>
                <w:rFonts w:hint="cs"/>
                <w:rtl/>
              </w:rPr>
              <w:t>מצבה מלאה</w:t>
            </w:r>
          </w:p>
        </w:tc>
        <w:tc>
          <w:tcPr>
            <w:tcW w:w="1416" w:type="dxa"/>
            <w:shd w:val="clear" w:color="auto" w:fill="auto"/>
            <w:vAlign w:val="bottom"/>
          </w:tcPr>
          <w:p w14:paraId="55A98913" w14:textId="77777777" w:rsidR="00BA23AE" w:rsidRPr="003466B0" w:rsidRDefault="00BA23AE" w:rsidP="003466B0">
            <w:pPr>
              <w:pStyle w:val="R"/>
              <w:rPr>
                <w:rtl/>
              </w:rPr>
            </w:pPr>
            <w:r w:rsidRPr="003466B0">
              <w:rPr>
                <w:rFonts w:hint="cs"/>
                <w:rtl/>
              </w:rPr>
              <w:t>9</w:t>
            </w:r>
          </w:p>
        </w:tc>
        <w:tc>
          <w:tcPr>
            <w:tcW w:w="1843" w:type="dxa"/>
            <w:shd w:val="clear" w:color="auto" w:fill="auto"/>
            <w:vAlign w:val="bottom"/>
          </w:tcPr>
          <w:p w14:paraId="63FC8587" w14:textId="77777777" w:rsidR="00BA23AE" w:rsidRPr="003466B0" w:rsidRDefault="00BA23AE" w:rsidP="003466B0">
            <w:pPr>
              <w:pStyle w:val="R"/>
              <w:rPr>
                <w:rtl/>
              </w:rPr>
            </w:pPr>
            <w:r w:rsidRPr="003466B0">
              <w:rPr>
                <w:rFonts w:hint="cs"/>
                <w:rtl/>
              </w:rPr>
              <w:t>15</w:t>
            </w:r>
          </w:p>
        </w:tc>
        <w:tc>
          <w:tcPr>
            <w:tcW w:w="1983" w:type="dxa"/>
            <w:shd w:val="clear" w:color="auto" w:fill="auto"/>
            <w:vAlign w:val="bottom"/>
          </w:tcPr>
          <w:p w14:paraId="699B6DE6" w14:textId="77777777" w:rsidR="00BA23AE" w:rsidRPr="003466B0" w:rsidRDefault="00BA23AE" w:rsidP="003466B0">
            <w:pPr>
              <w:pStyle w:val="R"/>
              <w:rPr>
                <w:rtl/>
              </w:rPr>
            </w:pPr>
            <w:r w:rsidRPr="003466B0">
              <w:rPr>
                <w:rFonts w:hint="cs"/>
                <w:rtl/>
              </w:rPr>
              <w:t>3</w:t>
            </w:r>
          </w:p>
        </w:tc>
      </w:tr>
    </w:tbl>
    <w:p w14:paraId="001BA7A0" w14:textId="77777777" w:rsidR="00BA23AE" w:rsidRPr="009953E6" w:rsidRDefault="00BA23AE" w:rsidP="003466B0">
      <w:pPr>
        <w:pStyle w:val="ab"/>
        <w:rPr>
          <w:rtl/>
        </w:rPr>
      </w:pPr>
      <w:r w:rsidRPr="009953E6">
        <w:rPr>
          <w:rFonts w:hint="eastAsia"/>
          <w:rtl/>
        </w:rPr>
        <w:t>על</w:t>
      </w:r>
      <w:r w:rsidRPr="009953E6">
        <w:rPr>
          <w:rtl/>
        </w:rPr>
        <w:t xml:space="preserve"> </w:t>
      </w:r>
      <w:r w:rsidRPr="009953E6">
        <w:rPr>
          <w:rFonts w:hint="eastAsia"/>
          <w:rtl/>
        </w:rPr>
        <w:t>פי</w:t>
      </w:r>
      <w:r w:rsidRPr="009953E6">
        <w:rPr>
          <w:rtl/>
        </w:rPr>
        <w:t xml:space="preserve"> </w:t>
      </w:r>
      <w:r w:rsidRPr="009953E6">
        <w:rPr>
          <w:rFonts w:hint="eastAsia"/>
          <w:rtl/>
        </w:rPr>
        <w:t>נתונ</w:t>
      </w:r>
      <w:r>
        <w:rPr>
          <w:rFonts w:hint="cs"/>
          <w:rtl/>
        </w:rPr>
        <w:t>י</w:t>
      </w:r>
      <w:r w:rsidRPr="009953E6">
        <w:rPr>
          <w:rtl/>
        </w:rPr>
        <w:t xml:space="preserve"> שב"ס, </w:t>
      </w:r>
      <w:r w:rsidRPr="009953E6">
        <w:rPr>
          <w:rFonts w:hint="eastAsia"/>
          <w:rtl/>
        </w:rPr>
        <w:t>בעיבוד</w:t>
      </w:r>
      <w:r w:rsidRPr="009953E6">
        <w:rPr>
          <w:rtl/>
        </w:rPr>
        <w:t xml:space="preserve"> </w:t>
      </w:r>
      <w:r w:rsidRPr="009953E6">
        <w:rPr>
          <w:rFonts w:hint="eastAsia"/>
          <w:rtl/>
        </w:rPr>
        <w:t>משרד</w:t>
      </w:r>
      <w:r w:rsidRPr="009953E6">
        <w:rPr>
          <w:rtl/>
        </w:rPr>
        <w:t xml:space="preserve"> </w:t>
      </w:r>
      <w:r w:rsidRPr="009953E6">
        <w:rPr>
          <w:rFonts w:hint="eastAsia"/>
          <w:rtl/>
        </w:rPr>
        <w:t>מבקר</w:t>
      </w:r>
      <w:r w:rsidRPr="009953E6">
        <w:rPr>
          <w:rtl/>
        </w:rPr>
        <w:t xml:space="preserve"> </w:t>
      </w:r>
      <w:r w:rsidRPr="009953E6">
        <w:rPr>
          <w:rFonts w:hint="eastAsia"/>
          <w:rtl/>
        </w:rPr>
        <w:t>המדינה</w:t>
      </w:r>
      <w:r w:rsidRPr="009953E6">
        <w:rPr>
          <w:rtl/>
        </w:rPr>
        <w:t>.</w:t>
      </w:r>
    </w:p>
    <w:p w14:paraId="3FFA4EB6" w14:textId="441070C1" w:rsidR="00BA23AE" w:rsidRPr="00DD762E" w:rsidRDefault="00BA23AE" w:rsidP="00AD277E">
      <w:pPr>
        <w:pStyle w:val="100"/>
        <w:rPr>
          <w:rtl/>
        </w:rPr>
      </w:pPr>
    </w:p>
    <w:p w14:paraId="00AA6EB2" w14:textId="77777777" w:rsidR="00BA23AE" w:rsidRPr="00DD762E" w:rsidRDefault="00BA23AE" w:rsidP="00AD277E">
      <w:pPr>
        <w:pStyle w:val="100"/>
        <w:rPr>
          <w:sz w:val="24"/>
          <w:rtl/>
        </w:rPr>
      </w:pPr>
      <w:r w:rsidRPr="00DD762E">
        <w:rPr>
          <w:rFonts w:hint="cs"/>
          <w:sz w:val="24"/>
          <w:rtl/>
        </w:rPr>
        <w:t>תחלופת עובדים וקליטת עובדים צעירים משפיע</w:t>
      </w:r>
      <w:r>
        <w:rPr>
          <w:rFonts w:hint="cs"/>
          <w:sz w:val="24"/>
          <w:rtl/>
        </w:rPr>
        <w:t>ות</w:t>
      </w:r>
      <w:r w:rsidRPr="00DD762E">
        <w:rPr>
          <w:rFonts w:hint="cs"/>
          <w:sz w:val="24"/>
          <w:rtl/>
        </w:rPr>
        <w:t xml:space="preserve"> על טיפול שירות המבחן בהפניות לתסקירי מעצר</w:t>
      </w:r>
      <w:r>
        <w:rPr>
          <w:rFonts w:hint="cs"/>
          <w:sz w:val="24"/>
          <w:rtl/>
        </w:rPr>
        <w:t>,</w:t>
      </w:r>
      <w:r w:rsidRPr="00DD762E">
        <w:rPr>
          <w:rFonts w:hint="cs"/>
          <w:sz w:val="24"/>
          <w:rtl/>
        </w:rPr>
        <w:t xml:space="preserve"> ואף עשוי</w:t>
      </w:r>
      <w:r>
        <w:rPr>
          <w:rFonts w:hint="cs"/>
          <w:sz w:val="24"/>
          <w:rtl/>
        </w:rPr>
        <w:t>ות</w:t>
      </w:r>
      <w:r w:rsidRPr="00DD762E">
        <w:rPr>
          <w:rFonts w:hint="cs"/>
          <w:sz w:val="24"/>
          <w:rtl/>
        </w:rPr>
        <w:t xml:space="preserve"> לפגוע</w:t>
      </w:r>
      <w:r>
        <w:rPr>
          <w:rFonts w:hint="cs"/>
          <w:sz w:val="24"/>
          <w:rtl/>
        </w:rPr>
        <w:t xml:space="preserve"> </w:t>
      </w:r>
      <w:r w:rsidRPr="00DD762E">
        <w:rPr>
          <w:rFonts w:hint="cs"/>
          <w:sz w:val="24"/>
          <w:rtl/>
        </w:rPr>
        <w:t xml:space="preserve">בזכויות העצורים </w:t>
      </w:r>
      <w:r>
        <w:rPr>
          <w:rFonts w:hint="cs"/>
          <w:sz w:val="24"/>
          <w:rtl/>
        </w:rPr>
        <w:t xml:space="preserve">מכמה </w:t>
      </w:r>
      <w:r w:rsidRPr="00DD762E">
        <w:rPr>
          <w:rFonts w:hint="cs"/>
          <w:sz w:val="24"/>
          <w:rtl/>
        </w:rPr>
        <w:t xml:space="preserve">היבטים: </w:t>
      </w:r>
    </w:p>
    <w:p w14:paraId="3905D304" w14:textId="77777777" w:rsidR="00BA23AE" w:rsidRPr="00DD762E" w:rsidRDefault="00BA23AE" w:rsidP="00AD277E">
      <w:pPr>
        <w:pStyle w:val="a1"/>
        <w:numPr>
          <w:ilvl w:val="0"/>
          <w:numId w:val="41"/>
        </w:numPr>
        <w:rPr>
          <w:lang w:eastAsia="he-IL"/>
        </w:rPr>
      </w:pPr>
      <w:r w:rsidRPr="00DD762E">
        <w:rPr>
          <w:rFonts w:hint="cs"/>
          <w:rtl/>
          <w:lang w:eastAsia="he-IL"/>
        </w:rPr>
        <w:t xml:space="preserve">תת-איוש במחוזות מוביל להארכת הזמנים בהכנת תסקירי מעצר. </w:t>
      </w:r>
      <w:r w:rsidRPr="00DD762E">
        <w:rPr>
          <w:rFonts w:hint="eastAsia"/>
          <w:rtl/>
          <w:lang w:eastAsia="he-IL"/>
        </w:rPr>
        <w:t>הדבר</w:t>
      </w:r>
      <w:r w:rsidRPr="00DD762E">
        <w:rPr>
          <w:rtl/>
          <w:lang w:eastAsia="he-IL"/>
        </w:rPr>
        <w:t xml:space="preserve"> </w:t>
      </w:r>
      <w:r w:rsidRPr="00DD762E">
        <w:rPr>
          <w:rFonts w:hint="eastAsia"/>
          <w:rtl/>
          <w:lang w:eastAsia="he-IL"/>
        </w:rPr>
        <w:t>בא</w:t>
      </w:r>
      <w:r w:rsidRPr="00DD762E">
        <w:rPr>
          <w:rtl/>
          <w:lang w:eastAsia="he-IL"/>
        </w:rPr>
        <w:t xml:space="preserve"> </w:t>
      </w:r>
      <w:r w:rsidRPr="00DD762E">
        <w:rPr>
          <w:rFonts w:hint="eastAsia"/>
          <w:rtl/>
          <w:lang w:eastAsia="he-IL"/>
        </w:rPr>
        <w:t>לידי</w:t>
      </w:r>
      <w:r w:rsidRPr="00DD762E">
        <w:rPr>
          <w:rtl/>
          <w:lang w:eastAsia="he-IL"/>
        </w:rPr>
        <w:t xml:space="preserve"> </w:t>
      </w:r>
      <w:r w:rsidRPr="00DD762E">
        <w:rPr>
          <w:rFonts w:hint="eastAsia"/>
          <w:rtl/>
          <w:lang w:eastAsia="he-IL"/>
        </w:rPr>
        <w:t>ביטוי</w:t>
      </w:r>
      <w:r w:rsidRPr="00DD762E">
        <w:rPr>
          <w:rtl/>
          <w:lang w:eastAsia="he-IL"/>
        </w:rPr>
        <w:t xml:space="preserve"> </w:t>
      </w:r>
      <w:r w:rsidRPr="00DD762E">
        <w:rPr>
          <w:rFonts w:hint="eastAsia"/>
          <w:rtl/>
          <w:lang w:eastAsia="he-IL"/>
        </w:rPr>
        <w:t>בצורך</w:t>
      </w:r>
      <w:r w:rsidRPr="00DD762E">
        <w:rPr>
          <w:rtl/>
          <w:lang w:eastAsia="he-IL"/>
        </w:rPr>
        <w:t xml:space="preserve"> </w:t>
      </w:r>
      <w:r>
        <w:rPr>
          <w:rFonts w:hint="cs"/>
          <w:rtl/>
          <w:lang w:eastAsia="he-IL"/>
        </w:rPr>
        <w:t>להגיש</w:t>
      </w:r>
      <w:r w:rsidRPr="00DD762E">
        <w:rPr>
          <w:rtl/>
          <w:lang w:eastAsia="he-IL"/>
        </w:rPr>
        <w:t xml:space="preserve"> </w:t>
      </w:r>
      <w:r w:rsidRPr="00DD762E">
        <w:rPr>
          <w:rFonts w:hint="eastAsia"/>
          <w:rtl/>
          <w:lang w:eastAsia="he-IL"/>
        </w:rPr>
        <w:t>בקשות</w:t>
      </w:r>
      <w:r w:rsidRPr="00DD762E">
        <w:rPr>
          <w:rtl/>
          <w:lang w:eastAsia="he-IL"/>
        </w:rPr>
        <w:t xml:space="preserve"> </w:t>
      </w:r>
      <w:r w:rsidRPr="00DD762E">
        <w:rPr>
          <w:rFonts w:hint="eastAsia"/>
          <w:rtl/>
          <w:lang w:eastAsia="he-IL"/>
        </w:rPr>
        <w:t>לדחיות</w:t>
      </w:r>
      <w:r w:rsidRPr="00DD762E">
        <w:rPr>
          <w:rtl/>
          <w:lang w:eastAsia="he-IL"/>
        </w:rPr>
        <w:t xml:space="preserve"> </w:t>
      </w:r>
      <w:r>
        <w:rPr>
          <w:rFonts w:hint="cs"/>
          <w:rtl/>
          <w:lang w:eastAsia="he-IL"/>
        </w:rPr>
        <w:t>ארוכות</w:t>
      </w:r>
      <w:r w:rsidRPr="00DD762E">
        <w:rPr>
          <w:rtl/>
          <w:lang w:eastAsia="he-IL"/>
        </w:rPr>
        <w:t xml:space="preserve"> </w:t>
      </w:r>
      <w:r w:rsidRPr="00DD762E">
        <w:rPr>
          <w:rFonts w:hint="eastAsia"/>
          <w:rtl/>
          <w:lang w:eastAsia="he-IL"/>
        </w:rPr>
        <w:t>משבועיים</w:t>
      </w:r>
      <w:r w:rsidRPr="00DD762E">
        <w:rPr>
          <w:rtl/>
          <w:lang w:eastAsia="he-IL"/>
        </w:rPr>
        <w:t xml:space="preserve"> </w:t>
      </w:r>
      <w:r w:rsidRPr="00DD762E">
        <w:rPr>
          <w:rFonts w:hint="eastAsia"/>
          <w:rtl/>
          <w:lang w:eastAsia="he-IL"/>
        </w:rPr>
        <w:t>בתקופות</w:t>
      </w:r>
      <w:r w:rsidRPr="00DD762E">
        <w:rPr>
          <w:rtl/>
          <w:lang w:eastAsia="he-IL"/>
        </w:rPr>
        <w:t xml:space="preserve"> </w:t>
      </w:r>
      <w:r w:rsidRPr="00DD762E">
        <w:rPr>
          <w:rFonts w:hint="eastAsia"/>
          <w:rtl/>
          <w:lang w:eastAsia="he-IL"/>
        </w:rPr>
        <w:t>מסוימות</w:t>
      </w:r>
      <w:r>
        <w:rPr>
          <w:rFonts w:hint="cs"/>
          <w:rtl/>
          <w:lang w:eastAsia="he-IL"/>
        </w:rPr>
        <w:t>,</w:t>
      </w:r>
      <w:r w:rsidRPr="00DD762E">
        <w:rPr>
          <w:rFonts w:hint="cs"/>
          <w:rtl/>
          <w:lang w:eastAsia="he-IL"/>
        </w:rPr>
        <w:t xml:space="preserve"> או </w:t>
      </w:r>
      <w:r>
        <w:rPr>
          <w:rFonts w:hint="cs"/>
          <w:rtl/>
          <w:lang w:eastAsia="he-IL"/>
        </w:rPr>
        <w:t>ב</w:t>
      </w:r>
      <w:r w:rsidRPr="00DD762E">
        <w:rPr>
          <w:rFonts w:hint="cs"/>
          <w:rtl/>
          <w:lang w:eastAsia="he-IL"/>
        </w:rPr>
        <w:t>הגשת תסקירי המבחן לבית המשפט סמוך למועד הדיון</w:t>
      </w:r>
      <w:r>
        <w:rPr>
          <w:rFonts w:hint="cs"/>
          <w:rtl/>
          <w:lang w:eastAsia="he-IL"/>
        </w:rPr>
        <w:t>,</w:t>
      </w:r>
      <w:r w:rsidRPr="00DD762E">
        <w:rPr>
          <w:rFonts w:hint="cs"/>
          <w:rtl/>
          <w:lang w:eastAsia="he-IL"/>
        </w:rPr>
        <w:t xml:space="preserve"> מבלי שניתנה שהות לסנגורים לעיין בתסקירים לפני הדיון. </w:t>
      </w:r>
    </w:p>
    <w:p w14:paraId="6A17F70A" w14:textId="77777777" w:rsidR="00BA23AE" w:rsidRPr="00DD762E" w:rsidRDefault="00BA23AE" w:rsidP="00AD277E">
      <w:pPr>
        <w:pStyle w:val="a1"/>
        <w:rPr>
          <w:rtl/>
        </w:rPr>
      </w:pPr>
      <w:r w:rsidRPr="00DD762E">
        <w:rPr>
          <w:rFonts w:hint="cs"/>
          <w:rtl/>
        </w:rPr>
        <w:t>קליטת כ</w:t>
      </w:r>
      <w:r>
        <w:rPr>
          <w:rFonts w:hint="cs"/>
          <w:rtl/>
        </w:rPr>
        <w:t>ו</w:t>
      </w:r>
      <w:r w:rsidRPr="00DD762E">
        <w:rPr>
          <w:rFonts w:hint="cs"/>
          <w:rtl/>
        </w:rPr>
        <w:t xml:space="preserve">ח אדם חדש ובלתי מנוסה לצד עזיבה של עובדים ותיקים </w:t>
      </w:r>
      <w:r>
        <w:rPr>
          <w:rFonts w:hint="cs"/>
          <w:rtl/>
        </w:rPr>
        <w:t>פוגעת</w:t>
      </w:r>
      <w:r w:rsidRPr="00DD762E">
        <w:rPr>
          <w:rFonts w:hint="cs"/>
          <w:rtl/>
        </w:rPr>
        <w:t xml:space="preserve"> ביכולת לתת מענה מקצועי ומטילה עומס נוסף על העובדים הוותיקים, בייחוד בתיקי חקירות מורכב</w:t>
      </w:r>
      <w:r>
        <w:rPr>
          <w:rFonts w:hint="cs"/>
          <w:rtl/>
        </w:rPr>
        <w:t>ים,</w:t>
      </w:r>
      <w:r w:rsidRPr="00DD762E">
        <w:rPr>
          <w:rFonts w:hint="cs"/>
          <w:rtl/>
        </w:rPr>
        <w:t xml:space="preserve"> </w:t>
      </w:r>
      <w:r>
        <w:rPr>
          <w:rFonts w:hint="cs"/>
          <w:rtl/>
        </w:rPr>
        <w:t>שבהם נדרש</w:t>
      </w:r>
      <w:r w:rsidRPr="00DD762E">
        <w:rPr>
          <w:rFonts w:hint="cs"/>
          <w:rtl/>
        </w:rPr>
        <w:t xml:space="preserve"> ניסיון בתחום זה לצורך גיבוש התסקיר</w:t>
      </w:r>
      <w:r>
        <w:rPr>
          <w:rFonts w:hint="cs"/>
          <w:rtl/>
        </w:rPr>
        <w:t>.</w:t>
      </w:r>
    </w:p>
    <w:p w14:paraId="5BD3484B" w14:textId="77777777" w:rsidR="00BA23AE" w:rsidRPr="00DD762E" w:rsidRDefault="00BA23AE" w:rsidP="00AD277E">
      <w:pPr>
        <w:pStyle w:val="a1"/>
        <w:rPr>
          <w:rtl/>
          <w:lang w:eastAsia="he-IL"/>
        </w:rPr>
      </w:pPr>
      <w:r>
        <w:rPr>
          <w:rFonts w:hint="cs"/>
          <w:rtl/>
          <w:lang w:eastAsia="he-IL"/>
        </w:rPr>
        <w:t>בחלק מהמחוזות נוצר</w:t>
      </w:r>
      <w:r w:rsidRPr="00DD762E">
        <w:rPr>
          <w:rFonts w:hint="cs"/>
          <w:rtl/>
          <w:lang w:eastAsia="he-IL"/>
        </w:rPr>
        <w:t xml:space="preserve"> קושי לפתוח קבוצות חדשות</w:t>
      </w:r>
      <w:r>
        <w:rPr>
          <w:rFonts w:hint="cs"/>
          <w:rtl/>
          <w:lang w:eastAsia="he-IL"/>
        </w:rPr>
        <w:t xml:space="preserve"> ל</w:t>
      </w:r>
      <w:r w:rsidRPr="00DD762E">
        <w:rPr>
          <w:rFonts w:hint="cs"/>
          <w:rtl/>
          <w:lang w:eastAsia="he-IL"/>
        </w:rPr>
        <w:t xml:space="preserve">טיפול </w:t>
      </w:r>
      <w:r>
        <w:rPr>
          <w:rFonts w:hint="cs"/>
          <w:rtl/>
          <w:lang w:eastAsia="he-IL"/>
        </w:rPr>
        <w:t>ב</w:t>
      </w:r>
      <w:r w:rsidRPr="00DD762E">
        <w:rPr>
          <w:rFonts w:hint="cs"/>
          <w:rtl/>
          <w:lang w:eastAsia="he-IL"/>
        </w:rPr>
        <w:t xml:space="preserve">עצורים, </w:t>
      </w:r>
      <w:r>
        <w:rPr>
          <w:rFonts w:hint="cs"/>
          <w:rtl/>
          <w:lang w:eastAsia="he-IL"/>
        </w:rPr>
        <w:t xml:space="preserve">וכן מתקיים </w:t>
      </w:r>
      <w:r w:rsidRPr="00DD762E">
        <w:rPr>
          <w:rFonts w:hint="cs"/>
          <w:rtl/>
          <w:lang w:eastAsia="he-IL"/>
        </w:rPr>
        <w:t xml:space="preserve">עומס או </w:t>
      </w:r>
      <w:r>
        <w:rPr>
          <w:rFonts w:hint="cs"/>
          <w:rtl/>
          <w:lang w:eastAsia="he-IL"/>
        </w:rPr>
        <w:t xml:space="preserve">נוצרת </w:t>
      </w:r>
      <w:r w:rsidRPr="00DD762E">
        <w:rPr>
          <w:rFonts w:hint="cs"/>
          <w:rtl/>
          <w:lang w:eastAsia="he-IL"/>
        </w:rPr>
        <w:t>המתנ</w:t>
      </w:r>
      <w:r>
        <w:rPr>
          <w:rFonts w:hint="cs"/>
          <w:rtl/>
          <w:lang w:eastAsia="he-IL"/>
        </w:rPr>
        <w:t>ה</w:t>
      </w:r>
      <w:r w:rsidRPr="00DD762E">
        <w:rPr>
          <w:rFonts w:hint="cs"/>
          <w:rtl/>
          <w:lang w:eastAsia="he-IL"/>
        </w:rPr>
        <w:t xml:space="preserve"> בקבוצות קיימות.</w:t>
      </w:r>
    </w:p>
    <w:p w14:paraId="5722D42D" w14:textId="77777777" w:rsidR="00BA23AE" w:rsidRPr="00DD762E" w:rsidRDefault="00BA23AE" w:rsidP="00AD277E">
      <w:pPr>
        <w:pStyle w:val="100"/>
        <w:rPr>
          <w:rtl/>
        </w:rPr>
      </w:pPr>
      <w:r>
        <w:rPr>
          <w:rFonts w:hint="cs"/>
          <w:rtl/>
        </w:rPr>
        <w:t>ב</w:t>
      </w:r>
      <w:r w:rsidRPr="00DD762E">
        <w:rPr>
          <w:rFonts w:hint="cs"/>
          <w:rtl/>
        </w:rPr>
        <w:t>שנים 201</w:t>
      </w:r>
      <w:r>
        <w:rPr>
          <w:rFonts w:hint="cs"/>
          <w:rtl/>
        </w:rPr>
        <w:t xml:space="preserve">8 </w:t>
      </w:r>
      <w:r w:rsidRPr="00DD762E">
        <w:rPr>
          <w:rFonts w:hint="cs"/>
          <w:rtl/>
        </w:rPr>
        <w:t>-</w:t>
      </w:r>
      <w:r>
        <w:rPr>
          <w:rFonts w:hint="cs"/>
          <w:rtl/>
        </w:rPr>
        <w:t xml:space="preserve"> </w:t>
      </w:r>
      <w:r w:rsidRPr="00DD762E">
        <w:rPr>
          <w:rFonts w:hint="cs"/>
          <w:rtl/>
        </w:rPr>
        <w:t>201</w:t>
      </w:r>
      <w:r>
        <w:rPr>
          <w:rFonts w:hint="cs"/>
          <w:rtl/>
        </w:rPr>
        <w:t>9</w:t>
      </w:r>
      <w:r w:rsidRPr="00DD762E">
        <w:rPr>
          <w:rFonts w:hint="cs"/>
          <w:rtl/>
        </w:rPr>
        <w:t xml:space="preserve"> היה קושי ניכר בגיוס כ</w:t>
      </w:r>
      <w:r>
        <w:rPr>
          <w:rFonts w:hint="cs"/>
          <w:rtl/>
        </w:rPr>
        <w:t>ו</w:t>
      </w:r>
      <w:r w:rsidRPr="00DD762E">
        <w:rPr>
          <w:rFonts w:hint="cs"/>
          <w:rtl/>
        </w:rPr>
        <w:t xml:space="preserve">ח אדם למילוי </w:t>
      </w:r>
      <w:r>
        <w:rPr>
          <w:rFonts w:hint="cs"/>
          <w:rtl/>
        </w:rPr>
        <w:t>המשרות</w:t>
      </w:r>
      <w:r w:rsidRPr="00DD762E">
        <w:rPr>
          <w:rFonts w:hint="cs"/>
          <w:rtl/>
        </w:rPr>
        <w:t>. ביולי 2019 פרסם שירות המבחן מכרז פנימי לקציני מעצרים במחוז באר שבע ומכרז פנימי לקציני מעצרים במחוז תל אביב. לשני המכרזים לא הוגשו מועמדויות. גם למכרז הפומבי שפורסם לא ניגשו מועמדים.</w:t>
      </w:r>
    </w:p>
    <w:p w14:paraId="26D26CC9" w14:textId="77777777" w:rsidR="00BA23AE" w:rsidRPr="00DD762E" w:rsidRDefault="00BA23AE" w:rsidP="00AD277E">
      <w:pPr>
        <w:pStyle w:val="100"/>
        <w:rPr>
          <w:rtl/>
        </w:rPr>
      </w:pPr>
      <w:r w:rsidRPr="00DD762E">
        <w:rPr>
          <w:rFonts w:hint="cs"/>
          <w:rtl/>
        </w:rPr>
        <w:lastRenderedPageBreak/>
        <w:t>אחת הסיבות לתת-</w:t>
      </w:r>
      <w:r>
        <w:rPr>
          <w:rFonts w:hint="cs"/>
          <w:rtl/>
        </w:rPr>
        <w:t>ה</w:t>
      </w:r>
      <w:r w:rsidRPr="00DD762E">
        <w:rPr>
          <w:rFonts w:hint="cs"/>
          <w:rtl/>
        </w:rPr>
        <w:t xml:space="preserve">איוש </w:t>
      </w:r>
      <w:r>
        <w:rPr>
          <w:rFonts w:hint="cs"/>
          <w:rtl/>
        </w:rPr>
        <w:t>של משרות</w:t>
      </w:r>
      <w:r w:rsidRPr="00DD762E">
        <w:rPr>
          <w:rFonts w:hint="cs"/>
          <w:rtl/>
        </w:rPr>
        <w:t xml:space="preserve"> חוקרי המעצרים היא החלטת </w:t>
      </w:r>
      <w:r>
        <w:rPr>
          <w:rFonts w:hint="cs"/>
          <w:rtl/>
        </w:rPr>
        <w:t>אגף השכר והסכמי עבודה</w:t>
      </w:r>
      <w:r w:rsidRPr="00DD762E">
        <w:rPr>
          <w:rFonts w:hint="cs"/>
          <w:rtl/>
        </w:rPr>
        <w:t xml:space="preserve"> במשרד האוצר על מענקי התמדה לקציני מבחן. המענק ניתן על מנת לשמר ולקדם עובדים, </w:t>
      </w:r>
      <w:r>
        <w:rPr>
          <w:rFonts w:hint="cs"/>
          <w:rtl/>
        </w:rPr>
        <w:t>אבל הוא</w:t>
      </w:r>
      <w:r w:rsidRPr="00DD762E">
        <w:rPr>
          <w:rFonts w:hint="cs"/>
          <w:rtl/>
        </w:rPr>
        <w:t xml:space="preserve"> לא ניתן לקציני המעצרים.</w:t>
      </w:r>
    </w:p>
    <w:p w14:paraId="3E1D6C30" w14:textId="77777777" w:rsidR="00BA23AE" w:rsidRPr="00DD762E" w:rsidRDefault="00BA23AE" w:rsidP="00AD277E">
      <w:pPr>
        <w:pStyle w:val="100"/>
        <w:rPr>
          <w:rtl/>
        </w:rPr>
      </w:pPr>
      <w:r w:rsidRPr="00DD762E">
        <w:rPr>
          <w:rFonts w:hint="cs"/>
          <w:rtl/>
        </w:rPr>
        <w:t xml:space="preserve">משרד האוצר מודע לבעיית איוש </w:t>
      </w:r>
      <w:r>
        <w:rPr>
          <w:rFonts w:hint="cs"/>
          <w:rtl/>
        </w:rPr>
        <w:t>המשרות</w:t>
      </w:r>
      <w:r w:rsidRPr="00DD762E">
        <w:rPr>
          <w:rFonts w:hint="cs"/>
          <w:rtl/>
        </w:rPr>
        <w:t xml:space="preserve"> ו</w:t>
      </w:r>
      <w:r>
        <w:rPr>
          <w:rFonts w:hint="cs"/>
          <w:rtl/>
        </w:rPr>
        <w:t>ל</w:t>
      </w:r>
      <w:r w:rsidRPr="00DD762E">
        <w:rPr>
          <w:rFonts w:hint="cs"/>
          <w:rtl/>
        </w:rPr>
        <w:t>פער במתן מענקי ההתמדה</w:t>
      </w:r>
      <w:r>
        <w:rPr>
          <w:rFonts w:hint="cs"/>
          <w:rtl/>
        </w:rPr>
        <w:t>,</w:t>
      </w:r>
      <w:r w:rsidRPr="00DD762E">
        <w:rPr>
          <w:rFonts w:hint="cs"/>
          <w:rtl/>
        </w:rPr>
        <w:t xml:space="preserve"> כפי שעולה מהסיכום התקציבי של אגף תקציבים במשרד האוצר עם שירות המבחן למבוגרים</w:t>
      </w:r>
      <w:r>
        <w:rPr>
          <w:rFonts w:hint="cs"/>
          <w:rtl/>
        </w:rPr>
        <w:t xml:space="preserve">, סיכום שנערך </w:t>
      </w:r>
      <w:r w:rsidRPr="00DD762E">
        <w:rPr>
          <w:rFonts w:hint="cs"/>
          <w:rtl/>
        </w:rPr>
        <w:t xml:space="preserve">במסגרת </w:t>
      </w:r>
      <w:r>
        <w:rPr>
          <w:rFonts w:hint="cs"/>
          <w:rtl/>
        </w:rPr>
        <w:t>מימוש</w:t>
      </w:r>
      <w:r w:rsidRPr="00DD762E">
        <w:rPr>
          <w:rFonts w:hint="cs"/>
          <w:rtl/>
        </w:rPr>
        <w:t xml:space="preserve"> המלצות</w:t>
      </w:r>
      <w:r>
        <w:rPr>
          <w:rFonts w:hint="cs"/>
          <w:rtl/>
        </w:rPr>
        <w:t>יו של</w:t>
      </w:r>
      <w:r w:rsidRPr="00DD762E">
        <w:rPr>
          <w:rFonts w:hint="cs"/>
          <w:rtl/>
        </w:rPr>
        <w:t xml:space="preserve"> צוות התביעה</w:t>
      </w:r>
      <w:r>
        <w:rPr>
          <w:rFonts w:hint="cs"/>
          <w:rtl/>
        </w:rPr>
        <w:t>.</w:t>
      </w:r>
      <w:r w:rsidRPr="00DD762E">
        <w:rPr>
          <w:rFonts w:hint="cs"/>
          <w:rtl/>
        </w:rPr>
        <w:t xml:space="preserve"> לפי</w:t>
      </w:r>
      <w:r>
        <w:rPr>
          <w:rFonts w:hint="cs"/>
          <w:rtl/>
        </w:rPr>
        <w:t xml:space="preserve"> הסיכום,</w:t>
      </w:r>
      <w:r w:rsidRPr="00DD762E">
        <w:rPr>
          <w:rFonts w:hint="cs"/>
          <w:rtl/>
        </w:rPr>
        <w:t xml:space="preserve"> "אגף התקציבים ישאף לסייע לשירות המבחן להגדיל את שיעור התקנים המאוישים וכן יפעל לסייע במתן מענקי התמדה לקציני המבחן למבוגרים בתפקידי עו"ס בכיר מעצרים</w:t>
      </w:r>
      <w:r>
        <w:rPr>
          <w:rFonts w:hint="cs"/>
          <w:rtl/>
        </w:rPr>
        <w:t>".</w:t>
      </w:r>
    </w:p>
    <w:p w14:paraId="7CC0417F" w14:textId="77777777" w:rsidR="00BA23AE" w:rsidRDefault="00BA23AE" w:rsidP="00AD277E">
      <w:pPr>
        <w:pStyle w:val="af4"/>
        <w:rPr>
          <w:rtl/>
        </w:rPr>
      </w:pPr>
      <w:r w:rsidRPr="00DD762E">
        <w:rPr>
          <w:rFonts w:hint="cs"/>
          <w:rtl/>
        </w:rPr>
        <w:t xml:space="preserve">נמצא כי יש תת-איוש </w:t>
      </w:r>
      <w:r>
        <w:rPr>
          <w:rFonts w:hint="cs"/>
          <w:rtl/>
        </w:rPr>
        <w:t>במשרות</w:t>
      </w:r>
      <w:r w:rsidRPr="00DD762E">
        <w:rPr>
          <w:rFonts w:hint="cs"/>
          <w:rtl/>
        </w:rPr>
        <w:t xml:space="preserve"> </w:t>
      </w:r>
      <w:r>
        <w:rPr>
          <w:rFonts w:hint="cs"/>
          <w:rtl/>
        </w:rPr>
        <w:t xml:space="preserve">של </w:t>
      </w:r>
      <w:r w:rsidRPr="00DD762E">
        <w:rPr>
          <w:rFonts w:hint="cs"/>
          <w:rtl/>
        </w:rPr>
        <w:t>קציני המעצרים</w:t>
      </w:r>
      <w:r>
        <w:rPr>
          <w:rFonts w:hint="cs"/>
          <w:rtl/>
        </w:rPr>
        <w:t>,</w:t>
      </w:r>
      <w:r w:rsidRPr="00DD762E">
        <w:rPr>
          <w:rFonts w:hint="cs"/>
          <w:rtl/>
        </w:rPr>
        <w:t xml:space="preserve"> וכתוצאה מכך שירות המבחן מתקשה להגיש את תסקירי המעצר בטווח הזמנים שקובע בית המשפט. איחור בהגשת תסקיר המעצר על ידי שירות המבחן משמעו </w:t>
      </w:r>
      <w:r>
        <w:rPr>
          <w:rFonts w:hint="cs"/>
          <w:rtl/>
        </w:rPr>
        <w:t>הארכת</w:t>
      </w:r>
      <w:r w:rsidRPr="00DD762E">
        <w:rPr>
          <w:rFonts w:hint="cs"/>
          <w:rtl/>
        </w:rPr>
        <w:t xml:space="preserve"> מש</w:t>
      </w:r>
      <w:r>
        <w:rPr>
          <w:rFonts w:hint="cs"/>
          <w:rtl/>
        </w:rPr>
        <w:t>ך החזקת העצור במתקן כליאה במעמד</w:t>
      </w:r>
      <w:r w:rsidRPr="00DD762E">
        <w:rPr>
          <w:rFonts w:hint="cs"/>
          <w:rtl/>
        </w:rPr>
        <w:t xml:space="preserve"> של עצור </w:t>
      </w:r>
      <w:r>
        <w:rPr>
          <w:rFonts w:hint="cs"/>
          <w:rtl/>
        </w:rPr>
        <w:t xml:space="preserve">עד </w:t>
      </w:r>
      <w:r w:rsidRPr="00DD762E">
        <w:rPr>
          <w:rFonts w:hint="cs"/>
          <w:rtl/>
        </w:rPr>
        <w:t>החלטה אחרת.</w:t>
      </w:r>
    </w:p>
    <w:p w14:paraId="17FC9671" w14:textId="77777777" w:rsidR="00BA23AE" w:rsidRDefault="00BA23AE" w:rsidP="00AD277E">
      <w:pPr>
        <w:pStyle w:val="af4"/>
        <w:rPr>
          <w:rtl/>
        </w:rPr>
      </w:pPr>
      <w:r>
        <w:rPr>
          <w:rFonts w:hint="cs"/>
          <w:rtl/>
        </w:rPr>
        <w:t>יש למצוא פתרונות לבעיית גיוס כוח האדם, לרבות בחינת האפשרות ל</w:t>
      </w:r>
      <w:r w:rsidRPr="00DD762E">
        <w:rPr>
          <w:rFonts w:hint="cs"/>
          <w:rtl/>
        </w:rPr>
        <w:t>השוואת תנאי ההעסקה של קציני שירות המבחן בתחום המעצרים. מוצע כי</w:t>
      </w:r>
      <w:r>
        <w:rPr>
          <w:rFonts w:hint="cs"/>
          <w:rtl/>
        </w:rPr>
        <w:t xml:space="preserve"> אגף השכר במשרד האוצר ושירות המבחן יפעלו יחד כדי למצוא פתרונות מוסכמים.</w:t>
      </w:r>
      <w:r w:rsidRPr="00DD762E">
        <w:rPr>
          <w:rFonts w:hint="cs"/>
          <w:rtl/>
        </w:rPr>
        <w:t xml:space="preserve"> </w:t>
      </w:r>
    </w:p>
    <w:p w14:paraId="182B483F" w14:textId="77777777" w:rsidR="00BA23AE" w:rsidRPr="00764A06" w:rsidRDefault="00BA23AE" w:rsidP="00AD277E">
      <w:pPr>
        <w:pStyle w:val="100"/>
        <w:rPr>
          <w:rtl/>
        </w:rPr>
      </w:pPr>
      <w:r>
        <w:rPr>
          <w:rFonts w:hint="cs"/>
          <w:rtl/>
        </w:rPr>
        <w:t>משרד הרווחה מסר בתשובתו כי נעשו פניות לגורמים אחדים כדי למצוא פתרון לבעיה ולערוך שינוי בהגדרת התקינה, באופן שיאפשר את השוואת תנאי השכר לקציני המבחן. נושא זה עודנו בדיונים.</w:t>
      </w:r>
    </w:p>
    <w:p w14:paraId="65A0AF6A" w14:textId="77777777" w:rsidR="00BA23AE" w:rsidRDefault="00BA23AE" w:rsidP="00AD277E">
      <w:pPr>
        <w:pStyle w:val="100"/>
        <w:rPr>
          <w:rtl/>
        </w:rPr>
      </w:pPr>
      <w:r w:rsidRPr="000B4EAB">
        <w:rPr>
          <w:rFonts w:hint="cs"/>
          <w:rtl/>
        </w:rPr>
        <w:t xml:space="preserve">אגף התקציבים </w:t>
      </w:r>
      <w:r>
        <w:rPr>
          <w:rFonts w:hint="cs"/>
          <w:rtl/>
        </w:rPr>
        <w:t xml:space="preserve">במשרד האוצר מסר בתשובתו מדצמבר 2019 </w:t>
      </w:r>
      <w:r w:rsidRPr="000B4EAB">
        <w:rPr>
          <w:rFonts w:hint="cs"/>
          <w:rtl/>
        </w:rPr>
        <w:t>כי במסגרת יישום החלטה 3595</w:t>
      </w:r>
      <w:r>
        <w:rPr>
          <w:rFonts w:hint="cs"/>
          <w:rtl/>
        </w:rPr>
        <w:t>,</w:t>
      </w:r>
      <w:r w:rsidRPr="000B4EAB">
        <w:rPr>
          <w:rFonts w:hint="cs"/>
          <w:rtl/>
        </w:rPr>
        <w:t xml:space="preserve"> </w:t>
      </w:r>
      <w:r>
        <w:rPr>
          <w:rFonts w:hint="cs"/>
          <w:rtl/>
        </w:rPr>
        <w:t>קיבל שירות המבחן משרות תקן נוספות.</w:t>
      </w:r>
      <w:r w:rsidRPr="000B4EAB">
        <w:rPr>
          <w:rFonts w:hint="cs"/>
          <w:rtl/>
        </w:rPr>
        <w:t xml:space="preserve"> </w:t>
      </w:r>
      <w:r>
        <w:rPr>
          <w:rFonts w:hint="cs"/>
          <w:rtl/>
        </w:rPr>
        <w:t xml:space="preserve">זאת </w:t>
      </w:r>
      <w:r w:rsidRPr="000B4EAB">
        <w:rPr>
          <w:rFonts w:hint="cs"/>
          <w:rtl/>
        </w:rPr>
        <w:t>בין היתר במטרה להפחית את העומס על קציני</w:t>
      </w:r>
      <w:r>
        <w:rPr>
          <w:rFonts w:hint="cs"/>
          <w:rtl/>
        </w:rPr>
        <w:t xml:space="preserve"> המעצרים</w:t>
      </w:r>
      <w:r w:rsidRPr="000B4EAB">
        <w:rPr>
          <w:rFonts w:hint="cs"/>
          <w:rtl/>
        </w:rPr>
        <w:t xml:space="preserve"> ולהביא לקיצור משך הכנת התסקירים ו</w:t>
      </w:r>
      <w:r>
        <w:rPr>
          <w:rFonts w:hint="cs"/>
          <w:rtl/>
        </w:rPr>
        <w:t>ל</w:t>
      </w:r>
      <w:r w:rsidRPr="000B4EAB">
        <w:rPr>
          <w:rFonts w:hint="cs"/>
          <w:rtl/>
        </w:rPr>
        <w:t xml:space="preserve">שיפור איכותם. </w:t>
      </w:r>
    </w:p>
    <w:p w14:paraId="3A18E99A" w14:textId="77777777" w:rsidR="00BA23AE" w:rsidRPr="00A71378" w:rsidRDefault="00BA23AE" w:rsidP="00AD277E">
      <w:pPr>
        <w:pStyle w:val="af4"/>
        <w:rPr>
          <w:rtl/>
        </w:rPr>
      </w:pPr>
      <w:r w:rsidRPr="00A47BEE">
        <w:rPr>
          <w:rFonts w:hint="eastAsia"/>
          <w:rtl/>
        </w:rPr>
        <w:t>כאמור</w:t>
      </w:r>
      <w:r w:rsidRPr="00A47BEE">
        <w:rPr>
          <w:rtl/>
        </w:rPr>
        <w:t xml:space="preserve">, שירות המבחן אינו מצליח לאייש את משרות התקן שברשותו, </w:t>
      </w:r>
      <w:r w:rsidRPr="00A47BEE">
        <w:rPr>
          <w:rFonts w:hint="eastAsia"/>
          <w:rtl/>
        </w:rPr>
        <w:t>ולכן</w:t>
      </w:r>
      <w:r w:rsidRPr="00A47BEE">
        <w:rPr>
          <w:rtl/>
        </w:rPr>
        <w:t xml:space="preserve"> </w:t>
      </w:r>
      <w:r w:rsidRPr="00A47BEE">
        <w:rPr>
          <w:rFonts w:hint="eastAsia"/>
          <w:rtl/>
        </w:rPr>
        <w:t>לצד</w:t>
      </w:r>
      <w:r w:rsidRPr="00A47BEE">
        <w:rPr>
          <w:rtl/>
        </w:rPr>
        <w:t xml:space="preserve"> התקצוב של משרות תקן נוספות </w:t>
      </w:r>
      <w:r w:rsidRPr="00A47BEE">
        <w:rPr>
          <w:rFonts w:hint="eastAsia"/>
          <w:rtl/>
        </w:rPr>
        <w:t>יש</w:t>
      </w:r>
      <w:r w:rsidRPr="00A47BEE">
        <w:rPr>
          <w:rtl/>
        </w:rPr>
        <w:t xml:space="preserve"> </w:t>
      </w:r>
      <w:r w:rsidRPr="00A47BEE">
        <w:rPr>
          <w:rFonts w:hint="eastAsia"/>
          <w:rtl/>
        </w:rPr>
        <w:t>לבחון</w:t>
      </w:r>
      <w:r w:rsidRPr="00A47BEE">
        <w:rPr>
          <w:rtl/>
        </w:rPr>
        <w:t xml:space="preserve"> </w:t>
      </w:r>
      <w:r w:rsidRPr="00A47BEE">
        <w:rPr>
          <w:rFonts w:hint="eastAsia"/>
          <w:rtl/>
        </w:rPr>
        <w:t>הנושא</w:t>
      </w:r>
      <w:r w:rsidRPr="00A47BEE">
        <w:rPr>
          <w:rtl/>
        </w:rPr>
        <w:t xml:space="preserve"> </w:t>
      </w:r>
      <w:r w:rsidRPr="00A47BEE">
        <w:rPr>
          <w:rFonts w:hint="eastAsia"/>
          <w:rtl/>
        </w:rPr>
        <w:t>בכללותו</w:t>
      </w:r>
      <w:r w:rsidRPr="00A47BEE">
        <w:rPr>
          <w:rtl/>
        </w:rPr>
        <w:t xml:space="preserve">, </w:t>
      </w:r>
      <w:r w:rsidRPr="00A47BEE">
        <w:rPr>
          <w:rFonts w:hint="eastAsia"/>
          <w:rtl/>
        </w:rPr>
        <w:t>לרבות</w:t>
      </w:r>
      <w:r w:rsidRPr="00A47BEE">
        <w:rPr>
          <w:rtl/>
        </w:rPr>
        <w:t xml:space="preserve"> </w:t>
      </w:r>
      <w:r w:rsidRPr="00A47BEE">
        <w:rPr>
          <w:rFonts w:hint="eastAsia"/>
          <w:rtl/>
        </w:rPr>
        <w:t>עניין</w:t>
      </w:r>
      <w:r w:rsidRPr="00A47BEE">
        <w:rPr>
          <w:rtl/>
        </w:rPr>
        <w:t xml:space="preserve"> </w:t>
      </w:r>
      <w:r w:rsidRPr="00A47BEE">
        <w:rPr>
          <w:rFonts w:hint="eastAsia"/>
          <w:rtl/>
        </w:rPr>
        <w:t>תנאי</w:t>
      </w:r>
      <w:r w:rsidRPr="00A47BEE">
        <w:rPr>
          <w:rtl/>
        </w:rPr>
        <w:t xml:space="preserve"> </w:t>
      </w:r>
      <w:r w:rsidRPr="00A47BEE">
        <w:rPr>
          <w:rFonts w:hint="eastAsia"/>
          <w:rtl/>
        </w:rPr>
        <w:t>השכר</w:t>
      </w:r>
      <w:r w:rsidRPr="00A47BEE">
        <w:rPr>
          <w:rFonts w:hint="cs"/>
          <w:rtl/>
        </w:rPr>
        <w:t>.</w:t>
      </w:r>
    </w:p>
    <w:p w14:paraId="24B4FDCC" w14:textId="77777777" w:rsidR="00BA23AE" w:rsidRPr="00DD762E" w:rsidRDefault="00BA23AE" w:rsidP="00AD277E">
      <w:pPr>
        <w:pStyle w:val="414"/>
        <w:rPr>
          <w:rtl/>
        </w:rPr>
      </w:pPr>
      <w:r w:rsidRPr="00DD762E">
        <w:rPr>
          <w:rFonts w:hint="cs"/>
          <w:rtl/>
        </w:rPr>
        <w:t xml:space="preserve">מכרז לאספקת שירותי תרגום ומתורגמנים </w:t>
      </w:r>
    </w:p>
    <w:p w14:paraId="1D3E9CA9" w14:textId="3F5836DE" w:rsidR="00D60D80" w:rsidRDefault="00BA23AE" w:rsidP="00AD277E">
      <w:pPr>
        <w:pStyle w:val="100"/>
        <w:rPr>
          <w:rtl/>
        </w:rPr>
      </w:pPr>
      <w:r w:rsidRPr="00DD762E">
        <w:rPr>
          <w:rFonts w:hint="eastAsia"/>
          <w:rtl/>
        </w:rPr>
        <w:t>אוכלוסיית</w:t>
      </w:r>
      <w:r w:rsidRPr="00DD762E">
        <w:rPr>
          <w:rtl/>
        </w:rPr>
        <w:t xml:space="preserve"> המופנים לחקירות מעצר היא </w:t>
      </w:r>
      <w:r w:rsidRPr="00DD762E">
        <w:rPr>
          <w:rFonts w:hint="eastAsia"/>
          <w:rtl/>
        </w:rPr>
        <w:t>אוכלוס</w:t>
      </w:r>
      <w:r w:rsidRPr="00DD762E">
        <w:rPr>
          <w:rFonts w:hint="cs"/>
          <w:rtl/>
        </w:rPr>
        <w:t>י</w:t>
      </w:r>
      <w:r w:rsidRPr="00DD762E">
        <w:rPr>
          <w:rFonts w:hint="eastAsia"/>
          <w:rtl/>
        </w:rPr>
        <w:t>יה</w:t>
      </w:r>
      <w:r w:rsidRPr="00DD762E">
        <w:rPr>
          <w:rtl/>
        </w:rPr>
        <w:t xml:space="preserve"> מגוונת</w:t>
      </w:r>
      <w:r w:rsidRPr="00DD762E">
        <w:rPr>
          <w:rFonts w:hint="cs"/>
          <w:rtl/>
        </w:rPr>
        <w:t>.</w:t>
      </w:r>
      <w:r w:rsidRPr="00DD762E">
        <w:rPr>
          <w:rtl/>
        </w:rPr>
        <w:t xml:space="preserve"> </w:t>
      </w:r>
      <w:r w:rsidRPr="00DD762E">
        <w:rPr>
          <w:rFonts w:hint="eastAsia"/>
          <w:rtl/>
        </w:rPr>
        <w:t>לא</w:t>
      </w:r>
      <w:r w:rsidRPr="00DD762E">
        <w:rPr>
          <w:rtl/>
        </w:rPr>
        <w:t xml:space="preserve"> </w:t>
      </w:r>
      <w:r w:rsidRPr="00DD762E">
        <w:rPr>
          <w:rFonts w:hint="eastAsia"/>
          <w:rtl/>
        </w:rPr>
        <w:t>כל</w:t>
      </w:r>
      <w:r w:rsidRPr="00DD762E">
        <w:rPr>
          <w:rtl/>
        </w:rPr>
        <w:t xml:space="preserve"> </w:t>
      </w:r>
      <w:r w:rsidRPr="00DD762E">
        <w:rPr>
          <w:rFonts w:hint="eastAsia"/>
          <w:rtl/>
        </w:rPr>
        <w:t>העצורים</w:t>
      </w:r>
      <w:r w:rsidRPr="00DD762E">
        <w:rPr>
          <w:rtl/>
        </w:rPr>
        <w:t xml:space="preserve"> </w:t>
      </w:r>
      <w:r w:rsidRPr="00DD762E">
        <w:rPr>
          <w:rFonts w:hint="eastAsia"/>
          <w:rtl/>
        </w:rPr>
        <w:t>הם</w:t>
      </w:r>
      <w:r w:rsidRPr="00DD762E">
        <w:rPr>
          <w:rtl/>
        </w:rPr>
        <w:t xml:space="preserve"> </w:t>
      </w:r>
      <w:r w:rsidRPr="00DD762E">
        <w:rPr>
          <w:rFonts w:hint="eastAsia"/>
          <w:rtl/>
        </w:rPr>
        <w:t>דוברי</w:t>
      </w:r>
      <w:r w:rsidRPr="00DD762E">
        <w:rPr>
          <w:rtl/>
        </w:rPr>
        <w:t xml:space="preserve"> </w:t>
      </w:r>
      <w:r w:rsidRPr="00DD762E">
        <w:rPr>
          <w:rFonts w:hint="eastAsia"/>
          <w:rtl/>
        </w:rPr>
        <w:t>עברית</w:t>
      </w:r>
      <w:r>
        <w:rPr>
          <w:rFonts w:hint="cs"/>
          <w:rtl/>
        </w:rPr>
        <w:t>,</w:t>
      </w:r>
      <w:r w:rsidRPr="00DD762E">
        <w:rPr>
          <w:rtl/>
        </w:rPr>
        <w:t xml:space="preserve"> </w:t>
      </w:r>
      <w:r>
        <w:rPr>
          <w:rFonts w:hint="cs"/>
          <w:rtl/>
        </w:rPr>
        <w:t>וחלקם</w:t>
      </w:r>
      <w:r w:rsidRPr="00DD762E">
        <w:rPr>
          <w:rtl/>
        </w:rPr>
        <w:t xml:space="preserve"> </w:t>
      </w:r>
      <w:r w:rsidRPr="00DD762E">
        <w:rPr>
          <w:rFonts w:hint="eastAsia"/>
          <w:rtl/>
        </w:rPr>
        <w:t>דוברי</w:t>
      </w:r>
      <w:r w:rsidRPr="00DD762E">
        <w:rPr>
          <w:rtl/>
        </w:rPr>
        <w:t xml:space="preserve"> </w:t>
      </w:r>
      <w:r w:rsidRPr="00DD762E">
        <w:rPr>
          <w:rFonts w:hint="eastAsia"/>
          <w:rtl/>
        </w:rPr>
        <w:t>ערבית</w:t>
      </w:r>
      <w:r w:rsidRPr="00DD762E">
        <w:rPr>
          <w:rtl/>
        </w:rPr>
        <w:t xml:space="preserve">, </w:t>
      </w:r>
      <w:r w:rsidRPr="00DD762E">
        <w:rPr>
          <w:rFonts w:hint="eastAsia"/>
          <w:rtl/>
        </w:rPr>
        <w:t>אמהרית</w:t>
      </w:r>
      <w:r w:rsidRPr="00DD762E">
        <w:rPr>
          <w:rtl/>
        </w:rPr>
        <w:t xml:space="preserve">, </w:t>
      </w:r>
      <w:r w:rsidRPr="00DD762E">
        <w:rPr>
          <w:rFonts w:hint="eastAsia"/>
          <w:rtl/>
        </w:rPr>
        <w:t>רוסית</w:t>
      </w:r>
      <w:r w:rsidRPr="00DD762E">
        <w:rPr>
          <w:rtl/>
        </w:rPr>
        <w:t xml:space="preserve"> </w:t>
      </w:r>
      <w:r w:rsidRPr="00DD762E">
        <w:rPr>
          <w:rFonts w:hint="eastAsia"/>
          <w:rtl/>
        </w:rPr>
        <w:t>ושפות</w:t>
      </w:r>
      <w:r w:rsidRPr="00DD762E">
        <w:rPr>
          <w:rtl/>
        </w:rPr>
        <w:t xml:space="preserve"> </w:t>
      </w:r>
      <w:r w:rsidRPr="00DD762E">
        <w:rPr>
          <w:rFonts w:hint="cs"/>
          <w:rtl/>
        </w:rPr>
        <w:t xml:space="preserve">זרות </w:t>
      </w:r>
      <w:r w:rsidRPr="00DD762E">
        <w:rPr>
          <w:rFonts w:hint="eastAsia"/>
          <w:rtl/>
        </w:rPr>
        <w:t>אחרות</w:t>
      </w:r>
      <w:r w:rsidRPr="00DD762E">
        <w:rPr>
          <w:rtl/>
        </w:rPr>
        <w:t xml:space="preserve">. הצורך במתורגמנים הכרחי </w:t>
      </w:r>
      <w:r w:rsidRPr="00DD762E">
        <w:rPr>
          <w:rFonts w:hint="eastAsia"/>
          <w:rtl/>
        </w:rPr>
        <w:t>לצורך</w:t>
      </w:r>
      <w:r w:rsidRPr="00DD762E">
        <w:rPr>
          <w:rtl/>
        </w:rPr>
        <w:t xml:space="preserve"> </w:t>
      </w:r>
      <w:r w:rsidRPr="00DD762E">
        <w:rPr>
          <w:rFonts w:hint="eastAsia"/>
          <w:rtl/>
        </w:rPr>
        <w:t>הכנת</w:t>
      </w:r>
      <w:r w:rsidRPr="00DD762E">
        <w:rPr>
          <w:rtl/>
        </w:rPr>
        <w:t xml:space="preserve"> </w:t>
      </w:r>
      <w:r w:rsidRPr="00DD762E">
        <w:rPr>
          <w:rFonts w:hint="eastAsia"/>
          <w:rtl/>
        </w:rPr>
        <w:t>תסקירי</w:t>
      </w:r>
      <w:r w:rsidRPr="00DD762E">
        <w:rPr>
          <w:rtl/>
        </w:rPr>
        <w:t xml:space="preserve"> </w:t>
      </w:r>
      <w:r w:rsidRPr="00DD762E">
        <w:rPr>
          <w:rFonts w:hint="eastAsia"/>
          <w:rtl/>
        </w:rPr>
        <w:t>מעצר</w:t>
      </w:r>
      <w:r w:rsidRPr="00DD762E">
        <w:rPr>
          <w:rtl/>
        </w:rPr>
        <w:t xml:space="preserve"> וגם </w:t>
      </w:r>
      <w:r>
        <w:rPr>
          <w:rFonts w:hint="cs"/>
          <w:rtl/>
        </w:rPr>
        <w:t>כדי להקים</w:t>
      </w:r>
      <w:r w:rsidRPr="00DD762E">
        <w:rPr>
          <w:rtl/>
        </w:rPr>
        <w:t xml:space="preserve"> קבוצות טיפוליות לעצורים שאינם דוברי עברית. </w:t>
      </w:r>
      <w:r>
        <w:rPr>
          <w:rFonts w:hint="cs"/>
          <w:rtl/>
        </w:rPr>
        <w:t>בתשעת החודשים הראשונים של 2019 נדרשו תרגומים ב-451 תסקירי מעצר (8% מסך התסקירים) לפי החלוקה הבאה: מחוז צפון - 57; מחוז מרכז - 199; מחוז ירושלים - 120; מחוז דרום - 75. כמו כן, נדרשים מתורגמנים לעצורים עד תום ההליכים בשלב הטיעונים ל</w:t>
      </w:r>
      <w:r w:rsidRPr="00F039AB">
        <w:rPr>
          <w:rtl/>
        </w:rPr>
        <w:t xml:space="preserve">עונש וכן </w:t>
      </w:r>
      <w:r>
        <w:rPr>
          <w:rFonts w:hint="cs"/>
          <w:rtl/>
        </w:rPr>
        <w:t>לפונים</w:t>
      </w:r>
      <w:r w:rsidRPr="00F039AB">
        <w:rPr>
          <w:rtl/>
        </w:rPr>
        <w:t xml:space="preserve"> </w:t>
      </w:r>
      <w:r>
        <w:rPr>
          <w:rFonts w:hint="cs"/>
          <w:rtl/>
        </w:rPr>
        <w:t>ל</w:t>
      </w:r>
      <w:r w:rsidRPr="00F039AB">
        <w:rPr>
          <w:rtl/>
        </w:rPr>
        <w:t xml:space="preserve">שירות </w:t>
      </w:r>
      <w:r w:rsidRPr="00DD762E">
        <w:rPr>
          <w:rFonts w:hint="cs"/>
          <w:rtl/>
        </w:rPr>
        <w:t>המבחן למבוגרים</w:t>
      </w:r>
      <w:r>
        <w:rPr>
          <w:rFonts w:hint="cs"/>
          <w:rtl/>
        </w:rPr>
        <w:t>.</w:t>
      </w:r>
    </w:p>
    <w:p w14:paraId="363DB1D9" w14:textId="77777777" w:rsidR="00D60D80" w:rsidRDefault="00D60D80">
      <w:pPr>
        <w:bidi w:val="0"/>
        <w:spacing w:after="200" w:line="276" w:lineRule="auto"/>
        <w:rPr>
          <w:rFonts w:ascii="Tahoma" w:hAnsi="Tahoma" w:cs="Tahoma"/>
          <w:szCs w:val="20"/>
          <w:rtl/>
        </w:rPr>
      </w:pPr>
      <w:r>
        <w:rPr>
          <w:rtl/>
        </w:rPr>
        <w:br w:type="page"/>
      </w:r>
    </w:p>
    <w:p w14:paraId="35052F55" w14:textId="77777777" w:rsidR="00BA23AE" w:rsidRPr="00DD762E" w:rsidRDefault="00BA23AE" w:rsidP="0015454A">
      <w:pPr>
        <w:pStyle w:val="100"/>
        <w:rPr>
          <w:rtl/>
        </w:rPr>
      </w:pPr>
      <w:r w:rsidRPr="00DD762E">
        <w:rPr>
          <w:rFonts w:hint="cs"/>
          <w:rtl/>
        </w:rPr>
        <w:lastRenderedPageBreak/>
        <w:t xml:space="preserve">בשנת 2013 התפרסם מכרז לאספקת שירותי תרגום עבור שירות המבחן למבוגרים. החברה הזוכה במכרז סיפקה שירותי תרגום ומתורגמנים עד לשנת 2018. בינואר 2018 פרסם משרד </w:t>
      </w:r>
      <w:r>
        <w:rPr>
          <w:rFonts w:hint="cs"/>
          <w:rtl/>
        </w:rPr>
        <w:t xml:space="preserve">הרווחה </w:t>
      </w:r>
      <w:r w:rsidRPr="00DD762E">
        <w:rPr>
          <w:rFonts w:hint="cs"/>
          <w:rtl/>
        </w:rPr>
        <w:t>מכרז לאספקת שירותי תרגום עבור כלל יחידות המשרד. המכרז חולק לשני אשכולות: אשכול מחוזות חיפה, צפון ומרכז</w:t>
      </w:r>
      <w:r>
        <w:rPr>
          <w:rFonts w:hint="cs"/>
          <w:rtl/>
        </w:rPr>
        <w:t>,</w:t>
      </w:r>
      <w:r w:rsidRPr="00DD762E">
        <w:rPr>
          <w:rFonts w:hint="cs"/>
          <w:rtl/>
        </w:rPr>
        <w:t xml:space="preserve"> ואשכול מחוזות ירושלים ודרום. מכרז אשכול מחוזות צפון ומרכז הסתיים ונחתם הסכם עם החברה הזוכה</w:t>
      </w:r>
      <w:r>
        <w:rPr>
          <w:rFonts w:hint="cs"/>
          <w:rtl/>
        </w:rPr>
        <w:t>,</w:t>
      </w:r>
      <w:r w:rsidRPr="00DD762E">
        <w:rPr>
          <w:rFonts w:hint="cs"/>
          <w:rtl/>
        </w:rPr>
        <w:t xml:space="preserve"> </w:t>
      </w:r>
      <w:r>
        <w:rPr>
          <w:rFonts w:hint="cs"/>
          <w:rtl/>
        </w:rPr>
        <w:t>אך</w:t>
      </w:r>
      <w:r w:rsidRPr="00DD762E">
        <w:rPr>
          <w:rFonts w:hint="cs"/>
          <w:rtl/>
        </w:rPr>
        <w:t xml:space="preserve"> לאשכול מחוזות ירושלים והדרום </w:t>
      </w:r>
      <w:r>
        <w:rPr>
          <w:rFonts w:hint="cs"/>
          <w:rtl/>
        </w:rPr>
        <w:t>לא נבחר</w:t>
      </w:r>
      <w:r w:rsidRPr="00DD762E">
        <w:rPr>
          <w:rFonts w:hint="cs"/>
          <w:rtl/>
        </w:rPr>
        <w:t xml:space="preserve"> </w:t>
      </w:r>
      <w:r w:rsidRPr="005D1A3A">
        <w:rPr>
          <w:rFonts w:hint="cs"/>
          <w:rtl/>
        </w:rPr>
        <w:t xml:space="preserve">זוכה </w:t>
      </w:r>
      <w:r w:rsidRPr="005D1A3A">
        <w:rPr>
          <w:rFonts w:hint="eastAsia"/>
          <w:rtl/>
        </w:rPr>
        <w:t>מחמת</w:t>
      </w:r>
      <w:r w:rsidRPr="005D1A3A">
        <w:rPr>
          <w:rtl/>
        </w:rPr>
        <w:t xml:space="preserve"> שתי עתירות מ</w:t>
      </w:r>
      <w:r>
        <w:rPr>
          <w:rFonts w:hint="cs"/>
          <w:rtl/>
        </w:rPr>
        <w:t>י</w:t>
      </w:r>
      <w:r w:rsidRPr="005D1A3A">
        <w:rPr>
          <w:rtl/>
        </w:rPr>
        <w:t xml:space="preserve">נהליות </w:t>
      </w:r>
      <w:r w:rsidRPr="005D1A3A">
        <w:rPr>
          <w:rFonts w:hint="cs"/>
          <w:rtl/>
        </w:rPr>
        <w:t>ה</w:t>
      </w:r>
      <w:r w:rsidRPr="005D1A3A">
        <w:rPr>
          <w:rFonts w:hint="eastAsia"/>
          <w:rtl/>
        </w:rPr>
        <w:t>תלויות</w:t>
      </w:r>
      <w:r w:rsidRPr="005D1A3A">
        <w:rPr>
          <w:rtl/>
        </w:rPr>
        <w:t xml:space="preserve"> ועומדות בעניין </w:t>
      </w:r>
      <w:r w:rsidRPr="005D1A3A">
        <w:rPr>
          <w:rFonts w:hint="eastAsia"/>
          <w:rtl/>
        </w:rPr>
        <w:t>ה</w:t>
      </w:r>
      <w:r w:rsidRPr="005D1A3A">
        <w:rPr>
          <w:rFonts w:hint="cs"/>
          <w:rtl/>
        </w:rPr>
        <w:t>מ</w:t>
      </w:r>
      <w:r w:rsidRPr="005D1A3A">
        <w:rPr>
          <w:rFonts w:hint="eastAsia"/>
          <w:rtl/>
        </w:rPr>
        <w:t>כ</w:t>
      </w:r>
      <w:r w:rsidRPr="005D1A3A">
        <w:rPr>
          <w:rFonts w:hint="cs"/>
          <w:rtl/>
        </w:rPr>
        <w:t>ר</w:t>
      </w:r>
      <w:r w:rsidRPr="005D1A3A">
        <w:rPr>
          <w:rFonts w:hint="eastAsia"/>
          <w:rtl/>
        </w:rPr>
        <w:t>ז</w:t>
      </w:r>
      <w:r w:rsidRPr="005D1A3A">
        <w:rPr>
          <w:rFonts w:hint="cs"/>
          <w:rtl/>
        </w:rPr>
        <w:t>.</w:t>
      </w:r>
      <w:r>
        <w:rPr>
          <w:rFonts w:hint="cs"/>
          <w:rtl/>
        </w:rPr>
        <w:t xml:space="preserve"> </w:t>
      </w:r>
    </w:p>
    <w:p w14:paraId="458E08BD" w14:textId="77777777" w:rsidR="00BA23AE" w:rsidRDefault="00BA23AE" w:rsidP="0015454A">
      <w:pPr>
        <w:pStyle w:val="100"/>
        <w:rPr>
          <w:rtl/>
        </w:rPr>
      </w:pPr>
      <w:r>
        <w:rPr>
          <w:rFonts w:hint="cs"/>
          <w:rtl/>
        </w:rPr>
        <w:t>בשל</w:t>
      </w:r>
      <w:r w:rsidRPr="00DD762E">
        <w:rPr>
          <w:rFonts w:hint="cs"/>
          <w:rtl/>
        </w:rPr>
        <w:t xml:space="preserve"> העיכובים בהשלמת הליך המכרז ניתנו ארכות </w:t>
      </w:r>
      <w:r>
        <w:rPr>
          <w:rFonts w:hint="cs"/>
          <w:rtl/>
        </w:rPr>
        <w:t>אחדות</w:t>
      </w:r>
      <w:r w:rsidRPr="00DD762E">
        <w:rPr>
          <w:rFonts w:hint="cs"/>
          <w:rtl/>
        </w:rPr>
        <w:t xml:space="preserve"> להמשך רכישת שירותי מתורגמנות מהחברה שאיתה פג הסכם השירותים. העיכוב בהשלמת הליך ההתקשרות </w:t>
      </w:r>
      <w:r>
        <w:rPr>
          <w:rFonts w:hint="cs"/>
          <w:rtl/>
        </w:rPr>
        <w:t xml:space="preserve">גרם לנזקים רבים בעבודת שירות המבחן: </w:t>
      </w:r>
      <w:r w:rsidRPr="00DD762E">
        <w:rPr>
          <w:rFonts w:hint="cs"/>
          <w:rtl/>
        </w:rPr>
        <w:t>במשך שבועיים ימים נעצרו כל שירותי המתורגמנות</w:t>
      </w:r>
      <w:r>
        <w:rPr>
          <w:rFonts w:hint="cs"/>
          <w:rtl/>
        </w:rPr>
        <w:t xml:space="preserve"> לשירות המבחן לנוער ולמבוגרים מחמת היעדר הסכם בתוקף; ועדת אבחון וקביעת זכאות שירות איחרה במתן חוות דעת לבית משפט עבור עצור שנזקק למתורגמן בשפה הערבית; </w:t>
      </w:r>
      <w:r w:rsidRPr="00DD762E">
        <w:rPr>
          <w:rFonts w:hint="cs"/>
          <w:rtl/>
        </w:rPr>
        <w:t>מחוזות ירושלים והדרום סובלים ממחסור בקציני מבחן דוברי השפה הערבית</w:t>
      </w:r>
      <w:r>
        <w:rPr>
          <w:rFonts w:hint="cs"/>
          <w:rtl/>
        </w:rPr>
        <w:t>,</w:t>
      </w:r>
      <w:r w:rsidRPr="00DD762E">
        <w:rPr>
          <w:rFonts w:hint="cs"/>
          <w:rtl/>
        </w:rPr>
        <w:t xml:space="preserve"> </w:t>
      </w:r>
      <w:r>
        <w:rPr>
          <w:rFonts w:hint="cs"/>
          <w:rtl/>
        </w:rPr>
        <w:t xml:space="preserve">ולכן אינם עורכים תסקירי מעצר לעצורים דוברי ערבית </w:t>
      </w:r>
      <w:r w:rsidRPr="00DD762E">
        <w:rPr>
          <w:rFonts w:hint="cs"/>
          <w:rtl/>
        </w:rPr>
        <w:t>ומתקשים לתת טיפול משמעותי בקבוצות הטיפול השונות לעצורים מהחברה הערבית שאינם דוברים עברית</w:t>
      </w:r>
      <w:r>
        <w:rPr>
          <w:rFonts w:hint="cs"/>
          <w:rtl/>
        </w:rPr>
        <w:t xml:space="preserve">. כך נוצר עיכוב בהשלמת התסקירים, ובהכרח גם עיכוב בהליך בקשת המעצר עד תום ההליכים. </w:t>
      </w:r>
    </w:p>
    <w:p w14:paraId="08032D6A" w14:textId="77777777" w:rsidR="00BA23AE" w:rsidRDefault="00BA23AE" w:rsidP="0015454A">
      <w:pPr>
        <w:pStyle w:val="af4"/>
        <w:rPr>
          <w:rtl/>
        </w:rPr>
      </w:pPr>
      <w:r w:rsidRPr="00DD762E">
        <w:rPr>
          <w:rFonts w:hint="cs"/>
          <w:rtl/>
        </w:rPr>
        <w:t xml:space="preserve">עד מועד סיום עבודת הביקורת לא נבחר זוכה במכרז במחוזות ירושלים והדרום. </w:t>
      </w:r>
    </w:p>
    <w:p w14:paraId="68E88587" w14:textId="77777777" w:rsidR="00BA23AE" w:rsidRDefault="00BA23AE" w:rsidP="0015454A">
      <w:pPr>
        <w:pStyle w:val="100"/>
        <w:rPr>
          <w:rtl/>
        </w:rPr>
      </w:pPr>
      <w:r>
        <w:rPr>
          <w:rFonts w:hint="cs"/>
          <w:rtl/>
        </w:rPr>
        <w:t>משרד הרווחה מסר בתשובתו, כי החתימה על החוזה עם ספק השירות מתעכבת מחמת הליכים משפטיים המתנהלים ביחס למכרז עצמו. עם סיום ההליכים המשפטיים ניתן יהיה לחתום על הסכם ההתקשרות עם ספק השירות.</w:t>
      </w:r>
    </w:p>
    <w:p w14:paraId="24734F30" w14:textId="77777777" w:rsidR="00BA23AE" w:rsidRPr="00DD762E" w:rsidRDefault="00BA23AE" w:rsidP="0015454A">
      <w:pPr>
        <w:pStyle w:val="af4"/>
        <w:rPr>
          <w:rtl/>
        </w:rPr>
      </w:pPr>
      <w:r w:rsidRPr="00DD762E">
        <w:rPr>
          <w:rFonts w:hint="cs"/>
          <w:rtl/>
        </w:rPr>
        <w:t>על משרד ה</w:t>
      </w:r>
      <w:r>
        <w:rPr>
          <w:rFonts w:hint="cs"/>
          <w:rtl/>
        </w:rPr>
        <w:t>רווחה לדאוג בתקופת הביניים, עד שיושלמו ההליכים המשפטיים, להארכה מסודרת ועקבית של ההסכם הזמני</w:t>
      </w:r>
      <w:r w:rsidRPr="005D1A3A">
        <w:rPr>
          <w:rtl/>
        </w:rPr>
        <w:t xml:space="preserve">, בכפוף לדיני המכרזים </w:t>
      </w:r>
      <w:r w:rsidRPr="005D1A3A">
        <w:rPr>
          <w:rFonts w:hint="eastAsia"/>
          <w:rtl/>
        </w:rPr>
        <w:t>וההתקשרויות</w:t>
      </w:r>
      <w:r w:rsidRPr="005D1A3A">
        <w:rPr>
          <w:rtl/>
        </w:rPr>
        <w:t>.</w:t>
      </w:r>
    </w:p>
    <w:p w14:paraId="1406CA83" w14:textId="71968113" w:rsidR="00BA23AE" w:rsidRPr="00DD762E" w:rsidRDefault="00BA23AE" w:rsidP="0015454A">
      <w:pPr>
        <w:pStyle w:val="414"/>
        <w:rPr>
          <w:szCs w:val="20"/>
          <w:rtl/>
        </w:rPr>
      </w:pPr>
      <w:r w:rsidRPr="00DD762E">
        <w:rPr>
          <w:rFonts w:hint="cs"/>
          <w:rtl/>
        </w:rPr>
        <w:t>קשרי העבודה בין שירות המבחן ובין שירות בתי הסוהר</w:t>
      </w:r>
    </w:p>
    <w:p w14:paraId="6393B052" w14:textId="77777777" w:rsidR="00BA23AE" w:rsidRDefault="00BA23AE" w:rsidP="0015454A">
      <w:pPr>
        <w:pStyle w:val="100"/>
        <w:rPr>
          <w:rtl/>
        </w:rPr>
      </w:pPr>
      <w:r w:rsidRPr="00DD762E">
        <w:rPr>
          <w:rFonts w:hint="cs"/>
          <w:rtl/>
        </w:rPr>
        <w:t>קציני המ</w:t>
      </w:r>
      <w:r>
        <w:rPr>
          <w:rFonts w:hint="cs"/>
          <w:rtl/>
        </w:rPr>
        <w:t>עצרים</w:t>
      </w:r>
      <w:r w:rsidRPr="00DD762E">
        <w:rPr>
          <w:rFonts w:hint="cs"/>
          <w:rtl/>
        </w:rPr>
        <w:t xml:space="preserve"> נדרשים בתוך </w:t>
      </w:r>
      <w:r>
        <w:rPr>
          <w:rFonts w:hint="cs"/>
          <w:rtl/>
        </w:rPr>
        <w:t>עשרה</w:t>
      </w:r>
      <w:r w:rsidRPr="00DD762E">
        <w:rPr>
          <w:rFonts w:hint="cs"/>
          <w:rtl/>
        </w:rPr>
        <w:t xml:space="preserve"> ימי עבודה מ</w:t>
      </w:r>
      <w:r>
        <w:rPr>
          <w:rFonts w:hint="cs"/>
          <w:rtl/>
        </w:rPr>
        <w:t>ה</w:t>
      </w:r>
      <w:r w:rsidRPr="00DD762E">
        <w:rPr>
          <w:rFonts w:hint="cs"/>
          <w:rtl/>
        </w:rPr>
        <w:t xml:space="preserve">מועד </w:t>
      </w:r>
      <w:r>
        <w:rPr>
          <w:rFonts w:hint="cs"/>
          <w:rtl/>
        </w:rPr>
        <w:t xml:space="preserve">שבו </w:t>
      </w:r>
      <w:r w:rsidRPr="00DD762E">
        <w:rPr>
          <w:rFonts w:hint="cs"/>
          <w:rtl/>
        </w:rPr>
        <w:t>התקבלה ההפניה לעריכת תסקיר המעצר להגיע לבית המעצר ולערוך אבחון לעצור. מהמסמכים עולה כי קציני ה</w:t>
      </w:r>
      <w:r>
        <w:rPr>
          <w:rFonts w:hint="cs"/>
          <w:rtl/>
        </w:rPr>
        <w:t>מעצרים</w:t>
      </w:r>
      <w:r w:rsidRPr="00DD762E">
        <w:rPr>
          <w:rFonts w:hint="cs"/>
          <w:rtl/>
        </w:rPr>
        <w:t xml:space="preserve"> יוצרים קשר עם בית המעצר בבוקרו של יום הביקור על מנת לוודא שהעצור מוחזק </w:t>
      </w:r>
      <w:r>
        <w:rPr>
          <w:rFonts w:hint="cs"/>
          <w:rtl/>
        </w:rPr>
        <w:t>שם</w:t>
      </w:r>
      <w:r w:rsidRPr="00DD762E">
        <w:rPr>
          <w:rFonts w:hint="cs"/>
          <w:rtl/>
        </w:rPr>
        <w:t xml:space="preserve">, אך כאשר הם מגיעים לבית המעצר מתברר </w:t>
      </w:r>
      <w:r>
        <w:rPr>
          <w:rFonts w:hint="cs"/>
          <w:rtl/>
        </w:rPr>
        <w:t xml:space="preserve">לא פעם </w:t>
      </w:r>
      <w:r w:rsidRPr="00DD762E">
        <w:rPr>
          <w:rFonts w:hint="cs"/>
          <w:rtl/>
        </w:rPr>
        <w:t xml:space="preserve">כי העצור </w:t>
      </w:r>
      <w:r>
        <w:rPr>
          <w:rFonts w:hint="cs"/>
          <w:rtl/>
        </w:rPr>
        <w:t>הוצא</w:t>
      </w:r>
      <w:r w:rsidRPr="00DD762E">
        <w:rPr>
          <w:rFonts w:hint="cs"/>
          <w:rtl/>
        </w:rPr>
        <w:t xml:space="preserve"> לדיון בבית המשפט או לחקירה</w:t>
      </w:r>
      <w:r>
        <w:rPr>
          <w:rFonts w:hint="cs"/>
          <w:rtl/>
        </w:rPr>
        <w:t>,</w:t>
      </w:r>
      <w:r w:rsidRPr="00DD762E">
        <w:rPr>
          <w:rFonts w:hint="cs"/>
          <w:rtl/>
        </w:rPr>
        <w:t xml:space="preserve"> או שהועבר לבית מעצר אחר, מבלי ששירות בתי הסוהר הודיע </w:t>
      </w:r>
      <w:r>
        <w:rPr>
          <w:rFonts w:hint="cs"/>
          <w:rtl/>
        </w:rPr>
        <w:t xml:space="preserve">על כך </w:t>
      </w:r>
      <w:r w:rsidRPr="00DD762E">
        <w:rPr>
          <w:rFonts w:hint="cs"/>
          <w:rtl/>
        </w:rPr>
        <w:t>לקציני ה</w:t>
      </w:r>
      <w:r>
        <w:rPr>
          <w:rFonts w:hint="cs"/>
          <w:rtl/>
        </w:rPr>
        <w:t>מעצרים</w:t>
      </w:r>
      <w:r w:rsidRPr="00DD762E">
        <w:rPr>
          <w:rFonts w:hint="cs"/>
          <w:rtl/>
        </w:rPr>
        <w:t>.</w:t>
      </w:r>
    </w:p>
    <w:p w14:paraId="38E49C10" w14:textId="77777777" w:rsidR="00BA23AE" w:rsidRDefault="00BA23AE" w:rsidP="0015454A">
      <w:pPr>
        <w:pStyle w:val="100"/>
        <w:rPr>
          <w:rtl/>
        </w:rPr>
      </w:pPr>
      <w:r>
        <w:rPr>
          <w:rFonts w:hint="cs"/>
          <w:rtl/>
        </w:rPr>
        <w:t>משרד הרווחה מסר בתשובתו, כי הוא מבצע תהליך מיפוי פנים-משרדי בנוגע לגורמים חיצוניים שאיתם נדרשים ממשקים, לרבות שב"ס. ואף עתידה להתבצע פנייה לשב"ס לקבלת נתונים בממשק קבוע. לאור החשיבות הרבה שרואה המשרד בנושא זה, הוא ימשיך לפעול ולחפש פתרונות עם שב"ס, בעיקר בסיוע אנשי המחשוב של שני הארגונים.</w:t>
      </w:r>
    </w:p>
    <w:p w14:paraId="08A8E35F" w14:textId="77777777" w:rsidR="00BA23AE" w:rsidRPr="004743AB" w:rsidRDefault="00BA23AE" w:rsidP="0015454A">
      <w:pPr>
        <w:pStyle w:val="100"/>
        <w:rPr>
          <w:rtl/>
        </w:rPr>
      </w:pPr>
      <w:r>
        <w:rPr>
          <w:rFonts w:hint="cs"/>
          <w:rtl/>
        </w:rPr>
        <w:t>שב"ס מסר בתשובתו כי בשלב זה לא מתאפשרת יצירת ממשק ממוחשב עקב מגבלות תקציביות.</w:t>
      </w:r>
    </w:p>
    <w:p w14:paraId="4C872B01" w14:textId="77777777" w:rsidR="00BA23AE" w:rsidRPr="00DD762E" w:rsidRDefault="00BA23AE" w:rsidP="0015454A">
      <w:pPr>
        <w:pStyle w:val="af4"/>
        <w:rPr>
          <w:rtl/>
        </w:rPr>
      </w:pPr>
      <w:r w:rsidRPr="00DD762E">
        <w:rPr>
          <w:rFonts w:hint="cs"/>
          <w:rtl/>
        </w:rPr>
        <w:lastRenderedPageBreak/>
        <w:t xml:space="preserve">תקשורת סדירה בין שירות בתי הסוהר ובין שירות המבחן </w:t>
      </w:r>
      <w:r>
        <w:rPr>
          <w:rFonts w:hint="cs"/>
          <w:rtl/>
        </w:rPr>
        <w:t>תתרום</w:t>
      </w:r>
      <w:r w:rsidRPr="00DD762E">
        <w:rPr>
          <w:rFonts w:hint="cs"/>
          <w:rtl/>
        </w:rPr>
        <w:t xml:space="preserve"> לצמצום העיכובים בהשלמת התסקירים</w:t>
      </w:r>
      <w:r>
        <w:rPr>
          <w:rFonts w:hint="cs"/>
          <w:rtl/>
        </w:rPr>
        <w:t xml:space="preserve"> ותמנע בזבוז זמן עבודה יקר של קציני המעצרים, שממילא מצויים בעומס עבודה רב עקב המחסור המתמשך בכוח האדם</w:t>
      </w:r>
      <w:r w:rsidRPr="00DD762E">
        <w:rPr>
          <w:rFonts w:hint="cs"/>
          <w:rtl/>
        </w:rPr>
        <w:t xml:space="preserve">. מוצע כי שירות בתי הסוהר ושירות המבחן יפעלו ליצירת ממשק ממוחשב </w:t>
      </w:r>
      <w:r>
        <w:rPr>
          <w:rFonts w:hint="cs"/>
          <w:rtl/>
        </w:rPr>
        <w:t xml:space="preserve">או פתרון יעיל אחר </w:t>
      </w:r>
      <w:r w:rsidRPr="00DD762E">
        <w:rPr>
          <w:rFonts w:hint="cs"/>
          <w:rtl/>
        </w:rPr>
        <w:t>שיאפשר לקציני המ</w:t>
      </w:r>
      <w:r>
        <w:rPr>
          <w:rFonts w:hint="cs"/>
          <w:rtl/>
        </w:rPr>
        <w:t>עצרים</w:t>
      </w:r>
      <w:r w:rsidRPr="00DD762E">
        <w:rPr>
          <w:rFonts w:hint="cs"/>
          <w:rtl/>
        </w:rPr>
        <w:t xml:space="preserve"> לאתר </w:t>
      </w:r>
      <w:r>
        <w:rPr>
          <w:rFonts w:hint="cs"/>
          <w:rtl/>
        </w:rPr>
        <w:t xml:space="preserve">את </w:t>
      </w:r>
      <w:r w:rsidRPr="00DD762E">
        <w:rPr>
          <w:rFonts w:hint="cs"/>
          <w:rtl/>
        </w:rPr>
        <w:t>מיקומו של עצור</w:t>
      </w:r>
      <w:r>
        <w:rPr>
          <w:rFonts w:hint="cs"/>
          <w:rtl/>
        </w:rPr>
        <w:t>,</w:t>
      </w:r>
      <w:r w:rsidRPr="00DD762E">
        <w:rPr>
          <w:rFonts w:hint="cs"/>
          <w:rtl/>
        </w:rPr>
        <w:t xml:space="preserve"> </w:t>
      </w:r>
      <w:r>
        <w:rPr>
          <w:rFonts w:hint="cs"/>
          <w:rtl/>
        </w:rPr>
        <w:t>י</w:t>
      </w:r>
      <w:r w:rsidRPr="00DD762E">
        <w:rPr>
          <w:rFonts w:hint="cs"/>
          <w:rtl/>
        </w:rPr>
        <w:t>יעל את ביקורי קציני המ</w:t>
      </w:r>
      <w:r>
        <w:rPr>
          <w:rFonts w:hint="cs"/>
          <w:rtl/>
        </w:rPr>
        <w:t>עצרים</w:t>
      </w:r>
      <w:r w:rsidRPr="00DD762E">
        <w:rPr>
          <w:rFonts w:hint="cs"/>
          <w:rtl/>
        </w:rPr>
        <w:t xml:space="preserve"> ו</w:t>
      </w:r>
      <w:r>
        <w:rPr>
          <w:rFonts w:hint="cs"/>
          <w:rtl/>
        </w:rPr>
        <w:t>ימנע</w:t>
      </w:r>
      <w:r w:rsidRPr="00DD762E">
        <w:rPr>
          <w:rFonts w:hint="cs"/>
          <w:rtl/>
        </w:rPr>
        <w:t xml:space="preserve"> נסיעות מיותרות שלהם לבתי המעצר</w:t>
      </w:r>
      <w:r>
        <w:rPr>
          <w:rFonts w:hint="cs"/>
          <w:rtl/>
        </w:rPr>
        <w:t>,</w:t>
      </w:r>
      <w:r w:rsidRPr="00DD762E">
        <w:rPr>
          <w:rFonts w:hint="cs"/>
          <w:rtl/>
        </w:rPr>
        <w:t xml:space="preserve"> </w:t>
      </w:r>
      <w:r>
        <w:rPr>
          <w:rFonts w:hint="cs"/>
          <w:rtl/>
        </w:rPr>
        <w:t>ובאורח זה יקצר</w:t>
      </w:r>
      <w:r w:rsidRPr="00DD762E">
        <w:rPr>
          <w:rFonts w:hint="cs"/>
          <w:rtl/>
        </w:rPr>
        <w:t xml:space="preserve"> את תקופת האבחון והשלמת תסקיר המעצר.</w:t>
      </w:r>
    </w:p>
    <w:p w14:paraId="53A7744F" w14:textId="77777777" w:rsidR="00BA23AE" w:rsidRPr="00DD762E" w:rsidRDefault="00BA23AE" w:rsidP="0015454A">
      <w:pPr>
        <w:pStyle w:val="414"/>
        <w:rPr>
          <w:rtl/>
        </w:rPr>
      </w:pPr>
      <w:r>
        <w:rPr>
          <w:rFonts w:hint="cs"/>
          <w:rtl/>
        </w:rPr>
        <w:t>מסגרת</w:t>
      </w:r>
      <w:r w:rsidRPr="00DD762E">
        <w:rPr>
          <w:rFonts w:hint="cs"/>
          <w:rtl/>
        </w:rPr>
        <w:t xml:space="preserve"> מ</w:t>
      </w:r>
      <w:r>
        <w:rPr>
          <w:rFonts w:hint="cs"/>
          <w:rtl/>
        </w:rPr>
        <w:t>משלתית לשחרור בתנאים מגבילים</w:t>
      </w:r>
    </w:p>
    <w:p w14:paraId="7C0C1920" w14:textId="77777777" w:rsidR="00BA23AE" w:rsidRPr="002C3A7D" w:rsidRDefault="00BA23AE" w:rsidP="0015454A">
      <w:pPr>
        <w:pStyle w:val="af4"/>
        <w:rPr>
          <w:rtl/>
        </w:rPr>
      </w:pPr>
      <w:r>
        <w:rPr>
          <w:rFonts w:hint="cs"/>
          <w:rtl/>
        </w:rPr>
        <w:t xml:space="preserve">השופט הדן בבקשה לשחרור בתנאים מגבילים הוא בעל הסמכות לבחון את חלופת המעצר ואת המפקחים המוצעים. לעיתים השופט מבקש משירות המבחן לבחון חלופות מעצר מתאימות לנאשם. </w:t>
      </w:r>
    </w:p>
    <w:p w14:paraId="0D139549" w14:textId="34EB7A61" w:rsidR="00BA23AE" w:rsidRPr="00DD762E" w:rsidRDefault="00D14D67" w:rsidP="0015454A">
      <w:pPr>
        <w:pStyle w:val="100"/>
        <w:rPr>
          <w:rtl/>
        </w:rPr>
      </w:pPr>
      <w:r>
        <w:rPr>
          <w:rFonts w:hint="cs"/>
          <w:rtl/>
        </w:rPr>
        <w:t xml:space="preserve">העצורים </w:t>
      </w:r>
      <w:r w:rsidR="00BA23AE" w:rsidRPr="00DD762E">
        <w:rPr>
          <w:rFonts w:hint="cs"/>
          <w:rtl/>
        </w:rPr>
        <w:t xml:space="preserve">המופנים לשירות המבחן </w:t>
      </w:r>
      <w:r w:rsidR="00BA23AE">
        <w:rPr>
          <w:rFonts w:hint="cs"/>
          <w:rtl/>
        </w:rPr>
        <w:t>כדי שתימצא להם</w:t>
      </w:r>
      <w:r w:rsidR="00BA23AE" w:rsidRPr="00DD762E">
        <w:rPr>
          <w:rFonts w:hint="cs"/>
          <w:rtl/>
        </w:rPr>
        <w:t xml:space="preserve"> </w:t>
      </w:r>
      <w:r w:rsidR="00BA23AE">
        <w:rPr>
          <w:rFonts w:hint="cs"/>
          <w:rtl/>
        </w:rPr>
        <w:t xml:space="preserve">חלופה </w:t>
      </w:r>
      <w:r w:rsidR="00BA23AE" w:rsidRPr="00DD762E">
        <w:rPr>
          <w:rFonts w:hint="cs"/>
          <w:rtl/>
        </w:rPr>
        <w:t>מתאימה</w:t>
      </w:r>
      <w:r w:rsidR="00BA23AE">
        <w:rPr>
          <w:rFonts w:hint="cs"/>
          <w:rtl/>
        </w:rPr>
        <w:t xml:space="preserve"> לשחרור בתנאים מגבילים</w:t>
      </w:r>
      <w:r w:rsidR="00BA23AE" w:rsidRPr="00DD762E">
        <w:rPr>
          <w:rFonts w:hint="cs"/>
          <w:rtl/>
        </w:rPr>
        <w:t xml:space="preserve"> במסגרת </w:t>
      </w:r>
      <w:r w:rsidR="00BA23AE">
        <w:rPr>
          <w:rFonts w:hint="cs"/>
          <w:rtl/>
        </w:rPr>
        <w:t>ה</w:t>
      </w:r>
      <w:r w:rsidR="00BA23AE" w:rsidRPr="00DD762E">
        <w:rPr>
          <w:rFonts w:hint="cs"/>
          <w:rtl/>
        </w:rPr>
        <w:t xml:space="preserve">הליך </w:t>
      </w:r>
      <w:r w:rsidR="00BA23AE">
        <w:rPr>
          <w:rFonts w:hint="cs"/>
          <w:rtl/>
        </w:rPr>
        <w:t xml:space="preserve">של </w:t>
      </w:r>
      <w:r w:rsidR="00BA23AE" w:rsidRPr="00DD762E">
        <w:rPr>
          <w:rFonts w:hint="cs"/>
          <w:rtl/>
        </w:rPr>
        <w:t>מעצר עד תום ההליכים מצויים פעמים רבות מאוד במצב משברי</w:t>
      </w:r>
      <w:r w:rsidR="00BA23AE">
        <w:rPr>
          <w:rFonts w:hint="cs"/>
          <w:rtl/>
        </w:rPr>
        <w:t>,</w:t>
      </w:r>
      <w:r w:rsidR="00BA23AE" w:rsidRPr="00DD762E">
        <w:rPr>
          <w:rFonts w:hint="cs"/>
          <w:rtl/>
        </w:rPr>
        <w:t xml:space="preserve"> </w:t>
      </w:r>
      <w:r w:rsidR="00BA23AE">
        <w:rPr>
          <w:rFonts w:hint="cs"/>
          <w:rtl/>
        </w:rPr>
        <w:t>ו</w:t>
      </w:r>
      <w:r w:rsidR="00BA23AE" w:rsidRPr="00DD762E">
        <w:rPr>
          <w:rFonts w:hint="cs"/>
          <w:rtl/>
        </w:rPr>
        <w:t xml:space="preserve">ברקע </w:t>
      </w:r>
      <w:r w:rsidR="00BA23AE">
        <w:rPr>
          <w:rFonts w:hint="cs"/>
          <w:rtl/>
        </w:rPr>
        <w:t xml:space="preserve">שלהם </w:t>
      </w:r>
      <w:r w:rsidR="00BA23AE" w:rsidRPr="00DD762E">
        <w:rPr>
          <w:rFonts w:hint="cs"/>
          <w:rtl/>
        </w:rPr>
        <w:t xml:space="preserve">עבירות ברמות סיכון </w:t>
      </w:r>
      <w:r w:rsidR="00BA23AE">
        <w:rPr>
          <w:rFonts w:hint="cs"/>
          <w:rtl/>
        </w:rPr>
        <w:t>גבוהות יחסית</w:t>
      </w:r>
      <w:r w:rsidR="00BA23AE" w:rsidRPr="00DD762E">
        <w:rPr>
          <w:rFonts w:hint="cs"/>
          <w:rtl/>
        </w:rPr>
        <w:t xml:space="preserve">. חלופות המעצר נדרשות </w:t>
      </w:r>
      <w:r w:rsidR="00BA23AE">
        <w:rPr>
          <w:rFonts w:hint="cs"/>
          <w:rtl/>
        </w:rPr>
        <w:t>על מנת שישמשו</w:t>
      </w:r>
      <w:r w:rsidR="00BA23AE" w:rsidRPr="00DD762E">
        <w:rPr>
          <w:rFonts w:hint="cs"/>
          <w:rtl/>
        </w:rPr>
        <w:t xml:space="preserve"> מסגרת </w:t>
      </w:r>
      <w:r w:rsidR="00BA23AE">
        <w:rPr>
          <w:rFonts w:hint="cs"/>
          <w:rtl/>
        </w:rPr>
        <w:t>מפקחת</w:t>
      </w:r>
      <w:r w:rsidR="00BA23AE" w:rsidRPr="00DD762E">
        <w:rPr>
          <w:rFonts w:hint="cs"/>
          <w:rtl/>
        </w:rPr>
        <w:t xml:space="preserve"> בעלת סמכות על הנאשם</w:t>
      </w:r>
      <w:r w:rsidR="00BA23AE">
        <w:rPr>
          <w:rFonts w:hint="cs"/>
          <w:rtl/>
        </w:rPr>
        <w:t>,</w:t>
      </w:r>
      <w:r w:rsidR="00BA23AE" w:rsidRPr="00DD762E">
        <w:rPr>
          <w:rFonts w:hint="cs"/>
          <w:rtl/>
        </w:rPr>
        <w:t xml:space="preserve"> שתוודא את ציות הנאשם לתנאים המגבילים </w:t>
      </w:r>
      <w:r w:rsidR="00BA23AE">
        <w:rPr>
          <w:rFonts w:hint="cs"/>
          <w:rtl/>
        </w:rPr>
        <w:t>ש</w:t>
      </w:r>
      <w:r w:rsidR="00BA23AE" w:rsidRPr="00DD762E">
        <w:rPr>
          <w:rFonts w:hint="cs"/>
          <w:rtl/>
        </w:rPr>
        <w:t>הוא נתון</w:t>
      </w:r>
      <w:r w:rsidR="00BA23AE" w:rsidRPr="00966E25">
        <w:rPr>
          <w:rFonts w:hint="cs"/>
          <w:rtl/>
        </w:rPr>
        <w:t xml:space="preserve"> </w:t>
      </w:r>
      <w:r w:rsidR="00BA23AE" w:rsidRPr="00DD762E">
        <w:rPr>
          <w:rFonts w:hint="cs"/>
          <w:rtl/>
        </w:rPr>
        <w:t xml:space="preserve">בהם ותדווח לרשויות האכיפה </w:t>
      </w:r>
      <w:r w:rsidR="00BA23AE">
        <w:rPr>
          <w:rFonts w:hint="cs"/>
          <w:rtl/>
        </w:rPr>
        <w:t>אם הם</w:t>
      </w:r>
      <w:r w:rsidR="00BA23AE" w:rsidRPr="00DD762E">
        <w:rPr>
          <w:rFonts w:hint="cs"/>
          <w:rtl/>
        </w:rPr>
        <w:t xml:space="preserve"> הופרו. לפיכך</w:t>
      </w:r>
      <w:r w:rsidR="00BA23AE" w:rsidRPr="00DD762E">
        <w:rPr>
          <w:rtl/>
        </w:rPr>
        <w:t xml:space="preserve">, יש הכרח שהמסגרות </w:t>
      </w:r>
      <w:r w:rsidR="00BA23AE">
        <w:rPr>
          <w:rFonts w:hint="cs"/>
          <w:rtl/>
        </w:rPr>
        <w:t>ש</w:t>
      </w:r>
      <w:r w:rsidR="00BA23AE" w:rsidRPr="00DD762E">
        <w:rPr>
          <w:rtl/>
        </w:rPr>
        <w:t xml:space="preserve">בהן הם שוהים, או שאליהן הם מבקשים להשתחרר מהמעצר בתנאים מגבילים, יהיו מסגרות מוכרות ומאושרות על ידי המדינה </w:t>
      </w:r>
      <w:r w:rsidR="00BA23AE">
        <w:rPr>
          <w:rFonts w:hint="cs"/>
          <w:rtl/>
        </w:rPr>
        <w:t>הנתונות</w:t>
      </w:r>
      <w:r w:rsidR="00BA23AE" w:rsidRPr="00DD762E">
        <w:rPr>
          <w:rtl/>
        </w:rPr>
        <w:t xml:space="preserve"> </w:t>
      </w:r>
      <w:r w:rsidR="00BA23AE">
        <w:rPr>
          <w:rFonts w:hint="cs"/>
          <w:rtl/>
        </w:rPr>
        <w:t>ל</w:t>
      </w:r>
      <w:r w:rsidR="00BA23AE" w:rsidRPr="00DD762E">
        <w:rPr>
          <w:rtl/>
        </w:rPr>
        <w:t>פיקוח קבוע ומסודר.</w:t>
      </w:r>
      <w:r w:rsidR="00BA23AE">
        <w:rPr>
          <w:rFonts w:hint="cs"/>
          <w:rtl/>
        </w:rPr>
        <w:t xml:space="preserve"> </w:t>
      </w:r>
    </w:p>
    <w:p w14:paraId="5C5E99A6" w14:textId="77777777" w:rsidR="00BA23AE" w:rsidRPr="00DD762E" w:rsidRDefault="00BA23AE" w:rsidP="0015454A">
      <w:pPr>
        <w:pStyle w:val="100"/>
        <w:rPr>
          <w:rtl/>
        </w:rPr>
      </w:pPr>
      <w:r>
        <w:rPr>
          <w:rFonts w:hint="cs"/>
          <w:rtl/>
        </w:rPr>
        <w:t>חלופת המעצר הרווחת היא ביתו של הנאשם או בית הוריו, בפיקוחם של קרובי משפחתו. אך אם</w:t>
      </w:r>
      <w:r w:rsidRPr="00DD762E">
        <w:rPr>
          <w:rFonts w:hint="cs"/>
          <w:rtl/>
        </w:rPr>
        <w:t xml:space="preserve"> העצור אינו יכול לשהות במסגרת משפחתית</w:t>
      </w:r>
      <w:r>
        <w:rPr>
          <w:rFonts w:hint="cs"/>
          <w:rtl/>
        </w:rPr>
        <w:t xml:space="preserve"> -</w:t>
      </w:r>
      <w:r w:rsidRPr="00DD762E">
        <w:rPr>
          <w:rFonts w:hint="cs"/>
          <w:rtl/>
        </w:rPr>
        <w:t xml:space="preserve"> כגון עצורים ללא גב משפחתי, עצורים חסרי בית או עצורים שמהווים סכנה לבני משפחתם</w:t>
      </w:r>
      <w:r>
        <w:rPr>
          <w:vertAlign w:val="superscript"/>
          <w:rtl/>
        </w:rPr>
        <w:footnoteReference w:id="29"/>
      </w:r>
      <w:r>
        <w:rPr>
          <w:rFonts w:hint="cs"/>
          <w:rtl/>
        </w:rPr>
        <w:t xml:space="preserve"> -</w:t>
      </w:r>
      <w:r w:rsidRPr="00DD762E">
        <w:rPr>
          <w:rFonts w:hint="cs"/>
          <w:rtl/>
        </w:rPr>
        <w:t xml:space="preserve"> הם נדרשים לאתר </w:t>
      </w:r>
      <w:r>
        <w:rPr>
          <w:rFonts w:hint="cs"/>
          <w:rtl/>
        </w:rPr>
        <w:t>מסגרת</w:t>
      </w:r>
      <w:r w:rsidRPr="00DD762E">
        <w:rPr>
          <w:rFonts w:hint="cs"/>
          <w:rtl/>
        </w:rPr>
        <w:t xml:space="preserve"> אחרת מלבד </w:t>
      </w:r>
      <w:r>
        <w:rPr>
          <w:rFonts w:hint="cs"/>
          <w:rtl/>
        </w:rPr>
        <w:t>מקום</w:t>
      </w:r>
      <w:r w:rsidRPr="00DD762E">
        <w:rPr>
          <w:rFonts w:hint="cs"/>
          <w:rtl/>
        </w:rPr>
        <w:t xml:space="preserve"> מגוריהם או מגורי משפחתם המורחבת. </w:t>
      </w:r>
    </w:p>
    <w:p w14:paraId="16C342ED" w14:textId="03DD24A1" w:rsidR="00BA23AE" w:rsidRPr="00DD762E" w:rsidRDefault="00BA23AE" w:rsidP="0015454A">
      <w:pPr>
        <w:pStyle w:val="a1"/>
        <w:numPr>
          <w:ilvl w:val="0"/>
          <w:numId w:val="42"/>
        </w:numPr>
        <w:rPr>
          <w:lang w:eastAsia="he-IL"/>
        </w:rPr>
      </w:pPr>
      <w:r w:rsidRPr="00DD762E">
        <w:rPr>
          <w:rFonts w:hint="cs"/>
          <w:rtl/>
          <w:lang w:eastAsia="he-IL"/>
        </w:rPr>
        <w:t>במהלך השנים התפתחה פרקטיקה של מסגרות פרטיות</w:t>
      </w:r>
      <w:r>
        <w:rPr>
          <w:rFonts w:hint="cs"/>
          <w:rtl/>
          <w:lang w:eastAsia="he-IL"/>
        </w:rPr>
        <w:t>,</w:t>
      </w:r>
      <w:r w:rsidRPr="00DD762E">
        <w:rPr>
          <w:rFonts w:hint="cs"/>
          <w:rtl/>
          <w:lang w:eastAsia="he-IL"/>
        </w:rPr>
        <w:t xml:space="preserve"> המציעות עצמן כחלופות מעצר </w:t>
      </w:r>
      <w:r>
        <w:rPr>
          <w:rFonts w:hint="cs"/>
          <w:rtl/>
          <w:lang w:eastAsia="he-IL"/>
        </w:rPr>
        <w:t>ו</w:t>
      </w:r>
      <w:r w:rsidRPr="00DD762E">
        <w:rPr>
          <w:rFonts w:hint="cs"/>
          <w:rtl/>
          <w:lang w:eastAsia="he-IL"/>
        </w:rPr>
        <w:t>אליהן עצורים מבקשים להשתחרר. לשירות המבחן מגיעות עשרות פניות בשנה בבקשה שיכיר בהן כמסגרת ראויה ל</w:t>
      </w:r>
      <w:r w:rsidR="00810FC9">
        <w:rPr>
          <w:rFonts w:hint="cs"/>
          <w:rtl/>
          <w:lang w:eastAsia="he-IL"/>
        </w:rPr>
        <w:t>ה</w:t>
      </w:r>
      <w:r w:rsidRPr="00DD762E">
        <w:rPr>
          <w:rFonts w:hint="cs"/>
          <w:rtl/>
          <w:lang w:eastAsia="he-IL"/>
        </w:rPr>
        <w:t>חזקת עצורים בתנאים מגבילים. מסגרות אלו מגוונות מאוד: מתחם יחידות דיור, ישיבות גבוהות, חוות חקלאיות ועוד. השהות בחלופות מעצר אלו היא בתשלום באמצעות גביית גמלת הביטוח הלאומי שלה העצור</w:t>
      </w:r>
      <w:r w:rsidRPr="00D013B9">
        <w:rPr>
          <w:rFonts w:hint="cs"/>
          <w:rtl/>
          <w:lang w:eastAsia="he-IL"/>
        </w:rPr>
        <w:t xml:space="preserve"> </w:t>
      </w:r>
      <w:r w:rsidRPr="00DD762E">
        <w:rPr>
          <w:rFonts w:hint="cs"/>
          <w:rtl/>
          <w:lang w:eastAsia="he-IL"/>
        </w:rPr>
        <w:t>זכאי או בתשלום כספי אחר</w:t>
      </w:r>
      <w:r>
        <w:rPr>
          <w:rFonts w:hint="cs"/>
          <w:rtl/>
          <w:lang w:eastAsia="he-IL"/>
        </w:rPr>
        <w:t>,</w:t>
      </w:r>
      <w:r w:rsidRPr="00DD762E">
        <w:rPr>
          <w:rFonts w:hint="cs"/>
          <w:rtl/>
          <w:lang w:eastAsia="he-IL"/>
        </w:rPr>
        <w:t xml:space="preserve"> ונעה בין אלף לעשרות אלפי ש"ח בחודש. מסגרות אלו מציעות עצמן כמסגרת </w:t>
      </w:r>
      <w:r>
        <w:rPr>
          <w:rFonts w:hint="cs"/>
          <w:rtl/>
          <w:lang w:eastAsia="he-IL"/>
        </w:rPr>
        <w:t>מפקחת</w:t>
      </w:r>
      <w:r w:rsidRPr="00DD762E">
        <w:rPr>
          <w:rFonts w:hint="cs"/>
          <w:rtl/>
          <w:lang w:eastAsia="he-IL"/>
        </w:rPr>
        <w:t xml:space="preserve"> פרטית למספר גדול של עצורים וללא פיקוח ממ</w:t>
      </w:r>
      <w:r>
        <w:rPr>
          <w:rFonts w:hint="cs"/>
          <w:rtl/>
          <w:lang w:eastAsia="he-IL"/>
        </w:rPr>
        <w:t>ו</w:t>
      </w:r>
      <w:r w:rsidRPr="00DD762E">
        <w:rPr>
          <w:rFonts w:hint="cs"/>
          <w:rtl/>
          <w:lang w:eastAsia="he-IL"/>
        </w:rPr>
        <w:t>סד של המדינה.</w:t>
      </w:r>
    </w:p>
    <w:p w14:paraId="5BEB32C5" w14:textId="77777777" w:rsidR="00BA23AE" w:rsidRDefault="00BA23AE" w:rsidP="00BA23AE">
      <w:pPr>
        <w:spacing w:line="269" w:lineRule="auto"/>
        <w:ind w:left="-567"/>
        <w:rPr>
          <w:szCs w:val="20"/>
          <w:rtl/>
        </w:rPr>
      </w:pPr>
    </w:p>
    <w:p w14:paraId="6907A401" w14:textId="77777777" w:rsidR="00BA23AE" w:rsidRDefault="00BA23AE" w:rsidP="00BA23AE">
      <w:pPr>
        <w:spacing w:line="269" w:lineRule="auto"/>
        <w:ind w:left="-567"/>
        <w:rPr>
          <w:szCs w:val="20"/>
          <w:rtl/>
        </w:rPr>
      </w:pPr>
    </w:p>
    <w:p w14:paraId="652B9E8A" w14:textId="77777777" w:rsidR="00BA23AE" w:rsidRDefault="00BA23AE" w:rsidP="00BA23AE">
      <w:pPr>
        <w:spacing w:line="269" w:lineRule="auto"/>
        <w:ind w:left="-567"/>
        <w:rPr>
          <w:szCs w:val="20"/>
          <w:rtl/>
        </w:rPr>
      </w:pPr>
    </w:p>
    <w:p w14:paraId="7A37629C" w14:textId="77777777" w:rsidR="00BA23AE" w:rsidRPr="00DD762E" w:rsidRDefault="00BA23AE" w:rsidP="00B966B6">
      <w:pPr>
        <w:pStyle w:val="ad"/>
        <w:rPr>
          <w:rtl/>
        </w:rPr>
      </w:pPr>
      <w:r w:rsidRPr="00DD762E">
        <w:rPr>
          <w:rFonts w:hint="cs"/>
          <w:rtl/>
        </w:rPr>
        <w:lastRenderedPageBreak/>
        <w:t>שירות המבחן גיבש אמות מידה לבחינת חלופות פרטיות למעצר</w:t>
      </w:r>
      <w:r>
        <w:rPr>
          <w:rFonts w:hint="cs"/>
          <w:rtl/>
        </w:rPr>
        <w:t xml:space="preserve">, </w:t>
      </w:r>
      <w:r w:rsidRPr="00DD762E">
        <w:rPr>
          <w:rFonts w:hint="cs"/>
          <w:rtl/>
        </w:rPr>
        <w:t xml:space="preserve">אך עד כה </w:t>
      </w:r>
      <w:r>
        <w:rPr>
          <w:rFonts w:hint="cs"/>
          <w:rtl/>
        </w:rPr>
        <w:t xml:space="preserve">הוא </w:t>
      </w:r>
      <w:r w:rsidRPr="00DD762E">
        <w:rPr>
          <w:rFonts w:hint="cs"/>
          <w:rtl/>
        </w:rPr>
        <w:t xml:space="preserve">לא מצא מסגרת פרטית העונה על </w:t>
      </w:r>
      <w:r>
        <w:rPr>
          <w:rFonts w:hint="cs"/>
          <w:rtl/>
        </w:rPr>
        <w:t>אמות המידה שקבע</w:t>
      </w:r>
      <w:r w:rsidRPr="00DD762E">
        <w:rPr>
          <w:rFonts w:hint="cs"/>
          <w:rtl/>
        </w:rPr>
        <w:t>.</w:t>
      </w:r>
    </w:p>
    <w:p w14:paraId="54BD5239" w14:textId="77777777" w:rsidR="00BA23AE" w:rsidRPr="00DD762E" w:rsidRDefault="00BA23AE" w:rsidP="00B966B6">
      <w:pPr>
        <w:pStyle w:val="af3"/>
        <w:rPr>
          <w:rtl/>
          <w:lang w:eastAsia="he-IL"/>
        </w:rPr>
      </w:pPr>
      <w:r w:rsidRPr="00DD762E">
        <w:rPr>
          <w:rFonts w:hint="cs"/>
          <w:rtl/>
          <w:lang w:eastAsia="he-IL"/>
        </w:rPr>
        <w:t>במסגרת תפקידו</w:t>
      </w:r>
      <w:r>
        <w:rPr>
          <w:rFonts w:hint="cs"/>
          <w:rtl/>
          <w:lang w:eastAsia="he-IL"/>
        </w:rPr>
        <w:t>,</w:t>
      </w:r>
      <w:r w:rsidRPr="00DD762E">
        <w:rPr>
          <w:rFonts w:hint="cs"/>
          <w:rtl/>
          <w:lang w:eastAsia="he-IL"/>
        </w:rPr>
        <w:t xml:space="preserve"> שירות המבחן בוחן את ההתאמה של </w:t>
      </w:r>
      <w:r>
        <w:rPr>
          <w:rFonts w:hint="cs"/>
          <w:rtl/>
          <w:lang w:eastAsia="he-IL"/>
        </w:rPr>
        <w:t>מסגרות</w:t>
      </w:r>
      <w:r w:rsidRPr="00DD762E">
        <w:rPr>
          <w:rFonts w:hint="cs"/>
          <w:rtl/>
          <w:lang w:eastAsia="he-IL"/>
        </w:rPr>
        <w:t xml:space="preserve"> </w:t>
      </w:r>
      <w:r>
        <w:rPr>
          <w:rFonts w:hint="cs"/>
          <w:rtl/>
          <w:lang w:eastAsia="he-IL"/>
        </w:rPr>
        <w:t xml:space="preserve">פרטיות לשמש כחלופות מעצר, והוא </w:t>
      </w:r>
      <w:r w:rsidRPr="00DD762E">
        <w:rPr>
          <w:rFonts w:hint="cs"/>
          <w:rtl/>
          <w:lang w:eastAsia="he-IL"/>
        </w:rPr>
        <w:t xml:space="preserve">מתריע פעם אחר פעם כי אינן מתאימות: </w:t>
      </w:r>
      <w:r>
        <w:rPr>
          <w:rFonts w:hint="cs"/>
          <w:rtl/>
          <w:lang w:eastAsia="he-IL"/>
        </w:rPr>
        <w:t>למשל,</w:t>
      </w:r>
      <w:r w:rsidRPr="00DD762E">
        <w:rPr>
          <w:rFonts w:hint="cs"/>
          <w:rtl/>
          <w:lang w:eastAsia="he-IL"/>
        </w:rPr>
        <w:t xml:space="preserve"> מסגרות המחזיקות באישור משרד הבריאות לאספקת שירותים רפואיים מסוימים</w:t>
      </w:r>
      <w:r>
        <w:rPr>
          <w:rFonts w:hint="cs"/>
          <w:rtl/>
          <w:lang w:eastAsia="he-IL"/>
        </w:rPr>
        <w:t>,</w:t>
      </w:r>
      <w:r w:rsidRPr="00DD762E">
        <w:rPr>
          <w:rFonts w:hint="cs"/>
          <w:rtl/>
          <w:lang w:eastAsia="he-IL"/>
        </w:rPr>
        <w:t xml:space="preserve"> כגון אשפוזיות לגמילה מסמים</w:t>
      </w:r>
      <w:r>
        <w:rPr>
          <w:rFonts w:hint="cs"/>
          <w:rtl/>
          <w:lang w:eastAsia="he-IL"/>
        </w:rPr>
        <w:t>,</w:t>
      </w:r>
      <w:r w:rsidRPr="00DD762E">
        <w:rPr>
          <w:rFonts w:hint="cs"/>
          <w:rtl/>
          <w:lang w:eastAsia="he-IL"/>
        </w:rPr>
        <w:t xml:space="preserve"> המיועדות לאחזקת נגמלים לתקופה קצובה של שבועות</w:t>
      </w:r>
      <w:r w:rsidRPr="00D013B9">
        <w:rPr>
          <w:rFonts w:hint="cs"/>
          <w:rtl/>
          <w:lang w:eastAsia="he-IL"/>
        </w:rPr>
        <w:t xml:space="preserve"> </w:t>
      </w:r>
      <w:r w:rsidRPr="00DD762E">
        <w:rPr>
          <w:rFonts w:hint="cs"/>
          <w:rtl/>
          <w:lang w:eastAsia="he-IL"/>
        </w:rPr>
        <w:t>מספר, אך הן ממשיכות להחזיק את העצורים אף לאחר תקופת הגמילה</w:t>
      </w:r>
      <w:r>
        <w:rPr>
          <w:rFonts w:hint="cs"/>
          <w:rtl/>
          <w:lang w:eastAsia="he-IL"/>
        </w:rPr>
        <w:t>,</w:t>
      </w:r>
      <w:r w:rsidRPr="00DD762E">
        <w:rPr>
          <w:rFonts w:hint="cs"/>
          <w:rtl/>
          <w:lang w:eastAsia="he-IL"/>
        </w:rPr>
        <w:t xml:space="preserve"> מבלי לספק טיפול פסיכו</w:t>
      </w:r>
      <w:r>
        <w:rPr>
          <w:rFonts w:hint="cs"/>
          <w:rtl/>
          <w:lang w:eastAsia="he-IL"/>
        </w:rPr>
        <w:t>-</w:t>
      </w:r>
      <w:r w:rsidRPr="00DD762E">
        <w:rPr>
          <w:rFonts w:hint="cs"/>
          <w:rtl/>
          <w:lang w:eastAsia="he-IL"/>
        </w:rPr>
        <w:t xml:space="preserve">סוציאלי מתאים; מסגרות המציגות עצמן כבעלות רישיונות ממשרד הבריאות לצורך שהיית נגמלים, </w:t>
      </w:r>
      <w:r>
        <w:rPr>
          <w:rFonts w:hint="cs"/>
          <w:rtl/>
          <w:lang w:eastAsia="he-IL"/>
        </w:rPr>
        <w:t xml:space="preserve">אך </w:t>
      </w:r>
      <w:r w:rsidRPr="00DD762E">
        <w:rPr>
          <w:rFonts w:hint="cs"/>
          <w:rtl/>
          <w:lang w:eastAsia="he-IL"/>
        </w:rPr>
        <w:t>למעשה אין הן מחזיקות ברישיון כזה</w:t>
      </w:r>
      <w:r>
        <w:rPr>
          <w:rFonts w:hint="cs"/>
          <w:rtl/>
          <w:lang w:eastAsia="he-IL"/>
        </w:rPr>
        <w:t>;</w:t>
      </w:r>
      <w:r w:rsidRPr="00DD762E">
        <w:rPr>
          <w:rFonts w:hint="cs"/>
          <w:rtl/>
          <w:lang w:eastAsia="he-IL"/>
        </w:rPr>
        <w:t xml:space="preserve"> מסגרות שבהן תנאי </w:t>
      </w:r>
      <w:r>
        <w:rPr>
          <w:rFonts w:hint="cs"/>
          <w:rtl/>
          <w:lang w:eastAsia="he-IL"/>
        </w:rPr>
        <w:t>ה</w:t>
      </w:r>
      <w:r w:rsidRPr="00DD762E">
        <w:rPr>
          <w:rFonts w:hint="cs"/>
          <w:rtl/>
          <w:lang w:eastAsia="he-IL"/>
        </w:rPr>
        <w:t xml:space="preserve">מגורים ירודים; מסגרות </w:t>
      </w:r>
      <w:r>
        <w:rPr>
          <w:rFonts w:hint="cs"/>
          <w:rtl/>
          <w:lang w:eastAsia="he-IL"/>
        </w:rPr>
        <w:t>ש</w:t>
      </w:r>
      <w:r w:rsidRPr="00DD762E">
        <w:rPr>
          <w:rFonts w:hint="cs"/>
          <w:rtl/>
          <w:lang w:eastAsia="he-IL"/>
        </w:rPr>
        <w:t xml:space="preserve">בהן נמצאו המפקחים בלתי אמינים או ללא יכולת להטיל מרות ולקבוע גבולות; מסגרות </w:t>
      </w:r>
      <w:r>
        <w:rPr>
          <w:rFonts w:hint="cs"/>
          <w:rtl/>
          <w:lang w:eastAsia="he-IL"/>
        </w:rPr>
        <w:t>שבהן</w:t>
      </w:r>
      <w:r w:rsidRPr="00DD762E">
        <w:rPr>
          <w:rFonts w:hint="cs"/>
          <w:rtl/>
          <w:lang w:eastAsia="he-IL"/>
        </w:rPr>
        <w:t xml:space="preserve"> עצורים בעלי מאפייני </w:t>
      </w:r>
      <w:r>
        <w:rPr>
          <w:rFonts w:hint="cs"/>
          <w:rtl/>
          <w:lang w:eastAsia="he-IL"/>
        </w:rPr>
        <w:t>סיכון</w:t>
      </w:r>
      <w:r w:rsidRPr="00DD762E">
        <w:rPr>
          <w:rFonts w:hint="cs"/>
          <w:rtl/>
          <w:lang w:eastAsia="he-IL"/>
        </w:rPr>
        <w:t xml:space="preserve"> </w:t>
      </w:r>
      <w:r>
        <w:rPr>
          <w:rFonts w:hint="cs"/>
          <w:rtl/>
          <w:lang w:eastAsia="he-IL"/>
        </w:rPr>
        <w:t>שהחזקתם עלולה להחמיר את המסוכנות של</w:t>
      </w:r>
      <w:r w:rsidRPr="00DD762E">
        <w:rPr>
          <w:rFonts w:hint="cs"/>
          <w:rtl/>
          <w:lang w:eastAsia="he-IL"/>
        </w:rPr>
        <w:t xml:space="preserve"> עצורים</w:t>
      </w:r>
      <w:r>
        <w:rPr>
          <w:rFonts w:hint="cs"/>
          <w:rtl/>
          <w:lang w:eastAsia="he-IL"/>
        </w:rPr>
        <w:t xml:space="preserve"> אחרים</w:t>
      </w:r>
      <w:r w:rsidRPr="00DD762E">
        <w:rPr>
          <w:rFonts w:hint="cs"/>
          <w:rtl/>
          <w:lang w:eastAsia="he-IL"/>
        </w:rPr>
        <w:t xml:space="preserve"> ואף </w:t>
      </w:r>
      <w:r>
        <w:rPr>
          <w:rFonts w:hint="cs"/>
          <w:rtl/>
          <w:lang w:eastAsia="he-IL"/>
        </w:rPr>
        <w:t xml:space="preserve">להוביל </w:t>
      </w:r>
      <w:r w:rsidRPr="00DD762E">
        <w:rPr>
          <w:rFonts w:hint="cs"/>
          <w:rtl/>
          <w:lang w:eastAsia="he-IL"/>
        </w:rPr>
        <w:t>לסיכון העצורים עצמם</w:t>
      </w:r>
      <w:r>
        <w:rPr>
          <w:rFonts w:hint="cs"/>
          <w:rtl/>
          <w:lang w:eastAsia="he-IL"/>
        </w:rPr>
        <w:t>;</w:t>
      </w:r>
      <w:r w:rsidRPr="00DD762E">
        <w:rPr>
          <w:rFonts w:hint="cs"/>
          <w:rtl/>
          <w:lang w:eastAsia="he-IL"/>
        </w:rPr>
        <w:t xml:space="preserve"> מסגרות המיועדות לאזרחים שומרי חוק, </w:t>
      </w:r>
      <w:r>
        <w:rPr>
          <w:rFonts w:hint="cs"/>
          <w:rtl/>
          <w:lang w:eastAsia="he-IL"/>
        </w:rPr>
        <w:t xml:space="preserve">שאומנם </w:t>
      </w:r>
      <w:r w:rsidRPr="00DD762E">
        <w:rPr>
          <w:rFonts w:hint="cs"/>
          <w:rtl/>
          <w:lang w:eastAsia="he-IL"/>
        </w:rPr>
        <w:t>נותנות מענה לאוכלוסייה נתמכת כ</w:t>
      </w:r>
      <w:r>
        <w:rPr>
          <w:rFonts w:hint="cs"/>
          <w:rtl/>
          <w:lang w:eastAsia="he-IL"/>
        </w:rPr>
        <w:t xml:space="preserve">דוגמת </w:t>
      </w:r>
      <w:r w:rsidRPr="00DD762E">
        <w:rPr>
          <w:rFonts w:hint="cs"/>
          <w:rtl/>
          <w:lang w:eastAsia="he-IL"/>
        </w:rPr>
        <w:t xml:space="preserve">דרי רחוב, </w:t>
      </w:r>
      <w:r>
        <w:rPr>
          <w:rFonts w:hint="cs"/>
          <w:rtl/>
          <w:lang w:eastAsia="he-IL"/>
        </w:rPr>
        <w:t>אך אינן</w:t>
      </w:r>
      <w:r w:rsidRPr="00DD762E">
        <w:rPr>
          <w:rFonts w:hint="cs"/>
          <w:rtl/>
          <w:lang w:eastAsia="he-IL"/>
        </w:rPr>
        <w:t xml:space="preserve"> מתאימות לפיקוח הסמכותי הנדרש כלפי עצורי</w:t>
      </w:r>
      <w:r>
        <w:rPr>
          <w:rFonts w:hint="cs"/>
          <w:rtl/>
          <w:lang w:eastAsia="he-IL"/>
        </w:rPr>
        <w:t>ם</w:t>
      </w:r>
      <w:r w:rsidRPr="00DD762E">
        <w:rPr>
          <w:rFonts w:hint="cs"/>
          <w:rtl/>
          <w:lang w:eastAsia="he-IL"/>
        </w:rPr>
        <w:t xml:space="preserve">. </w:t>
      </w:r>
    </w:p>
    <w:p w14:paraId="1A3F2A6C" w14:textId="77777777" w:rsidR="00BA23AE" w:rsidRPr="00DD762E" w:rsidRDefault="00BA23AE" w:rsidP="00B966B6">
      <w:pPr>
        <w:pStyle w:val="af3"/>
        <w:rPr>
          <w:rtl/>
        </w:rPr>
      </w:pPr>
      <w:r w:rsidRPr="00DD762E">
        <w:rPr>
          <w:rFonts w:hint="cs"/>
          <w:rtl/>
        </w:rPr>
        <w:t>כאשר שירות המבחן נדרש על ידי בית המשפט לשוב ולבחון חלופות מעצר פרטיות, הוא נדרש להשקעת משאבים ניכרת</w:t>
      </w:r>
      <w:r>
        <w:rPr>
          <w:rFonts w:hint="cs"/>
          <w:rtl/>
        </w:rPr>
        <w:t>,</w:t>
      </w:r>
      <w:r w:rsidRPr="00DD762E">
        <w:rPr>
          <w:rFonts w:hint="cs"/>
          <w:rtl/>
        </w:rPr>
        <w:t xml:space="preserve"> ובסופו של דבר החלופה </w:t>
      </w:r>
      <w:r>
        <w:rPr>
          <w:rFonts w:hint="cs"/>
          <w:rtl/>
        </w:rPr>
        <w:t>אינה</w:t>
      </w:r>
      <w:r w:rsidRPr="00DD762E">
        <w:rPr>
          <w:rFonts w:hint="cs"/>
          <w:rtl/>
        </w:rPr>
        <w:t xml:space="preserve"> מאושרת</w:t>
      </w:r>
      <w:r>
        <w:rPr>
          <w:rFonts w:hint="cs"/>
          <w:rtl/>
        </w:rPr>
        <w:t>.</w:t>
      </w:r>
      <w:r w:rsidRPr="00DD762E">
        <w:rPr>
          <w:rFonts w:hint="cs"/>
          <w:rtl/>
        </w:rPr>
        <w:t xml:space="preserve"> </w:t>
      </w:r>
      <w:r>
        <w:rPr>
          <w:rFonts w:hint="cs"/>
          <w:rtl/>
        </w:rPr>
        <w:t xml:space="preserve">לעיתים </w:t>
      </w:r>
      <w:r w:rsidRPr="00DD762E">
        <w:rPr>
          <w:rFonts w:hint="cs"/>
          <w:rtl/>
        </w:rPr>
        <w:t xml:space="preserve">מתברר כי מסגרת שכבר נבחנה ונפסלה </w:t>
      </w:r>
      <w:r>
        <w:rPr>
          <w:rFonts w:hint="cs"/>
          <w:rtl/>
        </w:rPr>
        <w:t>בעבר</w:t>
      </w:r>
      <w:r w:rsidRPr="00DD762E">
        <w:rPr>
          <w:rFonts w:hint="cs"/>
          <w:rtl/>
        </w:rPr>
        <w:t xml:space="preserve"> החליפה את שמה</w:t>
      </w:r>
      <w:r>
        <w:rPr>
          <w:rFonts w:hint="cs"/>
          <w:rtl/>
        </w:rPr>
        <w:t>, והיא</w:t>
      </w:r>
      <w:r w:rsidRPr="00DD762E">
        <w:rPr>
          <w:rFonts w:hint="cs"/>
          <w:rtl/>
        </w:rPr>
        <w:t xml:space="preserve"> מוצגת </w:t>
      </w:r>
      <w:r>
        <w:rPr>
          <w:rFonts w:hint="cs"/>
          <w:rtl/>
        </w:rPr>
        <w:t>ב</w:t>
      </w:r>
      <w:r w:rsidRPr="00DD762E">
        <w:rPr>
          <w:rFonts w:hint="cs"/>
          <w:rtl/>
        </w:rPr>
        <w:t xml:space="preserve">שם אחר </w:t>
      </w:r>
      <w:r>
        <w:rPr>
          <w:rFonts w:hint="cs"/>
          <w:rtl/>
        </w:rPr>
        <w:t xml:space="preserve">ובסמכות </w:t>
      </w:r>
      <w:r w:rsidRPr="00DD762E">
        <w:rPr>
          <w:rFonts w:hint="cs"/>
          <w:rtl/>
        </w:rPr>
        <w:t>מנהל אחר.</w:t>
      </w:r>
    </w:p>
    <w:p w14:paraId="54EB47D6" w14:textId="77777777" w:rsidR="00BA23AE" w:rsidRPr="00DD762E" w:rsidRDefault="00BA23AE" w:rsidP="00B966B6">
      <w:pPr>
        <w:pStyle w:val="ad"/>
        <w:rPr>
          <w:rtl/>
        </w:rPr>
      </w:pPr>
      <w:r w:rsidRPr="00DD762E">
        <w:rPr>
          <w:rFonts w:hint="cs"/>
          <w:rtl/>
        </w:rPr>
        <w:t xml:space="preserve">בית המשפט הגדיר את התנאים הנדרשים לפיקוח במסגרת </w:t>
      </w:r>
      <w:r>
        <w:rPr>
          <w:rFonts w:hint="cs"/>
          <w:rtl/>
        </w:rPr>
        <w:t>שחרור בתנאים מגבילים</w:t>
      </w:r>
      <w:r w:rsidRPr="00DD762E">
        <w:rPr>
          <w:rFonts w:hint="cs"/>
          <w:rtl/>
        </w:rPr>
        <w:t xml:space="preserve">: "תפקיד הפיקוח איננו </w:t>
      </w:r>
      <w:r>
        <w:rPr>
          <w:rFonts w:hint="cs"/>
          <w:rtl/>
        </w:rPr>
        <w:t>'</w:t>
      </w:r>
      <w:r w:rsidRPr="00DD762E">
        <w:rPr>
          <w:rFonts w:hint="cs"/>
          <w:rtl/>
        </w:rPr>
        <w:t>טכני</w:t>
      </w:r>
      <w:r>
        <w:rPr>
          <w:rFonts w:hint="cs"/>
          <w:rtl/>
        </w:rPr>
        <w:t>'</w:t>
      </w:r>
      <w:r w:rsidRPr="00DD762E">
        <w:rPr>
          <w:rFonts w:hint="cs"/>
          <w:rtl/>
        </w:rPr>
        <w:t>, המפקחים אינם נדרשים אך לשהות במחיצתו של הנאשם אלא עליהם להציב גבולות אפקטיביים לנאשם. הצבת גבולות זו מצריכה מהמפקחים הבנה של הבעייתיות בהתנהגות הנאשם ושל ההשלכות הנובעות ממסוכנותו"</w:t>
      </w:r>
      <w:r w:rsidRPr="00A37F16">
        <w:rPr>
          <w:rStyle w:val="FootnoteReference"/>
          <w:rtl/>
        </w:rPr>
        <w:footnoteReference w:id="30"/>
      </w:r>
      <w:r w:rsidRPr="00DD762E">
        <w:rPr>
          <w:rFonts w:hint="cs"/>
          <w:rtl/>
        </w:rPr>
        <w:t xml:space="preserve">. הממצאים העקביים שעולים מבדיקות קציני שירות המבחן לגבי מסגרות פרטיות </w:t>
      </w:r>
      <w:r>
        <w:rPr>
          <w:rFonts w:hint="cs"/>
          <w:rtl/>
        </w:rPr>
        <w:t xml:space="preserve">(שאינן בית משפחת הנאשם) </w:t>
      </w:r>
      <w:r w:rsidRPr="00DD762E">
        <w:rPr>
          <w:rFonts w:hint="cs"/>
          <w:rtl/>
        </w:rPr>
        <w:t>המוצעות כחלופ</w:t>
      </w:r>
      <w:r>
        <w:rPr>
          <w:rFonts w:hint="cs"/>
          <w:rtl/>
        </w:rPr>
        <w:t>ו</w:t>
      </w:r>
      <w:r w:rsidRPr="00DD762E">
        <w:rPr>
          <w:rFonts w:hint="cs"/>
          <w:rtl/>
        </w:rPr>
        <w:t>ת מעצר מעורר</w:t>
      </w:r>
      <w:r>
        <w:rPr>
          <w:rFonts w:hint="cs"/>
          <w:rtl/>
        </w:rPr>
        <w:t>ים</w:t>
      </w:r>
      <w:r w:rsidRPr="00DD762E">
        <w:rPr>
          <w:rFonts w:hint="cs"/>
          <w:rtl/>
        </w:rPr>
        <w:t xml:space="preserve"> שאלה</w:t>
      </w:r>
      <w:r>
        <w:rPr>
          <w:rFonts w:hint="cs"/>
          <w:rtl/>
        </w:rPr>
        <w:t>,</w:t>
      </w:r>
      <w:r w:rsidRPr="00DD762E">
        <w:rPr>
          <w:rFonts w:hint="cs"/>
          <w:rtl/>
        </w:rPr>
        <w:t xml:space="preserve"> עד כמה </w:t>
      </w:r>
      <w:r>
        <w:rPr>
          <w:rFonts w:hint="cs"/>
          <w:rtl/>
        </w:rPr>
        <w:t>מסגרת פרטית יכולה לשמש חלופה מתאימה לשחרור בתנאים מגבילים</w:t>
      </w:r>
      <w:r w:rsidRPr="00DD762E">
        <w:rPr>
          <w:rFonts w:hint="cs"/>
          <w:rtl/>
        </w:rPr>
        <w:t xml:space="preserve">. </w:t>
      </w:r>
    </w:p>
    <w:p w14:paraId="7F343B85" w14:textId="77777777" w:rsidR="00BA23AE" w:rsidRPr="00DD762E" w:rsidRDefault="00BA23AE" w:rsidP="00B966B6">
      <w:pPr>
        <w:pStyle w:val="a1"/>
        <w:rPr>
          <w:rtl/>
          <w:lang w:eastAsia="he-IL"/>
        </w:rPr>
      </w:pPr>
      <w:r w:rsidRPr="00DD762E">
        <w:rPr>
          <w:rFonts w:hint="cs"/>
          <w:rtl/>
          <w:lang w:eastAsia="he-IL"/>
        </w:rPr>
        <w:t xml:space="preserve">לנוכח ריבוי </w:t>
      </w:r>
      <w:r>
        <w:rPr>
          <w:rFonts w:hint="cs"/>
          <w:rtl/>
          <w:lang w:eastAsia="he-IL"/>
        </w:rPr>
        <w:t>המסגרות</w:t>
      </w:r>
      <w:r w:rsidRPr="00DD762E">
        <w:rPr>
          <w:rFonts w:hint="cs"/>
          <w:rtl/>
          <w:lang w:eastAsia="he-IL"/>
        </w:rPr>
        <w:t xml:space="preserve"> הפרטיות</w:t>
      </w:r>
      <w:r>
        <w:rPr>
          <w:rFonts w:hint="cs"/>
          <w:rtl/>
          <w:lang w:eastAsia="he-IL"/>
        </w:rPr>
        <w:t xml:space="preserve"> המציעות עצמן כמסגרות לשחרור בתנאים מגבילים ללא פיקוח של שירות המבחן,</w:t>
      </w:r>
      <w:r w:rsidRPr="00DD762E">
        <w:rPr>
          <w:rFonts w:hint="cs"/>
          <w:rtl/>
          <w:lang w:eastAsia="he-IL"/>
        </w:rPr>
        <w:t xml:space="preserve"> ולנוכח היעדר </w:t>
      </w:r>
      <w:r>
        <w:rPr>
          <w:rFonts w:hint="cs"/>
          <w:rtl/>
          <w:lang w:eastAsia="he-IL"/>
        </w:rPr>
        <w:t>מסגרות</w:t>
      </w:r>
      <w:r w:rsidRPr="00DD762E">
        <w:rPr>
          <w:rFonts w:hint="cs"/>
          <w:rtl/>
          <w:lang w:eastAsia="he-IL"/>
        </w:rPr>
        <w:t xml:space="preserve"> הולמ</w:t>
      </w:r>
      <w:r>
        <w:rPr>
          <w:rFonts w:hint="cs"/>
          <w:rtl/>
          <w:lang w:eastAsia="he-IL"/>
        </w:rPr>
        <w:t>ו</w:t>
      </w:r>
      <w:r w:rsidRPr="00DD762E">
        <w:rPr>
          <w:rFonts w:hint="cs"/>
          <w:rtl/>
          <w:lang w:eastAsia="he-IL"/>
        </w:rPr>
        <w:t>ת לאוכלוסיות עצורים מורכבות, פועל שירות המבחן להקמת מסגרת ממשלתית שהת</w:t>
      </w:r>
      <w:r>
        <w:rPr>
          <w:rFonts w:hint="cs"/>
          <w:rtl/>
          <w:lang w:eastAsia="he-IL"/>
        </w:rPr>
        <w:t>ו</w:t>
      </w:r>
      <w:r w:rsidRPr="00DD762E">
        <w:rPr>
          <w:rFonts w:hint="cs"/>
          <w:rtl/>
          <w:lang w:eastAsia="he-IL"/>
        </w:rPr>
        <w:t xml:space="preserve">כניות </w:t>
      </w:r>
      <w:r>
        <w:rPr>
          <w:rFonts w:hint="cs"/>
          <w:rtl/>
          <w:lang w:eastAsia="he-IL"/>
        </w:rPr>
        <w:t>שיפעלו בה</w:t>
      </w:r>
      <w:r w:rsidRPr="00DD762E">
        <w:rPr>
          <w:rFonts w:hint="cs"/>
          <w:rtl/>
          <w:lang w:eastAsia="he-IL"/>
        </w:rPr>
        <w:t xml:space="preserve"> ישמשו כ</w:t>
      </w:r>
      <w:r>
        <w:rPr>
          <w:rFonts w:hint="cs"/>
          <w:rtl/>
          <w:lang w:eastAsia="he-IL"/>
        </w:rPr>
        <w:t xml:space="preserve">חלופות לשחרור בתנאים מגבילים </w:t>
      </w:r>
      <w:r w:rsidRPr="00DD762E">
        <w:rPr>
          <w:rFonts w:hint="cs"/>
          <w:rtl/>
          <w:lang w:eastAsia="he-IL"/>
        </w:rPr>
        <w:t xml:space="preserve">עבור האוכלוסייה המטופלת על ידי שירות המבחן. המסגרת המתוכננת מיועדת לאכלוס של כ-100 עצורים בשנה. כמו כן, </w:t>
      </w:r>
      <w:r>
        <w:rPr>
          <w:rFonts w:hint="cs"/>
          <w:rtl/>
          <w:lang w:eastAsia="he-IL"/>
        </w:rPr>
        <w:t xml:space="preserve">על פי הסיכום התקציבי, </w:t>
      </w:r>
      <w:r w:rsidRPr="00DD762E">
        <w:rPr>
          <w:rFonts w:hint="cs"/>
          <w:rtl/>
          <w:lang w:eastAsia="he-IL"/>
        </w:rPr>
        <w:t xml:space="preserve">שירות המבחן יערוך מחקר מלווה לשם הערכת המסגרת. ביום 24.10.19 אישרה ועדת המכרזים של משרד הרווחה ייזום וגיבוש </w:t>
      </w:r>
      <w:r>
        <w:rPr>
          <w:rFonts w:hint="cs"/>
          <w:rtl/>
          <w:lang w:eastAsia="he-IL"/>
        </w:rPr>
        <w:t xml:space="preserve">של </w:t>
      </w:r>
      <w:r w:rsidRPr="00DD762E">
        <w:rPr>
          <w:rFonts w:hint="cs"/>
          <w:rtl/>
          <w:lang w:eastAsia="he-IL"/>
        </w:rPr>
        <w:t xml:space="preserve">מפרט למכרז </w:t>
      </w:r>
      <w:r>
        <w:rPr>
          <w:rFonts w:hint="cs"/>
          <w:rtl/>
          <w:lang w:eastAsia="he-IL"/>
        </w:rPr>
        <w:t>ל</w:t>
      </w:r>
      <w:r w:rsidRPr="00DD762E">
        <w:rPr>
          <w:rFonts w:hint="cs"/>
          <w:rtl/>
          <w:lang w:eastAsia="he-IL"/>
        </w:rPr>
        <w:t xml:space="preserve">הקמת </w:t>
      </w:r>
      <w:r>
        <w:rPr>
          <w:rFonts w:hint="cs"/>
          <w:rtl/>
          <w:lang w:eastAsia="he-IL"/>
        </w:rPr>
        <w:t>מסגרת ממשלתית</w:t>
      </w:r>
      <w:r w:rsidRPr="00DD762E">
        <w:rPr>
          <w:rFonts w:hint="cs"/>
          <w:rtl/>
          <w:lang w:eastAsia="he-IL"/>
        </w:rPr>
        <w:t xml:space="preserve"> שיקומית לעוברי חוק עבור שירות המבחן למבוגרים.</w:t>
      </w:r>
    </w:p>
    <w:p w14:paraId="4EA34190" w14:textId="77777777" w:rsidR="00BA23AE" w:rsidRPr="00DD762E" w:rsidRDefault="00BA23AE" w:rsidP="00B966B6">
      <w:pPr>
        <w:pStyle w:val="ad"/>
        <w:rPr>
          <w:rtl/>
        </w:rPr>
      </w:pPr>
      <w:r w:rsidRPr="00DD762E">
        <w:rPr>
          <w:rFonts w:hint="cs"/>
          <w:rtl/>
        </w:rPr>
        <w:lastRenderedPageBreak/>
        <w:t>משרד מבקר המדינה רואה בחיוב את עבודת שי</w:t>
      </w:r>
      <w:r w:rsidRPr="005D1A3A">
        <w:rPr>
          <w:rFonts w:hint="cs"/>
          <w:rtl/>
        </w:rPr>
        <w:t xml:space="preserve">רות המבחן למבוגרים להקמת </w:t>
      </w:r>
      <w:r>
        <w:rPr>
          <w:rFonts w:hint="cs"/>
          <w:rtl/>
        </w:rPr>
        <w:t>מסגרת</w:t>
      </w:r>
      <w:r w:rsidRPr="005D1A3A">
        <w:rPr>
          <w:rFonts w:hint="cs"/>
          <w:rtl/>
        </w:rPr>
        <w:t xml:space="preserve"> מ</w:t>
      </w:r>
      <w:r>
        <w:rPr>
          <w:rFonts w:hint="cs"/>
          <w:rtl/>
        </w:rPr>
        <w:t xml:space="preserve">משלתית </w:t>
      </w:r>
      <w:r w:rsidRPr="005D1A3A">
        <w:rPr>
          <w:rFonts w:hint="cs"/>
          <w:rtl/>
        </w:rPr>
        <w:t xml:space="preserve">לשחרור בתנאים מגבילים. עם זאת, מוצע ששירות המבחן </w:t>
      </w:r>
      <w:r w:rsidRPr="005D1A3A">
        <w:rPr>
          <w:rFonts w:hint="eastAsia"/>
          <w:rtl/>
        </w:rPr>
        <w:t>יבחן</w:t>
      </w:r>
      <w:r w:rsidRPr="005D1A3A">
        <w:rPr>
          <w:rtl/>
        </w:rPr>
        <w:t xml:space="preserve"> </w:t>
      </w:r>
      <w:r w:rsidRPr="005D1A3A">
        <w:rPr>
          <w:rFonts w:hint="eastAsia"/>
          <w:rtl/>
        </w:rPr>
        <w:t>מחדש</w:t>
      </w:r>
      <w:r w:rsidRPr="005D1A3A">
        <w:rPr>
          <w:rtl/>
        </w:rPr>
        <w:t xml:space="preserve"> </w:t>
      </w:r>
      <w:r w:rsidRPr="005D1A3A">
        <w:rPr>
          <w:rFonts w:hint="eastAsia"/>
          <w:rtl/>
        </w:rPr>
        <w:t>את</w:t>
      </w:r>
      <w:r w:rsidRPr="005D1A3A">
        <w:rPr>
          <w:rtl/>
        </w:rPr>
        <w:t xml:space="preserve"> מתכונת </w:t>
      </w:r>
      <w:r w:rsidRPr="005D1A3A">
        <w:rPr>
          <w:rFonts w:hint="eastAsia"/>
          <w:rtl/>
        </w:rPr>
        <w:t>הפיקוח</w:t>
      </w:r>
      <w:r w:rsidRPr="005D1A3A">
        <w:rPr>
          <w:rtl/>
        </w:rPr>
        <w:t xml:space="preserve"> עבור </w:t>
      </w:r>
      <w:r w:rsidRPr="005D1A3A">
        <w:rPr>
          <w:rFonts w:hint="eastAsia"/>
          <w:rtl/>
        </w:rPr>
        <w:t>המסגרות</w:t>
      </w:r>
      <w:r w:rsidRPr="005D1A3A">
        <w:rPr>
          <w:rtl/>
        </w:rPr>
        <w:t xml:space="preserve"> הפרטיות</w:t>
      </w:r>
      <w:r>
        <w:rPr>
          <w:rFonts w:hint="cs"/>
          <w:rtl/>
        </w:rPr>
        <w:t>,</w:t>
      </w:r>
      <w:r w:rsidRPr="005D1A3A">
        <w:rPr>
          <w:rtl/>
        </w:rPr>
        <w:t xml:space="preserve"> ובכלל זה יבחן מהם הח</w:t>
      </w:r>
      <w:r w:rsidRPr="005D1A3A">
        <w:rPr>
          <w:rFonts w:hint="cs"/>
          <w:rtl/>
        </w:rPr>
        <w:t>סמים לאישור המסגרות הפרטיות ואם</w:t>
      </w:r>
      <w:r w:rsidRPr="005D1A3A">
        <w:rPr>
          <w:rtl/>
        </w:rPr>
        <w:t xml:space="preserve"> ניתן להסירם.</w:t>
      </w:r>
    </w:p>
    <w:p w14:paraId="3BDF2FFD" w14:textId="77777777" w:rsidR="00BA23AE" w:rsidRPr="00DD762E" w:rsidRDefault="00BA23AE" w:rsidP="00B966B6">
      <w:pPr>
        <w:pStyle w:val="218"/>
        <w:rPr>
          <w:rtl/>
        </w:rPr>
      </w:pPr>
      <w:bookmarkStart w:id="7" w:name="_Toc23159674"/>
      <w:bookmarkStart w:id="8" w:name="_Toc23160172"/>
      <w:bookmarkStart w:id="9" w:name="_Toc24624838"/>
      <w:r w:rsidRPr="00DD762E">
        <w:rPr>
          <w:rFonts w:hint="cs"/>
          <w:rtl/>
        </w:rPr>
        <w:t>מעצר בפיקוח אלקטרוני</w:t>
      </w:r>
      <w:bookmarkEnd w:id="7"/>
      <w:bookmarkEnd w:id="8"/>
      <w:bookmarkEnd w:id="9"/>
    </w:p>
    <w:p w14:paraId="7C40DC37" w14:textId="77777777" w:rsidR="00BA23AE" w:rsidRPr="00DD762E" w:rsidRDefault="00BA23AE" w:rsidP="00B966B6">
      <w:pPr>
        <w:pStyle w:val="316"/>
        <w:rPr>
          <w:rtl/>
        </w:rPr>
      </w:pPr>
      <w:r w:rsidRPr="00DD762E">
        <w:rPr>
          <w:rFonts w:hint="cs"/>
          <w:rtl/>
        </w:rPr>
        <w:t>רקע כללי</w:t>
      </w:r>
    </w:p>
    <w:p w14:paraId="2E9D1BB8" w14:textId="77777777" w:rsidR="00BA23AE" w:rsidRPr="00DD762E" w:rsidRDefault="00BA23AE" w:rsidP="00B966B6">
      <w:pPr>
        <w:pStyle w:val="100"/>
        <w:rPr>
          <w:rtl/>
        </w:rPr>
      </w:pPr>
      <w:r w:rsidRPr="00DD762E">
        <w:rPr>
          <w:rFonts w:hint="cs"/>
          <w:rtl/>
        </w:rPr>
        <w:t xml:space="preserve">פיקוח אלקטרוני משמעו התקנת צמיד אלקטרוני על קרסולו של המפוקח </w:t>
      </w:r>
      <w:r>
        <w:rPr>
          <w:rFonts w:hint="cs"/>
          <w:rtl/>
        </w:rPr>
        <w:t xml:space="preserve">והתקנת </w:t>
      </w:r>
      <w:r w:rsidRPr="00DD762E">
        <w:rPr>
          <w:rFonts w:hint="cs"/>
          <w:rtl/>
        </w:rPr>
        <w:t>אמצעים אלקטרוניים משלימים שנועדו לעקוב באופן רציף אחר הימצאו של המפוקח במקום הפיקוח (בית</w:t>
      </w:r>
      <w:r>
        <w:rPr>
          <w:rFonts w:hint="cs"/>
          <w:rtl/>
        </w:rPr>
        <w:t>ו</w:t>
      </w:r>
      <w:r w:rsidRPr="00DD762E">
        <w:rPr>
          <w:rFonts w:hint="cs"/>
          <w:rtl/>
        </w:rPr>
        <w:t xml:space="preserve"> או מתחם מוגדר אחר). פיקוח אלקטרוני קיים בעולם כ-30 שנה. בארה"ב אפשר לנקוט </w:t>
      </w:r>
      <w:r>
        <w:rPr>
          <w:rFonts w:hint="cs"/>
          <w:rtl/>
        </w:rPr>
        <w:t>אמצעי</w:t>
      </w:r>
      <w:r w:rsidRPr="00DD762E">
        <w:rPr>
          <w:rFonts w:hint="cs"/>
          <w:rtl/>
        </w:rPr>
        <w:t xml:space="preserve"> זה </w:t>
      </w:r>
      <w:r>
        <w:rPr>
          <w:rFonts w:hint="cs"/>
          <w:rtl/>
        </w:rPr>
        <w:t>כלפי</w:t>
      </w:r>
      <w:r w:rsidRPr="00DD762E">
        <w:rPr>
          <w:rFonts w:hint="cs"/>
          <w:rtl/>
        </w:rPr>
        <w:t xml:space="preserve"> כל מי שהוגש נגדו כתב אישום או הורשע</w:t>
      </w:r>
      <w:r>
        <w:rPr>
          <w:rFonts w:hint="cs"/>
          <w:rtl/>
        </w:rPr>
        <w:t>,</w:t>
      </w:r>
      <w:r w:rsidRPr="00DD762E">
        <w:rPr>
          <w:rFonts w:hint="cs"/>
          <w:rtl/>
        </w:rPr>
        <w:t xml:space="preserve"> למעט </w:t>
      </w:r>
      <w:r>
        <w:rPr>
          <w:rFonts w:hint="cs"/>
          <w:rtl/>
        </w:rPr>
        <w:t xml:space="preserve">בגין </w:t>
      </w:r>
      <w:r w:rsidRPr="00DD762E">
        <w:rPr>
          <w:rFonts w:hint="cs"/>
          <w:rtl/>
        </w:rPr>
        <w:t xml:space="preserve">עבירות רצח מדרגה ראשונה, עבירות מין, עבירות אלימות וסחר בסמים. בקנדה מיועד </w:t>
      </w:r>
      <w:r>
        <w:rPr>
          <w:rFonts w:hint="cs"/>
          <w:rtl/>
        </w:rPr>
        <w:t>ה</w:t>
      </w:r>
      <w:r w:rsidRPr="00DD762E">
        <w:rPr>
          <w:rFonts w:hint="cs"/>
          <w:rtl/>
        </w:rPr>
        <w:t xml:space="preserve">פיקוח </w:t>
      </w:r>
      <w:r>
        <w:rPr>
          <w:rFonts w:hint="cs"/>
          <w:rtl/>
        </w:rPr>
        <w:t>ה</w:t>
      </w:r>
      <w:r w:rsidRPr="00DD762E">
        <w:rPr>
          <w:rFonts w:hint="cs"/>
          <w:rtl/>
        </w:rPr>
        <w:t>אלקטרוני לאסירים עם מסוכנות ברף הנמוך בלבד. באירופה הפיקוח מיועד לעצירים ולאסירים עם מסוכנות ברף הנמוך</w:t>
      </w:r>
      <w:r>
        <w:rPr>
          <w:rStyle w:val="FootnoteReference"/>
          <w:rtl/>
        </w:rPr>
        <w:footnoteReference w:id="31"/>
      </w:r>
      <w:r w:rsidRPr="00DD762E">
        <w:rPr>
          <w:rFonts w:hint="cs"/>
          <w:rtl/>
        </w:rPr>
        <w:t xml:space="preserve">. </w:t>
      </w:r>
    </w:p>
    <w:p w14:paraId="31CEB547" w14:textId="77777777" w:rsidR="00BA23AE" w:rsidRPr="00DD762E" w:rsidRDefault="00BA23AE" w:rsidP="00B966B6">
      <w:pPr>
        <w:pStyle w:val="100"/>
        <w:rPr>
          <w:rtl/>
        </w:rPr>
      </w:pPr>
      <w:r w:rsidRPr="00DD762E">
        <w:rPr>
          <w:rFonts w:hint="cs"/>
          <w:rtl/>
        </w:rPr>
        <w:t>ת</w:t>
      </w:r>
      <w:r>
        <w:rPr>
          <w:rFonts w:hint="cs"/>
          <w:rtl/>
        </w:rPr>
        <w:t>ו</w:t>
      </w:r>
      <w:r w:rsidRPr="00DD762E">
        <w:rPr>
          <w:rFonts w:hint="cs"/>
          <w:rtl/>
        </w:rPr>
        <w:t xml:space="preserve">כנית הפיקוח האלקטרוני החלה </w:t>
      </w:r>
      <w:r>
        <w:rPr>
          <w:rFonts w:hint="cs"/>
          <w:rtl/>
        </w:rPr>
        <w:t>לפעול</w:t>
      </w:r>
      <w:r w:rsidRPr="00DD762E">
        <w:rPr>
          <w:rFonts w:hint="cs"/>
          <w:rtl/>
        </w:rPr>
        <w:t xml:space="preserve"> בשנת 2005. </w:t>
      </w:r>
      <w:r>
        <w:rPr>
          <w:rFonts w:hint="cs"/>
          <w:rtl/>
        </w:rPr>
        <w:t>בעשור השנים הראשונות</w:t>
      </w:r>
      <w:r w:rsidRPr="00DD762E">
        <w:rPr>
          <w:rFonts w:hint="cs"/>
          <w:rtl/>
        </w:rPr>
        <w:t xml:space="preserve"> </w:t>
      </w:r>
      <w:r>
        <w:rPr>
          <w:rFonts w:hint="cs"/>
          <w:rtl/>
        </w:rPr>
        <w:t xml:space="preserve">של התוכנית </w:t>
      </w:r>
      <w:r w:rsidRPr="00DD762E">
        <w:rPr>
          <w:rFonts w:hint="cs"/>
          <w:rtl/>
        </w:rPr>
        <w:t xml:space="preserve">נועד השימוש בפיקוח האלקטרוני </w:t>
      </w:r>
      <w:r>
        <w:rPr>
          <w:rFonts w:hint="cs"/>
          <w:rtl/>
        </w:rPr>
        <w:t>לשמש עבור</w:t>
      </w:r>
      <w:r w:rsidRPr="00DD762E">
        <w:rPr>
          <w:rFonts w:hint="cs"/>
          <w:rtl/>
        </w:rPr>
        <w:t xml:space="preserve"> שחרור ממעצר בתנאים מגבילים</w:t>
      </w:r>
      <w:r>
        <w:rPr>
          <w:rFonts w:hint="cs"/>
          <w:rtl/>
        </w:rPr>
        <w:t>, לפי התאמת העצור</w:t>
      </w:r>
      <w:r w:rsidRPr="00DD762E">
        <w:rPr>
          <w:rFonts w:hint="cs"/>
          <w:rtl/>
        </w:rPr>
        <w:t xml:space="preserve">. </w:t>
      </w:r>
      <w:r>
        <w:rPr>
          <w:rFonts w:hint="cs"/>
          <w:rtl/>
        </w:rPr>
        <w:t>במהלך השנים הוכח כי המנגנון שנועד לטפל בהפרות הפיקוח אינו יעיל בשל ההליכים הבירוקרטיים שנדרשו ומשך הזמן שחלף עד שהובא המפר לבית המשפט. הדבר פגע באפקטיביות של הטיפול בהפרה. לנוכח הניסיון המצטבר, הוחלט לשנות את הייעוד של הפיקוח האלקטרוני ולקבוע מנגנון יעיל יותר לטיפול בהפרות, על מנת לאפשר תגובה מיידית לכל הפרה של תנאי הפיקוח.</w:t>
      </w:r>
    </w:p>
    <w:p w14:paraId="2DEFA3A4" w14:textId="77777777" w:rsidR="00BA23AE" w:rsidRPr="00DD762E" w:rsidRDefault="00BA23AE" w:rsidP="00B966B6">
      <w:pPr>
        <w:pStyle w:val="100"/>
        <w:rPr>
          <w:rtl/>
        </w:rPr>
      </w:pPr>
      <w:r w:rsidRPr="00DD762E">
        <w:rPr>
          <w:rFonts w:hint="cs"/>
          <w:rtl/>
        </w:rPr>
        <w:t xml:space="preserve">בשנת 2015 (בעקבות תיקון 11 לחוק המעצרים) השתנה השימוש בפיקוח האלקטרוני </w:t>
      </w:r>
      <w:r>
        <w:rPr>
          <w:rFonts w:hint="cs"/>
          <w:rtl/>
        </w:rPr>
        <w:t>על מנת שישמש</w:t>
      </w:r>
      <w:r w:rsidRPr="00DD762E">
        <w:rPr>
          <w:rFonts w:hint="cs"/>
          <w:rtl/>
        </w:rPr>
        <w:t xml:space="preserve"> חלופת </w:t>
      </w:r>
      <w:r w:rsidRPr="00AC6A16">
        <w:rPr>
          <w:rFonts w:hint="eastAsia"/>
          <w:rtl/>
        </w:rPr>
        <w:t>כליאה</w:t>
      </w:r>
      <w:r w:rsidRPr="00DD762E">
        <w:rPr>
          <w:rFonts w:hint="cs"/>
          <w:rtl/>
        </w:rPr>
        <w:t xml:space="preserve"> לעצורים ו</w:t>
      </w:r>
      <w:r>
        <w:rPr>
          <w:rFonts w:hint="cs"/>
          <w:rtl/>
        </w:rPr>
        <w:t>ל</w:t>
      </w:r>
      <w:r w:rsidRPr="00DD762E">
        <w:rPr>
          <w:rFonts w:hint="cs"/>
          <w:rtl/>
        </w:rPr>
        <w:t xml:space="preserve">אסירים. בעקבות התיקון לחוק רשאי בית המשפט, לאחר שהורה על מעצרו של נאשם עד תום ההליכים, להורות על מעצר בפיקוח אלקטרוני </w:t>
      </w:r>
      <w:r>
        <w:rPr>
          <w:rFonts w:hint="cs"/>
          <w:rtl/>
        </w:rPr>
        <w:t>אם</w:t>
      </w:r>
      <w:r w:rsidRPr="00DD762E">
        <w:rPr>
          <w:rFonts w:hint="cs"/>
          <w:rtl/>
        </w:rPr>
        <w:t xml:space="preserve"> מצא כי בנסיבות המקרה </w:t>
      </w:r>
      <w:r>
        <w:rPr>
          <w:rFonts w:hint="cs"/>
          <w:rtl/>
        </w:rPr>
        <w:t>הדבר</w:t>
      </w:r>
      <w:r w:rsidRPr="00DD762E">
        <w:rPr>
          <w:rFonts w:hint="cs"/>
          <w:rtl/>
        </w:rPr>
        <w:t xml:space="preserve"> </w:t>
      </w:r>
      <w:r>
        <w:rPr>
          <w:rFonts w:hint="cs"/>
          <w:rtl/>
        </w:rPr>
        <w:t>ישיג את</w:t>
      </w:r>
      <w:r w:rsidRPr="00DD762E">
        <w:rPr>
          <w:rFonts w:hint="cs"/>
          <w:rtl/>
        </w:rPr>
        <w:t xml:space="preserve"> תכלית המעצר. כלי פיקוח זה נועד להרחיב את חלופות הכליאה הקיימות כיום </w:t>
      </w:r>
      <w:r>
        <w:rPr>
          <w:rFonts w:hint="cs"/>
          <w:rtl/>
        </w:rPr>
        <w:t>ולצמצם</w:t>
      </w:r>
      <w:r w:rsidRPr="00DD762E">
        <w:rPr>
          <w:rFonts w:hint="cs"/>
          <w:rtl/>
        </w:rPr>
        <w:t xml:space="preserve"> את נזקי המעצר עד תום ההליכים</w:t>
      </w:r>
      <w:r>
        <w:rPr>
          <w:rFonts w:hint="cs"/>
          <w:rtl/>
        </w:rPr>
        <w:t>,</w:t>
      </w:r>
      <w:r w:rsidRPr="00DD762E">
        <w:rPr>
          <w:rFonts w:hint="cs"/>
          <w:rtl/>
        </w:rPr>
        <w:t xml:space="preserve"> </w:t>
      </w:r>
      <w:r>
        <w:rPr>
          <w:rFonts w:hint="cs"/>
          <w:rtl/>
        </w:rPr>
        <w:t xml:space="preserve">וזאת </w:t>
      </w:r>
      <w:r w:rsidRPr="00DD762E">
        <w:rPr>
          <w:rFonts w:hint="cs"/>
          <w:rtl/>
        </w:rPr>
        <w:t xml:space="preserve">באמצעות האפשרות להמשיך </w:t>
      </w:r>
      <w:r>
        <w:rPr>
          <w:rFonts w:hint="cs"/>
          <w:rtl/>
        </w:rPr>
        <w:t>להתגורר</w:t>
      </w:r>
      <w:r w:rsidRPr="00DD762E">
        <w:rPr>
          <w:rFonts w:hint="cs"/>
          <w:rtl/>
        </w:rPr>
        <w:t xml:space="preserve"> בקרב המשפחה והקהילה (</w:t>
      </w:r>
      <w:r>
        <w:rPr>
          <w:rFonts w:hint="cs"/>
          <w:rtl/>
        </w:rPr>
        <w:t>על פי</w:t>
      </w:r>
      <w:r w:rsidRPr="00DD762E">
        <w:rPr>
          <w:rFonts w:hint="cs"/>
          <w:rtl/>
        </w:rPr>
        <w:t xml:space="preserve"> תנאי ת</w:t>
      </w:r>
      <w:r>
        <w:rPr>
          <w:rFonts w:hint="cs"/>
          <w:rtl/>
        </w:rPr>
        <w:t>ו</w:t>
      </w:r>
      <w:r w:rsidRPr="00DD762E">
        <w:rPr>
          <w:rFonts w:hint="cs"/>
          <w:rtl/>
        </w:rPr>
        <w:t xml:space="preserve">כנית הפיקוח). </w:t>
      </w:r>
    </w:p>
    <w:p w14:paraId="1E561A93" w14:textId="77777777" w:rsidR="00BA23AE" w:rsidRPr="00DD762E" w:rsidRDefault="00BA23AE" w:rsidP="00B966B6">
      <w:pPr>
        <w:pStyle w:val="100"/>
        <w:rPr>
          <w:rtl/>
        </w:rPr>
      </w:pPr>
      <w:r w:rsidRPr="00DD762E">
        <w:rPr>
          <w:rFonts w:hint="cs"/>
          <w:rtl/>
        </w:rPr>
        <w:t>במרכזו של תיקון 11 לחוק המעצרים עומד מודל מ</w:t>
      </w:r>
      <w:r>
        <w:rPr>
          <w:rFonts w:hint="cs"/>
          <w:rtl/>
        </w:rPr>
        <w:t>י</w:t>
      </w:r>
      <w:r w:rsidRPr="00DD762E">
        <w:rPr>
          <w:rFonts w:hint="cs"/>
          <w:rtl/>
        </w:rPr>
        <w:t>נהלי הכפוף לביקורת שיפוטית. עיקרו של המודל הוא שהפרה של ת</w:t>
      </w:r>
      <w:r>
        <w:rPr>
          <w:rFonts w:hint="cs"/>
          <w:rtl/>
        </w:rPr>
        <w:t>ו</w:t>
      </w:r>
      <w:r w:rsidRPr="00DD762E">
        <w:rPr>
          <w:rFonts w:hint="cs"/>
          <w:rtl/>
        </w:rPr>
        <w:t xml:space="preserve">כנית הפיקוח האלקטרוני תביא במקרים המתאימים לכך שהנאשם השוהה במעצר בפיקוח אלקטרוני יובא לשימוע </w:t>
      </w:r>
      <w:r>
        <w:rPr>
          <w:rFonts w:hint="cs"/>
          <w:rtl/>
        </w:rPr>
        <w:t>ל</w:t>
      </w:r>
      <w:r w:rsidRPr="00DD762E">
        <w:rPr>
          <w:rFonts w:hint="cs"/>
          <w:rtl/>
        </w:rPr>
        <w:t xml:space="preserve">פני הממונה על הפיקוח האלקטרוני בשב"ס או </w:t>
      </w:r>
      <w:r>
        <w:rPr>
          <w:rFonts w:hint="cs"/>
          <w:rtl/>
        </w:rPr>
        <w:lastRenderedPageBreak/>
        <w:t>ל</w:t>
      </w:r>
      <w:r w:rsidRPr="00DD762E">
        <w:rPr>
          <w:rFonts w:hint="cs"/>
          <w:rtl/>
        </w:rPr>
        <w:t>פני סוהר בכיר שהשר הסמיכו לכך, וזה יוכל להחליט על הפסקת הפיקוח האלקטרוני והמשך מעצרו במתקן כליאה. החוק קובע ביקורת שיפוטית מובנית</w:t>
      </w:r>
      <w:r>
        <w:rPr>
          <w:rFonts w:hint="cs"/>
          <w:rtl/>
        </w:rPr>
        <w:t>,</w:t>
      </w:r>
      <w:r w:rsidRPr="00DD762E">
        <w:rPr>
          <w:rFonts w:hint="cs"/>
          <w:rtl/>
        </w:rPr>
        <w:t xml:space="preserve"> </w:t>
      </w:r>
      <w:r>
        <w:rPr>
          <w:rFonts w:hint="cs"/>
          <w:rtl/>
        </w:rPr>
        <w:t>ו</w:t>
      </w:r>
      <w:r w:rsidRPr="00DD762E">
        <w:rPr>
          <w:rFonts w:hint="cs"/>
          <w:rtl/>
        </w:rPr>
        <w:t xml:space="preserve">לפיה </w:t>
      </w:r>
      <w:r>
        <w:rPr>
          <w:rFonts w:hint="cs"/>
          <w:rtl/>
        </w:rPr>
        <w:t>ב</w:t>
      </w:r>
      <w:r w:rsidRPr="00DD762E">
        <w:rPr>
          <w:rFonts w:hint="cs"/>
          <w:rtl/>
        </w:rPr>
        <w:t>תוך שלושה ימים מהחלטת הממונה על החזרה למעצר יקיים בית המשפט ביקורת שיפוטית על ההחלטה.</w:t>
      </w:r>
      <w:r>
        <w:rPr>
          <w:rFonts w:hint="cs"/>
          <w:rtl/>
        </w:rPr>
        <w:t xml:space="preserve"> ביקורת שיפוטית לקטין תיערך בתוך 36 שעות.</w:t>
      </w:r>
      <w:r w:rsidRPr="00DD762E">
        <w:rPr>
          <w:rFonts w:hint="cs"/>
          <w:rtl/>
        </w:rPr>
        <w:t xml:space="preserve"> </w:t>
      </w:r>
    </w:p>
    <w:p w14:paraId="6714E6D5" w14:textId="77777777" w:rsidR="00BA23AE" w:rsidRPr="00DD762E" w:rsidRDefault="00BA23AE" w:rsidP="00B966B6">
      <w:pPr>
        <w:pStyle w:val="100"/>
        <w:rPr>
          <w:rtl/>
        </w:rPr>
      </w:pPr>
      <w:r w:rsidRPr="00DD762E">
        <w:rPr>
          <w:rFonts w:hint="cs"/>
          <w:rtl/>
        </w:rPr>
        <w:t>לצורך ההליך המ</w:t>
      </w:r>
      <w:r>
        <w:rPr>
          <w:rFonts w:hint="cs"/>
          <w:rtl/>
        </w:rPr>
        <w:t>י</w:t>
      </w:r>
      <w:r w:rsidRPr="00DD762E">
        <w:rPr>
          <w:rFonts w:hint="cs"/>
          <w:rtl/>
        </w:rPr>
        <w:t xml:space="preserve">נהלי הוענקו </w:t>
      </w:r>
      <w:r>
        <w:rPr>
          <w:rFonts w:hint="cs"/>
          <w:rtl/>
        </w:rPr>
        <w:t>לשב"ס</w:t>
      </w:r>
      <w:r w:rsidRPr="00DD762E">
        <w:rPr>
          <w:rFonts w:hint="cs"/>
          <w:rtl/>
        </w:rPr>
        <w:t xml:space="preserve"> סמכויות שונות</w:t>
      </w:r>
      <w:r>
        <w:rPr>
          <w:rFonts w:hint="cs"/>
          <w:rtl/>
        </w:rPr>
        <w:t>,</w:t>
      </w:r>
      <w:r w:rsidRPr="00DD762E">
        <w:rPr>
          <w:rFonts w:hint="cs"/>
          <w:rtl/>
        </w:rPr>
        <w:t xml:space="preserve"> כגון ביצוע פעולות לצורך בירור </w:t>
      </w:r>
      <w:r>
        <w:rPr>
          <w:rFonts w:hint="cs"/>
          <w:rtl/>
        </w:rPr>
        <w:t xml:space="preserve">של </w:t>
      </w:r>
      <w:r w:rsidRPr="00DD762E">
        <w:rPr>
          <w:rFonts w:hint="cs"/>
          <w:rtl/>
        </w:rPr>
        <w:t xml:space="preserve">חיווי חשד להפרה </w:t>
      </w:r>
      <w:r>
        <w:rPr>
          <w:rFonts w:hint="cs"/>
          <w:rtl/>
        </w:rPr>
        <w:t>ו</w:t>
      </w:r>
      <w:r w:rsidRPr="00DD762E">
        <w:rPr>
          <w:rFonts w:hint="cs"/>
          <w:rtl/>
        </w:rPr>
        <w:t>עריכת שימוע על ידי סוהרים שהוסמכו לכך</w:t>
      </w:r>
      <w:r>
        <w:rPr>
          <w:rFonts w:hint="cs"/>
          <w:rtl/>
        </w:rPr>
        <w:t>,</w:t>
      </w:r>
      <w:r w:rsidRPr="00DD762E">
        <w:rPr>
          <w:rFonts w:hint="cs"/>
          <w:rtl/>
        </w:rPr>
        <w:t xml:space="preserve"> ובכלל זה הסמכות </w:t>
      </w:r>
      <w:r>
        <w:rPr>
          <w:rFonts w:hint="cs"/>
          <w:rtl/>
        </w:rPr>
        <w:t>להטיל מעצר על</w:t>
      </w:r>
      <w:r w:rsidRPr="00DD762E">
        <w:rPr>
          <w:rFonts w:hint="cs"/>
          <w:rtl/>
        </w:rPr>
        <w:t xml:space="preserve"> מפוקח עד 24 שעות. יחידת מעוז היא היחידה לפיקוח אלקטרוני </w:t>
      </w:r>
      <w:r>
        <w:rPr>
          <w:rFonts w:hint="cs"/>
          <w:rtl/>
        </w:rPr>
        <w:t>בשב"ס,</w:t>
      </w:r>
      <w:r w:rsidRPr="00DD762E">
        <w:rPr>
          <w:rFonts w:hint="cs"/>
          <w:rtl/>
        </w:rPr>
        <w:t xml:space="preserve"> </w:t>
      </w:r>
      <w:r>
        <w:rPr>
          <w:rFonts w:hint="cs"/>
          <w:rtl/>
        </w:rPr>
        <w:t>והיא</w:t>
      </w:r>
      <w:r w:rsidRPr="00DD762E">
        <w:rPr>
          <w:rFonts w:hint="cs"/>
          <w:rtl/>
        </w:rPr>
        <w:t xml:space="preserve"> </w:t>
      </w:r>
      <w:r>
        <w:rPr>
          <w:rFonts w:hint="cs"/>
          <w:rtl/>
        </w:rPr>
        <w:t>אחראית</w:t>
      </w:r>
      <w:r w:rsidRPr="00DD762E">
        <w:rPr>
          <w:rFonts w:hint="cs"/>
          <w:rtl/>
        </w:rPr>
        <w:t xml:space="preserve"> </w:t>
      </w:r>
      <w:r>
        <w:rPr>
          <w:rFonts w:hint="cs"/>
          <w:rtl/>
        </w:rPr>
        <w:t>ל</w:t>
      </w:r>
      <w:r w:rsidRPr="00DD762E">
        <w:rPr>
          <w:rFonts w:hint="cs"/>
          <w:rtl/>
        </w:rPr>
        <w:t xml:space="preserve">הפעלת </w:t>
      </w:r>
      <w:r>
        <w:rPr>
          <w:rFonts w:hint="cs"/>
          <w:rtl/>
        </w:rPr>
        <w:t>ה</w:t>
      </w:r>
      <w:r w:rsidRPr="00DD762E">
        <w:rPr>
          <w:rFonts w:hint="cs"/>
          <w:rtl/>
        </w:rPr>
        <w:t xml:space="preserve">סמכויות </w:t>
      </w:r>
      <w:r>
        <w:rPr>
          <w:rFonts w:hint="cs"/>
          <w:rtl/>
        </w:rPr>
        <w:t>החוקיות (להלן - יחידת מעוז). כמו כן,</w:t>
      </w:r>
      <w:r w:rsidRPr="00DD762E">
        <w:rPr>
          <w:rFonts w:hint="cs"/>
          <w:rtl/>
        </w:rPr>
        <w:t xml:space="preserve"> </w:t>
      </w:r>
      <w:r>
        <w:rPr>
          <w:rFonts w:hint="cs"/>
          <w:rtl/>
        </w:rPr>
        <w:t>היא מבקרת את</w:t>
      </w:r>
      <w:r w:rsidRPr="00DD762E">
        <w:rPr>
          <w:rFonts w:hint="cs"/>
          <w:rtl/>
        </w:rPr>
        <w:t xml:space="preserve"> הפעלת הפיקוח האלקטרוני </w:t>
      </w:r>
      <w:r>
        <w:rPr>
          <w:rFonts w:hint="cs"/>
          <w:rtl/>
        </w:rPr>
        <w:t xml:space="preserve">ואת </w:t>
      </w:r>
      <w:r w:rsidRPr="00DD762E">
        <w:rPr>
          <w:rFonts w:hint="cs"/>
          <w:rtl/>
        </w:rPr>
        <w:t xml:space="preserve">פעילות החברה המפעילה. לצורך הפעלת סמכויות אלה הוקם </w:t>
      </w:r>
      <w:r>
        <w:rPr>
          <w:rFonts w:hint="cs"/>
          <w:rtl/>
        </w:rPr>
        <w:t xml:space="preserve">ביחידה </w:t>
      </w:r>
      <w:r w:rsidRPr="00DD762E">
        <w:rPr>
          <w:rFonts w:hint="cs"/>
          <w:rtl/>
        </w:rPr>
        <w:t xml:space="preserve">מרכז שליטה ובקרה (להלן - משל"ט </w:t>
      </w:r>
      <w:r>
        <w:rPr>
          <w:rFonts w:hint="cs"/>
          <w:rtl/>
        </w:rPr>
        <w:t>היחידה</w:t>
      </w:r>
      <w:r w:rsidRPr="00DD762E">
        <w:rPr>
          <w:rFonts w:hint="cs"/>
          <w:rtl/>
        </w:rPr>
        <w:t xml:space="preserve">). היחידה </w:t>
      </w:r>
      <w:r>
        <w:rPr>
          <w:rFonts w:hint="cs"/>
          <w:rtl/>
        </w:rPr>
        <w:t xml:space="preserve">גם </w:t>
      </w:r>
      <w:r w:rsidRPr="00DD762E">
        <w:rPr>
          <w:rFonts w:hint="cs"/>
          <w:rtl/>
        </w:rPr>
        <w:t xml:space="preserve">אחראית </w:t>
      </w:r>
      <w:r>
        <w:rPr>
          <w:rFonts w:hint="cs"/>
          <w:rtl/>
        </w:rPr>
        <w:t>ל</w:t>
      </w:r>
      <w:r w:rsidRPr="00DD762E">
        <w:rPr>
          <w:rFonts w:hint="cs"/>
          <w:rtl/>
        </w:rPr>
        <w:t>קביעת ת</w:t>
      </w:r>
      <w:r>
        <w:rPr>
          <w:rFonts w:hint="cs"/>
          <w:rtl/>
        </w:rPr>
        <w:t>ו</w:t>
      </w:r>
      <w:r w:rsidRPr="00DD762E">
        <w:rPr>
          <w:rFonts w:hint="cs"/>
          <w:rtl/>
        </w:rPr>
        <w:t xml:space="preserve">כניות פרטניות לליווי סוציאלי של מפוקחים, </w:t>
      </w:r>
      <w:r>
        <w:rPr>
          <w:rFonts w:hint="cs"/>
          <w:rtl/>
        </w:rPr>
        <w:t>אחראית ל</w:t>
      </w:r>
      <w:r w:rsidRPr="00DD762E">
        <w:rPr>
          <w:rFonts w:hint="cs"/>
          <w:rtl/>
        </w:rPr>
        <w:t>פתיחת חלונות</w:t>
      </w:r>
      <w:r>
        <w:rPr>
          <w:rFonts w:hint="cs"/>
          <w:rtl/>
        </w:rPr>
        <w:t xml:space="preserve"> פיקוח</w:t>
      </w:r>
      <w:r>
        <w:rPr>
          <w:vertAlign w:val="superscript"/>
          <w:rtl/>
        </w:rPr>
        <w:footnoteReference w:id="32"/>
      </w:r>
      <w:r w:rsidRPr="00DD762E">
        <w:rPr>
          <w:rFonts w:hint="cs"/>
          <w:rtl/>
        </w:rPr>
        <w:t xml:space="preserve">, וכן </w:t>
      </w:r>
      <w:r>
        <w:rPr>
          <w:rFonts w:hint="cs"/>
          <w:rtl/>
        </w:rPr>
        <w:t xml:space="preserve">אחראית לניהול </w:t>
      </w:r>
      <w:r w:rsidRPr="00DD762E">
        <w:rPr>
          <w:rFonts w:hint="cs"/>
          <w:rtl/>
        </w:rPr>
        <w:t>מעקב אחר הפרות פיקוח ו</w:t>
      </w:r>
      <w:r>
        <w:rPr>
          <w:rFonts w:hint="cs"/>
          <w:rtl/>
        </w:rPr>
        <w:t>ל</w:t>
      </w:r>
      <w:r w:rsidRPr="00DD762E">
        <w:rPr>
          <w:rFonts w:hint="cs"/>
          <w:rtl/>
        </w:rPr>
        <w:t>ניהול המנגנון המ</w:t>
      </w:r>
      <w:r>
        <w:rPr>
          <w:rFonts w:hint="cs"/>
          <w:rtl/>
        </w:rPr>
        <w:t>י</w:t>
      </w:r>
      <w:r w:rsidRPr="00DD762E">
        <w:rPr>
          <w:rFonts w:hint="cs"/>
          <w:rtl/>
        </w:rPr>
        <w:t>נהלי להפסקת פיקוח בעקבות הפרה.</w:t>
      </w:r>
    </w:p>
    <w:p w14:paraId="17C771C4" w14:textId="77777777" w:rsidR="00BA23AE" w:rsidRPr="00DD762E" w:rsidRDefault="00BA23AE" w:rsidP="00B966B6">
      <w:pPr>
        <w:pStyle w:val="100"/>
        <w:rPr>
          <w:rtl/>
        </w:rPr>
      </w:pPr>
      <w:r w:rsidRPr="00DD762E">
        <w:rPr>
          <w:rFonts w:hint="cs"/>
          <w:rtl/>
        </w:rPr>
        <w:t>בשלב הדיון בבקשה למעצר עד תום ההליכים</w:t>
      </w:r>
      <w:r>
        <w:rPr>
          <w:rFonts w:hint="cs"/>
          <w:rtl/>
        </w:rPr>
        <w:t xml:space="preserve"> מעורבים גורמי התביעה בהליך </w:t>
      </w:r>
      <w:r w:rsidRPr="00DD762E">
        <w:rPr>
          <w:rFonts w:hint="cs"/>
          <w:rtl/>
        </w:rPr>
        <w:t>בחינת התנאים לחלופת הכליאה של העצור</w:t>
      </w:r>
      <w:r>
        <w:rPr>
          <w:rFonts w:hint="cs"/>
          <w:rtl/>
        </w:rPr>
        <w:t xml:space="preserve"> ובכל הנוגע לבקשות השונות המוגשות לבית המשפט במהלך תקופת המעצר. </w:t>
      </w:r>
      <w:r w:rsidRPr="00DD762E">
        <w:rPr>
          <w:rFonts w:hint="cs"/>
          <w:rtl/>
        </w:rPr>
        <w:t>בשלב הביקורת השיפוטית על החלטת הממונה</w:t>
      </w:r>
      <w:r>
        <w:rPr>
          <w:rFonts w:hint="cs"/>
          <w:rtl/>
        </w:rPr>
        <w:t>,</w:t>
      </w:r>
      <w:r w:rsidRPr="00DD762E">
        <w:rPr>
          <w:rFonts w:hint="cs"/>
          <w:rtl/>
        </w:rPr>
        <w:t xml:space="preserve"> התביעה מייצגת את ה</w:t>
      </w:r>
      <w:r>
        <w:rPr>
          <w:rFonts w:hint="cs"/>
          <w:rtl/>
        </w:rPr>
        <w:t xml:space="preserve">ממונה על הפיקוח האלקטרוני. </w:t>
      </w:r>
      <w:r w:rsidRPr="00DD762E">
        <w:rPr>
          <w:rFonts w:hint="cs"/>
          <w:rtl/>
        </w:rPr>
        <w:t xml:space="preserve">בית המשפט שבפניו יתקיים הדיון הוא בית המשפט שהורה מלכתחילה על </w:t>
      </w:r>
      <w:r>
        <w:rPr>
          <w:rFonts w:hint="cs"/>
          <w:rtl/>
        </w:rPr>
        <w:t>המעצר</w:t>
      </w:r>
      <w:r w:rsidRPr="00DD762E">
        <w:rPr>
          <w:rFonts w:hint="cs"/>
          <w:rtl/>
        </w:rPr>
        <w:t xml:space="preserve"> בפיקוח אלקטרוני. הנחיית פרקליט המדינה הסדירה את עבודת גורמי התביעה </w:t>
      </w:r>
      <w:r>
        <w:rPr>
          <w:rFonts w:hint="cs"/>
          <w:rtl/>
        </w:rPr>
        <w:t>בהליכי בקשות</w:t>
      </w:r>
      <w:r w:rsidRPr="00DD762E">
        <w:rPr>
          <w:rFonts w:hint="cs"/>
          <w:rtl/>
        </w:rPr>
        <w:t xml:space="preserve"> מעצר בפיקוח אלקטרוני</w:t>
      </w:r>
      <w:r>
        <w:rPr>
          <w:rFonts w:hint="cs"/>
          <w:rtl/>
        </w:rPr>
        <w:t>,</w:t>
      </w:r>
      <w:r w:rsidRPr="00DD762E">
        <w:rPr>
          <w:rFonts w:hint="cs"/>
          <w:rtl/>
        </w:rPr>
        <w:t xml:space="preserve"> וכן הסדירה את ממשק העבודה בין יחידת מעוז ובין הפרקליטות ומינהל התביעות בנוגע </w:t>
      </w:r>
      <w:r>
        <w:rPr>
          <w:rFonts w:hint="cs"/>
          <w:rtl/>
        </w:rPr>
        <w:t>ל</w:t>
      </w:r>
      <w:r w:rsidRPr="00DD762E">
        <w:rPr>
          <w:rFonts w:hint="cs"/>
          <w:rtl/>
        </w:rPr>
        <w:t>ביקורת השיפוטית</w:t>
      </w:r>
      <w:r>
        <w:rPr>
          <w:rStyle w:val="FootnoteReference"/>
          <w:rtl/>
        </w:rPr>
        <w:footnoteReference w:id="33"/>
      </w:r>
      <w:r w:rsidRPr="00DD762E">
        <w:rPr>
          <w:rFonts w:hint="cs"/>
          <w:rtl/>
        </w:rPr>
        <w:t>.</w:t>
      </w:r>
      <w:r>
        <w:rPr>
          <w:rFonts w:hint="cs"/>
          <w:rtl/>
        </w:rPr>
        <w:t xml:space="preserve"> משטרת ישראל יצרה אף היא נוהל המסדיר את טיפול גורמי התביעה בעצורים המפוקחים בפיקוח אלקטרוני.</w:t>
      </w:r>
      <w:r w:rsidRPr="00DD762E">
        <w:rPr>
          <w:rFonts w:hint="cs"/>
          <w:rtl/>
        </w:rPr>
        <w:t xml:space="preserve"> </w:t>
      </w:r>
    </w:p>
    <w:p w14:paraId="74D1DD55" w14:textId="77777777" w:rsidR="00BA23AE" w:rsidRPr="00DD762E" w:rsidRDefault="00BA23AE" w:rsidP="006F26FB">
      <w:pPr>
        <w:pStyle w:val="316"/>
        <w:rPr>
          <w:rtl/>
        </w:rPr>
      </w:pPr>
      <w:r w:rsidRPr="00DD762E">
        <w:rPr>
          <w:rFonts w:hint="cs"/>
          <w:rtl/>
        </w:rPr>
        <w:t>נתונים על מערך הפיקוח האלקטרוני</w:t>
      </w:r>
    </w:p>
    <w:p w14:paraId="4F5EDCDC" w14:textId="77777777" w:rsidR="00BA23AE" w:rsidRPr="00DD762E" w:rsidRDefault="00BA23AE" w:rsidP="006F26FB">
      <w:pPr>
        <w:pStyle w:val="a1"/>
        <w:numPr>
          <w:ilvl w:val="0"/>
          <w:numId w:val="43"/>
        </w:numPr>
        <w:rPr>
          <w:rtl/>
          <w:lang w:eastAsia="he-IL"/>
        </w:rPr>
      </w:pPr>
      <w:r>
        <w:rPr>
          <w:rFonts w:hint="cs"/>
          <w:rtl/>
          <w:lang w:eastAsia="he-IL"/>
        </w:rPr>
        <w:t>מכסת</w:t>
      </w:r>
      <w:r w:rsidRPr="00DD762E">
        <w:rPr>
          <w:rFonts w:hint="cs"/>
          <w:rtl/>
          <w:lang w:eastAsia="he-IL"/>
        </w:rPr>
        <w:t xml:space="preserve"> </w:t>
      </w:r>
      <w:r>
        <w:rPr>
          <w:rFonts w:hint="cs"/>
          <w:rtl/>
          <w:lang w:eastAsia="he-IL"/>
        </w:rPr>
        <w:t>ה</w:t>
      </w:r>
      <w:r w:rsidRPr="00DD762E">
        <w:rPr>
          <w:rFonts w:hint="cs"/>
          <w:rtl/>
          <w:lang w:eastAsia="he-IL"/>
        </w:rPr>
        <w:t xml:space="preserve">מפוקחים </w:t>
      </w:r>
      <w:r>
        <w:rPr>
          <w:rFonts w:hint="cs"/>
          <w:rtl/>
          <w:lang w:eastAsia="he-IL"/>
        </w:rPr>
        <w:t>הנתונים</w:t>
      </w:r>
      <w:r w:rsidRPr="00DD762E">
        <w:rPr>
          <w:rFonts w:hint="cs"/>
          <w:rtl/>
          <w:lang w:eastAsia="he-IL"/>
        </w:rPr>
        <w:t xml:space="preserve"> </w:t>
      </w:r>
      <w:r>
        <w:rPr>
          <w:rFonts w:hint="cs"/>
          <w:rtl/>
          <w:lang w:eastAsia="he-IL"/>
        </w:rPr>
        <w:t>ל</w:t>
      </w:r>
      <w:r w:rsidRPr="00DD762E">
        <w:rPr>
          <w:rFonts w:hint="cs"/>
          <w:rtl/>
          <w:lang w:eastAsia="he-IL"/>
        </w:rPr>
        <w:t xml:space="preserve">פיקוח אלקטרוני </w:t>
      </w:r>
      <w:r>
        <w:rPr>
          <w:rFonts w:hint="cs"/>
          <w:rtl/>
          <w:lang w:eastAsia="he-IL"/>
        </w:rPr>
        <w:t>היא</w:t>
      </w:r>
      <w:r w:rsidRPr="00DD762E">
        <w:rPr>
          <w:rFonts w:hint="cs"/>
          <w:rtl/>
          <w:lang w:eastAsia="he-IL"/>
        </w:rPr>
        <w:t xml:space="preserve"> 750 מפוקחים. </w:t>
      </w:r>
      <w:r>
        <w:rPr>
          <w:rFonts w:hint="cs"/>
          <w:rtl/>
          <w:lang w:eastAsia="he-IL"/>
        </w:rPr>
        <w:t xml:space="preserve">זאת לפי </w:t>
      </w:r>
      <w:r w:rsidRPr="00DD762E">
        <w:rPr>
          <w:rFonts w:hint="cs"/>
          <w:rtl/>
          <w:lang w:eastAsia="he-IL"/>
        </w:rPr>
        <w:t xml:space="preserve">התמהיל </w:t>
      </w:r>
      <w:r>
        <w:rPr>
          <w:rFonts w:hint="cs"/>
          <w:rtl/>
          <w:lang w:eastAsia="he-IL"/>
        </w:rPr>
        <w:t xml:space="preserve">שאישרה </w:t>
      </w:r>
      <w:r>
        <w:rPr>
          <w:rFonts w:hint="cs"/>
          <w:rtl/>
        </w:rPr>
        <w:t xml:space="preserve">ועדת ההיגוי הבין-משרדית, בראשות מנכ"ל המשרד לביטחון פנים, </w:t>
      </w:r>
      <w:r>
        <w:rPr>
          <w:rFonts w:hint="cs"/>
          <w:rtl/>
          <w:lang w:eastAsia="he-IL"/>
        </w:rPr>
        <w:t>המורכב מ-</w:t>
      </w:r>
      <w:r w:rsidRPr="00DD762E">
        <w:rPr>
          <w:rFonts w:hint="cs"/>
          <w:rtl/>
          <w:lang w:eastAsia="he-IL"/>
        </w:rPr>
        <w:t xml:space="preserve">600 </w:t>
      </w:r>
      <w:r>
        <w:rPr>
          <w:rFonts w:hint="cs"/>
          <w:rtl/>
          <w:lang w:eastAsia="he-IL"/>
        </w:rPr>
        <w:t xml:space="preserve">מערכות </w:t>
      </w:r>
      <w:r w:rsidRPr="00DD762E">
        <w:rPr>
          <w:rFonts w:hint="cs"/>
          <w:rtl/>
          <w:lang w:eastAsia="he-IL"/>
        </w:rPr>
        <w:t xml:space="preserve">אזיקים לעצורים ו-150 </w:t>
      </w:r>
      <w:r>
        <w:rPr>
          <w:rFonts w:hint="cs"/>
          <w:rtl/>
          <w:lang w:eastAsia="he-IL"/>
        </w:rPr>
        <w:t xml:space="preserve">מערכות </w:t>
      </w:r>
      <w:r w:rsidRPr="00DD762E">
        <w:rPr>
          <w:rFonts w:hint="cs"/>
          <w:rtl/>
          <w:lang w:eastAsia="he-IL"/>
        </w:rPr>
        <w:t xml:space="preserve">אזיקים לאסירים משוחררים ברישיון. </w:t>
      </w:r>
    </w:p>
    <w:p w14:paraId="448DE117" w14:textId="77777777" w:rsidR="00BA23AE" w:rsidRPr="00090F2F" w:rsidRDefault="00BA23AE" w:rsidP="006F26FB">
      <w:pPr>
        <w:pStyle w:val="a1"/>
      </w:pPr>
      <w:r>
        <w:rPr>
          <w:rFonts w:hint="cs"/>
          <w:rtl/>
        </w:rPr>
        <w:t>מאז</w:t>
      </w:r>
      <w:r w:rsidRPr="00090F2F">
        <w:rPr>
          <w:rFonts w:hint="cs"/>
          <w:rtl/>
        </w:rPr>
        <w:t xml:space="preserve"> שנת 2015 (מועד תיקון החוק) נכנסו לפיקוח </w:t>
      </w:r>
      <w:r>
        <w:rPr>
          <w:rFonts w:hint="cs"/>
          <w:rtl/>
        </w:rPr>
        <w:t>3,916</w:t>
      </w:r>
      <w:r w:rsidRPr="00090F2F">
        <w:rPr>
          <w:rFonts w:hint="cs"/>
          <w:rtl/>
        </w:rPr>
        <w:t xml:space="preserve"> מפוקחים</w:t>
      </w:r>
      <w:r>
        <w:rPr>
          <w:rFonts w:hint="cs"/>
          <w:rtl/>
        </w:rPr>
        <w:t>.</w:t>
      </w:r>
      <w:r w:rsidRPr="00090F2F">
        <w:rPr>
          <w:rFonts w:hint="cs"/>
          <w:rtl/>
        </w:rPr>
        <w:t xml:space="preserve"> הממוצע החודשי של מפוקחים </w:t>
      </w:r>
      <w:r>
        <w:rPr>
          <w:rFonts w:hint="cs"/>
          <w:rtl/>
        </w:rPr>
        <w:t xml:space="preserve">הוא </w:t>
      </w:r>
      <w:r w:rsidRPr="00090F2F">
        <w:rPr>
          <w:rFonts w:hint="cs"/>
          <w:rtl/>
        </w:rPr>
        <w:t>560 מפוקחים פעילים</w:t>
      </w:r>
      <w:r>
        <w:rPr>
          <w:rFonts w:hint="cs"/>
          <w:rtl/>
        </w:rPr>
        <w:t>,</w:t>
      </w:r>
      <w:r w:rsidRPr="00090F2F">
        <w:rPr>
          <w:rFonts w:hint="cs"/>
          <w:rtl/>
        </w:rPr>
        <w:t xml:space="preserve"> </w:t>
      </w:r>
      <w:r>
        <w:rPr>
          <w:rFonts w:hint="cs"/>
          <w:rtl/>
        </w:rPr>
        <w:t>ו</w:t>
      </w:r>
      <w:r w:rsidRPr="00090F2F">
        <w:rPr>
          <w:rFonts w:hint="cs"/>
          <w:rtl/>
        </w:rPr>
        <w:t xml:space="preserve">מתוכם בממוצע כ-80% עצורים וכ-20% אסירים. </w:t>
      </w:r>
    </w:p>
    <w:p w14:paraId="4E54631E" w14:textId="77777777" w:rsidR="00BA23AE" w:rsidRPr="00DD762E" w:rsidRDefault="00BA23AE" w:rsidP="006F26FB">
      <w:pPr>
        <w:pStyle w:val="ad"/>
        <w:rPr>
          <w:rtl/>
        </w:rPr>
      </w:pPr>
      <w:r>
        <w:rPr>
          <w:rFonts w:hint="cs"/>
          <w:rtl/>
        </w:rPr>
        <w:t>בבדיקה על פני</w:t>
      </w:r>
      <w:r w:rsidRPr="00DD762E">
        <w:rPr>
          <w:rtl/>
        </w:rPr>
        <w:t xml:space="preserve"> זמן (201</w:t>
      </w:r>
      <w:r>
        <w:rPr>
          <w:rFonts w:hint="cs"/>
          <w:rtl/>
        </w:rPr>
        <w:t xml:space="preserve">6 </w:t>
      </w:r>
      <w:r w:rsidRPr="00DD762E">
        <w:rPr>
          <w:rtl/>
        </w:rPr>
        <w:t>-</w:t>
      </w:r>
      <w:r>
        <w:rPr>
          <w:rFonts w:hint="cs"/>
          <w:rtl/>
        </w:rPr>
        <w:t xml:space="preserve"> </w:t>
      </w:r>
      <w:r w:rsidRPr="00DD762E">
        <w:rPr>
          <w:rtl/>
        </w:rPr>
        <w:t>201</w:t>
      </w:r>
      <w:r>
        <w:rPr>
          <w:rFonts w:hint="cs"/>
          <w:rtl/>
        </w:rPr>
        <w:t>9</w:t>
      </w:r>
      <w:r w:rsidRPr="00DD762E">
        <w:rPr>
          <w:rtl/>
        </w:rPr>
        <w:t>)</w:t>
      </w:r>
      <w:r>
        <w:rPr>
          <w:rFonts w:hint="cs"/>
          <w:rtl/>
        </w:rPr>
        <w:t xml:space="preserve"> </w:t>
      </w:r>
      <w:r w:rsidRPr="00DD762E">
        <w:rPr>
          <w:rFonts w:hint="eastAsia"/>
          <w:rtl/>
        </w:rPr>
        <w:t>נמצא</w:t>
      </w:r>
      <w:r w:rsidRPr="00DD762E">
        <w:rPr>
          <w:rtl/>
        </w:rPr>
        <w:t xml:space="preserve"> כי</w:t>
      </w:r>
      <w:r w:rsidRPr="00E37583">
        <w:rPr>
          <w:rtl/>
        </w:rPr>
        <w:t xml:space="preserve"> </w:t>
      </w:r>
      <w:r w:rsidRPr="00DD762E">
        <w:rPr>
          <w:rtl/>
        </w:rPr>
        <w:t>בממוצע 2</w:t>
      </w:r>
      <w:r>
        <w:rPr>
          <w:rFonts w:hint="cs"/>
          <w:rtl/>
        </w:rPr>
        <w:t>5</w:t>
      </w:r>
      <w:r w:rsidRPr="00DD762E">
        <w:rPr>
          <w:rtl/>
        </w:rPr>
        <w:t xml:space="preserve">% (כ-150) </w:t>
      </w:r>
      <w:r>
        <w:rPr>
          <w:rFonts w:hint="cs"/>
          <w:rtl/>
        </w:rPr>
        <w:t>מאמצעי הפיקוח האלקטרוני</w:t>
      </w:r>
      <w:r w:rsidRPr="00DD762E">
        <w:rPr>
          <w:rtl/>
        </w:rPr>
        <w:t xml:space="preserve"> </w:t>
      </w:r>
      <w:r w:rsidRPr="00DD762E">
        <w:rPr>
          <w:rFonts w:hint="eastAsia"/>
          <w:rtl/>
        </w:rPr>
        <w:t>לעצורים</w:t>
      </w:r>
      <w:r w:rsidRPr="00DD762E">
        <w:rPr>
          <w:rtl/>
        </w:rPr>
        <w:t xml:space="preserve"> </w:t>
      </w:r>
      <w:r>
        <w:rPr>
          <w:rFonts w:hint="cs"/>
          <w:rtl/>
        </w:rPr>
        <w:t>אינם</w:t>
      </w:r>
      <w:r w:rsidRPr="00DD762E">
        <w:rPr>
          <w:rtl/>
        </w:rPr>
        <w:t xml:space="preserve"> מנוצלים.</w:t>
      </w:r>
      <w:r w:rsidRPr="00DD762E">
        <w:rPr>
          <w:rFonts w:hint="cs"/>
          <w:rtl/>
        </w:rPr>
        <w:t xml:space="preserve"> </w:t>
      </w:r>
    </w:p>
    <w:p w14:paraId="2F6E655B" w14:textId="77777777" w:rsidR="00BA23AE" w:rsidRPr="00DD762E" w:rsidRDefault="00BA23AE" w:rsidP="006F26FB">
      <w:pPr>
        <w:pStyle w:val="af3"/>
        <w:rPr>
          <w:rtl/>
          <w:lang w:eastAsia="he-IL"/>
        </w:rPr>
      </w:pPr>
      <w:r w:rsidRPr="00DD762E">
        <w:rPr>
          <w:rFonts w:hint="cs"/>
          <w:rtl/>
          <w:lang w:eastAsia="he-IL"/>
        </w:rPr>
        <w:t xml:space="preserve">להלן התפלגות המפוקחים הפעילים לפי סוגי עבירות. </w:t>
      </w:r>
    </w:p>
    <w:p w14:paraId="7BC7FE79" w14:textId="2B758BC4" w:rsidR="00BA23AE" w:rsidRDefault="006F26FB" w:rsidP="006F26FB">
      <w:pPr>
        <w:pStyle w:val="a9"/>
        <w:bidi w:val="0"/>
        <w:rPr>
          <w:rtl/>
        </w:rPr>
      </w:pPr>
      <w:r>
        <w:rPr>
          <w:rtl/>
        </w:rPr>
        <w:br w:type="page"/>
      </w:r>
      <w:r w:rsidR="00BA23AE" w:rsidRPr="00DD762E">
        <w:rPr>
          <w:rFonts w:hint="cs"/>
          <w:rtl/>
        </w:rPr>
        <w:lastRenderedPageBreak/>
        <w:t xml:space="preserve">תרשים </w:t>
      </w:r>
      <w:r w:rsidR="00BA23AE">
        <w:rPr>
          <w:rFonts w:hint="cs"/>
          <w:rtl/>
        </w:rPr>
        <w:t>31</w:t>
      </w:r>
      <w:r w:rsidR="00BA23AE" w:rsidRPr="006F26FB">
        <w:rPr>
          <w:rFonts w:hint="cs"/>
          <w:b/>
          <w:bCs/>
          <w:rtl/>
        </w:rPr>
        <w:t>: התפלגות מספר המפוקחים הפעילים, לפי סוגי עבירות</w:t>
      </w:r>
      <w:r w:rsidR="00BA23AE" w:rsidRPr="006F26FB">
        <w:rPr>
          <w:rStyle w:val="FootnoteReference"/>
          <w:b/>
          <w:bCs/>
          <w:rtl/>
        </w:rPr>
        <w:footnoteReference w:id="34"/>
      </w:r>
      <w:r w:rsidR="00BA23AE" w:rsidRPr="006F26FB">
        <w:rPr>
          <w:rFonts w:hint="cs"/>
          <w:b/>
          <w:bCs/>
          <w:rtl/>
        </w:rPr>
        <w:t>, אוגוסט 2019</w:t>
      </w:r>
    </w:p>
    <w:p w14:paraId="427A634A" w14:textId="77777777" w:rsidR="00BA23AE" w:rsidRDefault="00BA23AE" w:rsidP="00F74F89">
      <w:pPr>
        <w:pStyle w:val="a9"/>
        <w:rPr>
          <w:rtl/>
        </w:rPr>
      </w:pPr>
      <w:r>
        <w:rPr>
          <w:noProof/>
          <w:rtl/>
        </w:rPr>
        <w:drawing>
          <wp:inline distT="0" distB="0" distL="0" distR="0" wp14:anchorId="72FA51D8" wp14:editId="0822B905">
            <wp:extent cx="4620489" cy="3045460"/>
            <wp:effectExtent l="0" t="0" r="8890" b="2540"/>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3FE71F" w14:textId="77777777" w:rsidR="00BA23AE" w:rsidRPr="00175E88" w:rsidRDefault="00BA23AE" w:rsidP="00F74F89">
      <w:pPr>
        <w:pStyle w:val="ab"/>
        <w:rPr>
          <w:rtl/>
        </w:rPr>
      </w:pPr>
      <w:r w:rsidRPr="00175E88">
        <w:rPr>
          <w:rFonts w:hint="eastAsia"/>
          <w:rtl/>
        </w:rPr>
        <w:t>על</w:t>
      </w:r>
      <w:r w:rsidRPr="00175E88">
        <w:rPr>
          <w:rtl/>
        </w:rPr>
        <w:t xml:space="preserve"> </w:t>
      </w:r>
      <w:r w:rsidRPr="00175E88">
        <w:rPr>
          <w:rFonts w:hint="eastAsia"/>
          <w:rtl/>
        </w:rPr>
        <w:t>פי</w:t>
      </w:r>
      <w:r w:rsidRPr="00175E88">
        <w:rPr>
          <w:rtl/>
        </w:rPr>
        <w:t xml:space="preserve"> </w:t>
      </w:r>
      <w:r w:rsidRPr="00175E88">
        <w:rPr>
          <w:rFonts w:hint="eastAsia"/>
          <w:rtl/>
        </w:rPr>
        <w:t>נתוני</w:t>
      </w:r>
      <w:r w:rsidRPr="00175E88">
        <w:rPr>
          <w:rtl/>
        </w:rPr>
        <w:t xml:space="preserve"> יחידת הפיקוח האלקטרוני</w:t>
      </w:r>
      <w:r w:rsidRPr="00175E88">
        <w:rPr>
          <w:rFonts w:hint="cs"/>
          <w:rtl/>
        </w:rPr>
        <w:t xml:space="preserve"> בשב"ס</w:t>
      </w:r>
      <w:r w:rsidRPr="00175E88">
        <w:rPr>
          <w:rtl/>
        </w:rPr>
        <w:t xml:space="preserve">, </w:t>
      </w:r>
      <w:r w:rsidRPr="00175E88">
        <w:rPr>
          <w:rFonts w:hint="eastAsia"/>
          <w:rtl/>
        </w:rPr>
        <w:t>בעיבוד</w:t>
      </w:r>
      <w:r w:rsidRPr="00175E88">
        <w:rPr>
          <w:rtl/>
        </w:rPr>
        <w:t xml:space="preserve"> </w:t>
      </w:r>
      <w:r w:rsidRPr="00175E88">
        <w:rPr>
          <w:rFonts w:hint="eastAsia"/>
          <w:rtl/>
        </w:rPr>
        <w:t>משרד</w:t>
      </w:r>
      <w:r w:rsidRPr="00175E88">
        <w:rPr>
          <w:rtl/>
        </w:rPr>
        <w:t xml:space="preserve"> </w:t>
      </w:r>
      <w:r w:rsidRPr="00175E88">
        <w:rPr>
          <w:rFonts w:hint="eastAsia"/>
          <w:rtl/>
        </w:rPr>
        <w:t>מבקר</w:t>
      </w:r>
      <w:r w:rsidRPr="00175E88">
        <w:rPr>
          <w:rtl/>
        </w:rPr>
        <w:t xml:space="preserve"> </w:t>
      </w:r>
      <w:r w:rsidRPr="00175E88">
        <w:rPr>
          <w:rFonts w:hint="eastAsia"/>
          <w:rtl/>
        </w:rPr>
        <w:t>המדינה</w:t>
      </w:r>
      <w:r w:rsidRPr="00175E88">
        <w:rPr>
          <w:rtl/>
        </w:rPr>
        <w:t>.</w:t>
      </w:r>
    </w:p>
    <w:p w14:paraId="616CE74C" w14:textId="6DE5DF45" w:rsidR="00BA23AE" w:rsidRPr="00DD762E" w:rsidRDefault="00BA23AE" w:rsidP="00F74F89">
      <w:pPr>
        <w:pStyle w:val="100"/>
        <w:rPr>
          <w:rtl/>
        </w:rPr>
      </w:pPr>
    </w:p>
    <w:p w14:paraId="29F235C5" w14:textId="77777777" w:rsidR="00BA23AE" w:rsidRDefault="00BA23AE" w:rsidP="00DD3543">
      <w:pPr>
        <w:pStyle w:val="af3"/>
        <w:rPr>
          <w:rtl/>
          <w:lang w:eastAsia="he-IL"/>
        </w:rPr>
      </w:pPr>
      <w:r>
        <w:rPr>
          <w:rFonts w:hint="cs"/>
          <w:rtl/>
          <w:lang w:eastAsia="he-IL"/>
        </w:rPr>
        <w:t xml:space="preserve">השימוש הנרחב ביותר באמצעי הפיקוח האלקטרוני הוא בבתי המשפט המחוזיים. ראו בתרשים: </w:t>
      </w:r>
    </w:p>
    <w:p w14:paraId="0B04F434" w14:textId="77777777" w:rsidR="00BA23AE" w:rsidRPr="00DD762E" w:rsidRDefault="00BA23AE" w:rsidP="00DD3543">
      <w:pPr>
        <w:pStyle w:val="a9"/>
        <w:rPr>
          <w:rtl/>
        </w:rPr>
      </w:pPr>
      <w:r w:rsidRPr="00DD762E">
        <w:rPr>
          <w:rFonts w:hint="cs"/>
          <w:rtl/>
        </w:rPr>
        <w:t xml:space="preserve">תרשים </w:t>
      </w:r>
      <w:r>
        <w:rPr>
          <w:rFonts w:hint="cs"/>
          <w:rtl/>
        </w:rPr>
        <w:t>32</w:t>
      </w:r>
      <w:r w:rsidRPr="00DD762E">
        <w:rPr>
          <w:rtl/>
        </w:rPr>
        <w:t xml:space="preserve">: </w:t>
      </w:r>
      <w:r w:rsidRPr="00DD3543">
        <w:rPr>
          <w:rFonts w:hint="cs"/>
          <w:b/>
          <w:bCs/>
          <w:rtl/>
        </w:rPr>
        <w:t>שיעורי המפוקחים, לפי סוג בית המשפט, אוגוסט 2019</w:t>
      </w:r>
    </w:p>
    <w:p w14:paraId="5819285C" w14:textId="77777777" w:rsidR="00BA23AE" w:rsidRPr="00DD762E" w:rsidRDefault="00BA23AE" w:rsidP="00DD3543">
      <w:pPr>
        <w:pStyle w:val="a9"/>
        <w:rPr>
          <w:rtl/>
        </w:rPr>
      </w:pPr>
      <w:r>
        <w:rPr>
          <w:noProof/>
          <w:rtl/>
        </w:rPr>
        <w:drawing>
          <wp:inline distT="0" distB="0" distL="0" distR="0" wp14:anchorId="37209782" wp14:editId="22C9F41D">
            <wp:extent cx="4504403" cy="2149903"/>
            <wp:effectExtent l="0" t="0" r="10795" b="3175"/>
            <wp:docPr id="1992297222" name="תרשים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2E3779" w14:textId="77777777" w:rsidR="00BA23AE" w:rsidRPr="005F0FF3" w:rsidRDefault="00BA23AE" w:rsidP="00DD3543">
      <w:pPr>
        <w:pStyle w:val="ab"/>
        <w:rPr>
          <w:rtl/>
        </w:rPr>
      </w:pPr>
      <w:r w:rsidRPr="005F0FF3">
        <w:rPr>
          <w:rFonts w:hint="eastAsia"/>
          <w:rtl/>
        </w:rPr>
        <w:t>על</w:t>
      </w:r>
      <w:r w:rsidRPr="005F0FF3">
        <w:rPr>
          <w:rtl/>
        </w:rPr>
        <w:t xml:space="preserve"> </w:t>
      </w:r>
      <w:r w:rsidRPr="005F0FF3">
        <w:rPr>
          <w:rFonts w:hint="eastAsia"/>
          <w:rtl/>
        </w:rPr>
        <w:t>פי</w:t>
      </w:r>
      <w:r w:rsidRPr="005F0FF3">
        <w:rPr>
          <w:rtl/>
        </w:rPr>
        <w:t xml:space="preserve"> </w:t>
      </w:r>
      <w:r w:rsidRPr="005F0FF3">
        <w:rPr>
          <w:rFonts w:hint="eastAsia"/>
          <w:rtl/>
        </w:rPr>
        <w:t>נתוני</w:t>
      </w:r>
      <w:r w:rsidRPr="005F0FF3">
        <w:rPr>
          <w:rtl/>
        </w:rPr>
        <w:t xml:space="preserve"> יחידת הפיקוח האלקטרוני</w:t>
      </w:r>
      <w:r>
        <w:rPr>
          <w:rFonts w:hint="cs"/>
          <w:rtl/>
        </w:rPr>
        <w:t xml:space="preserve"> בשב"ס</w:t>
      </w:r>
      <w:r w:rsidRPr="005F0FF3">
        <w:rPr>
          <w:rtl/>
        </w:rPr>
        <w:t xml:space="preserve">, בעיבוד </w:t>
      </w:r>
      <w:r w:rsidRPr="005F0FF3">
        <w:rPr>
          <w:rFonts w:hint="eastAsia"/>
          <w:rtl/>
        </w:rPr>
        <w:t>משרד</w:t>
      </w:r>
      <w:r w:rsidRPr="005F0FF3">
        <w:rPr>
          <w:rtl/>
        </w:rPr>
        <w:t xml:space="preserve"> </w:t>
      </w:r>
      <w:r w:rsidRPr="005F0FF3">
        <w:rPr>
          <w:rFonts w:hint="eastAsia"/>
          <w:rtl/>
        </w:rPr>
        <w:t>מבקר</w:t>
      </w:r>
      <w:r w:rsidRPr="005F0FF3">
        <w:rPr>
          <w:rtl/>
        </w:rPr>
        <w:t xml:space="preserve"> </w:t>
      </w:r>
      <w:r w:rsidRPr="005F0FF3">
        <w:rPr>
          <w:rFonts w:hint="eastAsia"/>
          <w:rtl/>
        </w:rPr>
        <w:t>המדינה</w:t>
      </w:r>
      <w:r w:rsidRPr="005F0FF3">
        <w:rPr>
          <w:rtl/>
        </w:rPr>
        <w:t>.</w:t>
      </w:r>
    </w:p>
    <w:p w14:paraId="74D767A8" w14:textId="77777777" w:rsidR="00BA23AE" w:rsidRDefault="00BA23AE" w:rsidP="00DD3543">
      <w:pPr>
        <w:pStyle w:val="a1"/>
        <w:rPr>
          <w:lang w:eastAsia="he-IL"/>
        </w:rPr>
      </w:pPr>
      <w:r w:rsidRPr="00DD762E">
        <w:rPr>
          <w:rFonts w:hint="cs"/>
          <w:rtl/>
          <w:lang w:eastAsia="he-IL"/>
        </w:rPr>
        <w:lastRenderedPageBreak/>
        <w:t>מיחידת מעוז נמסר כי כ-36% מן המפוקחים נכנסו לת</w:t>
      </w:r>
      <w:r>
        <w:rPr>
          <w:rFonts w:hint="cs"/>
          <w:rtl/>
          <w:lang w:eastAsia="he-IL"/>
        </w:rPr>
        <w:t>ו</w:t>
      </w:r>
      <w:r w:rsidRPr="00DD762E">
        <w:rPr>
          <w:rFonts w:hint="cs"/>
          <w:rtl/>
          <w:lang w:eastAsia="he-IL"/>
        </w:rPr>
        <w:t>כנית בגין עבירות ש</w:t>
      </w:r>
      <w:r>
        <w:rPr>
          <w:rFonts w:hint="cs"/>
          <w:rtl/>
          <w:lang w:eastAsia="he-IL"/>
        </w:rPr>
        <w:t>חוק המעצרים</w:t>
      </w:r>
      <w:r w:rsidRPr="00DD762E">
        <w:rPr>
          <w:rFonts w:hint="cs"/>
          <w:rtl/>
          <w:lang w:eastAsia="he-IL"/>
        </w:rPr>
        <w:t xml:space="preserve"> הגדיר כעבירות חריגות</w:t>
      </w:r>
      <w:r>
        <w:rPr>
          <w:rStyle w:val="FootnoteReference"/>
          <w:rFonts w:eastAsia="Times New Roman"/>
          <w:rtl/>
          <w:lang w:eastAsia="he-IL"/>
        </w:rPr>
        <w:footnoteReference w:id="35"/>
      </w:r>
      <w:r w:rsidRPr="00DD762E">
        <w:rPr>
          <w:rFonts w:hint="cs"/>
          <w:rtl/>
          <w:lang w:eastAsia="he-IL"/>
        </w:rPr>
        <w:t>. עם זאת, לא נרשם אחוז הפרות שונה בקרב מפוקחים אלה בהשוואה למפוקחים בגין עבירות אחרות. להלן הנתונים על אודות הפרות תנאי הפיקוח האלקטרוני</w:t>
      </w:r>
      <w:r>
        <w:rPr>
          <w:rFonts w:hint="cs"/>
          <w:rtl/>
          <w:lang w:eastAsia="he-IL"/>
        </w:rPr>
        <w:t xml:space="preserve"> בידי</w:t>
      </w:r>
      <w:r w:rsidRPr="00416119">
        <w:rPr>
          <w:rFonts w:hint="cs"/>
          <w:rtl/>
          <w:lang w:eastAsia="he-IL"/>
        </w:rPr>
        <w:t xml:space="preserve"> </w:t>
      </w:r>
      <w:r w:rsidRPr="00DD762E">
        <w:rPr>
          <w:rFonts w:hint="cs"/>
          <w:rtl/>
          <w:lang w:eastAsia="he-IL"/>
        </w:rPr>
        <w:t>מפוקחים</w:t>
      </w:r>
      <w:r>
        <w:rPr>
          <w:rFonts w:hint="cs"/>
          <w:rtl/>
          <w:lang w:eastAsia="he-IL"/>
        </w:rPr>
        <w:t xml:space="preserve"> והתנהגות המפוקחים לאורך השנים 2019-2017</w:t>
      </w:r>
      <w:r w:rsidRPr="00DD762E">
        <w:rPr>
          <w:rFonts w:hint="cs"/>
          <w:rtl/>
          <w:lang w:eastAsia="he-IL"/>
        </w:rPr>
        <w:t xml:space="preserve">: </w:t>
      </w:r>
    </w:p>
    <w:p w14:paraId="3BB6C441" w14:textId="77777777" w:rsidR="00BA23AE" w:rsidRPr="00DD3543" w:rsidRDefault="00BA23AE" w:rsidP="00DD3543">
      <w:pPr>
        <w:pStyle w:val="a9"/>
        <w:rPr>
          <w:b/>
          <w:bCs/>
          <w:rtl/>
        </w:rPr>
      </w:pPr>
      <w:r w:rsidRPr="00DD762E">
        <w:rPr>
          <w:rFonts w:hint="cs"/>
          <w:rtl/>
        </w:rPr>
        <w:t xml:space="preserve">תרשים </w:t>
      </w:r>
      <w:r>
        <w:rPr>
          <w:rFonts w:hint="cs"/>
          <w:rtl/>
        </w:rPr>
        <w:t>33</w:t>
      </w:r>
      <w:r w:rsidRPr="00DD762E">
        <w:rPr>
          <w:rtl/>
        </w:rPr>
        <w:t xml:space="preserve">: </w:t>
      </w:r>
      <w:r w:rsidRPr="00DD3543">
        <w:rPr>
          <w:rFonts w:hint="cs"/>
          <w:b/>
          <w:bCs/>
          <w:rtl/>
        </w:rPr>
        <w:t>הפרות של תנאי הפיקוח האלקטרוני והטיפול בהן</w:t>
      </w:r>
    </w:p>
    <w:p w14:paraId="6D93D81D" w14:textId="77777777" w:rsidR="00BA23AE" w:rsidRDefault="00BA23AE" w:rsidP="00DD3543">
      <w:pPr>
        <w:pStyle w:val="a9"/>
        <w:rPr>
          <w:rtl/>
        </w:rPr>
      </w:pPr>
      <w:r>
        <w:rPr>
          <w:noProof/>
          <w:rtl/>
        </w:rPr>
        <w:drawing>
          <wp:inline distT="0" distB="0" distL="0" distR="0" wp14:anchorId="44106741" wp14:editId="7321D87F">
            <wp:extent cx="3248005" cy="3718206"/>
            <wp:effectExtent l="0" t="0" r="0" b="0"/>
            <wp:docPr id="1992297216" name="תמונה 199229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16" name="תרשים הפרות פקאל.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5412" cy="3726686"/>
                    </a:xfrm>
                    <a:prstGeom prst="rect">
                      <a:avLst/>
                    </a:prstGeom>
                  </pic:spPr>
                </pic:pic>
              </a:graphicData>
            </a:graphic>
          </wp:inline>
        </w:drawing>
      </w:r>
    </w:p>
    <w:p w14:paraId="5BD6BCF4" w14:textId="77777777" w:rsidR="00BA23AE" w:rsidRPr="00175E88" w:rsidRDefault="00BA23AE" w:rsidP="00DD3543">
      <w:pPr>
        <w:pStyle w:val="ab"/>
        <w:rPr>
          <w:rtl/>
        </w:rPr>
      </w:pPr>
      <w:r w:rsidRPr="00175E88">
        <w:rPr>
          <w:rFonts w:hint="eastAsia"/>
          <w:rtl/>
        </w:rPr>
        <w:t>על</w:t>
      </w:r>
      <w:r w:rsidRPr="00175E88">
        <w:rPr>
          <w:rtl/>
        </w:rPr>
        <w:t xml:space="preserve"> פי נתוני </w:t>
      </w:r>
      <w:r w:rsidRPr="00175E88">
        <w:rPr>
          <w:rFonts w:hint="eastAsia"/>
          <w:rtl/>
        </w:rPr>
        <w:t>יחידת</w:t>
      </w:r>
      <w:r w:rsidRPr="00175E88">
        <w:rPr>
          <w:rtl/>
        </w:rPr>
        <w:t xml:space="preserve"> </w:t>
      </w:r>
      <w:r w:rsidRPr="00175E88">
        <w:rPr>
          <w:rFonts w:hint="eastAsia"/>
          <w:rtl/>
        </w:rPr>
        <w:t>הפיקוח</w:t>
      </w:r>
      <w:r w:rsidRPr="00175E88">
        <w:rPr>
          <w:rtl/>
        </w:rPr>
        <w:t xml:space="preserve"> </w:t>
      </w:r>
      <w:r w:rsidRPr="00175E88">
        <w:rPr>
          <w:rFonts w:hint="eastAsia"/>
          <w:rtl/>
        </w:rPr>
        <w:t>האלקטרוני</w:t>
      </w:r>
      <w:r w:rsidRPr="00175E88">
        <w:rPr>
          <w:rFonts w:hint="cs"/>
          <w:rtl/>
        </w:rPr>
        <w:t xml:space="preserve"> בשב"ס</w:t>
      </w:r>
      <w:r w:rsidRPr="00175E88">
        <w:rPr>
          <w:rtl/>
        </w:rPr>
        <w:t xml:space="preserve">, </w:t>
      </w:r>
      <w:r w:rsidRPr="00175E88">
        <w:rPr>
          <w:rFonts w:hint="eastAsia"/>
          <w:rtl/>
        </w:rPr>
        <w:t>בעיבוד</w:t>
      </w:r>
      <w:r w:rsidRPr="00175E88">
        <w:rPr>
          <w:rtl/>
        </w:rPr>
        <w:t xml:space="preserve"> </w:t>
      </w:r>
      <w:r w:rsidRPr="00175E88">
        <w:rPr>
          <w:rFonts w:hint="eastAsia"/>
          <w:rtl/>
        </w:rPr>
        <w:t>משרד</w:t>
      </w:r>
      <w:r w:rsidRPr="00175E88">
        <w:rPr>
          <w:rtl/>
        </w:rPr>
        <w:t xml:space="preserve"> </w:t>
      </w:r>
      <w:r w:rsidRPr="00175E88">
        <w:rPr>
          <w:rFonts w:hint="eastAsia"/>
          <w:rtl/>
        </w:rPr>
        <w:t>מבקר</w:t>
      </w:r>
      <w:r w:rsidRPr="00175E88">
        <w:rPr>
          <w:rtl/>
        </w:rPr>
        <w:t xml:space="preserve"> </w:t>
      </w:r>
      <w:r w:rsidRPr="00175E88">
        <w:rPr>
          <w:rFonts w:hint="eastAsia"/>
          <w:rtl/>
        </w:rPr>
        <w:t>המדינה</w:t>
      </w:r>
      <w:r w:rsidRPr="00175E88">
        <w:rPr>
          <w:rtl/>
        </w:rPr>
        <w:t>.</w:t>
      </w:r>
    </w:p>
    <w:p w14:paraId="581BD68C" w14:textId="26B85E1D" w:rsidR="00DD3543" w:rsidRDefault="00DD3543">
      <w:pPr>
        <w:bidi w:val="0"/>
        <w:spacing w:after="200" w:line="276" w:lineRule="auto"/>
        <w:rPr>
          <w:rtl/>
        </w:rPr>
      </w:pPr>
      <w:r>
        <w:rPr>
          <w:rtl/>
        </w:rPr>
        <w:br w:type="page"/>
      </w:r>
    </w:p>
    <w:p w14:paraId="3F02A701" w14:textId="77777777" w:rsidR="00BA23AE" w:rsidRPr="00D11C6E" w:rsidRDefault="00BA23AE" w:rsidP="00D11C6E">
      <w:pPr>
        <w:pStyle w:val="a9"/>
        <w:rPr>
          <w:b/>
          <w:bCs/>
          <w:rtl/>
        </w:rPr>
      </w:pPr>
      <w:r w:rsidRPr="00DD762E">
        <w:rPr>
          <w:rFonts w:hint="cs"/>
          <w:rtl/>
        </w:rPr>
        <w:lastRenderedPageBreak/>
        <w:t xml:space="preserve">תרשים </w:t>
      </w:r>
      <w:r>
        <w:rPr>
          <w:rFonts w:hint="cs"/>
          <w:rtl/>
        </w:rPr>
        <w:t>34</w:t>
      </w:r>
      <w:r w:rsidRPr="00DD762E">
        <w:rPr>
          <w:rtl/>
        </w:rPr>
        <w:t xml:space="preserve">: </w:t>
      </w:r>
      <w:r w:rsidRPr="00D11C6E">
        <w:rPr>
          <w:rFonts w:hint="cs"/>
          <w:b/>
          <w:bCs/>
          <w:rtl/>
        </w:rPr>
        <w:t>התנהגות מפוקחים 2017 - 2019</w:t>
      </w:r>
    </w:p>
    <w:p w14:paraId="63CDABA6" w14:textId="77777777" w:rsidR="00BA23AE" w:rsidRPr="00520C13" w:rsidRDefault="00BA23AE" w:rsidP="00D11C6E">
      <w:pPr>
        <w:pStyle w:val="a9"/>
        <w:rPr>
          <w:rtl/>
        </w:rPr>
      </w:pPr>
      <w:r>
        <w:rPr>
          <w:noProof/>
          <w:rtl/>
        </w:rPr>
        <w:drawing>
          <wp:inline distT="0" distB="0" distL="0" distR="0" wp14:anchorId="2FDA4E25" wp14:editId="5CD36290">
            <wp:extent cx="4884538" cy="2849569"/>
            <wp:effectExtent l="0" t="0" r="11430" b="8255"/>
            <wp:docPr id="1992297225" name="תרשים 1992297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3EFAC9" w14:textId="77777777" w:rsidR="00BA23AE" w:rsidRDefault="00BA23AE" w:rsidP="00D11C6E">
      <w:pPr>
        <w:pStyle w:val="ab"/>
        <w:rPr>
          <w:szCs w:val="20"/>
          <w:rtl/>
        </w:rPr>
      </w:pPr>
      <w:r w:rsidRPr="00A01F85">
        <w:rPr>
          <w:rFonts w:hint="eastAsia"/>
          <w:rtl/>
        </w:rPr>
        <w:t>על</w:t>
      </w:r>
      <w:r w:rsidRPr="00A01F85">
        <w:rPr>
          <w:rtl/>
        </w:rPr>
        <w:t xml:space="preserve"> פי נתוני </w:t>
      </w:r>
      <w:r w:rsidRPr="00A01F85">
        <w:rPr>
          <w:rFonts w:hint="eastAsia"/>
          <w:rtl/>
        </w:rPr>
        <w:t>יחידת</w:t>
      </w:r>
      <w:r w:rsidRPr="00A01F85">
        <w:rPr>
          <w:rtl/>
        </w:rPr>
        <w:t xml:space="preserve"> </w:t>
      </w:r>
      <w:r w:rsidRPr="00A01F85">
        <w:rPr>
          <w:rFonts w:hint="eastAsia"/>
          <w:rtl/>
        </w:rPr>
        <w:t>הפיקוח</w:t>
      </w:r>
      <w:r w:rsidRPr="00A01F85">
        <w:rPr>
          <w:rtl/>
        </w:rPr>
        <w:t xml:space="preserve"> </w:t>
      </w:r>
      <w:r w:rsidRPr="00A01F85">
        <w:rPr>
          <w:rFonts w:hint="eastAsia"/>
          <w:rtl/>
        </w:rPr>
        <w:t>האלקטרוני</w:t>
      </w:r>
      <w:r>
        <w:rPr>
          <w:rFonts w:hint="cs"/>
          <w:rtl/>
        </w:rPr>
        <w:t xml:space="preserve"> בשב"ס.</w:t>
      </w:r>
    </w:p>
    <w:p w14:paraId="5F27D80B" w14:textId="592D3932" w:rsidR="00BA23AE" w:rsidRPr="00DD762E" w:rsidRDefault="00BA23AE" w:rsidP="00D11C6E">
      <w:pPr>
        <w:pStyle w:val="af3"/>
        <w:rPr>
          <w:rtl/>
        </w:rPr>
      </w:pPr>
    </w:p>
    <w:p w14:paraId="169814D6" w14:textId="77777777" w:rsidR="00BA23AE" w:rsidRPr="00DD762E" w:rsidRDefault="00BA23AE" w:rsidP="00D11C6E">
      <w:pPr>
        <w:pStyle w:val="af3"/>
        <w:rPr>
          <w:rtl/>
        </w:rPr>
      </w:pPr>
      <w:r>
        <w:rPr>
          <w:rFonts w:eastAsia="Times New Roman" w:hint="cs"/>
          <w:rtl/>
          <w:lang w:eastAsia="he-IL"/>
        </w:rPr>
        <w:t xml:space="preserve">מיחידת מעוז נמסר כי 31 </w:t>
      </w:r>
      <w:r w:rsidRPr="00DD762E">
        <w:rPr>
          <w:rFonts w:eastAsia="Times New Roman" w:hint="cs"/>
          <w:rtl/>
          <w:lang w:eastAsia="he-IL"/>
        </w:rPr>
        <w:t xml:space="preserve">מפוקחים ברחו ממקום הפיקוח מאז נכנס לתוקפו התיקון לחוק. </w:t>
      </w:r>
      <w:r w:rsidRPr="00DD762E">
        <w:rPr>
          <w:rFonts w:hint="cs"/>
          <w:rtl/>
        </w:rPr>
        <w:t>מן הנתוני</w:t>
      </w:r>
      <w:r>
        <w:rPr>
          <w:rFonts w:hint="cs"/>
          <w:rtl/>
        </w:rPr>
        <w:t>ם שלעיל עולה כי לאורך השנים, עלה מספר המפוקחים שלא הפרו את תנאי הפיקוח וכן עלה מספר המפוקחים שלא חזר והפר פעם נוספת לאחר שההפרה טופלה בידי יחידת מעוז. מכאן, שהטיפול באירועי ההפרה מונע אצל מרבית המפוקחים הפרה חוזרת</w:t>
      </w:r>
      <w:r w:rsidRPr="00DD762E">
        <w:rPr>
          <w:rFonts w:hint="cs"/>
          <w:rtl/>
        </w:rPr>
        <w:t xml:space="preserve">. נתונים אלו עולים בקנה אחד עם מחקר שנערך בקליפורניה ופורסם בדצמבר 2018, </w:t>
      </w:r>
      <w:r>
        <w:rPr>
          <w:rFonts w:hint="cs"/>
          <w:rtl/>
        </w:rPr>
        <w:t>ש</w:t>
      </w:r>
      <w:r w:rsidRPr="00DD762E">
        <w:rPr>
          <w:rFonts w:hint="cs"/>
          <w:rtl/>
        </w:rPr>
        <w:t xml:space="preserve">השווה </w:t>
      </w:r>
      <w:r>
        <w:rPr>
          <w:rFonts w:hint="cs"/>
          <w:rtl/>
        </w:rPr>
        <w:t>בין</w:t>
      </w:r>
      <w:r w:rsidRPr="00DD762E">
        <w:rPr>
          <w:rFonts w:hint="cs"/>
          <w:rtl/>
        </w:rPr>
        <w:t xml:space="preserve"> ההפרות של נאשמים המשוחררים בתנאים מגבילים </w:t>
      </w:r>
      <w:r>
        <w:rPr>
          <w:rFonts w:hint="cs"/>
          <w:rtl/>
        </w:rPr>
        <w:t>ובין</w:t>
      </w:r>
      <w:r w:rsidRPr="00DD762E">
        <w:rPr>
          <w:rFonts w:hint="cs"/>
          <w:rtl/>
        </w:rPr>
        <w:t xml:space="preserve"> </w:t>
      </w:r>
      <w:r>
        <w:rPr>
          <w:rFonts w:hint="cs"/>
          <w:rtl/>
        </w:rPr>
        <w:t>ה</w:t>
      </w:r>
      <w:r w:rsidRPr="00DD762E">
        <w:rPr>
          <w:rFonts w:hint="cs"/>
          <w:rtl/>
        </w:rPr>
        <w:t>הפרות של מפוקחים בפיקוח אלקטרוני</w:t>
      </w:r>
      <w:r>
        <w:rPr>
          <w:rStyle w:val="FootnoteReference"/>
          <w:rtl/>
        </w:rPr>
        <w:footnoteReference w:id="36"/>
      </w:r>
      <w:r w:rsidRPr="00DD762E">
        <w:rPr>
          <w:rFonts w:hint="cs"/>
          <w:rtl/>
        </w:rPr>
        <w:t>. המחקר מצא כי שיעור ההפרות של מפוקחים בפיקוח אלקטרוני נמוך בצורה מובהקת לעומת שיעור ההפרות של</w:t>
      </w:r>
      <w:r>
        <w:rPr>
          <w:rFonts w:hint="cs"/>
          <w:rtl/>
        </w:rPr>
        <w:t xml:space="preserve"> </w:t>
      </w:r>
      <w:r w:rsidRPr="00DD762E">
        <w:rPr>
          <w:rFonts w:hint="cs"/>
          <w:rtl/>
        </w:rPr>
        <w:t>משוחררים בתנאים מגבילים.</w:t>
      </w:r>
    </w:p>
    <w:p w14:paraId="103B3596" w14:textId="77777777" w:rsidR="00BA23AE" w:rsidRPr="00DD762E" w:rsidRDefault="00BA23AE" w:rsidP="00D11C6E">
      <w:pPr>
        <w:pStyle w:val="af3"/>
        <w:rPr>
          <w:rtl/>
          <w:lang w:eastAsia="he-IL"/>
        </w:rPr>
      </w:pPr>
      <w:r w:rsidRPr="00DD762E">
        <w:rPr>
          <w:rFonts w:hint="cs"/>
          <w:rtl/>
          <w:lang w:eastAsia="he-IL"/>
        </w:rPr>
        <w:t>במהלך שנת 2018 נפתחו 20,962 חלונות פיקוח</w:t>
      </w:r>
      <w:r>
        <w:rPr>
          <w:rFonts w:hint="cs"/>
          <w:rtl/>
          <w:lang w:eastAsia="he-IL"/>
        </w:rPr>
        <w:t xml:space="preserve">, </w:t>
      </w:r>
      <w:r w:rsidRPr="00DD762E">
        <w:rPr>
          <w:rFonts w:hint="cs"/>
          <w:rtl/>
          <w:lang w:eastAsia="he-IL"/>
        </w:rPr>
        <w:t>חלקם קבועים וחלקם חד</w:t>
      </w:r>
      <w:r>
        <w:rPr>
          <w:rFonts w:hint="cs"/>
          <w:rtl/>
          <w:lang w:eastAsia="he-IL"/>
        </w:rPr>
        <w:t>-</w:t>
      </w:r>
      <w:r w:rsidRPr="00DD762E">
        <w:rPr>
          <w:rFonts w:hint="cs"/>
          <w:rtl/>
          <w:lang w:eastAsia="he-IL"/>
        </w:rPr>
        <w:t>פעמיים. המעקב אחר החלטות פתיחת החלונות הוא קריטי לעבודת היחידה</w:t>
      </w:r>
      <w:r>
        <w:rPr>
          <w:rFonts w:hint="cs"/>
          <w:rtl/>
          <w:lang w:eastAsia="he-IL"/>
        </w:rPr>
        <w:t>,</w:t>
      </w:r>
      <w:r w:rsidRPr="00DD762E">
        <w:rPr>
          <w:rFonts w:hint="cs"/>
          <w:rtl/>
          <w:lang w:eastAsia="he-IL"/>
        </w:rPr>
        <w:t xml:space="preserve"> כיוון שכל יציאה של מפוקח שאינה בהתאם לחלונות מציגה חיווי של הפרה במערכת המעקב. </w:t>
      </w:r>
      <w:r>
        <w:rPr>
          <w:rFonts w:hint="cs"/>
          <w:rtl/>
          <w:lang w:eastAsia="he-IL"/>
        </w:rPr>
        <w:t>ל</w:t>
      </w:r>
      <w:r w:rsidRPr="00DD762E">
        <w:rPr>
          <w:rFonts w:hint="cs"/>
          <w:rtl/>
          <w:lang w:eastAsia="he-IL"/>
        </w:rPr>
        <w:t>מעקב זה אחראי משרד הרישום של יחידת מעוז.</w:t>
      </w:r>
    </w:p>
    <w:p w14:paraId="32025236" w14:textId="77777777" w:rsidR="00BA23AE" w:rsidRPr="002E7B8B" w:rsidRDefault="00BA23AE" w:rsidP="00D11C6E">
      <w:pPr>
        <w:pStyle w:val="ad"/>
        <w:rPr>
          <w:rtl/>
        </w:rPr>
      </w:pPr>
      <w:r w:rsidRPr="002E7B8B">
        <w:rPr>
          <w:rFonts w:hint="cs"/>
          <w:rtl/>
        </w:rPr>
        <w:lastRenderedPageBreak/>
        <w:t>נמצא כי גורמים שונים אינם מקפידים לעדכן את משרד הרישום על החלטות להוציא מפוקחים לצרכים שונים. למשל, מפקדת יחידת מעוז העירה למשטרת ישראל על הוצאת מפוקחים לחקירות ללא עדכון משל"ט היחידה, וכן הצביעה על היעדר הסדרה של הרשאות מתאימות למערכת נט המשפט, תופעות היוצרות פערים בין החלטות שיפוטיות ובין המידע המגיע למערכת המשל"ט. הסדרת פתיחת חלונות יציאה נדרשת גם משירות המבחן לצורך השתתפות המפוקחים בקבוצות טיפוליות.</w:t>
      </w:r>
    </w:p>
    <w:p w14:paraId="349497EB" w14:textId="77777777" w:rsidR="00BA23AE" w:rsidRPr="00DD762E" w:rsidRDefault="00BA23AE" w:rsidP="00D11C6E">
      <w:pPr>
        <w:pStyle w:val="af3"/>
        <w:rPr>
          <w:rtl/>
        </w:rPr>
      </w:pPr>
      <w:r>
        <w:rPr>
          <w:rFonts w:hint="cs"/>
          <w:rtl/>
        </w:rPr>
        <w:t>אגף החקירות ב</w:t>
      </w:r>
      <w:r w:rsidRPr="00DD762E">
        <w:rPr>
          <w:rFonts w:hint="cs"/>
          <w:rtl/>
        </w:rPr>
        <w:t>משטרת ישראל החל בעבודה על נוהל המסדיר את תפקיד</w:t>
      </w:r>
      <w:r>
        <w:rPr>
          <w:rFonts w:hint="cs"/>
          <w:rtl/>
        </w:rPr>
        <w:t xml:space="preserve"> היחידות החוקרות </w:t>
      </w:r>
      <w:r w:rsidRPr="00DD762E">
        <w:rPr>
          <w:rFonts w:hint="cs"/>
          <w:rtl/>
        </w:rPr>
        <w:t>באכיפת מערך הפיקוח האלקטרוני</w:t>
      </w:r>
      <w:r>
        <w:rPr>
          <w:rFonts w:hint="cs"/>
          <w:rtl/>
        </w:rPr>
        <w:t>.</w:t>
      </w:r>
      <w:r w:rsidRPr="00DD762E">
        <w:rPr>
          <w:rFonts w:hint="cs"/>
          <w:rtl/>
        </w:rPr>
        <w:t xml:space="preserve"> בין היתר, הנוהל נועד להסדיר את סדרי העבודה בין תחנות המשטרה ובין משרד הרישום בנוגע להוצאת מפוקחים לחקירות. </w:t>
      </w:r>
    </w:p>
    <w:p w14:paraId="44E7A0FD" w14:textId="77777777" w:rsidR="00BA23AE" w:rsidRDefault="00BA23AE" w:rsidP="00D11C6E">
      <w:pPr>
        <w:pStyle w:val="ad"/>
        <w:rPr>
          <w:rtl/>
        </w:rPr>
      </w:pPr>
      <w:r w:rsidRPr="00DD762E">
        <w:rPr>
          <w:rFonts w:hint="cs"/>
          <w:rtl/>
        </w:rPr>
        <w:t>נמצא כי עד לסיום עבודת הביקורת</w:t>
      </w:r>
      <w:r>
        <w:rPr>
          <w:rFonts w:hint="cs"/>
          <w:rtl/>
        </w:rPr>
        <w:t xml:space="preserve"> </w:t>
      </w:r>
      <w:r w:rsidRPr="00DD762E">
        <w:rPr>
          <w:rFonts w:hint="cs"/>
          <w:rtl/>
        </w:rPr>
        <w:t>לא הושלם גיבוש נוהל</w:t>
      </w:r>
      <w:r>
        <w:rPr>
          <w:rFonts w:hint="cs"/>
          <w:rtl/>
        </w:rPr>
        <w:t xml:space="preserve"> המסדיר את סדרי העבודה בין היחידות החוקרות בתחנות ובין יחידת מעוז. במצב דברים זה הצדדים מתנהלים</w:t>
      </w:r>
      <w:r w:rsidRPr="004F61E3">
        <w:rPr>
          <w:rtl/>
        </w:rPr>
        <w:t xml:space="preserve"> לפי </w:t>
      </w:r>
      <w:r w:rsidRPr="004F61E3">
        <w:rPr>
          <w:rFonts w:hint="eastAsia"/>
          <w:rtl/>
        </w:rPr>
        <w:t>טיוטה</w:t>
      </w:r>
      <w:r w:rsidRPr="004F61E3">
        <w:rPr>
          <w:rtl/>
        </w:rPr>
        <w:t xml:space="preserve"> שטרם אושרה</w:t>
      </w:r>
      <w:r w:rsidRPr="00DD762E">
        <w:rPr>
          <w:rFonts w:hint="cs"/>
          <w:rtl/>
        </w:rPr>
        <w:t>.</w:t>
      </w:r>
    </w:p>
    <w:p w14:paraId="7E55A7C4" w14:textId="77777777" w:rsidR="00BA23AE" w:rsidRDefault="00BA23AE" w:rsidP="00D11C6E">
      <w:pPr>
        <w:pStyle w:val="ad"/>
        <w:rPr>
          <w:rtl/>
        </w:rPr>
      </w:pPr>
      <w:r w:rsidRPr="00DD762E">
        <w:rPr>
          <w:rFonts w:hint="cs"/>
          <w:rtl/>
        </w:rPr>
        <w:t>משרד מבקר המדינה רואה בחיוב את עבודת יחידת מעוז</w:t>
      </w:r>
      <w:r>
        <w:rPr>
          <w:rFonts w:hint="cs"/>
          <w:rtl/>
        </w:rPr>
        <w:t>,</w:t>
      </w:r>
      <w:r w:rsidRPr="00DD762E">
        <w:rPr>
          <w:rFonts w:hint="cs"/>
          <w:rtl/>
        </w:rPr>
        <w:t xml:space="preserve"> </w:t>
      </w:r>
      <w:r>
        <w:rPr>
          <w:rFonts w:hint="cs"/>
          <w:rtl/>
        </w:rPr>
        <w:t xml:space="preserve">העוקבת אחר </w:t>
      </w:r>
      <w:r w:rsidRPr="00DD762E">
        <w:rPr>
          <w:rFonts w:hint="cs"/>
          <w:rtl/>
        </w:rPr>
        <w:t>אירועי ההפרה</w:t>
      </w:r>
      <w:r w:rsidRPr="00416119">
        <w:rPr>
          <w:rFonts w:hint="cs"/>
          <w:rtl/>
        </w:rPr>
        <w:t xml:space="preserve"> </w:t>
      </w:r>
      <w:r>
        <w:rPr>
          <w:rFonts w:hint="cs"/>
          <w:rtl/>
        </w:rPr>
        <w:t>ומפקחת</w:t>
      </w:r>
      <w:r w:rsidRPr="00DD762E">
        <w:rPr>
          <w:rFonts w:hint="cs"/>
          <w:rtl/>
        </w:rPr>
        <w:t xml:space="preserve"> על</w:t>
      </w:r>
      <w:r>
        <w:rPr>
          <w:rFonts w:hint="cs"/>
          <w:rtl/>
        </w:rPr>
        <w:t>יהם</w:t>
      </w:r>
      <w:r w:rsidRPr="00DD762E">
        <w:rPr>
          <w:rFonts w:hint="cs"/>
          <w:rtl/>
        </w:rPr>
        <w:t xml:space="preserve">. עם זאת, על כלל הגורמים </w:t>
      </w:r>
      <w:r>
        <w:rPr>
          <w:rFonts w:hint="cs"/>
          <w:rtl/>
        </w:rPr>
        <w:t>ש</w:t>
      </w:r>
      <w:r w:rsidRPr="00DD762E">
        <w:rPr>
          <w:rFonts w:hint="cs"/>
          <w:rtl/>
        </w:rPr>
        <w:t xml:space="preserve">במערך הפיקוח האלקטרוני לפעול להסדרת הממשק </w:t>
      </w:r>
      <w:r>
        <w:rPr>
          <w:rFonts w:hint="cs"/>
          <w:rtl/>
        </w:rPr>
        <w:t>עם</w:t>
      </w:r>
      <w:r w:rsidRPr="00DD762E">
        <w:rPr>
          <w:rFonts w:hint="cs"/>
          <w:rtl/>
        </w:rPr>
        <w:t xml:space="preserve"> משרד הרישום </w:t>
      </w:r>
      <w:r>
        <w:rPr>
          <w:rFonts w:hint="cs"/>
          <w:rtl/>
        </w:rPr>
        <w:t>כדי</w:t>
      </w:r>
      <w:r w:rsidRPr="00DD762E">
        <w:rPr>
          <w:rFonts w:hint="cs"/>
          <w:rtl/>
        </w:rPr>
        <w:t xml:space="preserve"> לצמצם את חיוויי ההפרה הנובעים מפער בעדכון משרד הרישום. מוצע לבחון הקמת מערכת ממוחשבת</w:t>
      </w:r>
      <w:r>
        <w:rPr>
          <w:rFonts w:hint="cs"/>
          <w:rtl/>
        </w:rPr>
        <w:t>,</w:t>
      </w:r>
      <w:r w:rsidRPr="00DD762E">
        <w:rPr>
          <w:rFonts w:hint="cs"/>
          <w:rtl/>
        </w:rPr>
        <w:t xml:space="preserve"> או </w:t>
      </w:r>
      <w:r>
        <w:rPr>
          <w:rFonts w:hint="cs"/>
          <w:rtl/>
        </w:rPr>
        <w:t xml:space="preserve">למצוא </w:t>
      </w:r>
      <w:r w:rsidRPr="00DD762E">
        <w:rPr>
          <w:rFonts w:hint="cs"/>
          <w:rtl/>
        </w:rPr>
        <w:t xml:space="preserve">פתרון </w:t>
      </w:r>
      <w:r>
        <w:rPr>
          <w:rFonts w:hint="cs"/>
          <w:rtl/>
        </w:rPr>
        <w:t xml:space="preserve">מסוג </w:t>
      </w:r>
      <w:r w:rsidRPr="00DD762E">
        <w:rPr>
          <w:rFonts w:hint="cs"/>
          <w:rtl/>
        </w:rPr>
        <w:t>אחר שיקל על העברת הדיווחים.</w:t>
      </w:r>
    </w:p>
    <w:p w14:paraId="4A6546AF" w14:textId="77777777" w:rsidR="00BA23AE" w:rsidRPr="00DD762E" w:rsidRDefault="00BA23AE" w:rsidP="00D11C6E">
      <w:pPr>
        <w:pStyle w:val="316"/>
        <w:rPr>
          <w:rFonts w:eastAsiaTheme="majorEastAsia"/>
          <w:rtl/>
        </w:rPr>
      </w:pPr>
      <w:r w:rsidRPr="00DD762E">
        <w:rPr>
          <w:rFonts w:eastAsiaTheme="majorEastAsia" w:hint="cs"/>
          <w:rtl/>
        </w:rPr>
        <w:t>שימוש גורמי התביעה באמצעי הפיקוח האלקטרוני כחלופת מעצר</w:t>
      </w:r>
    </w:p>
    <w:p w14:paraId="2C35FDFC" w14:textId="77777777" w:rsidR="00BA23AE" w:rsidRPr="00DD762E" w:rsidRDefault="00BA23AE" w:rsidP="00D11C6E">
      <w:pPr>
        <w:pStyle w:val="100"/>
        <w:rPr>
          <w:rtl/>
        </w:rPr>
      </w:pPr>
      <w:r w:rsidRPr="00DD762E">
        <w:rPr>
          <w:rFonts w:hint="cs"/>
          <w:rtl/>
        </w:rPr>
        <w:t xml:space="preserve">צוות התביעה המליץ לגורמי התביעה לשקול </w:t>
      </w:r>
      <w:r>
        <w:rPr>
          <w:rFonts w:hint="cs"/>
          <w:rtl/>
        </w:rPr>
        <w:t>את ה</w:t>
      </w:r>
      <w:r w:rsidRPr="00DD762E">
        <w:rPr>
          <w:rFonts w:hint="cs"/>
          <w:rtl/>
        </w:rPr>
        <w:t xml:space="preserve">שימוש במעצר בפיקוח אלקטרוני במקרים המתאימים וכאשר יש בפיקוח האלקטרוני כדי לאיין את מסוכנותו של הנאשם. צוות התביעה הקפיד לציין כי ההמלצה לשקול שימוש בפיקוח האלקטרוני היא </w:t>
      </w:r>
      <w:r>
        <w:rPr>
          <w:rFonts w:hint="cs"/>
          <w:rtl/>
        </w:rPr>
        <w:t>כש</w:t>
      </w:r>
      <w:r w:rsidRPr="00DD762E">
        <w:rPr>
          <w:rFonts w:hint="cs"/>
          <w:rtl/>
        </w:rPr>
        <w:t>הנאשם ביקש שימוש בחלופה זו</w:t>
      </w:r>
      <w:r>
        <w:rPr>
          <w:rFonts w:hint="cs"/>
          <w:rtl/>
        </w:rPr>
        <w:t>,</w:t>
      </w:r>
      <w:r w:rsidRPr="00DD762E">
        <w:rPr>
          <w:rFonts w:hint="cs"/>
          <w:rtl/>
        </w:rPr>
        <w:t xml:space="preserve"> ולא כיוזמה מצד התביעה. </w:t>
      </w:r>
    </w:p>
    <w:p w14:paraId="52CE8E99" w14:textId="64EC814E" w:rsidR="00D11C6E" w:rsidRDefault="00BA23AE" w:rsidP="00D11C6E">
      <w:pPr>
        <w:pStyle w:val="100"/>
        <w:rPr>
          <w:rtl/>
        </w:rPr>
      </w:pPr>
      <w:r w:rsidRPr="00DD762E">
        <w:rPr>
          <w:rFonts w:hint="cs"/>
          <w:rtl/>
        </w:rPr>
        <w:t xml:space="preserve">עד </w:t>
      </w:r>
      <w:r>
        <w:rPr>
          <w:rFonts w:hint="cs"/>
          <w:rtl/>
        </w:rPr>
        <w:t>שנת 2019</w:t>
      </w:r>
      <w:r w:rsidRPr="00DD762E">
        <w:rPr>
          <w:rFonts w:hint="cs"/>
          <w:rtl/>
        </w:rPr>
        <w:t xml:space="preserve"> הייתה הנחיית פרקליט המדינה </w:t>
      </w:r>
      <w:r>
        <w:rPr>
          <w:rFonts w:hint="cs"/>
          <w:rtl/>
        </w:rPr>
        <w:t>ש</w:t>
      </w:r>
      <w:r w:rsidRPr="00DD762E">
        <w:rPr>
          <w:rFonts w:hint="cs"/>
          <w:rtl/>
        </w:rPr>
        <w:t xml:space="preserve">רק </w:t>
      </w:r>
      <w:r>
        <w:rPr>
          <w:rFonts w:hint="cs"/>
          <w:rtl/>
        </w:rPr>
        <w:t>בדיונים</w:t>
      </w:r>
      <w:r w:rsidRPr="00DD762E">
        <w:rPr>
          <w:rFonts w:hint="cs"/>
          <w:rtl/>
        </w:rPr>
        <w:t xml:space="preserve"> </w:t>
      </w:r>
      <w:r>
        <w:rPr>
          <w:rFonts w:hint="cs"/>
          <w:rtl/>
        </w:rPr>
        <w:t>ש</w:t>
      </w:r>
      <w:r w:rsidRPr="00DD762E">
        <w:rPr>
          <w:rFonts w:hint="cs"/>
          <w:rtl/>
        </w:rPr>
        <w:t>בהם נראה לתובע כי השופט נוטה שלא לעצור את הנאשם, אלא מתכוון לקבוע חלופת מעצר, על התובע להיערך ולעמוד על תנאים חלופיים שיהיה בהם כדי להשיג את חלופת המעצר</w:t>
      </w:r>
      <w:r>
        <w:rPr>
          <w:vertAlign w:val="superscript"/>
          <w:rtl/>
        </w:rPr>
        <w:footnoteReference w:id="37"/>
      </w:r>
      <w:r w:rsidRPr="00DD762E">
        <w:rPr>
          <w:rFonts w:hint="cs"/>
          <w:rtl/>
        </w:rPr>
        <w:t>. בחודש יוני 2019 עדכן פרקליט המדינה את ההנחיה</w:t>
      </w:r>
      <w:r>
        <w:rPr>
          <w:rFonts w:hint="cs"/>
          <w:rtl/>
        </w:rPr>
        <w:t>,</w:t>
      </w:r>
      <w:r w:rsidRPr="00DD762E">
        <w:rPr>
          <w:rFonts w:hint="cs"/>
          <w:rtl/>
        </w:rPr>
        <w:t xml:space="preserve"> וקבע כי על התובע להציע חלופת מעצר כבר בכותרת בקשת המעצר, </w:t>
      </w:r>
      <w:r>
        <w:rPr>
          <w:rFonts w:hint="cs"/>
          <w:rtl/>
        </w:rPr>
        <w:t>כשמדובר בתיק</w:t>
      </w:r>
      <w:r w:rsidRPr="00DD762E">
        <w:rPr>
          <w:rFonts w:hint="cs"/>
          <w:rtl/>
        </w:rPr>
        <w:t xml:space="preserve"> שבו ניתן לשקול בחיוב את אפשרות שחרורו של נאשם לחלופת מעצר</w:t>
      </w:r>
      <w:r>
        <w:rPr>
          <w:vertAlign w:val="superscript"/>
          <w:rtl/>
        </w:rPr>
        <w:footnoteReference w:id="38"/>
      </w:r>
      <w:r w:rsidRPr="00DD762E">
        <w:rPr>
          <w:rFonts w:hint="cs"/>
          <w:rtl/>
        </w:rPr>
        <w:t>.</w:t>
      </w:r>
    </w:p>
    <w:p w14:paraId="602973C3" w14:textId="77777777" w:rsidR="00D11C6E" w:rsidRDefault="00D11C6E">
      <w:pPr>
        <w:bidi w:val="0"/>
        <w:spacing w:after="200" w:line="276" w:lineRule="auto"/>
        <w:rPr>
          <w:rFonts w:ascii="Tahoma" w:hAnsi="Tahoma" w:cs="Tahoma"/>
          <w:szCs w:val="20"/>
          <w:rtl/>
        </w:rPr>
      </w:pPr>
      <w:r>
        <w:rPr>
          <w:rtl/>
        </w:rPr>
        <w:br w:type="page"/>
      </w:r>
    </w:p>
    <w:p w14:paraId="3A0EBC67" w14:textId="77777777" w:rsidR="00BA23AE" w:rsidRDefault="00BA23AE" w:rsidP="00D11C6E">
      <w:pPr>
        <w:pStyle w:val="af4"/>
        <w:rPr>
          <w:rtl/>
        </w:rPr>
      </w:pPr>
      <w:r w:rsidRPr="00DD762E">
        <w:rPr>
          <w:rFonts w:hint="cs"/>
          <w:rtl/>
        </w:rPr>
        <w:lastRenderedPageBreak/>
        <w:t>משרד מבקר המדינה רואה בחיוב את התיקון בהנחיית פרקליט המדינה</w:t>
      </w:r>
      <w:r>
        <w:rPr>
          <w:rFonts w:hint="cs"/>
          <w:rtl/>
        </w:rPr>
        <w:t>,</w:t>
      </w:r>
      <w:r w:rsidRPr="00DD762E">
        <w:rPr>
          <w:rFonts w:hint="cs"/>
          <w:rtl/>
        </w:rPr>
        <w:t xml:space="preserve"> המטיל את היוזמה להגשת בקשות לשחרור בתנאים מגבילים על גורמי התביעה. תיקון זה תומך במסקנות צוות התביעה שנועדו ליצור את השינוי התפיסתי לגבי תפקידו של התובע במערך השיקום ומניעת החמרת הפשיעה. מוצע לבחון תיקון דומה גם בהנחיית פרקליט המדינה לשימוש בפיקוח האלקטרוני.</w:t>
      </w:r>
    </w:p>
    <w:p w14:paraId="7AD6C979" w14:textId="77777777" w:rsidR="00BA23AE" w:rsidRPr="00D11C6E" w:rsidRDefault="00BA23AE" w:rsidP="00D11C6E">
      <w:pPr>
        <w:pStyle w:val="a9"/>
        <w:rPr>
          <w:b/>
          <w:bCs/>
          <w:rtl/>
        </w:rPr>
      </w:pPr>
      <w:r w:rsidRPr="00DD762E">
        <w:rPr>
          <w:rFonts w:hint="cs"/>
          <w:rtl/>
        </w:rPr>
        <w:t xml:space="preserve">תרשים </w:t>
      </w:r>
      <w:r>
        <w:rPr>
          <w:rFonts w:hint="cs"/>
          <w:rtl/>
        </w:rPr>
        <w:t>35</w:t>
      </w:r>
      <w:r w:rsidRPr="00DD762E">
        <w:rPr>
          <w:rFonts w:hint="cs"/>
          <w:rtl/>
        </w:rPr>
        <w:t xml:space="preserve">: </w:t>
      </w:r>
      <w:r w:rsidRPr="00D11C6E">
        <w:rPr>
          <w:rFonts w:hint="cs"/>
          <w:b/>
          <w:bCs/>
          <w:rtl/>
        </w:rPr>
        <w:t>מפוקחים, לפי סוג העבירה ומחוז התביעה, אוגוסט 2019</w:t>
      </w:r>
    </w:p>
    <w:p w14:paraId="1CFC26CA" w14:textId="77777777" w:rsidR="00BA23AE" w:rsidRPr="00DD762E" w:rsidRDefault="00BA23AE" w:rsidP="00D11C6E">
      <w:pPr>
        <w:pStyle w:val="a9"/>
        <w:rPr>
          <w:rtl/>
        </w:rPr>
      </w:pPr>
      <w:r w:rsidRPr="000E268A">
        <w:rPr>
          <w:noProof/>
        </w:rPr>
        <w:t xml:space="preserve"> </w:t>
      </w:r>
      <w:r>
        <w:rPr>
          <w:noProof/>
          <w:rtl/>
        </w:rPr>
        <w:drawing>
          <wp:inline distT="0" distB="0" distL="0" distR="0" wp14:anchorId="1ADB952D" wp14:editId="74F6A926">
            <wp:extent cx="4572000" cy="3240024"/>
            <wp:effectExtent l="0" t="0" r="0" b="0"/>
            <wp:docPr id="1992297217" name="תמונה 19922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17" name="תרשים גורמי תביעה פקאל.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240024"/>
                    </a:xfrm>
                    <a:prstGeom prst="rect">
                      <a:avLst/>
                    </a:prstGeom>
                  </pic:spPr>
                </pic:pic>
              </a:graphicData>
            </a:graphic>
          </wp:inline>
        </w:drawing>
      </w:r>
    </w:p>
    <w:p w14:paraId="1068C25E" w14:textId="77777777" w:rsidR="00BA23AE" w:rsidRPr="00A01F85" w:rsidRDefault="00BA23AE" w:rsidP="00D11C6E">
      <w:pPr>
        <w:pStyle w:val="ab"/>
        <w:rPr>
          <w:rtl/>
        </w:rPr>
      </w:pPr>
      <w:r w:rsidRPr="00A01F85">
        <w:rPr>
          <w:rFonts w:hint="eastAsia"/>
          <w:rtl/>
        </w:rPr>
        <w:t>על</w:t>
      </w:r>
      <w:r w:rsidRPr="00A01F85">
        <w:rPr>
          <w:rtl/>
        </w:rPr>
        <w:t xml:space="preserve"> </w:t>
      </w:r>
      <w:r w:rsidRPr="00A01F85">
        <w:rPr>
          <w:rFonts w:hint="eastAsia"/>
          <w:rtl/>
        </w:rPr>
        <w:t>פי</w:t>
      </w:r>
      <w:r w:rsidRPr="00A01F85">
        <w:rPr>
          <w:rtl/>
        </w:rPr>
        <w:t xml:space="preserve"> </w:t>
      </w:r>
      <w:r w:rsidRPr="00A01F85">
        <w:rPr>
          <w:rFonts w:hint="eastAsia"/>
          <w:rtl/>
        </w:rPr>
        <w:t>נתוני</w:t>
      </w:r>
      <w:r w:rsidRPr="00A01F85">
        <w:rPr>
          <w:rtl/>
        </w:rPr>
        <w:t xml:space="preserve"> </w:t>
      </w:r>
      <w:r w:rsidRPr="00A01F85">
        <w:rPr>
          <w:rFonts w:hint="eastAsia"/>
          <w:rtl/>
        </w:rPr>
        <w:t>יחידת</w:t>
      </w:r>
      <w:r w:rsidRPr="00A01F85">
        <w:rPr>
          <w:rtl/>
        </w:rPr>
        <w:t xml:space="preserve"> </w:t>
      </w:r>
      <w:r w:rsidRPr="00A01F85">
        <w:rPr>
          <w:rFonts w:hint="eastAsia"/>
          <w:rtl/>
        </w:rPr>
        <w:t>הפיקוח</w:t>
      </w:r>
      <w:r w:rsidRPr="00A01F85">
        <w:rPr>
          <w:rtl/>
        </w:rPr>
        <w:t xml:space="preserve"> </w:t>
      </w:r>
      <w:r w:rsidRPr="00A01F85">
        <w:rPr>
          <w:rFonts w:hint="eastAsia"/>
          <w:rtl/>
        </w:rPr>
        <w:t>האלקטרוני</w:t>
      </w:r>
      <w:r>
        <w:rPr>
          <w:rFonts w:hint="cs"/>
          <w:rtl/>
        </w:rPr>
        <w:t xml:space="preserve"> בשב"ס</w:t>
      </w:r>
      <w:r w:rsidRPr="00A01F85">
        <w:rPr>
          <w:rtl/>
        </w:rPr>
        <w:t xml:space="preserve">, </w:t>
      </w:r>
      <w:r w:rsidRPr="00A01F85">
        <w:rPr>
          <w:rFonts w:hint="eastAsia"/>
          <w:rtl/>
        </w:rPr>
        <w:t>בעיבוד</w:t>
      </w:r>
      <w:r w:rsidRPr="00A01F85">
        <w:rPr>
          <w:rtl/>
        </w:rPr>
        <w:t xml:space="preserve"> </w:t>
      </w:r>
      <w:r w:rsidRPr="00A01F85">
        <w:rPr>
          <w:rFonts w:hint="eastAsia"/>
          <w:rtl/>
        </w:rPr>
        <w:t>משרד</w:t>
      </w:r>
      <w:r w:rsidRPr="00A01F85">
        <w:rPr>
          <w:rtl/>
        </w:rPr>
        <w:t xml:space="preserve"> </w:t>
      </w:r>
      <w:r w:rsidRPr="00A01F85">
        <w:rPr>
          <w:rFonts w:hint="eastAsia"/>
          <w:rtl/>
        </w:rPr>
        <w:t>מבקר</w:t>
      </w:r>
      <w:r w:rsidRPr="00A01F85">
        <w:rPr>
          <w:rtl/>
        </w:rPr>
        <w:t xml:space="preserve"> </w:t>
      </w:r>
      <w:r w:rsidRPr="00A01F85">
        <w:rPr>
          <w:rFonts w:hint="eastAsia"/>
          <w:rtl/>
        </w:rPr>
        <w:t>המדינה</w:t>
      </w:r>
      <w:r w:rsidRPr="00A01F85">
        <w:rPr>
          <w:rtl/>
        </w:rPr>
        <w:t>.</w:t>
      </w:r>
    </w:p>
    <w:p w14:paraId="5851FB6D" w14:textId="77777777" w:rsidR="00D11C6E" w:rsidRDefault="00D11C6E" w:rsidP="00D11C6E">
      <w:pPr>
        <w:pStyle w:val="100"/>
        <w:rPr>
          <w:rtl/>
        </w:rPr>
      </w:pPr>
    </w:p>
    <w:p w14:paraId="648C4A2B" w14:textId="5FC3098B" w:rsidR="00BA23AE" w:rsidRDefault="00BA23AE" w:rsidP="00D11C6E">
      <w:pPr>
        <w:pStyle w:val="100"/>
        <w:rPr>
          <w:rtl/>
        </w:rPr>
      </w:pPr>
      <w:r w:rsidRPr="00DD762E">
        <w:rPr>
          <w:rFonts w:hint="cs"/>
          <w:rtl/>
        </w:rPr>
        <w:t>מן הנתונים עולה כי השימוש העיקרי בכלי הפיקוח האלקטרוני הוא בעבירות שהן באחריות פרקליטות המדינה</w:t>
      </w:r>
      <w:r>
        <w:rPr>
          <w:rFonts w:hint="cs"/>
          <w:rtl/>
        </w:rPr>
        <w:t xml:space="preserve"> -</w:t>
      </w:r>
      <w:r w:rsidRPr="00DD762E">
        <w:rPr>
          <w:rFonts w:hint="cs"/>
          <w:rtl/>
        </w:rPr>
        <w:t xml:space="preserve"> עבירות </w:t>
      </w:r>
      <w:r>
        <w:rPr>
          <w:rFonts w:hint="cs"/>
          <w:rtl/>
        </w:rPr>
        <w:t>שבהן</w:t>
      </w:r>
      <w:r w:rsidRPr="00DD762E">
        <w:rPr>
          <w:rFonts w:hint="cs"/>
          <w:rtl/>
        </w:rPr>
        <w:t xml:space="preserve"> עילת המסוכנות</w:t>
      </w:r>
      <w:r>
        <w:rPr>
          <w:rFonts w:hint="cs"/>
          <w:rtl/>
        </w:rPr>
        <w:t xml:space="preserve"> גבוהה יותר</w:t>
      </w:r>
      <w:r w:rsidRPr="00DD762E">
        <w:rPr>
          <w:rFonts w:hint="cs"/>
          <w:rtl/>
        </w:rPr>
        <w:t xml:space="preserve">. מבין מחוזות פרקליטות המדינה הפליליים, השימוש הגבוה ביותר בפיקוח האלקטרוני </w:t>
      </w:r>
      <w:r>
        <w:rPr>
          <w:rFonts w:hint="cs"/>
          <w:rtl/>
        </w:rPr>
        <w:t>הוא</w:t>
      </w:r>
      <w:r w:rsidRPr="00DD762E">
        <w:rPr>
          <w:rFonts w:hint="cs"/>
          <w:rtl/>
        </w:rPr>
        <w:t xml:space="preserve"> במחוזות צפון וחיפה. מבין שלוחות מינהל התביעות</w:t>
      </w:r>
      <w:r>
        <w:rPr>
          <w:rFonts w:hint="cs"/>
          <w:rtl/>
        </w:rPr>
        <w:t>,</w:t>
      </w:r>
      <w:r w:rsidRPr="00DD762E">
        <w:rPr>
          <w:rFonts w:hint="cs"/>
          <w:rtl/>
        </w:rPr>
        <w:t xml:space="preserve"> השימוש הגבוה ביותר בפיקוח האלקטרוני הוא בשלוחת חוף.</w:t>
      </w:r>
      <w:r>
        <w:rPr>
          <w:rFonts w:hint="cs"/>
          <w:rtl/>
        </w:rPr>
        <w:t xml:space="preserve"> מבין שלוחות התעבורה, השימוש הגבוה ביותר הוא בשלוחת צפון.</w:t>
      </w:r>
    </w:p>
    <w:p w14:paraId="09AEB22C" w14:textId="77777777" w:rsidR="00BA23AE" w:rsidRDefault="00BA23AE" w:rsidP="00D11C6E">
      <w:pPr>
        <w:pStyle w:val="100"/>
        <w:rPr>
          <w:rtl/>
        </w:rPr>
      </w:pPr>
      <w:r>
        <w:rPr>
          <w:rFonts w:hint="cs"/>
          <w:rtl/>
        </w:rPr>
        <w:t xml:space="preserve">אגף תקציבים במשרד האוצר מסר בתשובתו, כי הוא תומך במיצוי מכסות הפיקוח האלקטרוני על עצורים. האגף בוחן עם המשרד לביטחון פנים ועם שירות בתי הסוהר את העלויות של הגדלת מכסות הפיקוח האלקטרוני, שלא הוגדלו זה כעשור. עוד הוסיף האגף כי אחת הסיבות לאי-מימוש המכסות עשויה להיות שתקופת ריצוי המעצר בפיקוח אלקטרוני אינה נזקפת כתקופה לריצוי המאסר, בניגוד למעצר רגיל. אגף תקציבים יפעל להביא סוגיה זו לפני הצוות לבחינת חלופות מאסר שהוקם במסגרת החלטת הממשלה 1840. </w:t>
      </w:r>
    </w:p>
    <w:p w14:paraId="2F130A56" w14:textId="513026BD" w:rsidR="00BA23AE" w:rsidRPr="0085493A" w:rsidRDefault="00BA23AE" w:rsidP="00D11C6E">
      <w:pPr>
        <w:pStyle w:val="100"/>
        <w:rPr>
          <w:rtl/>
        </w:rPr>
      </w:pPr>
      <w:r>
        <w:rPr>
          <w:rFonts w:hint="cs"/>
          <w:rtl/>
        </w:rPr>
        <w:lastRenderedPageBreak/>
        <w:t xml:space="preserve">משטרת ישראל מסרה בתשובתה כי לנוכח הנתונים שלעיל הורה ראש </w:t>
      </w:r>
      <w:r w:rsidR="00A37F16">
        <w:rPr>
          <w:rFonts w:hint="cs"/>
          <w:rtl/>
        </w:rPr>
        <w:t>מ</w:t>
      </w:r>
      <w:r w:rsidR="00A37F16" w:rsidRPr="00A37F16">
        <w:rPr>
          <w:rtl/>
        </w:rPr>
        <w:t>ׅ</w:t>
      </w:r>
      <w:r w:rsidR="00A37F16">
        <w:rPr>
          <w:rFonts w:hint="cs"/>
          <w:rtl/>
        </w:rPr>
        <w:t>נהל</w:t>
      </w:r>
      <w:r>
        <w:rPr>
          <w:rFonts w:hint="cs"/>
          <w:rtl/>
        </w:rPr>
        <w:t xml:space="preserve"> התביעות להגביר את יוזמת התביעה למעצר בפיקוח אלקטרוני בתיקים המתאימים לכך ומתנהל פיקוח על הנושא.</w:t>
      </w:r>
    </w:p>
    <w:p w14:paraId="3BBBE91E" w14:textId="77777777" w:rsidR="00BA23AE" w:rsidRPr="00DD762E" w:rsidRDefault="00BA23AE" w:rsidP="00D11C6E">
      <w:pPr>
        <w:pStyle w:val="af4"/>
        <w:rPr>
          <w:rtl/>
        </w:rPr>
      </w:pPr>
      <w:r w:rsidRPr="00DD762E">
        <w:rPr>
          <w:rFonts w:hint="cs"/>
          <w:rtl/>
        </w:rPr>
        <w:t xml:space="preserve">מעצר באמצעות פיקוח אלקטרוני </w:t>
      </w:r>
      <w:r>
        <w:rPr>
          <w:rFonts w:hint="cs"/>
          <w:rtl/>
        </w:rPr>
        <w:t>פוגע פחות</w:t>
      </w:r>
      <w:r w:rsidRPr="00DD762E">
        <w:rPr>
          <w:rFonts w:hint="cs"/>
          <w:rtl/>
        </w:rPr>
        <w:t xml:space="preserve"> בחירותו של העצור לעומת כליאה בבית מעצר</w:t>
      </w:r>
      <w:r>
        <w:rPr>
          <w:rFonts w:hint="cs"/>
          <w:rtl/>
        </w:rPr>
        <w:t xml:space="preserve">, והומלץ בידי </w:t>
      </w:r>
      <w:r w:rsidRPr="00DD762E">
        <w:rPr>
          <w:rFonts w:hint="cs"/>
          <w:rtl/>
        </w:rPr>
        <w:t xml:space="preserve">צוות התביעה </w:t>
      </w:r>
      <w:r>
        <w:rPr>
          <w:rFonts w:hint="cs"/>
          <w:rtl/>
        </w:rPr>
        <w:t>על מנת לתת</w:t>
      </w:r>
      <w:r w:rsidRPr="00DD762E">
        <w:rPr>
          <w:rFonts w:hint="cs"/>
          <w:rtl/>
        </w:rPr>
        <w:t xml:space="preserve"> מענה למסקנות הוועדה הציבורית. נתוני יחידת מעוז מלמדים כי </w:t>
      </w:r>
      <w:r w:rsidRPr="00DD762E">
        <w:rPr>
          <w:rFonts w:hint="eastAsia"/>
          <w:rtl/>
        </w:rPr>
        <w:t>הטיפול</w:t>
      </w:r>
      <w:r w:rsidRPr="00DD762E">
        <w:rPr>
          <w:rtl/>
        </w:rPr>
        <w:t xml:space="preserve"> </w:t>
      </w:r>
      <w:r w:rsidRPr="00DD762E">
        <w:rPr>
          <w:rFonts w:hint="eastAsia"/>
          <w:rtl/>
        </w:rPr>
        <w:t>באירועי</w:t>
      </w:r>
      <w:r w:rsidRPr="00DD762E">
        <w:rPr>
          <w:rtl/>
        </w:rPr>
        <w:t xml:space="preserve"> </w:t>
      </w:r>
      <w:r w:rsidRPr="00DD762E">
        <w:rPr>
          <w:rFonts w:hint="eastAsia"/>
          <w:rtl/>
        </w:rPr>
        <w:t>ההפרה</w:t>
      </w:r>
      <w:r w:rsidRPr="00DD762E">
        <w:rPr>
          <w:rtl/>
        </w:rPr>
        <w:t xml:space="preserve"> </w:t>
      </w:r>
      <w:r w:rsidRPr="00DD762E">
        <w:rPr>
          <w:rFonts w:hint="eastAsia"/>
          <w:rtl/>
        </w:rPr>
        <w:t>הוביל</w:t>
      </w:r>
      <w:r w:rsidRPr="00DD762E">
        <w:rPr>
          <w:rtl/>
        </w:rPr>
        <w:t xml:space="preserve"> </w:t>
      </w:r>
      <w:r w:rsidRPr="00DD762E">
        <w:rPr>
          <w:rFonts w:hint="eastAsia"/>
          <w:rtl/>
        </w:rPr>
        <w:t>לצמצום</w:t>
      </w:r>
      <w:r w:rsidRPr="00DD762E">
        <w:rPr>
          <w:rtl/>
        </w:rPr>
        <w:t xml:space="preserve"> </w:t>
      </w:r>
      <w:r w:rsidRPr="00DD762E">
        <w:rPr>
          <w:rFonts w:hint="eastAsia"/>
          <w:rtl/>
        </w:rPr>
        <w:t>הפרות</w:t>
      </w:r>
      <w:r w:rsidRPr="00DD762E">
        <w:rPr>
          <w:rtl/>
        </w:rPr>
        <w:t xml:space="preserve"> </w:t>
      </w:r>
      <w:r w:rsidRPr="00DD762E">
        <w:rPr>
          <w:rFonts w:hint="eastAsia"/>
          <w:rtl/>
        </w:rPr>
        <w:t>חוזרות</w:t>
      </w:r>
      <w:r>
        <w:rPr>
          <w:rFonts w:hint="cs"/>
          <w:rtl/>
        </w:rPr>
        <w:t>,</w:t>
      </w:r>
      <w:r w:rsidRPr="00DD762E">
        <w:rPr>
          <w:rFonts w:hint="cs"/>
          <w:rtl/>
        </w:rPr>
        <w:t xml:space="preserve"> וכי לא נרשם </w:t>
      </w:r>
      <w:r>
        <w:rPr>
          <w:rFonts w:hint="cs"/>
          <w:rtl/>
        </w:rPr>
        <w:t>שיעור</w:t>
      </w:r>
      <w:r w:rsidRPr="00DD762E">
        <w:rPr>
          <w:rFonts w:hint="cs"/>
          <w:rtl/>
        </w:rPr>
        <w:t xml:space="preserve"> הפרות שונה מצד מפוקחים הנאשמים בעבירות חריגות </w:t>
      </w:r>
      <w:r>
        <w:rPr>
          <w:rFonts w:hint="cs"/>
          <w:rtl/>
        </w:rPr>
        <w:t>לעומת</w:t>
      </w:r>
      <w:r w:rsidRPr="00DD762E">
        <w:rPr>
          <w:rFonts w:hint="cs"/>
          <w:rtl/>
        </w:rPr>
        <w:t xml:space="preserve"> מפוקחים אחרים. נוסף על אלה, עלות החזקת עצור בפיקוח אלקטרוני קטנה בכ-50% מעלות כליאת עצור מאחורי סורג ובריח. </w:t>
      </w:r>
    </w:p>
    <w:p w14:paraId="2148EE2C" w14:textId="77777777" w:rsidR="00D11C6E" w:rsidRDefault="00BA23AE" w:rsidP="00D11C6E">
      <w:pPr>
        <w:pStyle w:val="af4"/>
        <w:rPr>
          <w:rtl/>
        </w:rPr>
      </w:pPr>
      <w:r>
        <w:rPr>
          <w:rFonts w:hint="cs"/>
          <w:rtl/>
        </w:rPr>
        <w:t>נוכח</w:t>
      </w:r>
      <w:r w:rsidRPr="00DD762E">
        <w:rPr>
          <w:rFonts w:hint="cs"/>
          <w:rtl/>
        </w:rPr>
        <w:t xml:space="preserve"> האמור לעיל, מוצע כי גורמי התביעה ינתחו את הגורמים לניצול החלקי של חלופה זו</w:t>
      </w:r>
      <w:r>
        <w:rPr>
          <w:rFonts w:hint="cs"/>
          <w:rtl/>
        </w:rPr>
        <w:t>,</w:t>
      </w:r>
      <w:r w:rsidRPr="00DD762E">
        <w:rPr>
          <w:rFonts w:hint="cs"/>
          <w:rtl/>
        </w:rPr>
        <w:t xml:space="preserve"> וינקטו </w:t>
      </w:r>
      <w:r w:rsidRPr="00DD762E">
        <w:rPr>
          <w:rtl/>
        </w:rPr>
        <w:t xml:space="preserve">פעולות שיהיה בהן כדי לממש </w:t>
      </w:r>
      <w:r w:rsidRPr="00DD762E">
        <w:rPr>
          <w:rFonts w:hint="cs"/>
          <w:rtl/>
        </w:rPr>
        <w:t xml:space="preserve">חלופה זו </w:t>
      </w:r>
      <w:r>
        <w:rPr>
          <w:rFonts w:hint="cs"/>
          <w:rtl/>
        </w:rPr>
        <w:t>בהרחבה,</w:t>
      </w:r>
      <w:r w:rsidRPr="00DD762E">
        <w:rPr>
          <w:rFonts w:hint="cs"/>
          <w:rtl/>
        </w:rPr>
        <w:t xml:space="preserve"> </w:t>
      </w:r>
      <w:r>
        <w:rPr>
          <w:rFonts w:hint="cs"/>
          <w:rtl/>
        </w:rPr>
        <w:t>על פי</w:t>
      </w:r>
      <w:r w:rsidRPr="00DD762E">
        <w:rPr>
          <w:rFonts w:hint="cs"/>
          <w:rtl/>
        </w:rPr>
        <w:t xml:space="preserve"> </w:t>
      </w:r>
      <w:r>
        <w:rPr>
          <w:rFonts w:hint="cs"/>
          <w:rtl/>
        </w:rPr>
        <w:t>ה</w:t>
      </w:r>
      <w:r w:rsidRPr="00DD762E">
        <w:rPr>
          <w:rFonts w:hint="cs"/>
          <w:rtl/>
        </w:rPr>
        <w:t xml:space="preserve">נסיבות </w:t>
      </w:r>
      <w:r>
        <w:rPr>
          <w:rFonts w:hint="cs"/>
          <w:rtl/>
        </w:rPr>
        <w:t>בתיקים השונים</w:t>
      </w:r>
      <w:r w:rsidRPr="00DD762E">
        <w:rPr>
          <w:rFonts w:hint="cs"/>
          <w:rtl/>
        </w:rPr>
        <w:t>.</w:t>
      </w:r>
    </w:p>
    <w:p w14:paraId="64318940" w14:textId="0B2E6844" w:rsidR="00BA23AE" w:rsidRPr="00D11C6E" w:rsidRDefault="00BA23AE" w:rsidP="00D11C6E">
      <w:pPr>
        <w:pStyle w:val="aff0"/>
        <w:rPr>
          <w:rtl/>
        </w:rPr>
      </w:pPr>
      <w:r w:rsidRPr="00D11C6E">
        <w:rPr>
          <w:rFonts w:hint="cs"/>
          <w:rtl/>
        </w:rPr>
        <w:t>✰</w:t>
      </w:r>
    </w:p>
    <w:p w14:paraId="403CA605" w14:textId="77777777" w:rsidR="00BA23AE" w:rsidRPr="00D11C6E" w:rsidRDefault="00BA23AE" w:rsidP="00D11C6E">
      <w:pPr>
        <w:pStyle w:val="af4"/>
        <w:rPr>
          <w:rtl/>
        </w:rPr>
      </w:pPr>
      <w:r w:rsidRPr="00D11C6E">
        <w:rPr>
          <w:rFonts w:hint="cs"/>
          <w:rtl/>
        </w:rPr>
        <w:t xml:space="preserve">הדיונים בבקשות למעצר ימים ולמעצר עד תום ההליכים מכריעים </w:t>
      </w:r>
      <w:r w:rsidRPr="00D11C6E">
        <w:rPr>
          <w:rtl/>
        </w:rPr>
        <w:t xml:space="preserve">בתחום הרגיש של פגיעה </w:t>
      </w:r>
      <w:r w:rsidRPr="00D11C6E">
        <w:rPr>
          <w:rFonts w:hint="cs"/>
          <w:rtl/>
        </w:rPr>
        <w:t>ב</w:t>
      </w:r>
      <w:r w:rsidRPr="00D11C6E">
        <w:rPr>
          <w:rtl/>
        </w:rPr>
        <w:t>חירות</w:t>
      </w:r>
      <w:r w:rsidRPr="00D11C6E">
        <w:rPr>
          <w:rFonts w:hint="cs"/>
          <w:rtl/>
        </w:rPr>
        <w:t>ו</w:t>
      </w:r>
      <w:r w:rsidRPr="00D11C6E">
        <w:rPr>
          <w:rtl/>
        </w:rPr>
        <w:t xml:space="preserve"> של אדם שהוא </w:t>
      </w:r>
      <w:r w:rsidRPr="00D11C6E">
        <w:rPr>
          <w:rFonts w:hint="cs"/>
          <w:rtl/>
        </w:rPr>
        <w:t>בחזקת</w:t>
      </w:r>
      <w:r w:rsidRPr="00D11C6E">
        <w:rPr>
          <w:rtl/>
        </w:rPr>
        <w:t xml:space="preserve"> חף מפשע</w:t>
      </w:r>
      <w:r w:rsidRPr="00D11C6E">
        <w:rPr>
          <w:rFonts w:hint="cs"/>
          <w:rtl/>
        </w:rPr>
        <w:t xml:space="preserve">. הנחיה מקצועית של טועני המעצרים וקביעת נהלים ברורים לעבודתם נדרשות כחלק ממילוי תפקידם כקצין בית המשפט. </w:t>
      </w:r>
    </w:p>
    <w:p w14:paraId="04CDA023" w14:textId="77777777" w:rsidR="00BA23AE" w:rsidRPr="00D11C6E" w:rsidRDefault="00BA23AE" w:rsidP="00D11C6E">
      <w:pPr>
        <w:pStyle w:val="af4"/>
        <w:rPr>
          <w:rtl/>
        </w:rPr>
      </w:pPr>
      <w:r w:rsidRPr="00D11C6E">
        <w:rPr>
          <w:rFonts w:hint="cs"/>
          <w:rtl/>
        </w:rPr>
        <w:t>לנוכח העלייה בשיעור הגשת הבקשות למעצר עד תום ההליכים ובעקבות מיקומה הגבוה של ישראל במספר העצורים ביחס למדינות ה-</w:t>
      </w:r>
      <w:r w:rsidRPr="00D11C6E">
        <w:rPr>
          <w:rFonts w:hint="cs"/>
        </w:rPr>
        <w:t>OECD</w:t>
      </w:r>
      <w:r w:rsidRPr="00D11C6E">
        <w:rPr>
          <w:rFonts w:hint="cs"/>
          <w:rtl/>
        </w:rPr>
        <w:t xml:space="preserve">, על גורמי התביעה להפנות את תשומת ליבם למדיניות המעצרים ולבחון אותה לאור המלצות הוועדה הציבורית. יש להגביר את השימוש בחלופות מעצר, הפוגעות פחות בחירויות העצור ומאפשרות שיקום ומניעת חזרה לפשע. </w:t>
      </w:r>
    </w:p>
    <w:p w14:paraId="0F5130E4" w14:textId="77777777" w:rsidR="00BA23AE" w:rsidRPr="00D11C6E" w:rsidRDefault="00BA23AE" w:rsidP="00D11C6E">
      <w:pPr>
        <w:pStyle w:val="af4"/>
        <w:rPr>
          <w:rtl/>
        </w:rPr>
      </w:pPr>
      <w:r w:rsidRPr="00D11C6E">
        <w:rPr>
          <w:rFonts w:hint="cs"/>
          <w:rtl/>
        </w:rPr>
        <w:t xml:space="preserve">על משרד הרווחה לפעול להסרת החסמים המונעים את איוש משרות התקן של קציני המבחן בתחום המעצרים, ועל שירות המבחן לטייב את ממשק העבודה מול שירות בתי הסוהר, כדי למנוע עיכובים בהגשת תסקירי המעצרים. כמו כן, על שירות המבחן להמשיך ולקדם את המסגרת הממשלתית לשחרור בתנאים מגבילים, שתיתן מענה לעצורים הנותרים כיום במעצר מחמת היעדר חלופה מתאימה. </w:t>
      </w:r>
    </w:p>
    <w:p w14:paraId="3656229D" w14:textId="35D3AC1F" w:rsidR="00BA23AE" w:rsidRPr="008E52E7" w:rsidRDefault="00BA23AE" w:rsidP="00D11C6E">
      <w:pPr>
        <w:pStyle w:val="316"/>
        <w:rPr>
          <w:rtl/>
        </w:rPr>
      </w:pPr>
      <w:r>
        <w:rPr>
          <w:rtl/>
        </w:rPr>
        <w:br w:type="page"/>
      </w:r>
      <w:r w:rsidRPr="008E52E7">
        <w:rPr>
          <w:rFonts w:hint="cs"/>
          <w:rtl/>
        </w:rPr>
        <w:lastRenderedPageBreak/>
        <w:t>סיכום</w:t>
      </w:r>
    </w:p>
    <w:p w14:paraId="7B35027E" w14:textId="77777777" w:rsidR="00BA23AE" w:rsidRPr="008E52E7" w:rsidRDefault="00BA23AE" w:rsidP="00D11C6E">
      <w:pPr>
        <w:pStyle w:val="af4"/>
        <w:rPr>
          <w:rtl/>
        </w:rPr>
      </w:pPr>
      <w:r w:rsidRPr="00440667">
        <w:rPr>
          <w:rtl/>
        </w:rPr>
        <w:t xml:space="preserve">סמכויות המעצר הינן מהחריפות שבסמכויות המסורות לידי רשויות החוק, </w:t>
      </w:r>
      <w:r>
        <w:rPr>
          <w:rFonts w:hint="cs"/>
          <w:rtl/>
        </w:rPr>
        <w:t>ו</w:t>
      </w:r>
      <w:r w:rsidRPr="005812B8">
        <w:rPr>
          <w:rFonts w:hint="cs"/>
          <w:rtl/>
        </w:rPr>
        <w:t xml:space="preserve">לשימוש </w:t>
      </w:r>
      <w:r>
        <w:rPr>
          <w:rFonts w:hint="cs"/>
          <w:rtl/>
        </w:rPr>
        <w:t xml:space="preserve">נרחב בהן </w:t>
      </w:r>
      <w:r w:rsidRPr="005812B8">
        <w:rPr>
          <w:rFonts w:hint="cs"/>
          <w:rtl/>
        </w:rPr>
        <w:t>מתלווה סכנה חריפה לחירות הפרט ולצביונה של החברה הישראלית.</w:t>
      </w:r>
      <w:r w:rsidRPr="008E52E7">
        <w:rPr>
          <w:rFonts w:hint="cs"/>
          <w:rtl/>
        </w:rPr>
        <w:t xml:space="preserve"> השימוש בסמכות המעצר גורר אחריו שרשרת חוזרת של תהליכים שבהם מעורבים גורמים רבים - יחידות החקירה במשטרת ישראל, יחידות התביעה (במשטרה או בפרקליטות), שירות בתי הסוהר, שירות המבחן והנהלת בתי המשפט. כל אחת מההחלטות המתקבלות אצל </w:t>
      </w:r>
      <w:r>
        <w:rPr>
          <w:rFonts w:hint="cs"/>
          <w:rtl/>
        </w:rPr>
        <w:t>אחד מן ה</w:t>
      </w:r>
      <w:r w:rsidRPr="008E52E7">
        <w:rPr>
          <w:rFonts w:hint="cs"/>
          <w:rtl/>
        </w:rPr>
        <w:t>גור</w:t>
      </w:r>
      <w:r>
        <w:rPr>
          <w:rFonts w:hint="cs"/>
          <w:rtl/>
        </w:rPr>
        <w:t>מי</w:t>
      </w:r>
      <w:r w:rsidRPr="008E52E7">
        <w:rPr>
          <w:rFonts w:hint="cs"/>
          <w:rtl/>
        </w:rPr>
        <w:t>ם</w:t>
      </w:r>
      <w:r>
        <w:rPr>
          <w:rFonts w:hint="cs"/>
          <w:rtl/>
        </w:rPr>
        <w:t xml:space="preserve"> </w:t>
      </w:r>
      <w:r w:rsidRPr="008E52E7">
        <w:rPr>
          <w:rFonts w:hint="cs"/>
          <w:rtl/>
        </w:rPr>
        <w:t>משפיעות במישרין על זכויותיו החוקתיות של העצור לחירות ולכבוד. יתרה מכך, כל אחת מההחלטות ה</w:t>
      </w:r>
      <w:r>
        <w:rPr>
          <w:rFonts w:hint="cs"/>
          <w:rtl/>
        </w:rPr>
        <w:t>א</w:t>
      </w:r>
      <w:r w:rsidRPr="008E52E7">
        <w:rPr>
          <w:rFonts w:hint="cs"/>
          <w:rtl/>
        </w:rPr>
        <w:t>לו אף משפיעות במישרין על פעילות הגורמים האחרים ועל המשאבים הנדרשים מכל הנוגעים בדבר. הנחת יסוד זו חייבת לעמוד לנגד עיניהם של כל הגורמים המעורבים בבואם לעסוק בנושא המעצרים.</w:t>
      </w:r>
    </w:p>
    <w:p w14:paraId="0F314CF7" w14:textId="77777777" w:rsidR="00BA23AE" w:rsidRPr="008E52E7" w:rsidRDefault="00BA23AE" w:rsidP="00D11C6E">
      <w:pPr>
        <w:pStyle w:val="af4"/>
        <w:rPr>
          <w:rtl/>
        </w:rPr>
      </w:pPr>
      <w:r w:rsidRPr="008E52E7">
        <w:rPr>
          <w:rFonts w:hint="cs"/>
          <w:rtl/>
        </w:rPr>
        <w:t xml:space="preserve">דוח זה מצביע על ליקויים בעבודת כלל הגורמים המעורבים </w:t>
      </w:r>
      <w:r>
        <w:rPr>
          <w:rFonts w:hint="cs"/>
          <w:rtl/>
        </w:rPr>
        <w:t xml:space="preserve">בהליכי </w:t>
      </w:r>
      <w:r w:rsidRPr="008E52E7">
        <w:rPr>
          <w:rFonts w:hint="cs"/>
          <w:rtl/>
        </w:rPr>
        <w:t>מעצר</w:t>
      </w:r>
      <w:r>
        <w:rPr>
          <w:rFonts w:hint="cs"/>
          <w:rtl/>
        </w:rPr>
        <w:t>ים</w:t>
      </w:r>
      <w:r w:rsidRPr="008E52E7">
        <w:rPr>
          <w:rFonts w:hint="cs"/>
          <w:rtl/>
        </w:rPr>
        <w:t xml:space="preserve"> ובממשקי העבודה</w:t>
      </w:r>
      <w:r>
        <w:rPr>
          <w:rFonts w:hint="cs"/>
          <w:rtl/>
        </w:rPr>
        <w:t xml:space="preserve"> ביניהם</w:t>
      </w:r>
      <w:r w:rsidRPr="008E52E7">
        <w:rPr>
          <w:rFonts w:hint="cs"/>
          <w:rtl/>
        </w:rPr>
        <w:t xml:space="preserve">, </w:t>
      </w:r>
      <w:r>
        <w:rPr>
          <w:rFonts w:hint="cs"/>
          <w:rtl/>
        </w:rPr>
        <w:t>בין השאר</w:t>
      </w:r>
      <w:r w:rsidRPr="008E52E7">
        <w:rPr>
          <w:rFonts w:hint="cs"/>
          <w:rtl/>
        </w:rPr>
        <w:t>: פערים בין יחידות המשטרה</w:t>
      </w:r>
      <w:r>
        <w:rPr>
          <w:rFonts w:hint="cs"/>
          <w:rtl/>
        </w:rPr>
        <w:t xml:space="preserve"> </w:t>
      </w:r>
      <w:r w:rsidRPr="008E52E7">
        <w:rPr>
          <w:rFonts w:hint="cs"/>
          <w:rtl/>
        </w:rPr>
        <w:t xml:space="preserve">ברמה המקצועית </w:t>
      </w:r>
      <w:r>
        <w:rPr>
          <w:rFonts w:hint="cs"/>
          <w:rtl/>
        </w:rPr>
        <w:t>-</w:t>
      </w:r>
      <w:r w:rsidRPr="008E52E7">
        <w:rPr>
          <w:rFonts w:hint="cs"/>
          <w:rtl/>
        </w:rPr>
        <w:t xml:space="preserve"> זכויות העצורים אינן נשמרות בהקפדה</w:t>
      </w:r>
      <w:r>
        <w:rPr>
          <w:rFonts w:hint="cs"/>
          <w:rtl/>
        </w:rPr>
        <w:t xml:space="preserve"> ואין </w:t>
      </w:r>
      <w:r w:rsidRPr="008E52E7">
        <w:rPr>
          <w:rFonts w:hint="cs"/>
          <w:rtl/>
        </w:rPr>
        <w:t xml:space="preserve">שימוש מספק בפיקוח ובבקרה מקצועיים; הנהלת בתי המשפט מגבילה את זמינותה בפני יתר הרשויות, לא הסדירה את אופן ניהול הדיון באולם בית המשפט ואינה פועלת באופן אחיד ברמה הארצית; תנאי ההחזקה בבתי המעצר, בתאי ההמתנה </w:t>
      </w:r>
      <w:r>
        <w:rPr>
          <w:rFonts w:hint="cs"/>
          <w:rtl/>
        </w:rPr>
        <w:t>ש</w:t>
      </w:r>
      <w:r w:rsidRPr="008E52E7">
        <w:rPr>
          <w:rFonts w:hint="cs"/>
          <w:rtl/>
        </w:rPr>
        <w:t xml:space="preserve">בבתי המשפט ובעת הסעת העצורים טעונים שיפור והתאמה לתקנים ברוח בג"ץ תנאי מחיה; משטרת ישראל לא קבעה נהלים ארציים לעבודת טועני המעצרים. </w:t>
      </w:r>
      <w:r>
        <w:rPr>
          <w:rFonts w:hint="cs"/>
          <w:rtl/>
        </w:rPr>
        <w:t xml:space="preserve">ככלל, </w:t>
      </w:r>
      <w:r w:rsidRPr="008E52E7">
        <w:rPr>
          <w:rFonts w:hint="cs"/>
          <w:rtl/>
        </w:rPr>
        <w:t xml:space="preserve">נותרה מלאכה רבה בפני גורמי התביעה ליישום המלצות הוועדה הציבורית לבחינת מדיניות הענישה והטיפול בעבריינים, ובפרט בסוגיות צמצום הכליאה וההפניה לחלופות מעצר. </w:t>
      </w:r>
    </w:p>
    <w:p w14:paraId="6632B200" w14:textId="77777777" w:rsidR="00BA23AE" w:rsidRPr="008E52E7" w:rsidRDefault="00BA23AE" w:rsidP="00D11C6E">
      <w:pPr>
        <w:pStyle w:val="af4"/>
        <w:rPr>
          <w:rtl/>
        </w:rPr>
      </w:pPr>
      <w:r w:rsidRPr="008E52E7">
        <w:rPr>
          <w:rFonts w:hint="cs"/>
          <w:rtl/>
        </w:rPr>
        <w:t>צבר הליקויים מלמד שאין בידי הגורמים המעורבים די נתונים שיציירו תמונה מלאה ברמה הארצית על השימוש בסמכות המעצר והשחרור</w:t>
      </w:r>
      <w:r>
        <w:rPr>
          <w:rFonts w:hint="cs"/>
          <w:rtl/>
        </w:rPr>
        <w:t>. בכלל זה,</w:t>
      </w:r>
      <w:r w:rsidRPr="008E52E7">
        <w:rPr>
          <w:rFonts w:hint="cs"/>
          <w:rtl/>
        </w:rPr>
        <w:t xml:space="preserve"> </w:t>
      </w:r>
      <w:r w:rsidRPr="00F13DA5">
        <w:rPr>
          <w:rFonts w:hint="cs"/>
          <w:rtl/>
        </w:rPr>
        <w:t>נתוני משטרת ישראל אינם</w:t>
      </w:r>
      <w:r>
        <w:rPr>
          <w:rFonts w:hint="cs"/>
          <w:rtl/>
        </w:rPr>
        <w:t xml:space="preserve"> מציגים אלפי מעצרים שבוצעו על ידה בכל שנה. יחד </w:t>
      </w:r>
      <w:r w:rsidRPr="008E52E7">
        <w:rPr>
          <w:rFonts w:hint="cs"/>
          <w:rtl/>
        </w:rPr>
        <w:t xml:space="preserve">עם זאת, פתרונות כלל-מערכתיים, שמטרתם הברורה היא </w:t>
      </w:r>
      <w:r>
        <w:rPr>
          <w:rFonts w:hint="cs"/>
          <w:rtl/>
        </w:rPr>
        <w:t>ל</w:t>
      </w:r>
      <w:r w:rsidRPr="008E52E7">
        <w:rPr>
          <w:rFonts w:hint="cs"/>
          <w:rtl/>
        </w:rPr>
        <w:t xml:space="preserve">שפר </w:t>
      </w:r>
      <w:r>
        <w:rPr>
          <w:rFonts w:hint="cs"/>
          <w:rtl/>
        </w:rPr>
        <w:t xml:space="preserve">את </w:t>
      </w:r>
      <w:r w:rsidRPr="008E52E7">
        <w:rPr>
          <w:rFonts w:hint="cs"/>
          <w:rtl/>
        </w:rPr>
        <w:t xml:space="preserve">תנאי החזקתם וזכויותיהם של עצורים, כגון בחינת תנאי ליווי </w:t>
      </w:r>
      <w:r>
        <w:rPr>
          <w:rFonts w:hint="cs"/>
          <w:rtl/>
        </w:rPr>
        <w:t>ה</w:t>
      </w:r>
      <w:r w:rsidRPr="008E52E7">
        <w:rPr>
          <w:rFonts w:hint="cs"/>
          <w:rtl/>
        </w:rPr>
        <w:t xml:space="preserve">עצורים לבתי </w:t>
      </w:r>
      <w:r>
        <w:rPr>
          <w:rFonts w:hint="cs"/>
          <w:rtl/>
        </w:rPr>
        <w:t>ה</w:t>
      </w:r>
      <w:r w:rsidRPr="008E52E7">
        <w:rPr>
          <w:rFonts w:hint="cs"/>
          <w:rtl/>
        </w:rPr>
        <w:t xml:space="preserve">משפט באמצעות יחידת נחשון, היוועדות חזותית והסדרת החזרת כספי ערובה, לא קודמו דיים. </w:t>
      </w:r>
    </w:p>
    <w:p w14:paraId="50F21904" w14:textId="77777777" w:rsidR="00BA23AE" w:rsidRDefault="00BA23AE" w:rsidP="00D11C6E">
      <w:pPr>
        <w:pStyle w:val="af4"/>
        <w:rPr>
          <w:rtl/>
        </w:rPr>
      </w:pPr>
      <w:r w:rsidRPr="008E52E7">
        <w:rPr>
          <w:rFonts w:hint="cs"/>
          <w:rtl/>
        </w:rPr>
        <w:t xml:space="preserve">על המדינה לפעול ביתר שאת על מנת לעמוד בדרישות בג"ץ תנאי מחיה ולשפר משמעותית את מרחב המחיה ואת תנאי המעצר והכליאה, וכן לטייב את השימוש בסמכות המעצר והשחרור, תוך הקפדה על זכויות עצורים. על כל הגורמים המעורבים לפעול בשיתוף פעולה ולהכריע בסוגיות המצויות במחלוקת בתחום זה, בפרט שמחלוקות אלו פוגעות בראש ובראשונה בזכויות העצורים. </w:t>
      </w:r>
    </w:p>
    <w:p w14:paraId="5FFD4C93" w14:textId="31450299" w:rsidR="00BA23AE" w:rsidRPr="0059796B" w:rsidRDefault="00BA23AE" w:rsidP="00D11C6E">
      <w:pPr>
        <w:pStyle w:val="af4"/>
        <w:rPr>
          <w:rtl/>
        </w:rPr>
      </w:pPr>
      <w:r w:rsidRPr="00A537F4">
        <w:rPr>
          <w:rFonts w:hint="cs"/>
          <w:rtl/>
        </w:rPr>
        <w:lastRenderedPageBreak/>
        <w:t>לא בכדי איגד מבקר המדינה את שלושת הפרקים שהובאו לעיל בדוח מערכתי זה. על הגורמים המעורבים להפנים כי השינוי המשמעותי הנדרש בתחום המעצרים בישראל מחייב הסתכלות כוללת ומשותפת</w:t>
      </w:r>
      <w:r>
        <w:rPr>
          <w:rFonts w:hint="cs"/>
          <w:rtl/>
        </w:rPr>
        <w:t xml:space="preserve"> על הנושא כמקשה אחת.</w:t>
      </w:r>
      <w:r w:rsidRPr="00A537F4">
        <w:rPr>
          <w:rFonts w:hint="cs"/>
          <w:rtl/>
        </w:rPr>
        <w:t xml:space="preserve"> </w:t>
      </w:r>
      <w:r>
        <w:rPr>
          <w:rFonts w:hint="cs"/>
          <w:rtl/>
        </w:rPr>
        <w:t xml:space="preserve">כמו כן, על הגורמים לפעול בתיאום כדי ליישם את סמכויותיהם בהתאם לחוק, להבטיח את </w:t>
      </w:r>
      <w:r w:rsidRPr="00A537F4">
        <w:rPr>
          <w:rFonts w:hint="cs"/>
          <w:rtl/>
        </w:rPr>
        <w:t>זכויות העצורים ו</w:t>
      </w:r>
      <w:r>
        <w:rPr>
          <w:rFonts w:hint="cs"/>
          <w:rtl/>
        </w:rPr>
        <w:t xml:space="preserve">להפחית את </w:t>
      </w:r>
      <w:r w:rsidRPr="00A537F4">
        <w:rPr>
          <w:rFonts w:hint="cs"/>
          <w:rtl/>
        </w:rPr>
        <w:t>המשאבים הנדרשים מכל גורם.</w:t>
      </w:r>
    </w:p>
    <w:sectPr w:rsidR="00BA23AE" w:rsidRPr="0059796B" w:rsidSect="00CA4D91">
      <w:headerReference w:type="default" r:id="rId22"/>
      <w:footerReference w:type="default" r:id="rId23"/>
      <w:headerReference w:type="first" r:id="rId24"/>
      <w:footerReference w:type="first" r:id="rId25"/>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55538F" w:rsidRDefault="0055538F">
      <w:pPr>
        <w:spacing w:line="240" w:lineRule="auto"/>
      </w:pPr>
      <w:r>
        <w:separator/>
      </w:r>
    </w:p>
    <w:p w14:paraId="7FDB7CBE" w14:textId="77777777" w:rsidR="0055538F" w:rsidRDefault="0055538F"/>
  </w:endnote>
  <w:endnote w:type="continuationSeparator" w:id="0">
    <w:p w14:paraId="6956BE62" w14:textId="77777777" w:rsidR="0055538F" w:rsidRDefault="0055538F">
      <w:pPr>
        <w:spacing w:line="240" w:lineRule="auto"/>
      </w:pPr>
      <w:r>
        <w:continuationSeparator/>
      </w:r>
    </w:p>
    <w:p w14:paraId="2BC251DF" w14:textId="77777777" w:rsidR="0055538F" w:rsidRDefault="00555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08B920F" w:rsidR="0055538F" w:rsidRPr="009B1690" w:rsidRDefault="0055538F" w:rsidP="009B1690">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מעצרים פליליים בישראל</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5538F" w:rsidRPr="00D15500" w:rsidRDefault="0055538F" w:rsidP="00D15500">
    <w:pPr>
      <w:pStyle w:val="Footer"/>
      <w:spacing w:after="120" w:line="312" w:lineRule="auto"/>
      <w:jc w:val="right"/>
      <w:rPr>
        <w:rFonts w:ascii="Tahoma" w:hAnsi="Tahoma" w:cs="Tahoma"/>
        <w:color w:val="002060"/>
        <w:sz w:val="18"/>
        <w:szCs w:val="18"/>
      </w:rPr>
    </w:pPr>
    <w:bookmarkStart w:id="10" w:name="tempMark"/>
    <w:bookmarkEnd w:id="10"/>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55538F" w:rsidRDefault="0055538F" w:rsidP="00C23CC9">
      <w:pPr>
        <w:spacing w:line="240" w:lineRule="auto"/>
      </w:pPr>
      <w:r>
        <w:separator/>
      </w:r>
    </w:p>
  </w:footnote>
  <w:footnote w:type="continuationSeparator" w:id="0">
    <w:p w14:paraId="10B5AFA0" w14:textId="77777777" w:rsidR="0055538F" w:rsidRDefault="0055538F" w:rsidP="00C23CC9">
      <w:pPr>
        <w:spacing w:line="240" w:lineRule="auto"/>
      </w:pPr>
      <w:r>
        <w:continuationSeparator/>
      </w:r>
    </w:p>
    <w:p w14:paraId="095B6F42" w14:textId="77777777" w:rsidR="0055538F" w:rsidRDefault="0055538F"/>
  </w:footnote>
  <w:footnote w:id="1">
    <w:p w14:paraId="38D0C662" w14:textId="77777777" w:rsidR="0055538F" w:rsidRPr="009B10AE" w:rsidRDefault="0055538F" w:rsidP="009B10AE">
      <w:pPr>
        <w:pStyle w:val="a8"/>
      </w:pPr>
      <w:r w:rsidRPr="009B10AE">
        <w:rPr>
          <w:rStyle w:val="FootnoteReference"/>
          <w:vertAlign w:val="baseline"/>
        </w:rPr>
        <w:footnoteRef/>
      </w:r>
      <w:r w:rsidRPr="009B10AE">
        <w:rPr>
          <w:rtl/>
        </w:rPr>
        <w:t xml:space="preserve"> </w:t>
      </w:r>
      <w:r w:rsidRPr="009B10AE">
        <w:rPr>
          <w:rtl/>
        </w:rPr>
        <w:tab/>
      </w:r>
      <w:r w:rsidRPr="009B10AE">
        <w:rPr>
          <w:rFonts w:hint="cs"/>
          <w:rtl/>
        </w:rPr>
        <w:t xml:space="preserve">הסמכות העניינית היא הסמכות של בית המשפט לדון בעניין משפטי מסוים. </w:t>
      </w:r>
    </w:p>
  </w:footnote>
  <w:footnote w:id="2">
    <w:p w14:paraId="3C57781E" w14:textId="77777777" w:rsidR="0055538F" w:rsidRDefault="0055538F" w:rsidP="009B10AE">
      <w:pPr>
        <w:pStyle w:val="a8"/>
        <w:rPr>
          <w:rtl/>
        </w:rPr>
      </w:pPr>
      <w:r w:rsidRPr="009B10AE">
        <w:rPr>
          <w:rStyle w:val="FootnoteReference"/>
          <w:vertAlign w:val="baseline"/>
        </w:rPr>
        <w:footnoteRef/>
      </w:r>
      <w:r w:rsidRPr="009B10AE">
        <w:rPr>
          <w:rtl/>
        </w:rPr>
        <w:t xml:space="preserve"> </w:t>
      </w:r>
      <w:r w:rsidRPr="009B10AE">
        <w:rPr>
          <w:rtl/>
        </w:rPr>
        <w:tab/>
      </w:r>
      <w:r w:rsidRPr="009B10AE">
        <w:rPr>
          <w:rFonts w:hint="cs"/>
          <w:rtl/>
        </w:rPr>
        <w:t xml:space="preserve">חשש </w:t>
      </w:r>
      <w:r w:rsidRPr="009B10AE">
        <w:rPr>
          <w:rFonts w:hint="cs"/>
          <w:rtl/>
        </w:rPr>
        <w:t>לשיבוש</w:t>
      </w:r>
      <w:r>
        <w:rPr>
          <w:rFonts w:hint="cs"/>
          <w:rtl/>
        </w:rPr>
        <w:t xml:space="preserve"> מהלכי חקירה ומשפט, מסוכנות או הליכי חקירה נדרשים שלא ניתן לנקוט אותם אלא כשהחשוד נתון במעצר.</w:t>
      </w:r>
    </w:p>
  </w:footnote>
  <w:footnote w:id="3">
    <w:p w14:paraId="02A7DA90" w14:textId="77777777" w:rsidR="0055538F" w:rsidRPr="00497103" w:rsidRDefault="0055538F" w:rsidP="00497103">
      <w:pPr>
        <w:pStyle w:val="a8"/>
        <w:rPr>
          <w:rtl/>
        </w:rPr>
      </w:pPr>
      <w:r w:rsidRPr="00497103">
        <w:footnoteRef/>
      </w:r>
      <w:r w:rsidRPr="00497103">
        <w:rPr>
          <w:rtl/>
        </w:rPr>
        <w:t xml:space="preserve"> </w:t>
      </w:r>
      <w:r w:rsidRPr="00497103">
        <w:rPr>
          <w:rtl/>
        </w:rPr>
        <w:tab/>
      </w:r>
      <w:r w:rsidRPr="00497103">
        <w:rPr>
          <w:rFonts w:hint="cs"/>
          <w:rtl/>
        </w:rPr>
        <w:t xml:space="preserve">חגית </w:t>
      </w:r>
      <w:r w:rsidRPr="00497103">
        <w:rPr>
          <w:rFonts w:hint="cs"/>
          <w:rtl/>
        </w:rPr>
        <w:t>לרנאו</w:t>
      </w:r>
      <w:r>
        <w:rPr>
          <w:rFonts w:hint="cs"/>
          <w:rtl/>
        </w:rPr>
        <w:t xml:space="preserve">, "מתכון לחקיקה לא יעילה: המקרה של חוק המעצרים", </w:t>
      </w:r>
      <w:r>
        <w:rPr>
          <w:rFonts w:hint="cs"/>
          <w:b/>
          <w:bCs/>
          <w:rtl/>
        </w:rPr>
        <w:t xml:space="preserve">מחקרי משפט </w:t>
      </w:r>
      <w:r>
        <w:rPr>
          <w:rFonts w:hint="cs"/>
          <w:rtl/>
        </w:rPr>
        <w:t>כד(1) (2008),</w:t>
      </w:r>
      <w:r w:rsidRPr="006A5A85">
        <w:rPr>
          <w:rFonts w:hint="cs"/>
          <w:rtl/>
        </w:rPr>
        <w:t xml:space="preserve"> </w:t>
      </w:r>
      <w:r>
        <w:rPr>
          <w:rFonts w:hint="cs"/>
          <w:rtl/>
        </w:rPr>
        <w:t xml:space="preserve">עמ' 123 </w:t>
      </w:r>
      <w:r w:rsidRPr="00497103">
        <w:rPr>
          <w:rFonts w:hint="cs"/>
          <w:rtl/>
        </w:rPr>
        <w:t>- 163.</w:t>
      </w:r>
    </w:p>
  </w:footnote>
  <w:footnote w:id="4">
    <w:p w14:paraId="7C787A9C" w14:textId="77777777" w:rsidR="0055538F" w:rsidRPr="00497103" w:rsidRDefault="0055538F" w:rsidP="00497103">
      <w:pPr>
        <w:pStyle w:val="a8"/>
        <w:rPr>
          <w:rtl/>
        </w:rPr>
      </w:pPr>
      <w:r w:rsidRPr="00497103">
        <w:rPr>
          <w:rStyle w:val="FootnoteReference"/>
          <w:vertAlign w:val="baseline"/>
        </w:rPr>
        <w:footnoteRef/>
      </w:r>
      <w:r w:rsidRPr="00497103">
        <w:rPr>
          <w:rtl/>
        </w:rPr>
        <w:t xml:space="preserve"> </w:t>
      </w:r>
      <w:r w:rsidRPr="00497103">
        <w:rPr>
          <w:rtl/>
        </w:rPr>
        <w:tab/>
      </w:r>
      <w:r w:rsidRPr="00497103">
        <w:rPr>
          <w:rFonts w:hint="cs"/>
          <w:rtl/>
        </w:rPr>
        <w:t xml:space="preserve">דוגמות </w:t>
      </w:r>
      <w:r w:rsidRPr="00497103">
        <w:rPr>
          <w:rFonts w:hint="cs"/>
          <w:rtl/>
        </w:rPr>
        <w:t>לצווים הנדרשים לצרכי חקירה הם צו חיפוש, צו תפיסת מסמכים ועוד.</w:t>
      </w:r>
    </w:p>
  </w:footnote>
  <w:footnote w:id="5">
    <w:p w14:paraId="3504AAA3" w14:textId="77777777" w:rsidR="0055538F" w:rsidRDefault="0055538F" w:rsidP="00497103">
      <w:pPr>
        <w:pStyle w:val="a8"/>
        <w:rPr>
          <w:rtl/>
        </w:rPr>
      </w:pPr>
      <w:r w:rsidRPr="00497103">
        <w:rPr>
          <w:rStyle w:val="FootnoteReference"/>
          <w:vertAlign w:val="baseline"/>
        </w:rPr>
        <w:footnoteRef/>
      </w:r>
      <w:r w:rsidRPr="00497103">
        <w:rPr>
          <w:rtl/>
        </w:rPr>
        <w:t xml:space="preserve"> </w:t>
      </w:r>
      <w:r w:rsidRPr="00497103">
        <w:rPr>
          <w:rtl/>
        </w:rPr>
        <w:tab/>
      </w:r>
      <w:r w:rsidRPr="00497103">
        <w:rPr>
          <w:rFonts w:hint="cs"/>
          <w:rtl/>
        </w:rPr>
        <w:t>למבנה</w:t>
      </w:r>
      <w:r>
        <w:rPr>
          <w:rFonts w:hint="cs"/>
          <w:rtl/>
        </w:rPr>
        <w:t xml:space="preserve"> המשטרה ראו במבוא הכללי לדוח.</w:t>
      </w:r>
    </w:p>
  </w:footnote>
  <w:footnote w:id="6">
    <w:p w14:paraId="0F12F247" w14:textId="77777777" w:rsidR="0055538F" w:rsidRPr="007D4382" w:rsidRDefault="0055538F" w:rsidP="007D4382">
      <w:pPr>
        <w:pStyle w:val="a8"/>
        <w:rPr>
          <w:rtl/>
        </w:rPr>
      </w:pPr>
      <w:r w:rsidRPr="007D4382">
        <w:footnoteRef/>
      </w:r>
      <w:r w:rsidRPr="007D4382">
        <w:rPr>
          <w:rtl/>
        </w:rPr>
        <w:t xml:space="preserve"> </w:t>
      </w:r>
      <w:r w:rsidRPr="007D4382">
        <w:rPr>
          <w:rtl/>
        </w:rPr>
        <w:tab/>
      </w:r>
      <w:r w:rsidRPr="007D4382">
        <w:rPr>
          <w:rFonts w:hint="cs"/>
          <w:rtl/>
        </w:rPr>
        <w:t xml:space="preserve">מבקר </w:t>
      </w:r>
      <w:r w:rsidRPr="007D4382">
        <w:rPr>
          <w:rFonts w:hint="cs"/>
          <w:rtl/>
        </w:rPr>
        <w:t>המדינה</w:t>
      </w:r>
      <w:r>
        <w:rPr>
          <w:rFonts w:hint="cs"/>
          <w:rtl/>
        </w:rPr>
        <w:t xml:space="preserve">, </w:t>
      </w:r>
      <w:r w:rsidRPr="002E7B8B">
        <w:rPr>
          <w:rFonts w:hint="eastAsia"/>
          <w:b/>
          <w:bCs/>
          <w:rtl/>
        </w:rPr>
        <w:t>דוח</w:t>
      </w:r>
      <w:r w:rsidRPr="002E7B8B">
        <w:rPr>
          <w:b/>
          <w:bCs/>
          <w:rtl/>
        </w:rPr>
        <w:t xml:space="preserve"> </w:t>
      </w:r>
      <w:r w:rsidRPr="002E7B8B">
        <w:rPr>
          <w:rFonts w:hint="eastAsia"/>
          <w:b/>
          <w:bCs/>
          <w:rtl/>
        </w:rPr>
        <w:t>שנתי</w:t>
      </w:r>
      <w:r w:rsidRPr="002E7B8B">
        <w:rPr>
          <w:b/>
          <w:bCs/>
          <w:rtl/>
        </w:rPr>
        <w:t xml:space="preserve"> 68ג</w:t>
      </w:r>
      <w:r>
        <w:rPr>
          <w:rFonts w:hint="cs"/>
          <w:rtl/>
        </w:rPr>
        <w:t xml:space="preserve"> (2018), "</w:t>
      </w:r>
      <w:r w:rsidRPr="007D4382">
        <w:rPr>
          <w:rFonts w:hint="cs"/>
          <w:rtl/>
        </w:rPr>
        <w:t>הליכי מינוי קצינים במשטרת ישראל", עמ' 283 - 284.</w:t>
      </w:r>
    </w:p>
  </w:footnote>
  <w:footnote w:id="7">
    <w:p w14:paraId="64E55712" w14:textId="77777777" w:rsidR="0055538F" w:rsidRDefault="0055538F" w:rsidP="007D4382">
      <w:pPr>
        <w:pStyle w:val="a8"/>
        <w:rPr>
          <w:rtl/>
        </w:rPr>
      </w:pPr>
      <w:r w:rsidRPr="007D4382">
        <w:rPr>
          <w:rStyle w:val="FootnoteReference"/>
          <w:vertAlign w:val="baseline"/>
        </w:rPr>
        <w:footnoteRef/>
      </w:r>
      <w:r w:rsidRPr="007D4382">
        <w:rPr>
          <w:rtl/>
        </w:rPr>
        <w:t xml:space="preserve"> </w:t>
      </w:r>
      <w:r w:rsidRPr="007D4382">
        <w:rPr>
          <w:rtl/>
        </w:rPr>
        <w:tab/>
      </w:r>
      <w:r w:rsidRPr="002E7B8B">
        <w:rPr>
          <w:rFonts w:hint="eastAsia"/>
          <w:b/>
          <w:bCs/>
          <w:rtl/>
        </w:rPr>
        <w:t>דוח</w:t>
      </w:r>
      <w:r w:rsidRPr="002E7B8B">
        <w:rPr>
          <w:b/>
          <w:bCs/>
          <w:rtl/>
        </w:rPr>
        <w:t xml:space="preserve"> </w:t>
      </w:r>
      <w:r w:rsidRPr="002E7B8B">
        <w:rPr>
          <w:rFonts w:hint="eastAsia"/>
          <w:b/>
          <w:bCs/>
          <w:rtl/>
        </w:rPr>
        <w:t>ועדת</w:t>
      </w:r>
      <w:r w:rsidRPr="002E7B8B">
        <w:rPr>
          <w:b/>
          <w:bCs/>
          <w:rtl/>
        </w:rPr>
        <w:t xml:space="preserve"> </w:t>
      </w:r>
      <w:r w:rsidRPr="002E7B8B">
        <w:rPr>
          <w:rFonts w:hint="eastAsia"/>
          <w:b/>
          <w:bCs/>
          <w:rtl/>
        </w:rPr>
        <w:t>הרפורמה</w:t>
      </w:r>
      <w:r w:rsidRPr="002E7B8B">
        <w:rPr>
          <w:b/>
          <w:bCs/>
          <w:rtl/>
        </w:rPr>
        <w:t xml:space="preserve"> </w:t>
      </w:r>
      <w:r w:rsidRPr="002E7B8B">
        <w:rPr>
          <w:rFonts w:hint="eastAsia"/>
          <w:b/>
          <w:bCs/>
          <w:rtl/>
        </w:rPr>
        <w:t>לשיפור</w:t>
      </w:r>
      <w:r w:rsidRPr="002E7B8B">
        <w:rPr>
          <w:b/>
          <w:bCs/>
          <w:rtl/>
        </w:rPr>
        <w:t xml:space="preserve"> </w:t>
      </w:r>
      <w:r w:rsidRPr="002E7B8B">
        <w:rPr>
          <w:rFonts w:hint="eastAsia"/>
          <w:b/>
          <w:bCs/>
          <w:rtl/>
        </w:rPr>
        <w:t>מנגנוני</w:t>
      </w:r>
      <w:r w:rsidRPr="002E7B8B">
        <w:rPr>
          <w:b/>
          <w:bCs/>
          <w:rtl/>
        </w:rPr>
        <w:t xml:space="preserve"> </w:t>
      </w:r>
      <w:r w:rsidRPr="002E7B8B">
        <w:rPr>
          <w:rFonts w:hint="eastAsia"/>
          <w:b/>
          <w:bCs/>
          <w:rtl/>
        </w:rPr>
        <w:t>ניהול</w:t>
      </w:r>
      <w:r w:rsidRPr="002E7B8B">
        <w:rPr>
          <w:b/>
          <w:bCs/>
          <w:rtl/>
        </w:rPr>
        <w:t xml:space="preserve"> </w:t>
      </w:r>
      <w:r w:rsidRPr="002E7B8B">
        <w:rPr>
          <w:rFonts w:hint="eastAsia"/>
          <w:b/>
          <w:bCs/>
          <w:rtl/>
        </w:rPr>
        <w:t>ההון</w:t>
      </w:r>
      <w:r w:rsidRPr="002E7B8B">
        <w:rPr>
          <w:b/>
          <w:bCs/>
          <w:rtl/>
        </w:rPr>
        <w:t xml:space="preserve"> </w:t>
      </w:r>
      <w:r w:rsidRPr="002E7B8B">
        <w:rPr>
          <w:rFonts w:hint="eastAsia"/>
          <w:b/>
          <w:bCs/>
          <w:rtl/>
        </w:rPr>
        <w:t>האנושי</w:t>
      </w:r>
      <w:r w:rsidRPr="002E7B8B">
        <w:rPr>
          <w:b/>
          <w:bCs/>
          <w:rtl/>
        </w:rPr>
        <w:t xml:space="preserve"> </w:t>
      </w:r>
      <w:r w:rsidRPr="002E7B8B">
        <w:rPr>
          <w:rFonts w:hint="eastAsia"/>
          <w:b/>
          <w:bCs/>
          <w:rtl/>
        </w:rPr>
        <w:t>בשירות</w:t>
      </w:r>
      <w:r w:rsidRPr="002E7B8B">
        <w:rPr>
          <w:b/>
          <w:bCs/>
          <w:rtl/>
        </w:rPr>
        <w:t xml:space="preserve"> </w:t>
      </w:r>
      <w:r w:rsidRPr="002E7B8B">
        <w:rPr>
          <w:rFonts w:hint="eastAsia"/>
          <w:b/>
          <w:bCs/>
          <w:rtl/>
        </w:rPr>
        <w:t>המדינה</w:t>
      </w:r>
      <w:r>
        <w:rPr>
          <w:rFonts w:hint="cs"/>
          <w:rtl/>
        </w:rPr>
        <w:t xml:space="preserve">, </w:t>
      </w:r>
      <w:r w:rsidRPr="007D4382">
        <w:rPr>
          <w:rFonts w:hint="cs"/>
          <w:rtl/>
        </w:rPr>
        <w:t>נציבות שירות המדינה (יוני 2013</w:t>
      </w:r>
      <w:r>
        <w:rPr>
          <w:rFonts w:hint="cs"/>
          <w:rtl/>
        </w:rPr>
        <w:t>).</w:t>
      </w:r>
    </w:p>
  </w:footnote>
  <w:footnote w:id="8">
    <w:p w14:paraId="4D4A401B" w14:textId="77777777" w:rsidR="0055538F" w:rsidRDefault="0055538F" w:rsidP="00F3192A">
      <w:pPr>
        <w:pStyle w:val="a8"/>
        <w:rPr>
          <w:rtl/>
        </w:rPr>
      </w:pPr>
      <w:r w:rsidRPr="00F3192A">
        <w:footnoteRef/>
      </w:r>
      <w:r w:rsidRPr="00F3192A">
        <w:rPr>
          <w:rtl/>
        </w:rPr>
        <w:t xml:space="preserve"> </w:t>
      </w:r>
      <w:r w:rsidRPr="00F3192A">
        <w:rPr>
          <w:rtl/>
        </w:rPr>
        <w:tab/>
      </w:r>
      <w:r w:rsidRPr="00F3192A">
        <w:rPr>
          <w:rtl/>
        </w:rPr>
        <w:t>ע"פ 14/</w:t>
      </w:r>
      <w:r>
        <w:rPr>
          <w:rtl/>
        </w:rPr>
        <w:t xml:space="preserve">5760 </w:t>
      </w:r>
      <w:r w:rsidRPr="007A776D">
        <w:rPr>
          <w:b/>
          <w:bCs/>
          <w:rtl/>
        </w:rPr>
        <w:t>פלוני נ' מדינת ישראל</w:t>
      </w:r>
      <w:r>
        <w:rPr>
          <w:rtl/>
        </w:rPr>
        <w:t xml:space="preserve"> </w:t>
      </w:r>
      <w:r>
        <w:rPr>
          <w:rFonts w:hint="cs"/>
          <w:rtl/>
        </w:rPr>
        <w:t>(3.6.15</w:t>
      </w:r>
      <w:r>
        <w:rPr>
          <w:rtl/>
        </w:rPr>
        <w:t xml:space="preserve">); ע"פ 13/4152 </w:t>
      </w:r>
      <w:r w:rsidRPr="007A776D">
        <w:rPr>
          <w:b/>
          <w:bCs/>
          <w:rtl/>
        </w:rPr>
        <w:t>ישראלי נ' מדינת ישראל</w:t>
      </w:r>
      <w:r>
        <w:rPr>
          <w:rtl/>
        </w:rPr>
        <w:t xml:space="preserve"> </w:t>
      </w:r>
      <w:r>
        <w:rPr>
          <w:rFonts w:hint="cs"/>
          <w:rtl/>
        </w:rPr>
        <w:t>(13.8.14).</w:t>
      </w:r>
      <w:r>
        <w:t xml:space="preserve"> </w:t>
      </w:r>
    </w:p>
  </w:footnote>
  <w:footnote w:id="9">
    <w:p w14:paraId="348A1B3C" w14:textId="77777777" w:rsidR="0055538F" w:rsidRPr="00C9178E" w:rsidRDefault="0055538F" w:rsidP="00EE4E61">
      <w:pPr>
        <w:pStyle w:val="a8"/>
        <w:rPr>
          <w:rtl/>
        </w:rPr>
      </w:pPr>
      <w:r w:rsidRPr="00EE4E61">
        <w:footnoteRef/>
      </w:r>
      <w:r w:rsidRPr="00EE4E61">
        <w:rPr>
          <w:rtl/>
        </w:rPr>
        <w:t xml:space="preserve"> </w:t>
      </w:r>
      <w:r w:rsidRPr="00EE4E61">
        <w:rPr>
          <w:rtl/>
        </w:rPr>
        <w:tab/>
      </w:r>
      <w:r>
        <w:rPr>
          <w:rFonts w:hint="cs"/>
        </w:rPr>
        <w:t>R</w:t>
      </w:r>
      <w:r>
        <w:t xml:space="preserve">oy Walmsley, </w:t>
      </w:r>
      <w:r w:rsidRPr="00206C1D">
        <w:rPr>
          <w:i/>
          <w:iCs/>
        </w:rPr>
        <w:t>World Pre-trail/Remand Imprisonment List</w:t>
      </w:r>
      <w:r>
        <w:rPr>
          <w:b/>
          <w:bCs/>
        </w:rPr>
        <w:t xml:space="preserve"> </w:t>
      </w:r>
      <w:r>
        <w:t>(3</w:t>
      </w:r>
      <w:r w:rsidRPr="00206C1D">
        <w:rPr>
          <w:vertAlign w:val="superscript"/>
        </w:rPr>
        <w:t>rd</w:t>
      </w:r>
      <w:r>
        <w:t xml:space="preserve"> ed.), </w:t>
      </w:r>
      <w:r w:rsidRPr="002E7B8B">
        <w:t xml:space="preserve">The Institute for Criminal Policy Research at </w:t>
      </w:r>
      <w:proofErr w:type="spellStart"/>
      <w:r w:rsidRPr="002E7B8B">
        <w:t>Birkback</w:t>
      </w:r>
      <w:proofErr w:type="spellEnd"/>
      <w:r w:rsidRPr="002E7B8B">
        <w:t>, University of London</w:t>
      </w:r>
      <w:r>
        <w:t>.</w:t>
      </w:r>
      <w:r>
        <w:rPr>
          <w:rtl/>
        </w:rPr>
        <w:t xml:space="preserve"> </w:t>
      </w:r>
    </w:p>
  </w:footnote>
  <w:footnote w:id="10">
    <w:p w14:paraId="314394F4" w14:textId="77777777" w:rsidR="0055538F" w:rsidRDefault="0055538F" w:rsidP="00EE4E61">
      <w:pPr>
        <w:pStyle w:val="a8"/>
        <w:rPr>
          <w:rtl/>
        </w:rPr>
      </w:pPr>
      <w:r w:rsidRPr="00EE4E61">
        <w:footnoteRef/>
      </w:r>
      <w:r w:rsidRPr="00EE4E61">
        <w:rPr>
          <w:rtl/>
        </w:rPr>
        <w:t xml:space="preserve"> </w:t>
      </w:r>
      <w:r w:rsidRPr="00EE4E61">
        <w:rPr>
          <w:rtl/>
        </w:rPr>
        <w:tab/>
      </w:r>
      <w:r w:rsidRPr="00D7367F">
        <w:rPr>
          <w:rFonts w:hint="eastAsia"/>
          <w:b/>
          <w:bCs/>
          <w:rtl/>
        </w:rPr>
        <w:t>המלצות</w:t>
      </w:r>
      <w:r w:rsidRPr="00D7367F">
        <w:rPr>
          <w:b/>
          <w:bCs/>
          <w:rtl/>
        </w:rPr>
        <w:t xml:space="preserve"> </w:t>
      </w:r>
      <w:r>
        <w:rPr>
          <w:rFonts w:hint="eastAsia"/>
          <w:b/>
          <w:bCs/>
          <w:rtl/>
        </w:rPr>
        <w:t>הוועדה</w:t>
      </w:r>
      <w:r w:rsidRPr="00D7367F">
        <w:rPr>
          <w:b/>
          <w:bCs/>
          <w:rtl/>
        </w:rPr>
        <w:t xml:space="preserve"> </w:t>
      </w:r>
      <w:r w:rsidRPr="00D7367F">
        <w:rPr>
          <w:rFonts w:hint="eastAsia"/>
          <w:b/>
          <w:bCs/>
          <w:rtl/>
        </w:rPr>
        <w:t>הציבורית</w:t>
      </w:r>
      <w:r w:rsidRPr="00D7367F">
        <w:rPr>
          <w:b/>
          <w:bCs/>
          <w:rtl/>
        </w:rPr>
        <w:t xml:space="preserve"> </w:t>
      </w:r>
      <w:r w:rsidRPr="00D7367F">
        <w:rPr>
          <w:rFonts w:hint="eastAsia"/>
          <w:b/>
          <w:bCs/>
          <w:rtl/>
        </w:rPr>
        <w:t>לבחינת</w:t>
      </w:r>
      <w:r w:rsidRPr="00D7367F">
        <w:rPr>
          <w:b/>
          <w:bCs/>
          <w:rtl/>
        </w:rPr>
        <w:t xml:space="preserve"> </w:t>
      </w:r>
      <w:r w:rsidRPr="00D7367F">
        <w:rPr>
          <w:rFonts w:hint="eastAsia"/>
          <w:b/>
          <w:bCs/>
          <w:rtl/>
        </w:rPr>
        <w:t>מדיניות</w:t>
      </w:r>
      <w:r w:rsidRPr="00D7367F">
        <w:rPr>
          <w:b/>
          <w:bCs/>
          <w:rtl/>
        </w:rPr>
        <w:t xml:space="preserve"> </w:t>
      </w:r>
      <w:r w:rsidRPr="00D7367F">
        <w:rPr>
          <w:rFonts w:hint="eastAsia"/>
          <w:b/>
          <w:bCs/>
          <w:rtl/>
        </w:rPr>
        <w:t>הענישה</w:t>
      </w:r>
      <w:r w:rsidRPr="00D7367F">
        <w:rPr>
          <w:b/>
          <w:bCs/>
          <w:rtl/>
        </w:rPr>
        <w:t xml:space="preserve"> </w:t>
      </w:r>
      <w:r w:rsidRPr="00D7367F">
        <w:rPr>
          <w:rFonts w:hint="eastAsia"/>
          <w:b/>
          <w:bCs/>
          <w:rtl/>
        </w:rPr>
        <w:t>והטיפול</w:t>
      </w:r>
      <w:r w:rsidRPr="00D7367F">
        <w:rPr>
          <w:b/>
          <w:bCs/>
          <w:rtl/>
        </w:rPr>
        <w:t xml:space="preserve"> </w:t>
      </w:r>
      <w:r w:rsidRPr="00D7367F">
        <w:rPr>
          <w:rFonts w:hint="eastAsia"/>
          <w:b/>
          <w:bCs/>
          <w:rtl/>
        </w:rPr>
        <w:t>בעבריינים</w:t>
      </w:r>
      <w:r>
        <w:rPr>
          <w:rFonts w:hint="cs"/>
          <w:rtl/>
        </w:rPr>
        <w:t xml:space="preserve"> (אוגוסט 2015),</w:t>
      </w:r>
      <w:r w:rsidRPr="00EA4B5E">
        <w:rPr>
          <w:rFonts w:hint="cs"/>
          <w:rtl/>
        </w:rPr>
        <w:t xml:space="preserve"> </w:t>
      </w:r>
      <w:r>
        <w:rPr>
          <w:rFonts w:hint="cs"/>
          <w:rtl/>
        </w:rPr>
        <w:t>עמ' 58.</w:t>
      </w:r>
    </w:p>
  </w:footnote>
  <w:footnote w:id="11">
    <w:p w14:paraId="08B62B69" w14:textId="77777777" w:rsidR="0055538F" w:rsidRPr="00EE4E61" w:rsidRDefault="0055538F" w:rsidP="00EE4E61">
      <w:pPr>
        <w:pStyle w:val="a8"/>
        <w:rPr>
          <w:rtl/>
        </w:rPr>
      </w:pPr>
      <w:r w:rsidRPr="00EE4E61">
        <w:rPr>
          <w:rStyle w:val="FootnoteReference"/>
          <w:vertAlign w:val="baseline"/>
        </w:rPr>
        <w:footnoteRef/>
      </w:r>
      <w:r w:rsidRPr="00EE4E61">
        <w:rPr>
          <w:rtl/>
        </w:rPr>
        <w:t xml:space="preserve"> </w:t>
      </w:r>
      <w:r w:rsidRPr="00EE4E61">
        <w:rPr>
          <w:rtl/>
        </w:rPr>
        <w:tab/>
      </w:r>
      <w:r w:rsidRPr="00EE4E61">
        <w:rPr>
          <w:rFonts w:hint="cs"/>
          <w:rtl/>
        </w:rPr>
        <w:t xml:space="preserve">מועצת </w:t>
      </w:r>
      <w:r w:rsidRPr="00EE4E61">
        <w:rPr>
          <w:rFonts w:hint="cs"/>
          <w:rtl/>
        </w:rPr>
        <w:t>אירופה הוא ארגון בינלאומי של 47 מדינות אירופיות הפועל לשיתוף פעולה בין המדינות החברות בו בתחומי זכויות אדם, קידום הדמוקרטיה ומשפט בינלאומי. ישראל היא מדינה משקיפה בארגון.</w:t>
      </w:r>
    </w:p>
  </w:footnote>
  <w:footnote w:id="12">
    <w:p w14:paraId="4FAC1BA8" w14:textId="77777777" w:rsidR="0055538F" w:rsidRPr="00EE4E61" w:rsidRDefault="0055538F" w:rsidP="00EE4E61">
      <w:pPr>
        <w:pStyle w:val="a8"/>
        <w:rPr>
          <w:rtl/>
        </w:rPr>
      </w:pPr>
      <w:r w:rsidRPr="00EE4E61">
        <w:rPr>
          <w:rStyle w:val="FootnoteReference"/>
          <w:vertAlign w:val="baseline"/>
        </w:rPr>
        <w:footnoteRef/>
      </w:r>
      <w:r w:rsidRPr="00EE4E61">
        <w:rPr>
          <w:rtl/>
        </w:rPr>
        <w:t xml:space="preserve"> </w:t>
      </w:r>
      <w:r w:rsidRPr="00EE4E61">
        <w:rPr>
          <w:rtl/>
        </w:rPr>
        <w:tab/>
      </w:r>
      <w:r w:rsidRPr="00EE4E61">
        <w:t xml:space="preserve">Council of Europe Annual Penal statistics </w:t>
      </w:r>
      <w:r w:rsidRPr="00EE4E61">
        <w:rPr>
          <w:rFonts w:hint="cs"/>
        </w:rPr>
        <w:t>SPACE 1</w:t>
      </w:r>
      <w:r w:rsidRPr="00EE4E61">
        <w:t>,</w:t>
      </w:r>
      <w:r w:rsidRPr="00EE4E61">
        <w:rPr>
          <w:rFonts w:hint="cs"/>
        </w:rPr>
        <w:t xml:space="preserve"> </w:t>
      </w:r>
      <w:r w:rsidRPr="00EE4E61">
        <w:t>Prison Populations survey 2015, p. 66</w:t>
      </w:r>
      <w:r w:rsidRPr="00EE4E61">
        <w:rPr>
          <w:rtl/>
        </w:rPr>
        <w:t xml:space="preserve"> </w:t>
      </w:r>
    </w:p>
  </w:footnote>
  <w:footnote w:id="13">
    <w:p w14:paraId="18ADE4EF" w14:textId="77777777" w:rsidR="0055538F" w:rsidRDefault="0055538F" w:rsidP="00EE4E61">
      <w:pPr>
        <w:pStyle w:val="a8"/>
      </w:pPr>
      <w:r w:rsidRPr="00EE4E61">
        <w:rPr>
          <w:rStyle w:val="FootnoteReference"/>
          <w:vertAlign w:val="baseline"/>
        </w:rPr>
        <w:footnoteRef/>
      </w:r>
      <w:r w:rsidRPr="00EE4E61">
        <w:rPr>
          <w:rtl/>
        </w:rPr>
        <w:t xml:space="preserve"> </w:t>
      </w:r>
      <w:r w:rsidRPr="00EE4E61">
        <w:tab/>
      </w:r>
      <w:r w:rsidRPr="00EE4E61">
        <w:rPr>
          <w:rFonts w:hint="cs"/>
          <w:rtl/>
        </w:rPr>
        <w:t>הארגון לשיתוף פעולה ולפיתוח כלכלי (</w:t>
      </w:r>
      <w:r w:rsidRPr="00EE4E61">
        <w:rPr>
          <w:rFonts w:hint="cs"/>
        </w:rPr>
        <w:t>OECD</w:t>
      </w:r>
      <w:r w:rsidRPr="00EE4E61">
        <w:rPr>
          <w:rFonts w:hint="cs"/>
          <w:rtl/>
        </w:rPr>
        <w:t>) הוא ארגון בינלאומי של המדינות המפותחות. ישראל חברה מלאה</w:t>
      </w:r>
      <w:r>
        <w:rPr>
          <w:rFonts w:hint="cs"/>
          <w:rtl/>
        </w:rPr>
        <w:t xml:space="preserve"> בארגון משנת 2010.</w:t>
      </w:r>
      <w:r>
        <w:t xml:space="preserve"> </w:t>
      </w:r>
    </w:p>
  </w:footnote>
  <w:footnote w:id="14">
    <w:p w14:paraId="623463B0" w14:textId="77777777" w:rsidR="0055538F" w:rsidRPr="00285EC0" w:rsidRDefault="0055538F" w:rsidP="00285EC0">
      <w:pPr>
        <w:pStyle w:val="a8"/>
      </w:pPr>
      <w:r w:rsidRPr="00285EC0">
        <w:rPr>
          <w:rStyle w:val="FootnoteReference"/>
          <w:vertAlign w:val="baseline"/>
        </w:rPr>
        <w:footnoteRef/>
      </w:r>
      <w:r w:rsidRPr="00285EC0">
        <w:rPr>
          <w:rtl/>
        </w:rPr>
        <w:t xml:space="preserve"> </w:t>
      </w:r>
      <w:r w:rsidRPr="00285EC0">
        <w:rPr>
          <w:rtl/>
        </w:rPr>
        <w:tab/>
      </w:r>
      <w:r w:rsidRPr="00285EC0">
        <w:rPr>
          <w:rFonts w:hint="cs"/>
          <w:rtl/>
        </w:rPr>
        <w:t xml:space="preserve">יצוין </w:t>
      </w:r>
      <w:r w:rsidRPr="00285EC0">
        <w:rPr>
          <w:rFonts w:hint="cs"/>
          <w:rtl/>
        </w:rPr>
        <w:t>כי התנאי של שישה חודשי מאסר לצורך הכנת תוכנית שיקום חל על אסירים בלבד ולא על אסירות.</w:t>
      </w:r>
    </w:p>
  </w:footnote>
  <w:footnote w:id="15">
    <w:p w14:paraId="0EE13FFE" w14:textId="77777777" w:rsidR="0055538F" w:rsidRPr="00285EC0" w:rsidRDefault="0055538F" w:rsidP="00285EC0">
      <w:pPr>
        <w:pStyle w:val="a8"/>
        <w:rPr>
          <w:rtl/>
        </w:rPr>
      </w:pPr>
      <w:r w:rsidRPr="00285EC0">
        <w:rPr>
          <w:rStyle w:val="FootnoteReference"/>
          <w:vertAlign w:val="baseline"/>
        </w:rPr>
        <w:footnoteRef/>
      </w:r>
      <w:r w:rsidRPr="00285EC0">
        <w:rPr>
          <w:rtl/>
        </w:rPr>
        <w:t xml:space="preserve"> </w:t>
      </w:r>
      <w:r w:rsidRPr="00285EC0">
        <w:rPr>
          <w:rtl/>
        </w:rPr>
        <w:tab/>
      </w:r>
      <w:r w:rsidRPr="00285EC0">
        <w:rPr>
          <w:rFonts w:hint="cs"/>
          <w:rtl/>
        </w:rPr>
        <w:t xml:space="preserve">קרן </w:t>
      </w:r>
      <w:r w:rsidRPr="00285EC0">
        <w:rPr>
          <w:rFonts w:hint="cs"/>
          <w:rtl/>
        </w:rPr>
        <w:t>וינשל-מרגל וענבל גלון, "ההשפעה של תיקון החוק בעניין הבניית שיקול הדעת השיפוטי בענישה על גזירת מאסרים</w:t>
      </w:r>
      <w:r>
        <w:rPr>
          <w:rFonts w:hint="cs"/>
          <w:rtl/>
        </w:rPr>
        <w:t xml:space="preserve">", </w:t>
      </w:r>
      <w:r>
        <w:rPr>
          <w:rFonts w:hint="cs"/>
          <w:b/>
          <w:bCs/>
          <w:rtl/>
        </w:rPr>
        <w:t xml:space="preserve">עיוני משפט, </w:t>
      </w:r>
      <w:r>
        <w:rPr>
          <w:rFonts w:hint="cs"/>
          <w:rtl/>
        </w:rPr>
        <w:t xml:space="preserve">לח </w:t>
      </w:r>
      <w:r w:rsidRPr="00285EC0">
        <w:rPr>
          <w:rFonts w:hint="cs"/>
          <w:rtl/>
        </w:rPr>
        <w:t>(2016), עמ' 221 - 269.</w:t>
      </w:r>
    </w:p>
  </w:footnote>
  <w:footnote w:id="16">
    <w:p w14:paraId="726099B5" w14:textId="77777777" w:rsidR="0055538F" w:rsidRDefault="0055538F" w:rsidP="00285EC0">
      <w:pPr>
        <w:pStyle w:val="a8"/>
        <w:rPr>
          <w:rtl/>
        </w:rPr>
      </w:pPr>
      <w:r w:rsidRPr="00285EC0">
        <w:rPr>
          <w:rStyle w:val="FootnoteReference"/>
          <w:vertAlign w:val="baseline"/>
        </w:rPr>
        <w:footnoteRef/>
      </w:r>
      <w:r w:rsidRPr="00285EC0">
        <w:rPr>
          <w:rtl/>
        </w:rPr>
        <w:t xml:space="preserve"> </w:t>
      </w:r>
      <w:r w:rsidRPr="00285EC0">
        <w:rPr>
          <w:rtl/>
        </w:rPr>
        <w:tab/>
      </w:r>
      <w:r w:rsidRPr="00285EC0">
        <w:rPr>
          <w:rFonts w:hint="cs"/>
          <w:rtl/>
        </w:rPr>
        <w:t>אורן</w:t>
      </w:r>
      <w:r>
        <w:rPr>
          <w:rFonts w:hint="cs"/>
          <w:rtl/>
        </w:rPr>
        <w:t xml:space="preserve"> </w:t>
      </w:r>
      <w:r>
        <w:rPr>
          <w:rFonts w:hint="cs"/>
          <w:rtl/>
        </w:rPr>
        <w:t xml:space="preserve">גזל-אייל, "התפתחויות במשפט הפלילי הדיוני והמהותי - 2014-2012", </w:t>
      </w:r>
      <w:r>
        <w:rPr>
          <w:rFonts w:hint="cs"/>
          <w:b/>
          <w:bCs/>
          <w:rtl/>
        </w:rPr>
        <w:t xml:space="preserve">דין ודברים </w:t>
      </w:r>
      <w:r>
        <w:rPr>
          <w:rFonts w:hint="cs"/>
          <w:rtl/>
        </w:rPr>
        <w:t>ט (תשע"ו), עמ' 517 - 560.</w:t>
      </w:r>
    </w:p>
  </w:footnote>
  <w:footnote w:id="17">
    <w:p w14:paraId="7EF5BBEC" w14:textId="77777777" w:rsidR="0055538F" w:rsidRPr="005C5648" w:rsidRDefault="0055538F" w:rsidP="005C5648">
      <w:pPr>
        <w:pStyle w:val="a8"/>
        <w:rPr>
          <w:rtl/>
        </w:rPr>
      </w:pPr>
      <w:r w:rsidRPr="005C5648">
        <w:footnoteRef/>
      </w:r>
      <w:r w:rsidRPr="005C5648">
        <w:rPr>
          <w:rtl/>
        </w:rPr>
        <w:t xml:space="preserve"> </w:t>
      </w:r>
      <w:r w:rsidRPr="005C5648">
        <w:rPr>
          <w:rtl/>
        </w:rPr>
        <w:tab/>
      </w:r>
      <w:r w:rsidRPr="005C5648">
        <w:rPr>
          <w:rFonts w:hint="cs"/>
          <w:rtl/>
        </w:rPr>
        <w:t xml:space="preserve">אורן </w:t>
      </w:r>
      <w:r w:rsidRPr="005C5648">
        <w:rPr>
          <w:rFonts w:hint="cs"/>
          <w:rtl/>
        </w:rPr>
        <w:t>גזל-</w:t>
      </w:r>
      <w:r>
        <w:rPr>
          <w:rFonts w:hint="cs"/>
          <w:rtl/>
        </w:rPr>
        <w:t xml:space="preserve">אייל, ענבל גלון וקרן וינשל-מרגל, </w:t>
      </w:r>
      <w:r>
        <w:rPr>
          <w:rFonts w:hint="cs"/>
          <w:b/>
          <w:bCs/>
          <w:rtl/>
        </w:rPr>
        <w:t>שיעורי הרשעה וזיכוי בהליכים פליליים</w:t>
      </w:r>
      <w:r>
        <w:rPr>
          <w:rFonts w:hint="cs"/>
          <w:rtl/>
        </w:rPr>
        <w:t>,</w:t>
      </w:r>
      <w:r>
        <w:rPr>
          <w:rFonts w:hint="cs"/>
          <w:b/>
          <w:bCs/>
          <w:rtl/>
        </w:rPr>
        <w:t xml:space="preserve"> </w:t>
      </w:r>
      <w:r>
        <w:rPr>
          <w:rFonts w:hint="cs"/>
          <w:rtl/>
        </w:rPr>
        <w:t xml:space="preserve">אוניברסיטת חיפה </w:t>
      </w:r>
      <w:r w:rsidRPr="005C5648">
        <w:rPr>
          <w:rFonts w:hint="cs"/>
          <w:rtl/>
        </w:rPr>
        <w:t>ומחלקת מחקר של הרשות השופטת (2012), עמ' 28 - 29.</w:t>
      </w:r>
    </w:p>
  </w:footnote>
  <w:footnote w:id="18">
    <w:p w14:paraId="343740A6" w14:textId="77777777" w:rsidR="0055538F" w:rsidRDefault="0055538F" w:rsidP="005C5648">
      <w:pPr>
        <w:pStyle w:val="a8"/>
      </w:pPr>
      <w:r w:rsidRPr="005C5648">
        <w:rPr>
          <w:rStyle w:val="FootnoteReference"/>
          <w:vertAlign w:val="baseline"/>
        </w:rPr>
        <w:footnoteRef/>
      </w:r>
      <w:r w:rsidRPr="005C5648">
        <w:rPr>
          <w:rtl/>
        </w:rPr>
        <w:t xml:space="preserve"> </w:t>
      </w:r>
      <w:r w:rsidRPr="005C5648">
        <w:rPr>
          <w:rtl/>
        </w:rPr>
        <w:tab/>
      </w:r>
      <w:r w:rsidRPr="005C5648">
        <w:rPr>
          <w:rFonts w:hint="eastAsia"/>
          <w:rtl/>
        </w:rPr>
        <w:t>לפירוט</w:t>
      </w:r>
      <w:r w:rsidRPr="005C5648">
        <w:rPr>
          <w:rtl/>
        </w:rPr>
        <w:t xml:space="preserve"> </w:t>
      </w:r>
      <w:r w:rsidRPr="005C5648">
        <w:rPr>
          <w:rFonts w:hint="eastAsia"/>
          <w:rtl/>
        </w:rPr>
        <w:t>ראו</w:t>
      </w:r>
      <w:r w:rsidRPr="006F2507">
        <w:rPr>
          <w:rtl/>
        </w:rPr>
        <w:t xml:space="preserve"> </w:t>
      </w:r>
      <w:r>
        <w:rPr>
          <w:rFonts w:hint="cs"/>
          <w:rtl/>
        </w:rPr>
        <w:t xml:space="preserve">בפרק </w:t>
      </w:r>
      <w:r w:rsidRPr="006F2507">
        <w:rPr>
          <w:rFonts w:hint="eastAsia"/>
          <w:rtl/>
        </w:rPr>
        <w:t>העוסק</w:t>
      </w:r>
      <w:r w:rsidRPr="006F2507">
        <w:rPr>
          <w:rtl/>
        </w:rPr>
        <w:t xml:space="preserve"> </w:t>
      </w:r>
      <w:r>
        <w:rPr>
          <w:rFonts w:hint="cs"/>
          <w:rtl/>
        </w:rPr>
        <w:t>בהליכי המעצרים במשטרה ובהנהלת בתי המשפט.</w:t>
      </w:r>
    </w:p>
  </w:footnote>
  <w:footnote w:id="19">
    <w:p w14:paraId="46B7FA25" w14:textId="77777777" w:rsidR="0055538F" w:rsidRDefault="0055538F" w:rsidP="00BA23AE">
      <w:pPr>
        <w:pStyle w:val="FootnoteText"/>
        <w:spacing w:line="269" w:lineRule="auto"/>
        <w:rPr>
          <w:rtl/>
        </w:rPr>
      </w:pPr>
      <w:r>
        <w:rPr>
          <w:rStyle w:val="FootnoteReference"/>
        </w:rPr>
        <w:footnoteRef/>
      </w:r>
      <w:r>
        <w:rPr>
          <w:rtl/>
        </w:rPr>
        <w:t xml:space="preserve"> </w:t>
      </w:r>
      <w:r>
        <w:rPr>
          <w:rtl/>
        </w:rPr>
        <w:tab/>
      </w:r>
      <w:r w:rsidRPr="00F16077">
        <w:rPr>
          <w:rFonts w:hint="cs"/>
          <w:b/>
          <w:bCs/>
          <w:rtl/>
        </w:rPr>
        <w:t>הועבר לגורמי חוץ</w:t>
      </w:r>
      <w:r>
        <w:rPr>
          <w:rFonts w:hint="cs"/>
          <w:rtl/>
        </w:rPr>
        <w:t xml:space="preserve"> - מי שבדיוני המעצרים נמצא כי קיימת עילה נוספת מנהלית להחזיקו במשמורת ולכן מעצרו הסתיים. ניתן להעביר עצור לגורמי צה"ל, למעצר מינהלי, לביצוע צו גירוש וכיוצא באלו. </w:t>
      </w:r>
    </w:p>
  </w:footnote>
  <w:footnote w:id="20">
    <w:p w14:paraId="1B042F1E" w14:textId="77777777" w:rsidR="0055538F" w:rsidRDefault="0055538F" w:rsidP="00BA23AE">
      <w:pPr>
        <w:pStyle w:val="FootnoteText"/>
        <w:spacing w:line="269" w:lineRule="auto"/>
        <w:rPr>
          <w:rtl/>
        </w:rPr>
      </w:pPr>
      <w:r>
        <w:rPr>
          <w:rStyle w:val="FootnoteReference"/>
        </w:rPr>
        <w:footnoteRef/>
      </w:r>
      <w:r>
        <w:rPr>
          <w:rtl/>
        </w:rPr>
        <w:t xml:space="preserve"> </w:t>
      </w:r>
      <w:r>
        <w:rPr>
          <w:rtl/>
        </w:rPr>
        <w:tab/>
      </w:r>
      <w:r w:rsidRPr="009D3EAA">
        <w:rPr>
          <w:rFonts w:hint="eastAsia"/>
          <w:b/>
          <w:bCs/>
          <w:rtl/>
        </w:rPr>
        <w:t>נשפט</w:t>
      </w:r>
      <w:r>
        <w:rPr>
          <w:rFonts w:hint="cs"/>
          <w:rtl/>
        </w:rPr>
        <w:t xml:space="preserve"> </w:t>
      </w:r>
      <w:r>
        <w:rPr>
          <w:rFonts w:hint="cs"/>
          <w:rtl/>
        </w:rPr>
        <w:t xml:space="preserve">- מי שבדיוני מעצרים הגיע להסדר טיעון שהוגש לבית המשפט, וחלף המשך הדיון בשאלת מעצרו נגזר דינו. לעומת זאת, אם עצור שוחרר ממעצר ורק לאחר שחרורו נגזר עליו גזר דין הכולל מאסר בפועל (מאסר נדחה), סיום המעצר נקבע על פי </w:t>
      </w:r>
      <w:r w:rsidRPr="001B7705">
        <w:rPr>
          <w:rFonts w:hint="eastAsia"/>
          <w:u w:val="single"/>
          <w:rtl/>
        </w:rPr>
        <w:t>החלטת</w:t>
      </w:r>
      <w:r w:rsidRPr="001B7705">
        <w:rPr>
          <w:u w:val="single"/>
          <w:rtl/>
        </w:rPr>
        <w:t xml:space="preserve"> </w:t>
      </w:r>
      <w:r w:rsidRPr="001B7705">
        <w:rPr>
          <w:rFonts w:hint="eastAsia"/>
          <w:u w:val="single"/>
          <w:rtl/>
        </w:rPr>
        <w:t>סיום</w:t>
      </w:r>
      <w:r w:rsidRPr="001B7705">
        <w:rPr>
          <w:u w:val="single"/>
          <w:rtl/>
        </w:rPr>
        <w:t xml:space="preserve"> </w:t>
      </w:r>
      <w:r w:rsidRPr="001B7705">
        <w:rPr>
          <w:rFonts w:hint="eastAsia"/>
          <w:u w:val="single"/>
          <w:rtl/>
        </w:rPr>
        <w:t>המעצר</w:t>
      </w:r>
      <w:r>
        <w:rPr>
          <w:rFonts w:hint="cs"/>
          <w:rtl/>
        </w:rPr>
        <w:t xml:space="preserve">, ההחלטה שלפני האחרונה, ולא לפי גזר הדין, שהוא ההחלטה האחרונה בעניינו. </w:t>
      </w:r>
    </w:p>
  </w:footnote>
  <w:footnote w:id="21">
    <w:p w14:paraId="0A9044EE" w14:textId="77777777" w:rsidR="0055538F" w:rsidRPr="00F05CF9" w:rsidRDefault="0055538F" w:rsidP="00F05CF9">
      <w:pPr>
        <w:pStyle w:val="a8"/>
      </w:pPr>
      <w:r w:rsidRPr="00F05CF9">
        <w:rPr>
          <w:rStyle w:val="FootnoteReference"/>
          <w:vertAlign w:val="baseline"/>
        </w:rPr>
        <w:footnoteRef/>
      </w:r>
      <w:r w:rsidRPr="00F05CF9">
        <w:rPr>
          <w:rtl/>
        </w:rPr>
        <w:t xml:space="preserve"> </w:t>
      </w:r>
      <w:r w:rsidRPr="00F05CF9">
        <w:rPr>
          <w:rtl/>
        </w:rPr>
        <w:tab/>
      </w:r>
      <w:r w:rsidRPr="00F05CF9">
        <w:rPr>
          <w:rFonts w:hint="cs"/>
          <w:rtl/>
        </w:rPr>
        <w:t xml:space="preserve">סיכום </w:t>
      </w:r>
      <w:r w:rsidRPr="00F05CF9">
        <w:rPr>
          <w:rFonts w:hint="cs"/>
          <w:rtl/>
        </w:rPr>
        <w:t xml:space="preserve">תקציבי - שירות המבחן למבוגרים (24.7.19). </w:t>
      </w:r>
    </w:p>
  </w:footnote>
  <w:footnote w:id="22">
    <w:p w14:paraId="5BB10652" w14:textId="77777777" w:rsidR="0055538F" w:rsidRDefault="0055538F" w:rsidP="00F05CF9">
      <w:pPr>
        <w:pStyle w:val="a8"/>
        <w:rPr>
          <w:rtl/>
        </w:rPr>
      </w:pPr>
      <w:r w:rsidRPr="00F05CF9">
        <w:rPr>
          <w:rStyle w:val="FootnoteReference"/>
          <w:vertAlign w:val="baseline"/>
        </w:rPr>
        <w:footnoteRef/>
      </w:r>
      <w:r w:rsidRPr="00F05CF9">
        <w:rPr>
          <w:rtl/>
        </w:rPr>
        <w:t xml:space="preserve"> </w:t>
      </w:r>
      <w:r w:rsidRPr="00F05CF9">
        <w:rPr>
          <w:rtl/>
        </w:rPr>
        <w:tab/>
      </w:r>
      <w:r w:rsidRPr="00F05CF9">
        <w:rPr>
          <w:rFonts w:hint="cs"/>
          <w:rtl/>
        </w:rPr>
        <w:t xml:space="preserve">לפי </w:t>
      </w:r>
      <w:r w:rsidRPr="00F05CF9">
        <w:rPr>
          <w:rFonts w:hint="cs"/>
          <w:rtl/>
        </w:rPr>
        <w:t>נתוני שב</w:t>
      </w:r>
      <w:r>
        <w:rPr>
          <w:rFonts w:hint="cs"/>
          <w:rtl/>
        </w:rPr>
        <w:t>"ס. התחשיב מבוסס על תקן של 600 אזיקים אלקטרוניים, באישורו של המשרד לביטחון פנים.</w:t>
      </w:r>
    </w:p>
  </w:footnote>
  <w:footnote w:id="23">
    <w:p w14:paraId="314C69E8" w14:textId="77777777" w:rsidR="0055538F" w:rsidRPr="00F05CF9" w:rsidRDefault="0055538F" w:rsidP="00F05CF9">
      <w:pPr>
        <w:pStyle w:val="a8"/>
        <w:rPr>
          <w:rtl/>
        </w:rPr>
      </w:pPr>
      <w:r w:rsidRPr="00F05CF9">
        <w:footnoteRef/>
      </w:r>
      <w:r w:rsidRPr="00F05CF9">
        <w:rPr>
          <w:rtl/>
        </w:rPr>
        <w:t xml:space="preserve"> </w:t>
      </w:r>
      <w:r w:rsidRPr="00F05CF9">
        <w:rPr>
          <w:rtl/>
        </w:rPr>
        <w:tab/>
      </w:r>
      <w:r w:rsidRPr="00206C1D">
        <w:rPr>
          <w:rFonts w:hint="eastAsia"/>
          <w:b/>
          <w:bCs/>
          <w:rtl/>
        </w:rPr>
        <w:t>תקציר</w:t>
      </w:r>
      <w:r w:rsidRPr="00206C1D">
        <w:rPr>
          <w:b/>
          <w:bCs/>
          <w:rtl/>
        </w:rPr>
        <w:t xml:space="preserve"> </w:t>
      </w:r>
      <w:r w:rsidRPr="00206C1D">
        <w:rPr>
          <w:rFonts w:hint="eastAsia"/>
          <w:b/>
          <w:bCs/>
          <w:rtl/>
        </w:rPr>
        <w:t>המלצות</w:t>
      </w:r>
      <w:r w:rsidRPr="00206C1D">
        <w:rPr>
          <w:b/>
          <w:bCs/>
          <w:rtl/>
        </w:rPr>
        <w:t xml:space="preserve"> </w:t>
      </w:r>
      <w:r w:rsidRPr="00206C1D">
        <w:rPr>
          <w:rFonts w:hint="eastAsia"/>
          <w:b/>
          <w:bCs/>
          <w:rtl/>
        </w:rPr>
        <w:t>הוועדה</w:t>
      </w:r>
      <w:r w:rsidRPr="00206C1D">
        <w:rPr>
          <w:b/>
          <w:bCs/>
          <w:rtl/>
        </w:rPr>
        <w:t xml:space="preserve"> </w:t>
      </w:r>
      <w:r w:rsidRPr="00206C1D">
        <w:rPr>
          <w:rFonts w:hint="eastAsia"/>
          <w:b/>
          <w:bCs/>
          <w:rtl/>
        </w:rPr>
        <w:t>הציבורית</w:t>
      </w:r>
      <w:r w:rsidRPr="00206C1D">
        <w:rPr>
          <w:b/>
          <w:bCs/>
          <w:rtl/>
        </w:rPr>
        <w:t xml:space="preserve"> </w:t>
      </w:r>
      <w:r w:rsidRPr="00206C1D">
        <w:rPr>
          <w:rFonts w:hint="eastAsia"/>
          <w:b/>
          <w:bCs/>
          <w:rtl/>
        </w:rPr>
        <w:t>לבחינת</w:t>
      </w:r>
      <w:r w:rsidRPr="00206C1D">
        <w:rPr>
          <w:b/>
          <w:bCs/>
          <w:rtl/>
        </w:rPr>
        <w:t xml:space="preserve"> </w:t>
      </w:r>
      <w:r w:rsidRPr="00206C1D">
        <w:rPr>
          <w:rFonts w:hint="eastAsia"/>
          <w:b/>
          <w:bCs/>
          <w:rtl/>
        </w:rPr>
        <w:t>מדיניות</w:t>
      </w:r>
      <w:r w:rsidRPr="00206C1D">
        <w:rPr>
          <w:b/>
          <w:bCs/>
          <w:rtl/>
        </w:rPr>
        <w:t xml:space="preserve"> </w:t>
      </w:r>
      <w:r w:rsidRPr="00206C1D">
        <w:rPr>
          <w:rFonts w:hint="eastAsia"/>
          <w:b/>
          <w:bCs/>
          <w:rtl/>
        </w:rPr>
        <w:t>הענישה</w:t>
      </w:r>
      <w:r w:rsidRPr="00206C1D">
        <w:rPr>
          <w:b/>
          <w:bCs/>
          <w:rtl/>
        </w:rPr>
        <w:t xml:space="preserve"> </w:t>
      </w:r>
      <w:r w:rsidRPr="00206C1D">
        <w:rPr>
          <w:rFonts w:hint="eastAsia"/>
          <w:b/>
          <w:bCs/>
          <w:rtl/>
        </w:rPr>
        <w:t>והטיפול</w:t>
      </w:r>
      <w:r w:rsidRPr="00206C1D">
        <w:rPr>
          <w:b/>
          <w:bCs/>
          <w:rtl/>
        </w:rPr>
        <w:t xml:space="preserve"> </w:t>
      </w:r>
      <w:r w:rsidRPr="00206C1D">
        <w:rPr>
          <w:rFonts w:hint="eastAsia"/>
          <w:b/>
          <w:bCs/>
          <w:rtl/>
        </w:rPr>
        <w:t>בעבריינים</w:t>
      </w:r>
      <w:r w:rsidRPr="00206C1D">
        <w:rPr>
          <w:b/>
          <w:bCs/>
          <w:rtl/>
        </w:rPr>
        <w:t xml:space="preserve"> - </w:t>
      </w:r>
      <w:r w:rsidRPr="00206C1D">
        <w:rPr>
          <w:rFonts w:hint="eastAsia"/>
          <w:b/>
          <w:bCs/>
          <w:rtl/>
        </w:rPr>
        <w:t>דין</w:t>
      </w:r>
      <w:r w:rsidRPr="00206C1D">
        <w:rPr>
          <w:b/>
          <w:bCs/>
          <w:rtl/>
        </w:rPr>
        <w:t xml:space="preserve"> </w:t>
      </w:r>
      <w:r w:rsidRPr="00206C1D">
        <w:rPr>
          <w:rFonts w:hint="eastAsia"/>
          <w:b/>
          <w:bCs/>
          <w:rtl/>
        </w:rPr>
        <w:t>וחשבון</w:t>
      </w:r>
      <w:r>
        <w:rPr>
          <w:rFonts w:hint="cs"/>
          <w:rtl/>
        </w:rPr>
        <w:t xml:space="preserve"> (אוגוסט </w:t>
      </w:r>
      <w:r w:rsidRPr="00F05CF9">
        <w:rPr>
          <w:rFonts w:hint="cs"/>
          <w:rtl/>
        </w:rPr>
        <w:t>2015).</w:t>
      </w:r>
    </w:p>
  </w:footnote>
  <w:footnote w:id="24">
    <w:p w14:paraId="5B87B542" w14:textId="77777777" w:rsidR="0055538F" w:rsidRPr="00F05CF9" w:rsidRDefault="0055538F" w:rsidP="00F05CF9">
      <w:pPr>
        <w:pStyle w:val="a8"/>
        <w:rPr>
          <w:rtl/>
        </w:rPr>
      </w:pPr>
      <w:r w:rsidRPr="00F05CF9">
        <w:rPr>
          <w:rStyle w:val="FootnoteReference"/>
          <w:vertAlign w:val="baseline"/>
        </w:rPr>
        <w:footnoteRef/>
      </w:r>
      <w:r w:rsidRPr="00F05CF9">
        <w:rPr>
          <w:rtl/>
        </w:rPr>
        <w:t xml:space="preserve"> </w:t>
      </w:r>
      <w:r w:rsidRPr="00F05CF9">
        <w:rPr>
          <w:rtl/>
        </w:rPr>
        <w:tab/>
      </w:r>
      <w:r w:rsidRPr="00F05CF9">
        <w:rPr>
          <w:rFonts w:hint="cs"/>
          <w:rtl/>
        </w:rPr>
        <w:t xml:space="preserve">החלטה </w:t>
      </w:r>
      <w:r w:rsidRPr="00F05CF9">
        <w:rPr>
          <w:rFonts w:hint="cs"/>
          <w:rtl/>
        </w:rPr>
        <w:t>1840, ראו בפרק העוסק בתנאי המעצר בשירות בתי הסוהר לעיל.</w:t>
      </w:r>
    </w:p>
  </w:footnote>
  <w:footnote w:id="25">
    <w:p w14:paraId="004185DD" w14:textId="77777777" w:rsidR="0055538F" w:rsidRPr="00F05CF9" w:rsidRDefault="0055538F" w:rsidP="00F05CF9">
      <w:pPr>
        <w:pStyle w:val="a8"/>
        <w:rPr>
          <w:rtl/>
        </w:rPr>
      </w:pPr>
      <w:r w:rsidRPr="00F05CF9">
        <w:rPr>
          <w:rStyle w:val="FootnoteReference"/>
          <w:vertAlign w:val="baseline"/>
        </w:rPr>
        <w:footnoteRef/>
      </w:r>
      <w:r w:rsidRPr="00F05CF9">
        <w:rPr>
          <w:rtl/>
        </w:rPr>
        <w:t xml:space="preserve"> </w:t>
      </w:r>
      <w:r w:rsidRPr="00F05CF9">
        <w:rPr>
          <w:rtl/>
        </w:rPr>
        <w:tab/>
      </w:r>
      <w:r w:rsidRPr="00F05CF9">
        <w:rPr>
          <w:rFonts w:hint="cs"/>
          <w:rtl/>
        </w:rPr>
        <w:t xml:space="preserve">חברי </w:t>
      </w:r>
      <w:r w:rsidRPr="00F05CF9">
        <w:rPr>
          <w:rFonts w:hint="cs"/>
          <w:rtl/>
        </w:rPr>
        <w:t>הצוות היו פרקליטי המחוזות, ראש מינהל התביעות, ראש תחום עונשין - ייעוץ וחקיקה (פלילי).</w:t>
      </w:r>
    </w:p>
  </w:footnote>
  <w:footnote w:id="26">
    <w:p w14:paraId="6CB91D70" w14:textId="77777777" w:rsidR="0055538F" w:rsidRDefault="0055538F" w:rsidP="00F05CF9">
      <w:pPr>
        <w:pStyle w:val="a8"/>
        <w:rPr>
          <w:rtl/>
        </w:rPr>
      </w:pPr>
      <w:r w:rsidRPr="00F05CF9">
        <w:rPr>
          <w:rStyle w:val="FootnoteReference"/>
          <w:vertAlign w:val="baseline"/>
        </w:rPr>
        <w:footnoteRef/>
      </w:r>
      <w:r w:rsidRPr="00F05CF9">
        <w:rPr>
          <w:rtl/>
        </w:rPr>
        <w:t xml:space="preserve"> </w:t>
      </w:r>
      <w:r w:rsidRPr="00F05CF9">
        <w:rPr>
          <w:rtl/>
        </w:rPr>
        <w:tab/>
      </w:r>
      <w:r w:rsidRPr="00F05CF9">
        <w:rPr>
          <w:rFonts w:hint="cs"/>
          <w:rtl/>
        </w:rPr>
        <w:t>החלטה</w:t>
      </w:r>
      <w:r>
        <w:rPr>
          <w:rFonts w:hint="cs"/>
          <w:rtl/>
        </w:rPr>
        <w:t xml:space="preserve"> </w:t>
      </w:r>
      <w:r>
        <w:rPr>
          <w:rFonts w:hint="cs"/>
          <w:rtl/>
        </w:rPr>
        <w:t>3595, ראו בפרק העוסק בתנאי המעצר בשירות בתי הסוהר לעיל.</w:t>
      </w:r>
    </w:p>
  </w:footnote>
  <w:footnote w:id="27">
    <w:p w14:paraId="14AB4DB3" w14:textId="77777777" w:rsidR="0055538F" w:rsidRPr="0056558B" w:rsidRDefault="0055538F" w:rsidP="00F05CF9">
      <w:pPr>
        <w:pStyle w:val="a8"/>
        <w:rPr>
          <w:b/>
          <w:bCs/>
        </w:rPr>
      </w:pPr>
      <w:r w:rsidRPr="00F05CF9">
        <w:footnoteRef/>
      </w:r>
      <w:r w:rsidRPr="00F05CF9">
        <w:rPr>
          <w:rtl/>
        </w:rPr>
        <w:t xml:space="preserve"> </w:t>
      </w:r>
      <w:r w:rsidRPr="00F05CF9">
        <w:rPr>
          <w:rtl/>
        </w:rPr>
        <w:tab/>
      </w:r>
      <w:r w:rsidRPr="00F05CF9">
        <w:rPr>
          <w:rFonts w:hint="cs"/>
          <w:rtl/>
        </w:rPr>
        <w:t xml:space="preserve">סעיף </w:t>
      </w:r>
      <w:r w:rsidRPr="00F05CF9">
        <w:rPr>
          <w:rFonts w:hint="cs"/>
          <w:rtl/>
        </w:rPr>
        <w:t>21א לחוק המעצרים</w:t>
      </w:r>
      <w:r>
        <w:rPr>
          <w:rFonts w:hint="cs"/>
          <w:rtl/>
        </w:rPr>
        <w:t xml:space="preserve">; בש"פ 27/15 </w:t>
      </w:r>
      <w:r>
        <w:rPr>
          <w:rFonts w:hint="cs"/>
          <w:b/>
          <w:bCs/>
          <w:rtl/>
        </w:rPr>
        <w:t xml:space="preserve">עלי יונס נ' מדינת ישראל </w:t>
      </w:r>
      <w:r w:rsidRPr="0056558B">
        <w:rPr>
          <w:rFonts w:hint="cs"/>
          <w:rtl/>
        </w:rPr>
        <w:t>(15.1.15).</w:t>
      </w:r>
    </w:p>
  </w:footnote>
  <w:footnote w:id="28">
    <w:p w14:paraId="0AD07F35" w14:textId="77777777" w:rsidR="0055538F" w:rsidRDefault="0055538F" w:rsidP="00AE1BC1">
      <w:pPr>
        <w:pStyle w:val="a8"/>
      </w:pPr>
      <w:r w:rsidRPr="00AE1BC1">
        <w:footnoteRef/>
      </w:r>
      <w:r w:rsidRPr="00AE1BC1">
        <w:rPr>
          <w:rtl/>
        </w:rPr>
        <w:t xml:space="preserve"> </w:t>
      </w:r>
      <w:r w:rsidRPr="00AE1BC1">
        <w:rPr>
          <w:rtl/>
        </w:rPr>
        <w:tab/>
      </w:r>
      <w:r w:rsidRPr="00AE1BC1">
        <w:rPr>
          <w:rFonts w:hint="cs"/>
          <w:rtl/>
        </w:rPr>
        <w:t>ועדה בראשות מפקחת המעצרים הארצית וחברים בה מפקחי המעצרים המחוזיים. הועדה מתכנסת בכל רבעון לדיון בסוגיות רוחביות</w:t>
      </w:r>
      <w:r>
        <w:rPr>
          <w:rFonts w:hint="cs"/>
          <w:rtl/>
        </w:rPr>
        <w:t xml:space="preserve"> בתחום המעצרים.</w:t>
      </w:r>
    </w:p>
  </w:footnote>
  <w:footnote w:id="29">
    <w:p w14:paraId="7BACCA0D" w14:textId="77777777" w:rsidR="0055538F" w:rsidRDefault="0055538F" w:rsidP="0015454A">
      <w:pPr>
        <w:pStyle w:val="a8"/>
      </w:pPr>
      <w:r w:rsidRPr="0015454A">
        <w:footnoteRef/>
      </w:r>
      <w:r w:rsidRPr="0015454A">
        <w:rPr>
          <w:rtl/>
        </w:rPr>
        <w:t xml:space="preserve"> </w:t>
      </w:r>
      <w:r w:rsidRPr="0015454A">
        <w:rPr>
          <w:rtl/>
        </w:rPr>
        <w:tab/>
      </w:r>
      <w:r w:rsidRPr="0015454A">
        <w:rPr>
          <w:rFonts w:hint="cs"/>
          <w:rtl/>
        </w:rPr>
        <w:t xml:space="preserve">הנחיית </w:t>
      </w:r>
      <w:r w:rsidRPr="0015454A">
        <w:rPr>
          <w:rFonts w:hint="cs"/>
          <w:rtl/>
        </w:rPr>
        <w:t>פרקליט</w:t>
      </w:r>
      <w:r>
        <w:rPr>
          <w:rFonts w:hint="cs"/>
          <w:rtl/>
        </w:rPr>
        <w:t xml:space="preserve"> המדינה 5.2 (27.12.09).</w:t>
      </w:r>
    </w:p>
  </w:footnote>
  <w:footnote w:id="30">
    <w:p w14:paraId="2ED03E99" w14:textId="77777777" w:rsidR="0055538F" w:rsidRPr="00CA1F84" w:rsidRDefault="0055538F" w:rsidP="00B966B6">
      <w:pPr>
        <w:pStyle w:val="a8"/>
      </w:pPr>
      <w:r w:rsidRPr="00B966B6">
        <w:footnoteRef/>
      </w:r>
      <w:r w:rsidRPr="00B966B6">
        <w:rPr>
          <w:rtl/>
        </w:rPr>
        <w:t xml:space="preserve"> </w:t>
      </w:r>
      <w:r w:rsidRPr="00B966B6">
        <w:rPr>
          <w:rtl/>
        </w:rPr>
        <w:tab/>
      </w:r>
      <w:r w:rsidRPr="00B966B6">
        <w:rPr>
          <w:rFonts w:hint="cs"/>
          <w:rtl/>
        </w:rPr>
        <w:t xml:space="preserve">בש"פ </w:t>
      </w:r>
      <w:r w:rsidRPr="00B966B6">
        <w:rPr>
          <w:rFonts w:hint="cs"/>
          <w:rtl/>
        </w:rPr>
        <w:t>6855-11</w:t>
      </w:r>
      <w:r>
        <w:rPr>
          <w:rFonts w:hint="cs"/>
          <w:rtl/>
        </w:rPr>
        <w:t xml:space="preserve"> </w:t>
      </w:r>
      <w:r>
        <w:rPr>
          <w:rFonts w:hint="cs"/>
          <w:b/>
          <w:bCs/>
          <w:rtl/>
        </w:rPr>
        <w:t>פלוני נ' מדינת ישראל</w:t>
      </w:r>
      <w:r>
        <w:rPr>
          <w:rFonts w:hint="cs"/>
          <w:rtl/>
        </w:rPr>
        <w:t xml:space="preserve"> (27.9.11). </w:t>
      </w:r>
    </w:p>
  </w:footnote>
  <w:footnote w:id="31">
    <w:p w14:paraId="05FE4063" w14:textId="77777777" w:rsidR="0055538F" w:rsidRPr="00E43902" w:rsidRDefault="0055538F" w:rsidP="00B966B6">
      <w:pPr>
        <w:pStyle w:val="a8"/>
        <w:rPr>
          <w:rtl/>
        </w:rPr>
      </w:pPr>
      <w:r w:rsidRPr="00B966B6">
        <w:footnoteRef/>
      </w:r>
      <w:r w:rsidRPr="00B966B6">
        <w:rPr>
          <w:rtl/>
        </w:rPr>
        <w:t xml:space="preserve"> </w:t>
      </w:r>
      <w:r w:rsidRPr="00B966B6">
        <w:rPr>
          <w:rtl/>
        </w:rPr>
        <w:tab/>
      </w:r>
      <w:r w:rsidRPr="00B966B6">
        <w:rPr>
          <w:rFonts w:hint="cs"/>
          <w:rtl/>
        </w:rPr>
        <w:t>איתי פידלמן</w:t>
      </w:r>
      <w:r>
        <w:rPr>
          <w:rFonts w:hint="cs"/>
          <w:rtl/>
        </w:rPr>
        <w:t xml:space="preserve">, </w:t>
      </w:r>
      <w:r w:rsidRPr="00206C1D">
        <w:rPr>
          <w:rFonts w:hint="eastAsia"/>
          <w:b/>
          <w:bCs/>
          <w:rtl/>
        </w:rPr>
        <w:t>פרויקט</w:t>
      </w:r>
      <w:r w:rsidRPr="00206C1D">
        <w:rPr>
          <w:b/>
          <w:bCs/>
          <w:rtl/>
        </w:rPr>
        <w:t xml:space="preserve"> </w:t>
      </w:r>
      <w:r w:rsidRPr="00206C1D">
        <w:rPr>
          <w:rFonts w:hint="eastAsia"/>
          <w:b/>
          <w:bCs/>
          <w:rtl/>
        </w:rPr>
        <w:t>הפיקוח</w:t>
      </w:r>
      <w:r w:rsidRPr="00206C1D">
        <w:rPr>
          <w:b/>
          <w:bCs/>
          <w:rtl/>
        </w:rPr>
        <w:t xml:space="preserve"> </w:t>
      </w:r>
      <w:r w:rsidRPr="00206C1D">
        <w:rPr>
          <w:rFonts w:hint="eastAsia"/>
          <w:b/>
          <w:bCs/>
          <w:rtl/>
        </w:rPr>
        <w:t>האלקטרוני</w:t>
      </w:r>
      <w:r w:rsidRPr="00206C1D">
        <w:rPr>
          <w:b/>
          <w:bCs/>
          <w:rtl/>
        </w:rPr>
        <w:t xml:space="preserve"> </w:t>
      </w:r>
      <w:r w:rsidRPr="00206C1D">
        <w:rPr>
          <w:rFonts w:hint="eastAsia"/>
          <w:b/>
          <w:bCs/>
          <w:rtl/>
        </w:rPr>
        <w:t>על</w:t>
      </w:r>
      <w:r w:rsidRPr="00206C1D">
        <w:rPr>
          <w:b/>
          <w:bCs/>
          <w:rtl/>
        </w:rPr>
        <w:t xml:space="preserve"> </w:t>
      </w:r>
      <w:r w:rsidRPr="00206C1D">
        <w:rPr>
          <w:rFonts w:hint="eastAsia"/>
          <w:b/>
          <w:bCs/>
          <w:rtl/>
        </w:rPr>
        <w:t>אסירים</w:t>
      </w:r>
      <w:r w:rsidRPr="00206C1D">
        <w:rPr>
          <w:b/>
          <w:bCs/>
          <w:rtl/>
        </w:rPr>
        <w:t xml:space="preserve"> </w:t>
      </w:r>
      <w:r w:rsidRPr="00206C1D">
        <w:rPr>
          <w:rFonts w:hint="eastAsia"/>
          <w:b/>
          <w:bCs/>
          <w:rtl/>
        </w:rPr>
        <w:t>ועצירים</w:t>
      </w:r>
      <w:r w:rsidRPr="00206C1D">
        <w:rPr>
          <w:b/>
          <w:bCs/>
          <w:rtl/>
        </w:rPr>
        <w:t xml:space="preserve"> (</w:t>
      </w:r>
      <w:r w:rsidRPr="00206C1D">
        <w:rPr>
          <w:rFonts w:hint="eastAsia"/>
          <w:b/>
          <w:bCs/>
          <w:rtl/>
        </w:rPr>
        <w:t>איזוק</w:t>
      </w:r>
      <w:r w:rsidRPr="00206C1D">
        <w:rPr>
          <w:b/>
          <w:bCs/>
          <w:rtl/>
        </w:rPr>
        <w:t xml:space="preserve"> אלקטרוני) - תמונת מצב</w:t>
      </w:r>
      <w:r>
        <w:rPr>
          <w:rFonts w:hint="cs"/>
          <w:rtl/>
        </w:rPr>
        <w:t xml:space="preserve">, </w:t>
      </w:r>
      <w:r w:rsidRPr="00206C1D">
        <w:rPr>
          <w:rFonts w:hint="eastAsia"/>
          <w:rtl/>
        </w:rPr>
        <w:t>הכנסת</w:t>
      </w:r>
      <w:r w:rsidRPr="00206C1D">
        <w:rPr>
          <w:rtl/>
        </w:rPr>
        <w:t xml:space="preserve"> - </w:t>
      </w:r>
      <w:r w:rsidRPr="00206C1D">
        <w:rPr>
          <w:rFonts w:hint="eastAsia"/>
          <w:rtl/>
        </w:rPr>
        <w:t>מרכז</w:t>
      </w:r>
      <w:r w:rsidRPr="00206C1D">
        <w:rPr>
          <w:rtl/>
        </w:rPr>
        <w:t xml:space="preserve"> </w:t>
      </w:r>
      <w:r w:rsidRPr="00206C1D">
        <w:rPr>
          <w:rFonts w:hint="eastAsia"/>
          <w:rtl/>
        </w:rPr>
        <w:t>המחקר</w:t>
      </w:r>
      <w:r w:rsidRPr="00206C1D">
        <w:rPr>
          <w:rtl/>
        </w:rPr>
        <w:t xml:space="preserve"> </w:t>
      </w:r>
      <w:r w:rsidRPr="00206C1D">
        <w:rPr>
          <w:rFonts w:hint="eastAsia"/>
          <w:rtl/>
        </w:rPr>
        <w:t>והמידע</w:t>
      </w:r>
      <w:r>
        <w:rPr>
          <w:rFonts w:hint="cs"/>
          <w:b/>
          <w:bCs/>
          <w:rtl/>
        </w:rPr>
        <w:t xml:space="preserve"> </w:t>
      </w:r>
      <w:r>
        <w:rPr>
          <w:rFonts w:hint="cs"/>
          <w:rtl/>
        </w:rPr>
        <w:t>(2012).</w:t>
      </w:r>
    </w:p>
  </w:footnote>
  <w:footnote w:id="32">
    <w:p w14:paraId="05F8D06A" w14:textId="77777777" w:rsidR="0055538F" w:rsidRPr="006F26FB" w:rsidRDefault="0055538F" w:rsidP="006F26FB">
      <w:pPr>
        <w:pStyle w:val="a8"/>
        <w:rPr>
          <w:rtl/>
        </w:rPr>
      </w:pPr>
      <w:r w:rsidRPr="006F26FB">
        <w:rPr>
          <w:rStyle w:val="FootnoteReference"/>
          <w:vertAlign w:val="baseline"/>
        </w:rPr>
        <w:footnoteRef/>
      </w:r>
      <w:r w:rsidRPr="006F26FB">
        <w:rPr>
          <w:rtl/>
        </w:rPr>
        <w:t xml:space="preserve"> </w:t>
      </w:r>
      <w:r w:rsidRPr="006F26FB">
        <w:rPr>
          <w:rtl/>
        </w:rPr>
        <w:tab/>
      </w:r>
      <w:r w:rsidRPr="006F26FB">
        <w:rPr>
          <w:rFonts w:hint="cs"/>
          <w:rtl/>
        </w:rPr>
        <w:t>חלונות פיקוח הם פרקי זמן קצרים וידועים מראש, שבהם רשאי העצור לצאת משטח הפיקוח האלקטרוני לצורך ספציפי.</w:t>
      </w:r>
    </w:p>
  </w:footnote>
  <w:footnote w:id="33">
    <w:p w14:paraId="356019B2" w14:textId="77777777" w:rsidR="0055538F" w:rsidRPr="006F26FB" w:rsidRDefault="0055538F" w:rsidP="006F26FB">
      <w:pPr>
        <w:pStyle w:val="a8"/>
      </w:pPr>
      <w:r w:rsidRPr="006F26FB">
        <w:rPr>
          <w:rStyle w:val="FootnoteReference"/>
          <w:vertAlign w:val="baseline"/>
        </w:rPr>
        <w:footnoteRef/>
      </w:r>
      <w:r w:rsidRPr="006F26FB">
        <w:rPr>
          <w:rtl/>
        </w:rPr>
        <w:t xml:space="preserve"> </w:t>
      </w:r>
      <w:r w:rsidRPr="006F26FB">
        <w:rPr>
          <w:rtl/>
        </w:rPr>
        <w:tab/>
      </w:r>
      <w:r w:rsidRPr="006F26FB">
        <w:rPr>
          <w:rFonts w:hint="cs"/>
          <w:rtl/>
        </w:rPr>
        <w:t xml:space="preserve">הנחיית </w:t>
      </w:r>
      <w:r w:rsidRPr="006F26FB">
        <w:rPr>
          <w:rFonts w:hint="cs"/>
          <w:rtl/>
        </w:rPr>
        <w:t>פרקליט המדינה, "חוק הפיקוח האלקטרוני" (10.6.15).</w:t>
      </w:r>
    </w:p>
  </w:footnote>
  <w:footnote w:id="34">
    <w:p w14:paraId="42C69B6E" w14:textId="77777777" w:rsidR="0055538F" w:rsidRDefault="0055538F" w:rsidP="006F26FB">
      <w:pPr>
        <w:pStyle w:val="a8"/>
        <w:rPr>
          <w:rtl/>
        </w:rPr>
      </w:pPr>
      <w:r w:rsidRPr="006F26FB">
        <w:rPr>
          <w:rStyle w:val="FootnoteReference"/>
          <w:vertAlign w:val="baseline"/>
        </w:rPr>
        <w:footnoteRef/>
      </w:r>
      <w:r w:rsidRPr="006F26FB">
        <w:rPr>
          <w:rtl/>
        </w:rPr>
        <w:t xml:space="preserve"> </w:t>
      </w:r>
      <w:r w:rsidRPr="006F26FB">
        <w:rPr>
          <w:rtl/>
        </w:rPr>
        <w:tab/>
      </w:r>
      <w:r w:rsidRPr="006F26FB">
        <w:rPr>
          <w:rFonts w:hint="cs"/>
          <w:rtl/>
        </w:rPr>
        <w:t xml:space="preserve">סוגי </w:t>
      </w:r>
      <w:r w:rsidRPr="006F26FB">
        <w:rPr>
          <w:rFonts w:hint="cs"/>
          <w:rtl/>
        </w:rPr>
        <w:t>העבירות הן לפי הגדרתן במשטרת ישראל. הגדרות אלו אינן חופפות במלואן את סוגי העבירות שהוגדרו על ידי</w:t>
      </w:r>
      <w:r>
        <w:rPr>
          <w:rFonts w:hint="cs"/>
          <w:rtl/>
        </w:rPr>
        <w:t xml:space="preserve"> יחידת הפיקוח האלקטרוני בשב"ס.</w:t>
      </w:r>
    </w:p>
  </w:footnote>
  <w:footnote w:id="35">
    <w:p w14:paraId="584595AA" w14:textId="77777777" w:rsidR="0055538F" w:rsidRDefault="0055538F" w:rsidP="00DD3543">
      <w:pPr>
        <w:pStyle w:val="a8"/>
        <w:rPr>
          <w:rtl/>
        </w:rPr>
      </w:pPr>
      <w:r w:rsidRPr="00DD3543">
        <w:footnoteRef/>
      </w:r>
      <w:r w:rsidRPr="00DD3543">
        <w:rPr>
          <w:rtl/>
        </w:rPr>
        <w:t xml:space="preserve"> </w:t>
      </w:r>
      <w:r w:rsidRPr="00DD3543">
        <w:rPr>
          <w:rtl/>
        </w:rPr>
        <w:tab/>
      </w:r>
      <w:r w:rsidRPr="00DD3543">
        <w:rPr>
          <w:rFonts w:hint="cs"/>
          <w:rtl/>
        </w:rPr>
        <w:t xml:space="preserve">סעיף </w:t>
      </w:r>
      <w:r w:rsidRPr="00DD3543">
        <w:rPr>
          <w:rFonts w:hint="cs"/>
          <w:rtl/>
        </w:rPr>
        <w:t>22ב(ב) לחוק המעצרים קובע כי לא יוטל פיקוח אלקטרוני על נאשם בעבירות המפורטות בסעיף - עבירות בעלות חזקת מסוכנות - אלא אם שוכנע בית המשפט כי בשל נסיבות ביצוע העבירה או נסיבות הקשורות בנאשם ניתן להסתפק בפיקוח</w:t>
      </w:r>
      <w:r>
        <w:rPr>
          <w:rFonts w:hint="cs"/>
          <w:rtl/>
        </w:rPr>
        <w:t xml:space="preserve"> אלקטרוני.</w:t>
      </w:r>
    </w:p>
  </w:footnote>
  <w:footnote w:id="36">
    <w:p w14:paraId="008B7846" w14:textId="77777777" w:rsidR="0055538F" w:rsidRPr="00976906" w:rsidRDefault="0055538F" w:rsidP="00D11C6E">
      <w:pPr>
        <w:pStyle w:val="a8"/>
      </w:pPr>
      <w:r w:rsidRPr="00D11C6E">
        <w:footnoteRef/>
      </w:r>
      <w:r w:rsidRPr="00D11C6E">
        <w:rPr>
          <w:rtl/>
        </w:rPr>
        <w:t xml:space="preserve"> </w:t>
      </w:r>
      <w:r w:rsidRPr="00D11C6E">
        <w:rPr>
          <w:rtl/>
        </w:rPr>
        <w:tab/>
      </w:r>
      <w:r w:rsidRPr="00D11C6E">
        <w:rPr>
          <w:rFonts w:hint="cs"/>
          <w:rtl/>
        </w:rPr>
        <w:t>ההפרות שנבחנו</w:t>
      </w:r>
      <w:r>
        <w:rPr>
          <w:rFonts w:hint="cs"/>
          <w:rtl/>
        </w:rPr>
        <w:t xml:space="preserve"> הן אלו: סחר בסמים, אי-התייצבות בתחנת המשטרה, אי-התייצבות לדיונים בבית המשפט ויצירת קשר עם נפגע העבירה. ראו: </w:t>
      </w:r>
      <w:r>
        <w:t xml:space="preserve">Karla </w:t>
      </w:r>
      <w:proofErr w:type="spellStart"/>
      <w:r>
        <w:t>Dhungana</w:t>
      </w:r>
      <w:proofErr w:type="spellEnd"/>
      <w:r>
        <w:t xml:space="preserve"> </w:t>
      </w:r>
      <w:proofErr w:type="spellStart"/>
      <w:r>
        <w:t>Sainju</w:t>
      </w:r>
      <w:proofErr w:type="spellEnd"/>
      <w:r>
        <w:t xml:space="preserve"> et al., </w:t>
      </w:r>
      <w:r>
        <w:rPr>
          <w:i/>
          <w:iCs/>
        </w:rPr>
        <w:t>Electronic Monitoring for Pretrial Release: Assessing the Impact</w:t>
      </w:r>
      <w:r>
        <w:t xml:space="preserve">, </w:t>
      </w:r>
      <w:r>
        <w:rPr>
          <w:b/>
          <w:bCs/>
        </w:rPr>
        <w:t>Federal Probation</w:t>
      </w:r>
      <w:r>
        <w:t>, vol. 82(3) (2018)</w:t>
      </w:r>
    </w:p>
  </w:footnote>
  <w:footnote w:id="37">
    <w:p w14:paraId="0191BCEC" w14:textId="77777777" w:rsidR="0055538F" w:rsidRPr="00D11C6E" w:rsidRDefault="0055538F" w:rsidP="00D11C6E">
      <w:pPr>
        <w:pStyle w:val="a8"/>
        <w:rPr>
          <w:rtl/>
        </w:rPr>
      </w:pPr>
      <w:r w:rsidRPr="00D11C6E">
        <w:rPr>
          <w:rStyle w:val="FootnoteReference"/>
          <w:vertAlign w:val="baseline"/>
        </w:rPr>
        <w:footnoteRef/>
      </w:r>
      <w:r w:rsidRPr="00D11C6E">
        <w:rPr>
          <w:rtl/>
        </w:rPr>
        <w:t xml:space="preserve"> </w:t>
      </w:r>
      <w:r w:rsidRPr="00D11C6E">
        <w:rPr>
          <w:rtl/>
        </w:rPr>
        <w:tab/>
      </w:r>
      <w:r w:rsidRPr="00D11C6E">
        <w:rPr>
          <w:rFonts w:hint="cs"/>
          <w:rtl/>
        </w:rPr>
        <w:t xml:space="preserve">הנחיית פרקליט המדינה 5.2, חלופות למעצר עד תום ההליכים (עדכון 27.12.09). </w:t>
      </w:r>
    </w:p>
  </w:footnote>
  <w:footnote w:id="38">
    <w:p w14:paraId="4F0952A5" w14:textId="77777777" w:rsidR="0055538F" w:rsidRDefault="0055538F" w:rsidP="00D11C6E">
      <w:pPr>
        <w:pStyle w:val="a8"/>
      </w:pPr>
      <w:r w:rsidRPr="00D11C6E">
        <w:rPr>
          <w:rStyle w:val="FootnoteReference"/>
          <w:vertAlign w:val="baseline"/>
        </w:rPr>
        <w:footnoteRef/>
      </w:r>
      <w:r w:rsidRPr="00D11C6E">
        <w:rPr>
          <w:rtl/>
        </w:rPr>
        <w:t xml:space="preserve"> </w:t>
      </w:r>
      <w:r w:rsidRPr="00D11C6E">
        <w:rPr>
          <w:rtl/>
        </w:rPr>
        <w:tab/>
      </w:r>
      <w:r w:rsidRPr="00D11C6E">
        <w:rPr>
          <w:rFonts w:hint="cs"/>
          <w:rtl/>
        </w:rPr>
        <w:t xml:space="preserve">הנחיית </w:t>
      </w:r>
      <w:r w:rsidRPr="00D11C6E">
        <w:rPr>
          <w:rFonts w:hint="cs"/>
          <w:rtl/>
        </w:rPr>
        <w:t>פרקליט</w:t>
      </w:r>
      <w:r>
        <w:rPr>
          <w:rFonts w:hint="cs"/>
          <w:rtl/>
        </w:rPr>
        <w:t xml:space="preserve"> המדינה 5.2, חלופות למעצר עד תום ההליכים (עדכון 3.6.19).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8BCED" w14:textId="77777777" w:rsidR="00E44EC9" w:rsidRDefault="00E44EC9" w:rsidP="00E44EC9">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5408" behindDoc="1" locked="0" layoutInCell="1" allowOverlap="1" wp14:anchorId="3734BF4B" wp14:editId="7D9B68FF">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4C7DDC7" w14:textId="77777777" w:rsidR="00E44EC9" w:rsidRPr="00E44EC9" w:rsidRDefault="00E44EC9">
    <w:pPr>
      <w:pStyle w:val="Header"/>
      <w:rPr>
        <w:rFonts w:hint="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5538F" w:rsidRPr="00D15500" w:rsidRDefault="0055538F"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5538F" w:rsidRPr="005B4811" w:rsidRDefault="0055538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7"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5538F" w:rsidRPr="005B4811" w:rsidRDefault="0055538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5538F" w:rsidRPr="005B4811" w:rsidRDefault="0055538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8"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5538F" w:rsidRPr="005B4811" w:rsidRDefault="0055538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74AF"/>
    <w:multiLevelType w:val="multilevel"/>
    <w:tmpl w:val="E2E28BC6"/>
    <w:lvl w:ilvl="0">
      <w:start w:val="1"/>
      <w:numFmt w:val="decimal"/>
      <w:lvlText w:val="%1."/>
      <w:lvlJc w:val="left"/>
      <w:pPr>
        <w:ind w:left="3459" w:hanging="340"/>
      </w:pPr>
    </w:lvl>
    <w:lvl w:ilvl="1">
      <w:start w:val="1"/>
      <w:numFmt w:val="hebrew1"/>
      <w:lvlText w:val="%2."/>
      <w:lvlJc w:val="left"/>
      <w:pPr>
        <w:ind w:left="3799" w:hanging="340"/>
      </w:pPr>
    </w:lvl>
    <w:lvl w:ilvl="2">
      <w:start w:val="1"/>
      <w:numFmt w:val="decimal"/>
      <w:lvlText w:val="(%3)"/>
      <w:lvlJc w:val="left"/>
      <w:pPr>
        <w:ind w:left="4196" w:hanging="397"/>
      </w:pPr>
    </w:lvl>
    <w:lvl w:ilvl="3">
      <w:start w:val="1"/>
      <w:numFmt w:val="hebrew1"/>
      <w:lvlText w:val="(%4)"/>
      <w:lvlJc w:val="left"/>
      <w:pPr>
        <w:ind w:left="4593" w:hanging="397"/>
      </w:pPr>
    </w:lvl>
    <w:lvl w:ilvl="4">
      <w:start w:val="1"/>
      <w:numFmt w:val="lowerLetter"/>
      <w:lvlText w:val="(%5)"/>
      <w:lvlJc w:val="left"/>
      <w:pPr>
        <w:ind w:left="4916" w:hanging="357"/>
      </w:pPr>
    </w:lvl>
    <w:lvl w:ilvl="5">
      <w:start w:val="1"/>
      <w:numFmt w:val="lowerRoman"/>
      <w:lvlText w:val="(%6)"/>
      <w:lvlJc w:val="left"/>
      <w:pPr>
        <w:ind w:left="5279" w:hanging="363"/>
      </w:pPr>
    </w:lvl>
    <w:lvl w:ilvl="6">
      <w:start w:val="1"/>
      <w:numFmt w:val="decimal"/>
      <w:lvlText w:val="%7."/>
      <w:lvlJc w:val="left"/>
      <w:pPr>
        <w:ind w:left="5636" w:hanging="357"/>
      </w:pPr>
    </w:lvl>
    <w:lvl w:ilvl="7">
      <w:start w:val="1"/>
      <w:numFmt w:val="lowerLetter"/>
      <w:lvlText w:val="%8."/>
      <w:lvlJc w:val="left"/>
      <w:pPr>
        <w:ind w:left="5999" w:hanging="363"/>
      </w:pPr>
    </w:lvl>
    <w:lvl w:ilvl="8">
      <w:start w:val="1"/>
      <w:numFmt w:val="lowerRoman"/>
      <w:lvlText w:val="%9."/>
      <w:lvlJc w:val="left"/>
      <w:pPr>
        <w:ind w:left="6356" w:hanging="357"/>
      </w:pPr>
    </w:lvl>
  </w:abstractNum>
  <w:abstractNum w:abstractNumId="1"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2F2438B1"/>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8D242E0C"/>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5487158E"/>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4FC6463"/>
    <w:multiLevelType w:val="multilevel"/>
    <w:tmpl w:val="BE88E5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6A2A0BA8"/>
    <w:multiLevelType w:val="hybridMultilevel"/>
    <w:tmpl w:val="56A2E8A6"/>
    <w:lvl w:ilvl="0" w:tplc="55CCF08E">
      <w:start w:val="1"/>
      <w:numFmt w:val="decimal"/>
      <w:lvlText w:val="%1."/>
      <w:lvlJc w:val="left"/>
      <w:pPr>
        <w:ind w:left="1032" w:hanging="360"/>
      </w:pPr>
      <w:rPr>
        <w:b w:val="0"/>
        <w:bCs w:val="0"/>
      </w:rPr>
    </w:lvl>
    <w:lvl w:ilvl="1" w:tplc="33549BE6" w:tentative="1">
      <w:start w:val="1"/>
      <w:numFmt w:val="lowerLetter"/>
      <w:lvlText w:val="%2."/>
      <w:lvlJc w:val="left"/>
      <w:pPr>
        <w:ind w:left="1752" w:hanging="360"/>
      </w:pPr>
    </w:lvl>
    <w:lvl w:ilvl="2" w:tplc="65143B26" w:tentative="1">
      <w:start w:val="1"/>
      <w:numFmt w:val="lowerRoman"/>
      <w:lvlText w:val="%3."/>
      <w:lvlJc w:val="right"/>
      <w:pPr>
        <w:ind w:left="2472" w:hanging="180"/>
      </w:pPr>
    </w:lvl>
    <w:lvl w:ilvl="3" w:tplc="77AEC762" w:tentative="1">
      <w:start w:val="1"/>
      <w:numFmt w:val="decimal"/>
      <w:lvlText w:val="%4."/>
      <w:lvlJc w:val="left"/>
      <w:pPr>
        <w:ind w:left="3192" w:hanging="360"/>
      </w:pPr>
    </w:lvl>
    <w:lvl w:ilvl="4" w:tplc="B17A2EDC" w:tentative="1">
      <w:start w:val="1"/>
      <w:numFmt w:val="lowerLetter"/>
      <w:lvlText w:val="%5."/>
      <w:lvlJc w:val="left"/>
      <w:pPr>
        <w:ind w:left="3912" w:hanging="360"/>
      </w:pPr>
    </w:lvl>
    <w:lvl w:ilvl="5" w:tplc="176E58DC" w:tentative="1">
      <w:start w:val="1"/>
      <w:numFmt w:val="lowerRoman"/>
      <w:lvlText w:val="%6."/>
      <w:lvlJc w:val="right"/>
      <w:pPr>
        <w:ind w:left="4632" w:hanging="180"/>
      </w:pPr>
    </w:lvl>
    <w:lvl w:ilvl="6" w:tplc="4B1E3AB8" w:tentative="1">
      <w:start w:val="1"/>
      <w:numFmt w:val="decimal"/>
      <w:lvlText w:val="%7."/>
      <w:lvlJc w:val="left"/>
      <w:pPr>
        <w:ind w:left="5352" w:hanging="360"/>
      </w:pPr>
    </w:lvl>
    <w:lvl w:ilvl="7" w:tplc="F76A5AD6" w:tentative="1">
      <w:start w:val="1"/>
      <w:numFmt w:val="lowerLetter"/>
      <w:lvlText w:val="%8."/>
      <w:lvlJc w:val="left"/>
      <w:pPr>
        <w:ind w:left="6072" w:hanging="360"/>
      </w:pPr>
    </w:lvl>
    <w:lvl w:ilvl="8" w:tplc="5384528C" w:tentative="1">
      <w:start w:val="1"/>
      <w:numFmt w:val="lowerRoman"/>
      <w:lvlText w:val="%9."/>
      <w:lvlJc w:val="right"/>
      <w:pPr>
        <w:ind w:left="6792" w:hanging="180"/>
      </w:pPr>
    </w:lvl>
  </w:abstractNum>
  <w:abstractNum w:abstractNumId="12"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7D365B29"/>
    <w:multiLevelType w:val="multilevel"/>
    <w:tmpl w:val="1CE4B20E"/>
    <w:lvl w:ilvl="0">
      <w:start w:val="1"/>
      <w:numFmt w:val="hebrew1"/>
      <w:pStyle w:val="a5"/>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
  </w:num>
  <w:num w:numId="2">
    <w:abstractNumId w:val="6"/>
  </w:num>
  <w:num w:numId="3">
    <w:abstractNumId w:val="12"/>
  </w:num>
  <w:num w:numId="4">
    <w:abstractNumId w:val="9"/>
  </w:num>
  <w:num w:numId="5">
    <w:abstractNumId w:val="3"/>
  </w:num>
  <w:num w:numId="6">
    <w:abstractNumId w:val="5"/>
  </w:num>
  <w:num w:numId="7">
    <w:abstractNumId w:val="13"/>
  </w:num>
  <w:num w:numId="8">
    <w:abstractNumId w:val="1"/>
  </w:num>
  <w:num w:numId="9">
    <w:abstractNumId w:val="7"/>
  </w:num>
  <w:num w:numId="10">
    <w:abstractNumId w:val="11"/>
  </w:num>
  <w:num w:numId="11">
    <w:abstractNumId w:val="0"/>
  </w:num>
  <w:num w:numId="12">
    <w:abstractNumId w:val="8"/>
  </w:num>
  <w:num w:numId="13">
    <w:abstractNumId w:val="4"/>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7"/>
  </w:num>
  <w:num w:numId="46">
    <w:abstractNumId w:val="6"/>
  </w:num>
  <w:num w:numId="47">
    <w:abstractNumId w:val="6"/>
  </w:num>
  <w:num w:numId="48">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5E8F"/>
    <w:rsid w:val="00066AF6"/>
    <w:rsid w:val="0006721D"/>
    <w:rsid w:val="000675B0"/>
    <w:rsid w:val="00067F12"/>
    <w:rsid w:val="00070E3F"/>
    <w:rsid w:val="000710A8"/>
    <w:rsid w:val="00072B83"/>
    <w:rsid w:val="00072BAD"/>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A72"/>
    <w:rsid w:val="00093E30"/>
    <w:rsid w:val="0009432F"/>
    <w:rsid w:val="00094702"/>
    <w:rsid w:val="00094D5D"/>
    <w:rsid w:val="00094F15"/>
    <w:rsid w:val="00096CF4"/>
    <w:rsid w:val="00097CDE"/>
    <w:rsid w:val="000A00AE"/>
    <w:rsid w:val="000A01F2"/>
    <w:rsid w:val="000A0884"/>
    <w:rsid w:val="000A0915"/>
    <w:rsid w:val="000A1610"/>
    <w:rsid w:val="000A26F1"/>
    <w:rsid w:val="000A2BD8"/>
    <w:rsid w:val="000A4686"/>
    <w:rsid w:val="000A5140"/>
    <w:rsid w:val="000A567C"/>
    <w:rsid w:val="000A5B75"/>
    <w:rsid w:val="000A65A9"/>
    <w:rsid w:val="000A69A7"/>
    <w:rsid w:val="000B1102"/>
    <w:rsid w:val="000B1C94"/>
    <w:rsid w:val="000B2074"/>
    <w:rsid w:val="000B28F6"/>
    <w:rsid w:val="000B2C5B"/>
    <w:rsid w:val="000B2DBE"/>
    <w:rsid w:val="000B3056"/>
    <w:rsid w:val="000B3A23"/>
    <w:rsid w:val="000B55BB"/>
    <w:rsid w:val="000B597C"/>
    <w:rsid w:val="000B6604"/>
    <w:rsid w:val="000B7912"/>
    <w:rsid w:val="000B7B95"/>
    <w:rsid w:val="000C05CB"/>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6E5"/>
    <w:rsid w:val="000E5834"/>
    <w:rsid w:val="000E7622"/>
    <w:rsid w:val="000F00B6"/>
    <w:rsid w:val="000F158C"/>
    <w:rsid w:val="000F1DEA"/>
    <w:rsid w:val="000F2408"/>
    <w:rsid w:val="000F3700"/>
    <w:rsid w:val="000F4578"/>
    <w:rsid w:val="000F4B6E"/>
    <w:rsid w:val="000F60AB"/>
    <w:rsid w:val="000F6F38"/>
    <w:rsid w:val="000F7195"/>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1AD4"/>
    <w:rsid w:val="00111F8A"/>
    <w:rsid w:val="00112E28"/>
    <w:rsid w:val="00113C2F"/>
    <w:rsid w:val="00113E28"/>
    <w:rsid w:val="00114325"/>
    <w:rsid w:val="00114E4E"/>
    <w:rsid w:val="00115432"/>
    <w:rsid w:val="001157CE"/>
    <w:rsid w:val="00115E66"/>
    <w:rsid w:val="001172DF"/>
    <w:rsid w:val="00117408"/>
    <w:rsid w:val="00121EA1"/>
    <w:rsid w:val="0012279D"/>
    <w:rsid w:val="001239A8"/>
    <w:rsid w:val="001239E1"/>
    <w:rsid w:val="00124DC1"/>
    <w:rsid w:val="00125628"/>
    <w:rsid w:val="00125881"/>
    <w:rsid w:val="001264C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FF0"/>
    <w:rsid w:val="00140CC4"/>
    <w:rsid w:val="00141BD6"/>
    <w:rsid w:val="00142206"/>
    <w:rsid w:val="00143176"/>
    <w:rsid w:val="00143FFA"/>
    <w:rsid w:val="00144908"/>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37C1"/>
    <w:rsid w:val="001643E4"/>
    <w:rsid w:val="00164534"/>
    <w:rsid w:val="00164B64"/>
    <w:rsid w:val="00164C99"/>
    <w:rsid w:val="00165385"/>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696E"/>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107E"/>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4FE7"/>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1A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575ED"/>
    <w:rsid w:val="00260BF5"/>
    <w:rsid w:val="00260D04"/>
    <w:rsid w:val="0026130F"/>
    <w:rsid w:val="00261C84"/>
    <w:rsid w:val="00263521"/>
    <w:rsid w:val="00263DB7"/>
    <w:rsid w:val="00266D07"/>
    <w:rsid w:val="0027101D"/>
    <w:rsid w:val="0027121E"/>
    <w:rsid w:val="0027188F"/>
    <w:rsid w:val="002739B2"/>
    <w:rsid w:val="00275A79"/>
    <w:rsid w:val="00276C6A"/>
    <w:rsid w:val="00276D55"/>
    <w:rsid w:val="002813A0"/>
    <w:rsid w:val="002841CB"/>
    <w:rsid w:val="00284ABA"/>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637F"/>
    <w:rsid w:val="002B65DC"/>
    <w:rsid w:val="002B6FB4"/>
    <w:rsid w:val="002C06EB"/>
    <w:rsid w:val="002C1D86"/>
    <w:rsid w:val="002C1EE0"/>
    <w:rsid w:val="002C28D3"/>
    <w:rsid w:val="002C2B0E"/>
    <w:rsid w:val="002C316A"/>
    <w:rsid w:val="002C3B87"/>
    <w:rsid w:val="002C3C3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D79C7"/>
    <w:rsid w:val="002E0151"/>
    <w:rsid w:val="002E01CC"/>
    <w:rsid w:val="002E188D"/>
    <w:rsid w:val="002E1E1F"/>
    <w:rsid w:val="002E2361"/>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6FA5"/>
    <w:rsid w:val="002F724D"/>
    <w:rsid w:val="002F79A5"/>
    <w:rsid w:val="002F7C75"/>
    <w:rsid w:val="0030043A"/>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1914"/>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23F0"/>
    <w:rsid w:val="00343B0B"/>
    <w:rsid w:val="00345868"/>
    <w:rsid w:val="0034637E"/>
    <w:rsid w:val="003466B0"/>
    <w:rsid w:val="00346930"/>
    <w:rsid w:val="00347612"/>
    <w:rsid w:val="003513C7"/>
    <w:rsid w:val="0035145F"/>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68B"/>
    <w:rsid w:val="00365C9E"/>
    <w:rsid w:val="00365D63"/>
    <w:rsid w:val="00365DC9"/>
    <w:rsid w:val="00365DE2"/>
    <w:rsid w:val="0036639F"/>
    <w:rsid w:val="003675CC"/>
    <w:rsid w:val="00367EE3"/>
    <w:rsid w:val="00371181"/>
    <w:rsid w:val="0037128C"/>
    <w:rsid w:val="00371316"/>
    <w:rsid w:val="00371B1D"/>
    <w:rsid w:val="00371E12"/>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1CC"/>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C56"/>
    <w:rsid w:val="003A042B"/>
    <w:rsid w:val="003A08AE"/>
    <w:rsid w:val="003A0BD4"/>
    <w:rsid w:val="003A3D05"/>
    <w:rsid w:val="003A613A"/>
    <w:rsid w:val="003A66EF"/>
    <w:rsid w:val="003A769E"/>
    <w:rsid w:val="003A780A"/>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81C"/>
    <w:rsid w:val="003C4F30"/>
    <w:rsid w:val="003C5044"/>
    <w:rsid w:val="003C5153"/>
    <w:rsid w:val="003C5BB1"/>
    <w:rsid w:val="003C6C20"/>
    <w:rsid w:val="003C7AD3"/>
    <w:rsid w:val="003C7B2D"/>
    <w:rsid w:val="003D0F91"/>
    <w:rsid w:val="003D16F2"/>
    <w:rsid w:val="003D1D5C"/>
    <w:rsid w:val="003D2796"/>
    <w:rsid w:val="003D2AE6"/>
    <w:rsid w:val="003D3C37"/>
    <w:rsid w:val="003D4194"/>
    <w:rsid w:val="003D43B8"/>
    <w:rsid w:val="003D5549"/>
    <w:rsid w:val="003D5B8A"/>
    <w:rsid w:val="003D5CAC"/>
    <w:rsid w:val="003D6CAC"/>
    <w:rsid w:val="003D6FE1"/>
    <w:rsid w:val="003D7383"/>
    <w:rsid w:val="003D7489"/>
    <w:rsid w:val="003E000E"/>
    <w:rsid w:val="003E009E"/>
    <w:rsid w:val="003E0ABC"/>
    <w:rsid w:val="003E364E"/>
    <w:rsid w:val="003E4D5A"/>
    <w:rsid w:val="003E58C2"/>
    <w:rsid w:val="003E5FCA"/>
    <w:rsid w:val="003E6F99"/>
    <w:rsid w:val="003E77E9"/>
    <w:rsid w:val="003E798E"/>
    <w:rsid w:val="003F06E0"/>
    <w:rsid w:val="003F0C61"/>
    <w:rsid w:val="003F0D90"/>
    <w:rsid w:val="003F0E51"/>
    <w:rsid w:val="003F1234"/>
    <w:rsid w:val="003F2708"/>
    <w:rsid w:val="003F316F"/>
    <w:rsid w:val="003F48CD"/>
    <w:rsid w:val="003F5B6A"/>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17D4C"/>
    <w:rsid w:val="00420371"/>
    <w:rsid w:val="004204DC"/>
    <w:rsid w:val="004206BA"/>
    <w:rsid w:val="0042090E"/>
    <w:rsid w:val="0042091E"/>
    <w:rsid w:val="00420DB1"/>
    <w:rsid w:val="00421D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5D7"/>
    <w:rsid w:val="004965B9"/>
    <w:rsid w:val="00497103"/>
    <w:rsid w:val="004976B0"/>
    <w:rsid w:val="004A0385"/>
    <w:rsid w:val="004A07F3"/>
    <w:rsid w:val="004A0E02"/>
    <w:rsid w:val="004A0E75"/>
    <w:rsid w:val="004A144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6164"/>
    <w:rsid w:val="004B7C1A"/>
    <w:rsid w:val="004C0FFF"/>
    <w:rsid w:val="004C1B77"/>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E0BE3"/>
    <w:rsid w:val="004E0E03"/>
    <w:rsid w:val="004E0F37"/>
    <w:rsid w:val="004E13FA"/>
    <w:rsid w:val="004E1D0E"/>
    <w:rsid w:val="004E1DB7"/>
    <w:rsid w:val="004E1E96"/>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4D9E"/>
    <w:rsid w:val="00505366"/>
    <w:rsid w:val="00510184"/>
    <w:rsid w:val="00510973"/>
    <w:rsid w:val="00510D89"/>
    <w:rsid w:val="00511F6D"/>
    <w:rsid w:val="005130A4"/>
    <w:rsid w:val="0051326F"/>
    <w:rsid w:val="00513F33"/>
    <w:rsid w:val="0051437C"/>
    <w:rsid w:val="005147FC"/>
    <w:rsid w:val="005158BE"/>
    <w:rsid w:val="00515C82"/>
    <w:rsid w:val="00516835"/>
    <w:rsid w:val="00516C15"/>
    <w:rsid w:val="00516FB8"/>
    <w:rsid w:val="00517613"/>
    <w:rsid w:val="00520C3B"/>
    <w:rsid w:val="00520C4B"/>
    <w:rsid w:val="0052156D"/>
    <w:rsid w:val="00521A4E"/>
    <w:rsid w:val="00522475"/>
    <w:rsid w:val="005227A0"/>
    <w:rsid w:val="0052289F"/>
    <w:rsid w:val="00522FC1"/>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315"/>
    <w:rsid w:val="00554AAD"/>
    <w:rsid w:val="0055538F"/>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3E4"/>
    <w:rsid w:val="005B6AB5"/>
    <w:rsid w:val="005B6CCC"/>
    <w:rsid w:val="005B6E3A"/>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2A5D"/>
    <w:rsid w:val="005D30B8"/>
    <w:rsid w:val="005D48FE"/>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F00DC"/>
    <w:rsid w:val="005F038B"/>
    <w:rsid w:val="005F0B3C"/>
    <w:rsid w:val="005F0E3E"/>
    <w:rsid w:val="005F11C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B35"/>
    <w:rsid w:val="006454AC"/>
    <w:rsid w:val="006457EB"/>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7E8B"/>
    <w:rsid w:val="006A040F"/>
    <w:rsid w:val="006A1039"/>
    <w:rsid w:val="006A21AF"/>
    <w:rsid w:val="006A2D1D"/>
    <w:rsid w:val="006A49AE"/>
    <w:rsid w:val="006A4C49"/>
    <w:rsid w:val="006A5A4C"/>
    <w:rsid w:val="006A6846"/>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C3"/>
    <w:rsid w:val="006C4D54"/>
    <w:rsid w:val="006C58DF"/>
    <w:rsid w:val="006C5DF4"/>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2ED"/>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2455"/>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6B9"/>
    <w:rsid w:val="00753941"/>
    <w:rsid w:val="00753A65"/>
    <w:rsid w:val="00753ADE"/>
    <w:rsid w:val="00756E3A"/>
    <w:rsid w:val="0075719C"/>
    <w:rsid w:val="00757B56"/>
    <w:rsid w:val="00760B67"/>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906"/>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ACB"/>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6FD1"/>
    <w:rsid w:val="007E750F"/>
    <w:rsid w:val="007E7D7C"/>
    <w:rsid w:val="007F02E3"/>
    <w:rsid w:val="007F1621"/>
    <w:rsid w:val="007F1D4F"/>
    <w:rsid w:val="007F253B"/>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0FC9"/>
    <w:rsid w:val="0081167C"/>
    <w:rsid w:val="0081297F"/>
    <w:rsid w:val="00815EB6"/>
    <w:rsid w:val="008166A5"/>
    <w:rsid w:val="008168F8"/>
    <w:rsid w:val="00820393"/>
    <w:rsid w:val="008203CF"/>
    <w:rsid w:val="008205CA"/>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1EC"/>
    <w:rsid w:val="00851CD4"/>
    <w:rsid w:val="00851FD3"/>
    <w:rsid w:val="00852213"/>
    <w:rsid w:val="0085238A"/>
    <w:rsid w:val="008524EB"/>
    <w:rsid w:val="00852890"/>
    <w:rsid w:val="0085318D"/>
    <w:rsid w:val="008565BC"/>
    <w:rsid w:val="00856648"/>
    <w:rsid w:val="00856A67"/>
    <w:rsid w:val="008573F9"/>
    <w:rsid w:val="008576E3"/>
    <w:rsid w:val="00857D59"/>
    <w:rsid w:val="00861731"/>
    <w:rsid w:val="0086190F"/>
    <w:rsid w:val="00862862"/>
    <w:rsid w:val="00863B4F"/>
    <w:rsid w:val="00864147"/>
    <w:rsid w:val="008642D0"/>
    <w:rsid w:val="0086437F"/>
    <w:rsid w:val="0086613E"/>
    <w:rsid w:val="008676E6"/>
    <w:rsid w:val="00867ECB"/>
    <w:rsid w:val="00867FC5"/>
    <w:rsid w:val="008714DB"/>
    <w:rsid w:val="00871B57"/>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B35"/>
    <w:rsid w:val="00882E18"/>
    <w:rsid w:val="00884B09"/>
    <w:rsid w:val="00885345"/>
    <w:rsid w:val="00885469"/>
    <w:rsid w:val="008865D6"/>
    <w:rsid w:val="008866DF"/>
    <w:rsid w:val="00886AEF"/>
    <w:rsid w:val="00887178"/>
    <w:rsid w:val="0088747B"/>
    <w:rsid w:val="008879D3"/>
    <w:rsid w:val="00890168"/>
    <w:rsid w:val="00890A6C"/>
    <w:rsid w:val="00890D9C"/>
    <w:rsid w:val="0089140B"/>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4DB"/>
    <w:rsid w:val="008A1A62"/>
    <w:rsid w:val="008A1D01"/>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C0"/>
    <w:rsid w:val="008B3522"/>
    <w:rsid w:val="008B3869"/>
    <w:rsid w:val="008B4256"/>
    <w:rsid w:val="008B468D"/>
    <w:rsid w:val="008B4F41"/>
    <w:rsid w:val="008B5F0A"/>
    <w:rsid w:val="008B6972"/>
    <w:rsid w:val="008C07C7"/>
    <w:rsid w:val="008C0E17"/>
    <w:rsid w:val="008C1E1E"/>
    <w:rsid w:val="008C2AB9"/>
    <w:rsid w:val="008C3674"/>
    <w:rsid w:val="008C3DBB"/>
    <w:rsid w:val="008C4092"/>
    <w:rsid w:val="008C5036"/>
    <w:rsid w:val="008C61AE"/>
    <w:rsid w:val="008C6F75"/>
    <w:rsid w:val="008C6FC4"/>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9D0"/>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30A0"/>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6484"/>
    <w:rsid w:val="00916B7D"/>
    <w:rsid w:val="00916F2F"/>
    <w:rsid w:val="00917575"/>
    <w:rsid w:val="009176BF"/>
    <w:rsid w:val="00917ABD"/>
    <w:rsid w:val="00920136"/>
    <w:rsid w:val="009209E3"/>
    <w:rsid w:val="00921847"/>
    <w:rsid w:val="0092228B"/>
    <w:rsid w:val="00923216"/>
    <w:rsid w:val="00923A33"/>
    <w:rsid w:val="00923DB7"/>
    <w:rsid w:val="009261BF"/>
    <w:rsid w:val="009266A4"/>
    <w:rsid w:val="00926AD5"/>
    <w:rsid w:val="00926EC9"/>
    <w:rsid w:val="009272C6"/>
    <w:rsid w:val="009313EE"/>
    <w:rsid w:val="00931A9D"/>
    <w:rsid w:val="00931E55"/>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DAF"/>
    <w:rsid w:val="00961EF6"/>
    <w:rsid w:val="00962780"/>
    <w:rsid w:val="00962B87"/>
    <w:rsid w:val="00962FF1"/>
    <w:rsid w:val="009630CE"/>
    <w:rsid w:val="00963F0C"/>
    <w:rsid w:val="009641AD"/>
    <w:rsid w:val="00965427"/>
    <w:rsid w:val="00965842"/>
    <w:rsid w:val="009679D9"/>
    <w:rsid w:val="009703F8"/>
    <w:rsid w:val="0097067B"/>
    <w:rsid w:val="009712AE"/>
    <w:rsid w:val="009717F7"/>
    <w:rsid w:val="00971BE0"/>
    <w:rsid w:val="00971EFA"/>
    <w:rsid w:val="0097253D"/>
    <w:rsid w:val="009725A2"/>
    <w:rsid w:val="00972CE5"/>
    <w:rsid w:val="00972F16"/>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90506"/>
    <w:rsid w:val="00990F79"/>
    <w:rsid w:val="009910DC"/>
    <w:rsid w:val="0099172C"/>
    <w:rsid w:val="00991B19"/>
    <w:rsid w:val="00993599"/>
    <w:rsid w:val="009974A8"/>
    <w:rsid w:val="009975C9"/>
    <w:rsid w:val="009A0A09"/>
    <w:rsid w:val="009A245B"/>
    <w:rsid w:val="009A2516"/>
    <w:rsid w:val="009A2FAA"/>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B7987"/>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556C"/>
    <w:rsid w:val="009F7F2B"/>
    <w:rsid w:val="00A0001D"/>
    <w:rsid w:val="00A01037"/>
    <w:rsid w:val="00A0119C"/>
    <w:rsid w:val="00A017D4"/>
    <w:rsid w:val="00A03332"/>
    <w:rsid w:val="00A03771"/>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30028"/>
    <w:rsid w:val="00A300BC"/>
    <w:rsid w:val="00A301EF"/>
    <w:rsid w:val="00A3040F"/>
    <w:rsid w:val="00A3123A"/>
    <w:rsid w:val="00A3168A"/>
    <w:rsid w:val="00A31CD2"/>
    <w:rsid w:val="00A32EFA"/>
    <w:rsid w:val="00A339B5"/>
    <w:rsid w:val="00A339FB"/>
    <w:rsid w:val="00A348FE"/>
    <w:rsid w:val="00A35D28"/>
    <w:rsid w:val="00A35E53"/>
    <w:rsid w:val="00A36254"/>
    <w:rsid w:val="00A3635F"/>
    <w:rsid w:val="00A36916"/>
    <w:rsid w:val="00A36941"/>
    <w:rsid w:val="00A3747B"/>
    <w:rsid w:val="00A37995"/>
    <w:rsid w:val="00A37F16"/>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A17"/>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C7B"/>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77E"/>
    <w:rsid w:val="00AD2D3B"/>
    <w:rsid w:val="00AD343E"/>
    <w:rsid w:val="00AD4267"/>
    <w:rsid w:val="00AD476A"/>
    <w:rsid w:val="00AD47AA"/>
    <w:rsid w:val="00AD4ABF"/>
    <w:rsid w:val="00AD4C67"/>
    <w:rsid w:val="00AD52D1"/>
    <w:rsid w:val="00AD54E1"/>
    <w:rsid w:val="00AD5632"/>
    <w:rsid w:val="00AD6306"/>
    <w:rsid w:val="00AD7076"/>
    <w:rsid w:val="00AE0764"/>
    <w:rsid w:val="00AE16D1"/>
    <w:rsid w:val="00AE1BC1"/>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529B"/>
    <w:rsid w:val="00B05E03"/>
    <w:rsid w:val="00B0644E"/>
    <w:rsid w:val="00B1077D"/>
    <w:rsid w:val="00B10B1F"/>
    <w:rsid w:val="00B10DB9"/>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4DE8"/>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ED0"/>
    <w:rsid w:val="00B627E7"/>
    <w:rsid w:val="00B6283F"/>
    <w:rsid w:val="00B62F33"/>
    <w:rsid w:val="00B65066"/>
    <w:rsid w:val="00B65262"/>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257"/>
    <w:rsid w:val="00B90B9B"/>
    <w:rsid w:val="00B90C7D"/>
    <w:rsid w:val="00B91455"/>
    <w:rsid w:val="00B919E1"/>
    <w:rsid w:val="00B92313"/>
    <w:rsid w:val="00B933BC"/>
    <w:rsid w:val="00B945A2"/>
    <w:rsid w:val="00B962AB"/>
    <w:rsid w:val="00B966B6"/>
    <w:rsid w:val="00B96C66"/>
    <w:rsid w:val="00B97B6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25E"/>
    <w:rsid w:val="00BB3D90"/>
    <w:rsid w:val="00BB48F1"/>
    <w:rsid w:val="00BB5036"/>
    <w:rsid w:val="00BB5BAF"/>
    <w:rsid w:val="00BB6888"/>
    <w:rsid w:val="00BB6EFD"/>
    <w:rsid w:val="00BB7A4D"/>
    <w:rsid w:val="00BC068E"/>
    <w:rsid w:val="00BC3D44"/>
    <w:rsid w:val="00BC4213"/>
    <w:rsid w:val="00BC5C80"/>
    <w:rsid w:val="00BC5D5B"/>
    <w:rsid w:val="00BC5F08"/>
    <w:rsid w:val="00BC65A4"/>
    <w:rsid w:val="00BC65B2"/>
    <w:rsid w:val="00BC7E15"/>
    <w:rsid w:val="00BC7E36"/>
    <w:rsid w:val="00BD09B1"/>
    <w:rsid w:val="00BD16D6"/>
    <w:rsid w:val="00BD1B72"/>
    <w:rsid w:val="00BD38A0"/>
    <w:rsid w:val="00BD3BB5"/>
    <w:rsid w:val="00BD41C0"/>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257B0"/>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516"/>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15D"/>
    <w:rsid w:val="00CB3B4E"/>
    <w:rsid w:val="00CB3EC6"/>
    <w:rsid w:val="00CB4F56"/>
    <w:rsid w:val="00CB598E"/>
    <w:rsid w:val="00CB5D07"/>
    <w:rsid w:val="00CB68CC"/>
    <w:rsid w:val="00CB6BB5"/>
    <w:rsid w:val="00CB6D6A"/>
    <w:rsid w:val="00CB7873"/>
    <w:rsid w:val="00CC07DB"/>
    <w:rsid w:val="00CC0A26"/>
    <w:rsid w:val="00CC0AB1"/>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3CAD"/>
    <w:rsid w:val="00CF4635"/>
    <w:rsid w:val="00CF46ED"/>
    <w:rsid w:val="00CF5173"/>
    <w:rsid w:val="00CF51E8"/>
    <w:rsid w:val="00CF5BA3"/>
    <w:rsid w:val="00CF637A"/>
    <w:rsid w:val="00CF7C31"/>
    <w:rsid w:val="00D025CC"/>
    <w:rsid w:val="00D028B3"/>
    <w:rsid w:val="00D02ED2"/>
    <w:rsid w:val="00D0304E"/>
    <w:rsid w:val="00D035D9"/>
    <w:rsid w:val="00D053C2"/>
    <w:rsid w:val="00D06218"/>
    <w:rsid w:val="00D104AC"/>
    <w:rsid w:val="00D10566"/>
    <w:rsid w:val="00D11C6E"/>
    <w:rsid w:val="00D12AD5"/>
    <w:rsid w:val="00D138B4"/>
    <w:rsid w:val="00D13D12"/>
    <w:rsid w:val="00D140C2"/>
    <w:rsid w:val="00D14D67"/>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5371"/>
    <w:rsid w:val="00D26918"/>
    <w:rsid w:val="00D27734"/>
    <w:rsid w:val="00D27BED"/>
    <w:rsid w:val="00D31532"/>
    <w:rsid w:val="00D3182A"/>
    <w:rsid w:val="00D32136"/>
    <w:rsid w:val="00D3227D"/>
    <w:rsid w:val="00D33197"/>
    <w:rsid w:val="00D33567"/>
    <w:rsid w:val="00D33EEE"/>
    <w:rsid w:val="00D341A7"/>
    <w:rsid w:val="00D34B4B"/>
    <w:rsid w:val="00D34C3E"/>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5091D"/>
    <w:rsid w:val="00D51372"/>
    <w:rsid w:val="00D51C50"/>
    <w:rsid w:val="00D5266D"/>
    <w:rsid w:val="00D52BBA"/>
    <w:rsid w:val="00D54AEA"/>
    <w:rsid w:val="00D54E4B"/>
    <w:rsid w:val="00D55A96"/>
    <w:rsid w:val="00D56796"/>
    <w:rsid w:val="00D56D40"/>
    <w:rsid w:val="00D56D85"/>
    <w:rsid w:val="00D60B6B"/>
    <w:rsid w:val="00D60D72"/>
    <w:rsid w:val="00D60D80"/>
    <w:rsid w:val="00D61551"/>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8D3"/>
    <w:rsid w:val="00DA4D03"/>
    <w:rsid w:val="00DA4EAF"/>
    <w:rsid w:val="00DA5A16"/>
    <w:rsid w:val="00DA7D0B"/>
    <w:rsid w:val="00DB07CA"/>
    <w:rsid w:val="00DB0823"/>
    <w:rsid w:val="00DB0DA7"/>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E6F87"/>
    <w:rsid w:val="00DF0175"/>
    <w:rsid w:val="00DF0B89"/>
    <w:rsid w:val="00DF131B"/>
    <w:rsid w:val="00DF164A"/>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6E4C"/>
    <w:rsid w:val="00E16E77"/>
    <w:rsid w:val="00E173EF"/>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4EC9"/>
    <w:rsid w:val="00E4510E"/>
    <w:rsid w:val="00E46906"/>
    <w:rsid w:val="00E46EA3"/>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4A39"/>
    <w:rsid w:val="00E75609"/>
    <w:rsid w:val="00E75790"/>
    <w:rsid w:val="00E75BCD"/>
    <w:rsid w:val="00E76031"/>
    <w:rsid w:val="00E80437"/>
    <w:rsid w:val="00E81888"/>
    <w:rsid w:val="00E81B55"/>
    <w:rsid w:val="00E82CEF"/>
    <w:rsid w:val="00E83A79"/>
    <w:rsid w:val="00E83DC4"/>
    <w:rsid w:val="00E83DCE"/>
    <w:rsid w:val="00E842A8"/>
    <w:rsid w:val="00E84360"/>
    <w:rsid w:val="00E847B3"/>
    <w:rsid w:val="00E84E89"/>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4DA"/>
    <w:rsid w:val="00ED0541"/>
    <w:rsid w:val="00ED0A14"/>
    <w:rsid w:val="00ED0D39"/>
    <w:rsid w:val="00ED0EA7"/>
    <w:rsid w:val="00ED172E"/>
    <w:rsid w:val="00ED1F4F"/>
    <w:rsid w:val="00ED353C"/>
    <w:rsid w:val="00ED41B5"/>
    <w:rsid w:val="00ED42A0"/>
    <w:rsid w:val="00ED5433"/>
    <w:rsid w:val="00ED78DB"/>
    <w:rsid w:val="00ED7DE0"/>
    <w:rsid w:val="00ED7E18"/>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449"/>
    <w:rsid w:val="00F1171C"/>
    <w:rsid w:val="00F119FB"/>
    <w:rsid w:val="00F11F70"/>
    <w:rsid w:val="00F12F5F"/>
    <w:rsid w:val="00F145D4"/>
    <w:rsid w:val="00F14AEC"/>
    <w:rsid w:val="00F15F5B"/>
    <w:rsid w:val="00F16210"/>
    <w:rsid w:val="00F164D5"/>
    <w:rsid w:val="00F167D9"/>
    <w:rsid w:val="00F1792F"/>
    <w:rsid w:val="00F17A56"/>
    <w:rsid w:val="00F20474"/>
    <w:rsid w:val="00F209A2"/>
    <w:rsid w:val="00F21AB6"/>
    <w:rsid w:val="00F223D5"/>
    <w:rsid w:val="00F2283A"/>
    <w:rsid w:val="00F22A84"/>
    <w:rsid w:val="00F22A8F"/>
    <w:rsid w:val="00F22ED6"/>
    <w:rsid w:val="00F23EB4"/>
    <w:rsid w:val="00F2529A"/>
    <w:rsid w:val="00F25A72"/>
    <w:rsid w:val="00F25F5E"/>
    <w:rsid w:val="00F260CB"/>
    <w:rsid w:val="00F26C19"/>
    <w:rsid w:val="00F3192A"/>
    <w:rsid w:val="00F31FB6"/>
    <w:rsid w:val="00F32553"/>
    <w:rsid w:val="00F32690"/>
    <w:rsid w:val="00F327CE"/>
    <w:rsid w:val="00F332ED"/>
    <w:rsid w:val="00F33552"/>
    <w:rsid w:val="00F33C8D"/>
    <w:rsid w:val="00F348D1"/>
    <w:rsid w:val="00F35955"/>
    <w:rsid w:val="00F378C1"/>
    <w:rsid w:val="00F40CC5"/>
    <w:rsid w:val="00F40E48"/>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258"/>
    <w:rsid w:val="00F707C9"/>
    <w:rsid w:val="00F70DE9"/>
    <w:rsid w:val="00F710FE"/>
    <w:rsid w:val="00F71BEA"/>
    <w:rsid w:val="00F744F4"/>
    <w:rsid w:val="00F74A01"/>
    <w:rsid w:val="00F74AA8"/>
    <w:rsid w:val="00F74F89"/>
    <w:rsid w:val="00F75A10"/>
    <w:rsid w:val="00F75A41"/>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689E"/>
    <w:rsid w:val="00FA066D"/>
    <w:rsid w:val="00FA0956"/>
    <w:rsid w:val="00FA0FB3"/>
    <w:rsid w:val="00FA1126"/>
    <w:rsid w:val="00FA24F3"/>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C747E"/>
    <w:rsid w:val="00FD1AA4"/>
    <w:rsid w:val="00FD1BD4"/>
    <w:rsid w:val="00FD1EA8"/>
    <w:rsid w:val="00FD2FA7"/>
    <w:rsid w:val="00FD3B87"/>
    <w:rsid w:val="00FD4B79"/>
    <w:rsid w:val="00FD5465"/>
    <w:rsid w:val="00FD58EF"/>
    <w:rsid w:val="00FD5BC9"/>
    <w:rsid w:val="00FD624C"/>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4317"/>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FD624C"/>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07">
    <w:name w:val="אותיות מוזחות 07"/>
    <w:basedOn w:val="a3"/>
    <w:qFormat/>
    <w:rsid w:val="00F167D9"/>
    <w:pPr>
      <w:numPr>
        <w:numId w:val="0"/>
      </w:numPr>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טוען מרחבי</c:v>
                </c:pt>
              </c:strCache>
            </c:strRef>
          </c:tx>
          <c:spPr>
            <a:solidFill>
              <a:schemeClr val="accent1"/>
            </a:solidFill>
            <a:ln>
              <a:noFill/>
            </a:ln>
            <a:effectLst/>
          </c:spPr>
          <c:invertIfNegative val="0"/>
          <c:cat>
            <c:strRef>
              <c:f>גיליון1!$A$2:$A$8</c:f>
              <c:strCache>
                <c:ptCount val="7"/>
                <c:pt idx="0">
                  <c:v>ירושלים</c:v>
                </c:pt>
                <c:pt idx="1">
                  <c:v>תל אביב</c:v>
                </c:pt>
                <c:pt idx="2">
                  <c:v>צפון</c:v>
                </c:pt>
                <c:pt idx="3">
                  <c:v>חוף</c:v>
                </c:pt>
                <c:pt idx="4">
                  <c:v>דרום</c:v>
                </c:pt>
                <c:pt idx="5">
                  <c:v>מרכז</c:v>
                </c:pt>
                <c:pt idx="6">
                  <c:v>ש"י</c:v>
                </c:pt>
              </c:strCache>
            </c:strRef>
          </c:cat>
          <c:val>
            <c:numRef>
              <c:f>גיליון1!$B$2:$B$8</c:f>
              <c:numCache>
                <c:formatCode>General</c:formatCode>
                <c:ptCount val="7"/>
                <c:pt idx="0">
                  <c:v>5</c:v>
                </c:pt>
                <c:pt idx="1">
                  <c:v>4</c:v>
                </c:pt>
                <c:pt idx="2">
                  <c:v>0</c:v>
                </c:pt>
                <c:pt idx="3">
                  <c:v>0</c:v>
                </c:pt>
                <c:pt idx="4">
                  <c:v>6</c:v>
                </c:pt>
                <c:pt idx="5">
                  <c:v>4</c:v>
                </c:pt>
                <c:pt idx="6">
                  <c:v>0</c:v>
                </c:pt>
              </c:numCache>
            </c:numRef>
          </c:val>
          <c:extLst>
            <c:ext xmlns:c16="http://schemas.microsoft.com/office/drawing/2014/chart" uri="{C3380CC4-5D6E-409C-BE32-E72D297353CC}">
              <c16:uniqueId val="{00000000-50C3-41E7-A103-6815795CBFD7}"/>
            </c:ext>
          </c:extLst>
        </c:ser>
        <c:ser>
          <c:idx val="1"/>
          <c:order val="1"/>
          <c:tx>
            <c:strRef>
              <c:f>גיליון1!$C$1</c:f>
              <c:strCache>
                <c:ptCount val="1"/>
                <c:pt idx="0">
                  <c:v>טוען תחנתי</c:v>
                </c:pt>
              </c:strCache>
            </c:strRef>
          </c:tx>
          <c:spPr>
            <a:solidFill>
              <a:schemeClr val="accent4"/>
            </a:solidFill>
            <a:ln>
              <a:noFill/>
            </a:ln>
            <a:effectLst/>
          </c:spPr>
          <c:invertIfNegative val="0"/>
          <c:cat>
            <c:strRef>
              <c:f>גיליון1!$A$2:$A$8</c:f>
              <c:strCache>
                <c:ptCount val="7"/>
                <c:pt idx="0">
                  <c:v>ירושלים</c:v>
                </c:pt>
                <c:pt idx="1">
                  <c:v>תל אביב</c:v>
                </c:pt>
                <c:pt idx="2">
                  <c:v>צפון</c:v>
                </c:pt>
                <c:pt idx="3">
                  <c:v>חוף</c:v>
                </c:pt>
                <c:pt idx="4">
                  <c:v>דרום</c:v>
                </c:pt>
                <c:pt idx="5">
                  <c:v>מרכז</c:v>
                </c:pt>
                <c:pt idx="6">
                  <c:v>ש"י</c:v>
                </c:pt>
              </c:strCache>
            </c:strRef>
          </c:cat>
          <c:val>
            <c:numRef>
              <c:f>גיליון1!$C$2:$C$8</c:f>
              <c:numCache>
                <c:formatCode>General</c:formatCode>
                <c:ptCount val="7"/>
                <c:pt idx="0">
                  <c:v>1</c:v>
                </c:pt>
                <c:pt idx="1">
                  <c:v>2</c:v>
                </c:pt>
                <c:pt idx="2">
                  <c:v>13</c:v>
                </c:pt>
                <c:pt idx="3">
                  <c:v>6</c:v>
                </c:pt>
                <c:pt idx="4">
                  <c:v>0</c:v>
                </c:pt>
                <c:pt idx="5">
                  <c:v>0</c:v>
                </c:pt>
                <c:pt idx="6">
                  <c:v>0</c:v>
                </c:pt>
              </c:numCache>
            </c:numRef>
          </c:val>
          <c:extLst>
            <c:ext xmlns:c16="http://schemas.microsoft.com/office/drawing/2014/chart" uri="{C3380CC4-5D6E-409C-BE32-E72D297353CC}">
              <c16:uniqueId val="{00000001-50C3-41E7-A103-6815795CBFD7}"/>
            </c:ext>
          </c:extLst>
        </c:ser>
        <c:ser>
          <c:idx val="2"/>
          <c:order val="2"/>
          <c:tx>
            <c:strRef>
              <c:f>גיליון1!$D$1</c:f>
              <c:strCache>
                <c:ptCount val="1"/>
                <c:pt idx="0">
                  <c:v>טוען מחוזי</c:v>
                </c:pt>
              </c:strCache>
            </c:strRef>
          </c:tx>
          <c:spPr>
            <a:solidFill>
              <a:schemeClr val="accent3"/>
            </a:solidFill>
            <a:ln>
              <a:noFill/>
            </a:ln>
            <a:effectLst/>
          </c:spPr>
          <c:invertIfNegative val="0"/>
          <c:cat>
            <c:strRef>
              <c:f>גיליון1!$A$2:$A$8</c:f>
              <c:strCache>
                <c:ptCount val="7"/>
                <c:pt idx="0">
                  <c:v>ירושלים</c:v>
                </c:pt>
                <c:pt idx="1">
                  <c:v>תל אביב</c:v>
                </c:pt>
                <c:pt idx="2">
                  <c:v>צפון</c:v>
                </c:pt>
                <c:pt idx="3">
                  <c:v>חוף</c:v>
                </c:pt>
                <c:pt idx="4">
                  <c:v>דרום</c:v>
                </c:pt>
                <c:pt idx="5">
                  <c:v>מרכז</c:v>
                </c:pt>
                <c:pt idx="6">
                  <c:v>ש"י</c:v>
                </c:pt>
              </c:strCache>
            </c:strRef>
          </c:cat>
          <c:val>
            <c:numRef>
              <c:f>גיליון1!$D$2:$D$8</c:f>
              <c:numCache>
                <c:formatCode>General</c:formatCode>
                <c:ptCount val="7"/>
                <c:pt idx="0">
                  <c:v>0</c:v>
                </c:pt>
                <c:pt idx="1">
                  <c:v>0</c:v>
                </c:pt>
                <c:pt idx="2">
                  <c:v>0</c:v>
                </c:pt>
                <c:pt idx="3">
                  <c:v>0</c:v>
                </c:pt>
                <c:pt idx="4">
                  <c:v>0</c:v>
                </c:pt>
                <c:pt idx="5">
                  <c:v>0</c:v>
                </c:pt>
                <c:pt idx="6">
                  <c:v>1</c:v>
                </c:pt>
              </c:numCache>
            </c:numRef>
          </c:val>
          <c:extLst>
            <c:ext xmlns:c16="http://schemas.microsoft.com/office/drawing/2014/chart" uri="{C3380CC4-5D6E-409C-BE32-E72D297353CC}">
              <c16:uniqueId val="{00000002-50C3-41E7-A103-6815795CBFD7}"/>
            </c:ext>
          </c:extLst>
        </c:ser>
        <c:dLbls>
          <c:showLegendKey val="0"/>
          <c:showVal val="0"/>
          <c:showCatName val="0"/>
          <c:showSerName val="0"/>
          <c:showPercent val="0"/>
          <c:showBubbleSize val="0"/>
        </c:dLbls>
        <c:gapWidth val="219"/>
        <c:overlap val="-27"/>
        <c:axId val="343938968"/>
        <c:axId val="343939360"/>
      </c:barChart>
      <c:catAx>
        <c:axId val="3439389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43939360"/>
        <c:crosses val="autoZero"/>
        <c:auto val="1"/>
        <c:lblAlgn val="ctr"/>
        <c:lblOffset val="100"/>
        <c:noMultiLvlLbl val="0"/>
      </c:catAx>
      <c:valAx>
        <c:axId val="34393936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4393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סידרה 1</c:v>
                </c:pt>
              </c:strCache>
            </c:strRef>
          </c:tx>
          <c:spPr>
            <a:solidFill>
              <a:schemeClr val="accent1"/>
            </a:solidFill>
            <a:ln>
              <a:noFill/>
            </a:ln>
            <a:effectLst/>
          </c:spPr>
          <c:invertIfNegative val="0"/>
          <c:dPt>
            <c:idx val="31"/>
            <c:invertIfNegative val="0"/>
            <c:bubble3D val="0"/>
            <c:spPr>
              <a:solidFill>
                <a:schemeClr val="accent2"/>
              </a:solidFill>
              <a:ln>
                <a:noFill/>
              </a:ln>
              <a:effectLst/>
            </c:spPr>
            <c:extLst>
              <c:ext xmlns:c16="http://schemas.microsoft.com/office/drawing/2014/chart" uri="{C3380CC4-5D6E-409C-BE32-E72D297353CC}">
                <c16:uniqueId val="{00000001-F6F7-469D-9A30-C6548AEEBA86}"/>
              </c:ext>
            </c:extLst>
          </c:dPt>
          <c:cat>
            <c:strRef>
              <c:f>גיליון1!$A$2:$A$37</c:f>
              <c:strCache>
                <c:ptCount val="36"/>
                <c:pt idx="0">
                  <c:v>איסלנד</c:v>
                </c:pt>
                <c:pt idx="1">
                  <c:v>יפן</c:v>
                </c:pt>
                <c:pt idx="2">
                  <c:v>סלובניה</c:v>
                </c:pt>
                <c:pt idx="3">
                  <c:v>פינלנד</c:v>
                </c:pt>
                <c:pt idx="4">
                  <c:v>אירלנד</c:v>
                </c:pt>
                <c:pt idx="5">
                  <c:v>שוודיה</c:v>
                </c:pt>
                <c:pt idx="6">
                  <c:v>פולין</c:v>
                </c:pt>
                <c:pt idx="7">
                  <c:v>גרמניה</c:v>
                </c:pt>
                <c:pt idx="8">
                  <c:v>אנגליה</c:v>
                </c:pt>
                <c:pt idx="9">
                  <c:v>ספרד</c:v>
                </c:pt>
                <c:pt idx="10">
                  <c:v>דנמרק</c:v>
                </c:pt>
                <c:pt idx="11">
                  <c:v>צ'כיה</c:v>
                </c:pt>
                <c:pt idx="12">
                  <c:v>נורבגיה</c:v>
                </c:pt>
                <c:pt idx="13">
                  <c:v>אוסטריה</c:v>
                </c:pt>
                <c:pt idx="14">
                  <c:v>פורטוגל</c:v>
                </c:pt>
                <c:pt idx="15">
                  <c:v>ליטא</c:v>
                </c:pt>
                <c:pt idx="16">
                  <c:v>יוון</c:v>
                </c:pt>
                <c:pt idx="17">
                  <c:v>סקוטלנד</c:v>
                </c:pt>
                <c:pt idx="18">
                  <c:v>סלובקיה</c:v>
                </c:pt>
                <c:pt idx="19">
                  <c:v>צרפת</c:v>
                </c:pt>
                <c:pt idx="20">
                  <c:v>הולנד</c:v>
                </c:pt>
                <c:pt idx="21">
                  <c:v>בלגיה</c:v>
                </c:pt>
                <c:pt idx="22">
                  <c:v>איטליה</c:v>
                </c:pt>
                <c:pt idx="23">
                  <c:v>טורקיה</c:v>
                </c:pt>
                <c:pt idx="24">
                  <c:v>קוריאה הדרומית</c:v>
                </c:pt>
                <c:pt idx="25">
                  <c:v>קנדה</c:v>
                </c:pt>
                <c:pt idx="26">
                  <c:v>הונגריה</c:v>
                </c:pt>
                <c:pt idx="27">
                  <c:v>אסטוניה</c:v>
                </c:pt>
                <c:pt idx="28">
                  <c:v>אוסטרליה</c:v>
                </c:pt>
                <c:pt idx="29">
                  <c:v>לוקסמבורג</c:v>
                </c:pt>
                <c:pt idx="30">
                  <c:v>ניו-זילנד</c:v>
                </c:pt>
                <c:pt idx="31">
                  <c:v>ישראל</c:v>
                </c:pt>
                <c:pt idx="32">
                  <c:v>לטביה</c:v>
                </c:pt>
                <c:pt idx="33">
                  <c:v>מקסיקו</c:v>
                </c:pt>
                <c:pt idx="34">
                  <c:v>צ'ילה</c:v>
                </c:pt>
                <c:pt idx="35">
                  <c:v>ארה"ב</c:v>
                </c:pt>
              </c:strCache>
            </c:strRef>
          </c:cat>
          <c:val>
            <c:numRef>
              <c:f>גיליון1!$B$2:$B$37</c:f>
              <c:numCache>
                <c:formatCode>General</c:formatCode>
                <c:ptCount val="36"/>
                <c:pt idx="0">
                  <c:v>4</c:v>
                </c:pt>
                <c:pt idx="1">
                  <c:v>5</c:v>
                </c:pt>
                <c:pt idx="2">
                  <c:v>10</c:v>
                </c:pt>
                <c:pt idx="3">
                  <c:v>11</c:v>
                </c:pt>
                <c:pt idx="4">
                  <c:v>13</c:v>
                </c:pt>
                <c:pt idx="5">
                  <c:v>14</c:v>
                </c:pt>
                <c:pt idx="6">
                  <c:v>14</c:v>
                </c:pt>
                <c:pt idx="7">
                  <c:v>15</c:v>
                </c:pt>
                <c:pt idx="8">
                  <c:v>16</c:v>
                </c:pt>
                <c:pt idx="9">
                  <c:v>17</c:v>
                </c:pt>
                <c:pt idx="10">
                  <c:v>18</c:v>
                </c:pt>
                <c:pt idx="11">
                  <c:v>18</c:v>
                </c:pt>
                <c:pt idx="12">
                  <c:v>19</c:v>
                </c:pt>
                <c:pt idx="13">
                  <c:v>21</c:v>
                </c:pt>
                <c:pt idx="14">
                  <c:v>21</c:v>
                </c:pt>
                <c:pt idx="15">
                  <c:v>23</c:v>
                </c:pt>
                <c:pt idx="16">
                  <c:v>24</c:v>
                </c:pt>
                <c:pt idx="17">
                  <c:v>25</c:v>
                </c:pt>
                <c:pt idx="18">
                  <c:v>27</c:v>
                </c:pt>
                <c:pt idx="19">
                  <c:v>28</c:v>
                </c:pt>
                <c:pt idx="20">
                  <c:v>29</c:v>
                </c:pt>
                <c:pt idx="21">
                  <c:v>31</c:v>
                </c:pt>
                <c:pt idx="22">
                  <c:v>32</c:v>
                </c:pt>
                <c:pt idx="23">
                  <c:v>34</c:v>
                </c:pt>
                <c:pt idx="24">
                  <c:v>38</c:v>
                </c:pt>
                <c:pt idx="25">
                  <c:v>40</c:v>
                </c:pt>
                <c:pt idx="26">
                  <c:v>40</c:v>
                </c:pt>
                <c:pt idx="27">
                  <c:v>44</c:v>
                </c:pt>
                <c:pt idx="28">
                  <c:v>50</c:v>
                </c:pt>
                <c:pt idx="29">
                  <c:v>54</c:v>
                </c:pt>
                <c:pt idx="30">
                  <c:v>57</c:v>
                </c:pt>
                <c:pt idx="31">
                  <c:v>66.900000000000006</c:v>
                </c:pt>
                <c:pt idx="32">
                  <c:v>71</c:v>
                </c:pt>
                <c:pt idx="33">
                  <c:v>76</c:v>
                </c:pt>
                <c:pt idx="34">
                  <c:v>80</c:v>
                </c:pt>
                <c:pt idx="35">
                  <c:v>146</c:v>
                </c:pt>
              </c:numCache>
            </c:numRef>
          </c:val>
          <c:extLst>
            <c:ext xmlns:c16="http://schemas.microsoft.com/office/drawing/2014/chart" uri="{C3380CC4-5D6E-409C-BE32-E72D297353CC}">
              <c16:uniqueId val="{00000002-F6F7-469D-9A30-C6548AEEBA86}"/>
            </c:ext>
          </c:extLst>
        </c:ser>
        <c:dLbls>
          <c:showLegendKey val="0"/>
          <c:showVal val="0"/>
          <c:showCatName val="0"/>
          <c:showSerName val="0"/>
          <c:showPercent val="0"/>
          <c:showBubbleSize val="0"/>
        </c:dLbls>
        <c:gapWidth val="219"/>
        <c:axId val="342139544"/>
        <c:axId val="342140328"/>
      </c:barChart>
      <c:catAx>
        <c:axId val="34213954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42140328"/>
        <c:crosses val="autoZero"/>
        <c:auto val="1"/>
        <c:lblAlgn val="ctr"/>
        <c:lblOffset val="100"/>
        <c:noMultiLvlLbl val="0"/>
      </c:catAx>
      <c:valAx>
        <c:axId val="3421403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4213954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גיליון1!$B$1</c:f>
              <c:strCache>
                <c:ptCount val="1"/>
                <c:pt idx="0">
                  <c:v>צווי פיקוח מעצר</c:v>
                </c:pt>
              </c:strCache>
            </c:strRef>
          </c:tx>
          <c:spPr>
            <a:ln w="19050" cap="rnd">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גיליון1!$A$2:$A$6</c:f>
              <c:numCache>
                <c:formatCode>General</c:formatCode>
                <c:ptCount val="5"/>
                <c:pt idx="0">
                  <c:v>2014</c:v>
                </c:pt>
                <c:pt idx="1">
                  <c:v>2015</c:v>
                </c:pt>
                <c:pt idx="2">
                  <c:v>2016</c:v>
                </c:pt>
                <c:pt idx="3">
                  <c:v>2017</c:v>
                </c:pt>
                <c:pt idx="4">
                  <c:v>2018</c:v>
                </c:pt>
              </c:numCache>
            </c:numRef>
          </c:cat>
          <c:val>
            <c:numRef>
              <c:f>גיליון1!$B$2:$B$6</c:f>
              <c:numCache>
                <c:formatCode>General</c:formatCode>
                <c:ptCount val="5"/>
                <c:pt idx="0">
                  <c:v>1396</c:v>
                </c:pt>
                <c:pt idx="1">
                  <c:v>1497</c:v>
                </c:pt>
                <c:pt idx="2">
                  <c:v>1707</c:v>
                </c:pt>
                <c:pt idx="3">
                  <c:v>1730</c:v>
                </c:pt>
                <c:pt idx="4">
                  <c:v>1920</c:v>
                </c:pt>
              </c:numCache>
            </c:numRef>
          </c:val>
          <c:smooth val="0"/>
          <c:extLst>
            <c:ext xmlns:c16="http://schemas.microsoft.com/office/drawing/2014/chart" uri="{C3380CC4-5D6E-409C-BE32-E72D297353CC}">
              <c16:uniqueId val="{00000000-2709-4057-919A-2DBF806D87AB}"/>
            </c:ext>
          </c:extLst>
        </c:ser>
        <c:ser>
          <c:idx val="1"/>
          <c:order val="1"/>
          <c:tx>
            <c:strRef>
              <c:f>גיליון1!$C$1</c:f>
              <c:strCache>
                <c:ptCount val="1"/>
                <c:pt idx="0">
                  <c:v>הפניות לתסקירי מעצר</c:v>
                </c:pt>
              </c:strCache>
            </c:strRef>
          </c:tx>
          <c:spPr>
            <a:ln w="19050" cap="rnd">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גיליון1!$A$2:$A$6</c:f>
              <c:numCache>
                <c:formatCode>General</c:formatCode>
                <c:ptCount val="5"/>
                <c:pt idx="0">
                  <c:v>2014</c:v>
                </c:pt>
                <c:pt idx="1">
                  <c:v>2015</c:v>
                </c:pt>
                <c:pt idx="2">
                  <c:v>2016</c:v>
                </c:pt>
                <c:pt idx="3">
                  <c:v>2017</c:v>
                </c:pt>
                <c:pt idx="4">
                  <c:v>2018</c:v>
                </c:pt>
              </c:numCache>
            </c:numRef>
          </c:cat>
          <c:val>
            <c:numRef>
              <c:f>גיליון1!$C$2:$C$6</c:f>
              <c:numCache>
                <c:formatCode>General</c:formatCode>
                <c:ptCount val="5"/>
                <c:pt idx="0">
                  <c:v>8196</c:v>
                </c:pt>
                <c:pt idx="1">
                  <c:v>7699</c:v>
                </c:pt>
                <c:pt idx="2">
                  <c:v>7544</c:v>
                </c:pt>
                <c:pt idx="3">
                  <c:v>7537</c:v>
                </c:pt>
                <c:pt idx="4">
                  <c:v>7627</c:v>
                </c:pt>
              </c:numCache>
            </c:numRef>
          </c:val>
          <c:smooth val="0"/>
          <c:extLst>
            <c:ext xmlns:c16="http://schemas.microsoft.com/office/drawing/2014/chart" uri="{C3380CC4-5D6E-409C-BE32-E72D297353CC}">
              <c16:uniqueId val="{00000001-2709-4057-919A-2DBF806D87AB}"/>
            </c:ext>
          </c:extLst>
        </c:ser>
        <c:dLbls>
          <c:dLblPos val="ctr"/>
          <c:showLegendKey val="0"/>
          <c:showVal val="1"/>
          <c:showCatName val="0"/>
          <c:showSerName val="0"/>
          <c:showPercent val="0"/>
          <c:showBubbleSize val="0"/>
        </c:dLbls>
        <c:marker val="1"/>
        <c:smooth val="0"/>
        <c:axId val="351769672"/>
        <c:axId val="351770064"/>
      </c:lineChart>
      <c:catAx>
        <c:axId val="351769672"/>
        <c:scaling>
          <c:orientation val="minMax"/>
        </c:scaling>
        <c:delete val="0"/>
        <c:axPos val="b"/>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he-IL"/>
          </a:p>
        </c:txPr>
        <c:crossAx val="351770064"/>
        <c:crosses val="autoZero"/>
        <c:auto val="1"/>
        <c:lblAlgn val="ctr"/>
        <c:lblOffset val="100"/>
        <c:noMultiLvlLbl val="0"/>
      </c:catAx>
      <c:valAx>
        <c:axId val="351770064"/>
        <c:scaling>
          <c:orientation val="minMax"/>
        </c:scaling>
        <c:delete val="1"/>
        <c:axPos val="l"/>
        <c:numFmt formatCode="General" sourceLinked="1"/>
        <c:majorTickMark val="none"/>
        <c:minorTickMark val="none"/>
        <c:tickLblPos val="nextTo"/>
        <c:crossAx val="35176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he-I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אסיר</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86E-4C58-A97E-47F3A14D04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גיליון1!$A$2:$A$11</c:f>
              <c:strCache>
                <c:ptCount val="10"/>
                <c:pt idx="0">
                  <c:v>עבירות נגד גוף האדם</c:v>
                </c:pt>
                <c:pt idx="1">
                  <c:v>עבירות ביטחון</c:v>
                </c:pt>
                <c:pt idx="2">
                  <c:v>עבירות סדר ציבורי</c:v>
                </c:pt>
                <c:pt idx="3">
                  <c:v>עבירות מוסר</c:v>
                </c:pt>
                <c:pt idx="4">
                  <c:v>עבירות כנגד חיי אדם</c:v>
                </c:pt>
                <c:pt idx="5">
                  <c:v>עבירות מין</c:v>
                </c:pt>
                <c:pt idx="6">
                  <c:v>עבירות מרמה</c:v>
                </c:pt>
                <c:pt idx="7">
                  <c:v>עבירות רישוי</c:v>
                </c:pt>
                <c:pt idx="8">
                  <c:v>עבירות רכוש</c:v>
                </c:pt>
                <c:pt idx="9">
                  <c:v>עבירות אחרות</c:v>
                </c:pt>
              </c:strCache>
            </c:strRef>
          </c:cat>
          <c:val>
            <c:numRef>
              <c:f>גיליון1!$B$2:$B$11</c:f>
              <c:numCache>
                <c:formatCode>General</c:formatCode>
                <c:ptCount val="10"/>
                <c:pt idx="0">
                  <c:v>13</c:v>
                </c:pt>
                <c:pt idx="1">
                  <c:v>0</c:v>
                </c:pt>
                <c:pt idx="2">
                  <c:v>5</c:v>
                </c:pt>
                <c:pt idx="3">
                  <c:v>15</c:v>
                </c:pt>
                <c:pt idx="4">
                  <c:v>33</c:v>
                </c:pt>
                <c:pt idx="5">
                  <c:v>4</c:v>
                </c:pt>
                <c:pt idx="6">
                  <c:v>2</c:v>
                </c:pt>
                <c:pt idx="7">
                  <c:v>15</c:v>
                </c:pt>
                <c:pt idx="8">
                  <c:v>17</c:v>
                </c:pt>
                <c:pt idx="9">
                  <c:v>1</c:v>
                </c:pt>
              </c:numCache>
            </c:numRef>
          </c:val>
          <c:extLst>
            <c:ext xmlns:c16="http://schemas.microsoft.com/office/drawing/2014/chart" uri="{C3380CC4-5D6E-409C-BE32-E72D297353CC}">
              <c16:uniqueId val="{00000001-386E-4C58-A97E-47F3A14D04B3}"/>
            </c:ext>
          </c:extLst>
        </c:ser>
        <c:ser>
          <c:idx val="1"/>
          <c:order val="1"/>
          <c:tx>
            <c:strRef>
              <c:f>גיליון1!$C$1</c:f>
              <c:strCache>
                <c:ptCount val="1"/>
                <c:pt idx="0">
                  <c:v>עציר</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גיליון1!$A$2:$A$11</c:f>
              <c:strCache>
                <c:ptCount val="10"/>
                <c:pt idx="0">
                  <c:v>עבירות נגד גוף האדם</c:v>
                </c:pt>
                <c:pt idx="1">
                  <c:v>עבירות ביטחון</c:v>
                </c:pt>
                <c:pt idx="2">
                  <c:v>עבירות סדר ציבורי</c:v>
                </c:pt>
                <c:pt idx="3">
                  <c:v>עבירות מוסר</c:v>
                </c:pt>
                <c:pt idx="4">
                  <c:v>עבירות כנגד חיי אדם</c:v>
                </c:pt>
                <c:pt idx="5">
                  <c:v>עבירות מין</c:v>
                </c:pt>
                <c:pt idx="6">
                  <c:v>עבירות מרמה</c:v>
                </c:pt>
                <c:pt idx="7">
                  <c:v>עבירות רישוי</c:v>
                </c:pt>
                <c:pt idx="8">
                  <c:v>עבירות רכוש</c:v>
                </c:pt>
                <c:pt idx="9">
                  <c:v>עבירות אחרות</c:v>
                </c:pt>
              </c:strCache>
            </c:strRef>
          </c:cat>
          <c:val>
            <c:numRef>
              <c:f>גיליון1!$C$2:$C$11</c:f>
              <c:numCache>
                <c:formatCode>General</c:formatCode>
                <c:ptCount val="10"/>
                <c:pt idx="0">
                  <c:v>112</c:v>
                </c:pt>
                <c:pt idx="1">
                  <c:v>4</c:v>
                </c:pt>
                <c:pt idx="2">
                  <c:v>32</c:v>
                </c:pt>
                <c:pt idx="3">
                  <c:v>95</c:v>
                </c:pt>
                <c:pt idx="4">
                  <c:v>24</c:v>
                </c:pt>
                <c:pt idx="5">
                  <c:v>34</c:v>
                </c:pt>
                <c:pt idx="6">
                  <c:v>9</c:v>
                </c:pt>
                <c:pt idx="7">
                  <c:v>91</c:v>
                </c:pt>
                <c:pt idx="8">
                  <c:v>79</c:v>
                </c:pt>
                <c:pt idx="9">
                  <c:v>12</c:v>
                </c:pt>
              </c:numCache>
            </c:numRef>
          </c:val>
          <c:extLst>
            <c:ext xmlns:c16="http://schemas.microsoft.com/office/drawing/2014/chart" uri="{C3380CC4-5D6E-409C-BE32-E72D297353CC}">
              <c16:uniqueId val="{00000002-386E-4C58-A97E-47F3A14D04B3}"/>
            </c:ext>
          </c:extLst>
        </c:ser>
        <c:dLbls>
          <c:showLegendKey val="0"/>
          <c:showVal val="0"/>
          <c:showCatName val="0"/>
          <c:showSerName val="0"/>
          <c:showPercent val="0"/>
          <c:showBubbleSize val="0"/>
        </c:dLbls>
        <c:gapWidth val="219"/>
        <c:overlap val="-27"/>
        <c:axId val="801112496"/>
        <c:axId val="801111840"/>
      </c:barChart>
      <c:catAx>
        <c:axId val="80111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801111840"/>
        <c:crosses val="autoZero"/>
        <c:auto val="1"/>
        <c:lblAlgn val="ctr"/>
        <c:lblOffset val="100"/>
        <c:noMultiLvlLbl val="0"/>
      </c:catAx>
      <c:valAx>
        <c:axId val="801111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111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עמודה1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0F-49F7-9801-991FC17EC69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0F-49F7-9801-991FC17EC69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C0F-49F7-9801-991FC17EC69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C0F-49F7-9801-991FC17EC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e-IL"/>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גיליון1!$A$2:$A$5</c:f>
              <c:strCache>
                <c:ptCount val="4"/>
                <c:pt idx="0">
                  <c:v>בית משפט המחוזי</c:v>
                </c:pt>
                <c:pt idx="1">
                  <c:v>בית משפט השלום</c:v>
                </c:pt>
                <c:pt idx="2">
                  <c:v>בית המשפט לתעבורה</c:v>
                </c:pt>
                <c:pt idx="3">
                  <c:v>בית המשפט לנוער</c:v>
                </c:pt>
              </c:strCache>
            </c:strRef>
          </c:cat>
          <c:val>
            <c:numRef>
              <c:f>גיליון1!$B$2:$B$5</c:f>
              <c:numCache>
                <c:formatCode>General</c:formatCode>
                <c:ptCount val="4"/>
                <c:pt idx="0">
                  <c:v>236</c:v>
                </c:pt>
                <c:pt idx="1">
                  <c:v>130</c:v>
                </c:pt>
                <c:pt idx="2">
                  <c:v>18</c:v>
                </c:pt>
                <c:pt idx="3">
                  <c:v>20</c:v>
                </c:pt>
              </c:numCache>
            </c:numRef>
          </c:val>
          <c:extLst>
            <c:ext xmlns:c16="http://schemas.microsoft.com/office/drawing/2014/chart" uri="{C3380CC4-5D6E-409C-BE32-E72D297353CC}">
              <c16:uniqueId val="{00000008-7C0F-49F7-9801-991FC17EC69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מפוקחים שהפרו בהפרה יחידה בלבד</c:v>
                </c:pt>
              </c:strCache>
            </c:strRef>
          </c:tx>
          <c:spPr>
            <a:solidFill>
              <a:schemeClr val="accent2">
                <a:lumMod val="75000"/>
              </a:schemeClr>
            </a:solidFill>
            <a:ln>
              <a:noFill/>
            </a:ln>
            <a:effectLst/>
          </c:spPr>
          <c:invertIfNegative val="0"/>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2F-4AE9-A4FD-85E9D33D64DA}"/>
                </c:ext>
              </c:extLst>
            </c:dLbl>
            <c:dLbl>
              <c:idx val="1"/>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2F-4AE9-A4FD-85E9D33D64DA}"/>
                </c:ext>
              </c:extLst>
            </c:dLbl>
            <c:dLbl>
              <c:idx val="2"/>
              <c:tx>
                <c:rich>
                  <a:bodyPr/>
                  <a:lstStyle/>
                  <a:p>
                    <a:r>
                      <a:rPr lang="en-US"/>
                      <a:t>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2F-4AE9-A4FD-85E9D33D64DA}"/>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גיליון1!$A$2:$A$4</c:f>
              <c:numCache>
                <c:formatCode>General</c:formatCode>
                <c:ptCount val="3"/>
                <c:pt idx="0">
                  <c:v>2017</c:v>
                </c:pt>
                <c:pt idx="1">
                  <c:v>2018</c:v>
                </c:pt>
                <c:pt idx="2">
                  <c:v>2019</c:v>
                </c:pt>
              </c:numCache>
            </c:numRef>
          </c:cat>
          <c:val>
            <c:numRef>
              <c:f>גיליון1!$B$2:$B$4</c:f>
              <c:numCache>
                <c:formatCode>General</c:formatCode>
                <c:ptCount val="3"/>
                <c:pt idx="0">
                  <c:v>50</c:v>
                </c:pt>
                <c:pt idx="1">
                  <c:v>58</c:v>
                </c:pt>
                <c:pt idx="2">
                  <c:v>66</c:v>
                </c:pt>
              </c:numCache>
            </c:numRef>
          </c:val>
          <c:extLst>
            <c:ext xmlns:c16="http://schemas.microsoft.com/office/drawing/2014/chart" uri="{C3380CC4-5D6E-409C-BE32-E72D297353CC}">
              <c16:uniqueId val="{00000003-B72F-4AE9-A4FD-85E9D33D64DA}"/>
            </c:ext>
          </c:extLst>
        </c:ser>
        <c:ser>
          <c:idx val="1"/>
          <c:order val="1"/>
          <c:tx>
            <c:strRef>
              <c:f>גיליון1!$C$1</c:f>
              <c:strCache>
                <c:ptCount val="1"/>
                <c:pt idx="0">
                  <c:v>מפוקחים שלא הפרו את תנאי הפיקוח</c:v>
                </c:pt>
              </c:strCache>
            </c:strRef>
          </c:tx>
          <c:spPr>
            <a:solidFill>
              <a:schemeClr val="accent1"/>
            </a:solidFill>
            <a:ln>
              <a:noFill/>
            </a:ln>
            <a:effectLst/>
          </c:spPr>
          <c:invertIfNegative val="0"/>
          <c:dLbls>
            <c:dLbl>
              <c:idx val="0"/>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2F-4AE9-A4FD-85E9D33D64DA}"/>
                </c:ext>
              </c:extLst>
            </c:dLbl>
            <c:dLbl>
              <c:idx val="1"/>
              <c:tx>
                <c:rich>
                  <a:bodyPr/>
                  <a:lstStyle/>
                  <a:p>
                    <a:r>
                      <a:rPr lang="en-US"/>
                      <a:t>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2F-4AE9-A4FD-85E9D33D64DA}"/>
                </c:ext>
              </c:extLst>
            </c:dLbl>
            <c:dLbl>
              <c:idx val="2"/>
              <c:tx>
                <c:rich>
                  <a:bodyPr/>
                  <a:lstStyle/>
                  <a:p>
                    <a:r>
                      <a:rPr lang="en-US"/>
                      <a:t>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2F-4AE9-A4FD-85E9D33D64DA}"/>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גיליון1!$A$2:$A$4</c:f>
              <c:numCache>
                <c:formatCode>General</c:formatCode>
                <c:ptCount val="3"/>
                <c:pt idx="0">
                  <c:v>2017</c:v>
                </c:pt>
                <c:pt idx="1">
                  <c:v>2018</c:v>
                </c:pt>
                <c:pt idx="2">
                  <c:v>2019</c:v>
                </c:pt>
              </c:numCache>
            </c:numRef>
          </c:cat>
          <c:val>
            <c:numRef>
              <c:f>גיליון1!$C$2:$C$4</c:f>
              <c:numCache>
                <c:formatCode>General</c:formatCode>
                <c:ptCount val="3"/>
                <c:pt idx="0">
                  <c:v>55</c:v>
                </c:pt>
                <c:pt idx="1">
                  <c:v>69</c:v>
                </c:pt>
                <c:pt idx="2">
                  <c:v>78</c:v>
                </c:pt>
              </c:numCache>
            </c:numRef>
          </c:val>
          <c:extLst>
            <c:ext xmlns:c16="http://schemas.microsoft.com/office/drawing/2014/chart" uri="{C3380CC4-5D6E-409C-BE32-E72D297353CC}">
              <c16:uniqueId val="{00000007-B72F-4AE9-A4FD-85E9D33D64DA}"/>
            </c:ext>
          </c:extLst>
        </c:ser>
        <c:dLbls>
          <c:dLblPos val="outEnd"/>
          <c:showLegendKey val="0"/>
          <c:showVal val="1"/>
          <c:showCatName val="0"/>
          <c:showSerName val="0"/>
          <c:showPercent val="0"/>
          <c:showBubbleSize val="0"/>
        </c:dLbls>
        <c:gapWidth val="444"/>
        <c:overlap val="-90"/>
        <c:axId val="696055184"/>
        <c:axId val="696049608"/>
      </c:barChart>
      <c:catAx>
        <c:axId val="69605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696049608"/>
        <c:crosses val="autoZero"/>
        <c:auto val="1"/>
        <c:lblAlgn val="ctr"/>
        <c:lblOffset val="100"/>
        <c:noMultiLvlLbl val="0"/>
      </c:catAx>
      <c:valAx>
        <c:axId val="696049608"/>
        <c:scaling>
          <c:orientation val="minMax"/>
        </c:scaling>
        <c:delete val="1"/>
        <c:axPos val="l"/>
        <c:numFmt formatCode="#,##0" sourceLinked="0"/>
        <c:majorTickMark val="none"/>
        <c:minorTickMark val="none"/>
        <c:tickLblPos val="nextTo"/>
        <c:crossAx val="696055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56F628-08E9-4474-9C5E-839A8A0CA846}">
  <ds:schemaRefs>
    <ds:schemaRef ds:uri="http://schemas.openxmlformats.org/officeDocument/2006/bibliography"/>
  </ds:schemaRefs>
</ds:datastoreItem>
</file>

<file path=customXml/itemProps2.xml><?xml version="1.0" encoding="utf-8"?>
<ds:datastoreItem xmlns:ds="http://schemas.openxmlformats.org/officeDocument/2006/customXml" ds:itemID="{BD6915F5-9FFD-4D47-876A-13AB5C0385DB}"/>
</file>

<file path=customXml/itemProps3.xml><?xml version="1.0" encoding="utf-8"?>
<ds:datastoreItem xmlns:ds="http://schemas.openxmlformats.org/officeDocument/2006/customXml" ds:itemID="{0BEB456B-1D24-485E-B2CD-A80805A26397}"/>
</file>

<file path=customXml/itemProps4.xml><?xml version="1.0" encoding="utf-8"?>
<ds:datastoreItem xmlns:ds="http://schemas.openxmlformats.org/officeDocument/2006/customXml" ds:itemID="{1E243123-E6CD-4652-BA0B-9AFD59D70A7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39</Pages>
  <Words>9275</Words>
  <Characters>46379</Characters>
  <Application>Microsoft Office Word</Application>
  <DocSecurity>0</DocSecurity>
  <Lines>386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3</cp:revision>
  <cp:lastPrinted>2020-04-23T10:47:00Z</cp:lastPrinted>
  <dcterms:created xsi:type="dcterms:W3CDTF">2020-05-04T06:43:00Z</dcterms:created>
  <dcterms:modified xsi:type="dcterms:W3CDTF">2020-05-04T06:54:00Z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