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14BFFFFA" w:rsidR="00E35DF9" w:rsidRPr="00DE1ACD" w:rsidRDefault="00387987" w:rsidP="00DE1ACD">
      <w:pPr>
        <w:pStyle w:val="121"/>
        <w:rPr>
          <w:rtl/>
        </w:rPr>
      </w:pPr>
      <w:r>
        <w:rPr>
          <w:rFonts w:hint="cs"/>
          <w:rtl/>
        </w:rPr>
        <w:t>פעילות לשכת עורכי הדין בישראל</w:t>
      </w:r>
    </w:p>
    <w:p w14:paraId="781158A7" w14:textId="24CBD158" w:rsidR="00E35DF9" w:rsidRDefault="00E35DF9" w:rsidP="008D2388">
      <w:pPr>
        <w:spacing w:line="240" w:lineRule="atLeast"/>
        <w:jc w:val="center"/>
        <w:rPr>
          <w:rFonts w:ascii="Tahoma" w:hAnsi="Tahoma" w:cs="Tahoma"/>
          <w:sz w:val="22"/>
          <w:szCs w:val="22"/>
          <w:rtl/>
        </w:rPr>
      </w:pPr>
    </w:p>
    <w:p w14:paraId="3A2AE74C" w14:textId="1AF82FA5" w:rsidR="00387987" w:rsidRDefault="00387987" w:rsidP="008D2388">
      <w:pPr>
        <w:spacing w:line="240" w:lineRule="atLeast"/>
        <w:jc w:val="center"/>
        <w:rPr>
          <w:rFonts w:ascii="Tahoma" w:hAnsi="Tahoma" w:cs="Tahoma"/>
          <w:sz w:val="22"/>
          <w:szCs w:val="22"/>
          <w:rtl/>
        </w:rPr>
      </w:pPr>
    </w:p>
    <w:p w14:paraId="3E488909" w14:textId="77777777" w:rsidR="00387987" w:rsidRDefault="00387987"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689822B2" w:rsidR="00E35DF9" w:rsidRDefault="00E35DF9" w:rsidP="008D2388">
      <w:pPr>
        <w:spacing w:line="240" w:lineRule="atLeast"/>
        <w:jc w:val="center"/>
        <w:rPr>
          <w:rFonts w:ascii="Tahoma" w:hAnsi="Tahoma" w:cs="Tahoma"/>
          <w:sz w:val="22"/>
          <w:szCs w:val="22"/>
        </w:rPr>
      </w:pPr>
    </w:p>
    <w:p w14:paraId="4DA9757C" w14:textId="77777777" w:rsidR="00DE1ACD" w:rsidRDefault="00DE1ACD" w:rsidP="008D2388">
      <w:pPr>
        <w:spacing w:line="240" w:lineRule="atLeast"/>
        <w:jc w:val="center"/>
        <w:rPr>
          <w:rFonts w:ascii="Tahoma" w:hAnsi="Tahoma" w:cs="Tahoma"/>
          <w:sz w:val="22"/>
          <w:szCs w:val="22"/>
          <w:rtl/>
        </w:rPr>
      </w:pPr>
    </w:p>
    <w:p w14:paraId="3F249126" w14:textId="77777777" w:rsidR="00E35DF9" w:rsidRDefault="00E35DF9" w:rsidP="008D2388">
      <w:pPr>
        <w:spacing w:line="240" w:lineRule="atLeast"/>
        <w:jc w:val="center"/>
        <w:rPr>
          <w:rFonts w:ascii="Tahoma" w:hAnsi="Tahoma" w:cs="Tahoma"/>
          <w:sz w:val="22"/>
          <w:szCs w:val="22"/>
          <w:rtl/>
        </w:rPr>
      </w:pPr>
    </w:p>
    <w:p w14:paraId="14C75337" w14:textId="7435F8EB" w:rsidR="00E35DF9" w:rsidRDefault="00E35DF9" w:rsidP="008D2388">
      <w:pPr>
        <w:spacing w:line="240" w:lineRule="atLeast"/>
        <w:jc w:val="center"/>
        <w:rPr>
          <w:rFonts w:ascii="Tahoma" w:hAnsi="Tahoma" w:cs="Tahoma"/>
          <w:sz w:val="22"/>
          <w:szCs w:val="22"/>
          <w:rtl/>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5DAD5F9A" w:rsidR="00E35DF9" w:rsidRDefault="00E35DF9"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315317E0" w14:textId="77777777" w:rsidR="000B6F45" w:rsidRDefault="000B6F45" w:rsidP="000B6F45">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4623AD38"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220C135B">
            <wp:extent cx="5216393" cy="68850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6393" cy="6885070"/>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61184DF2"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0982D1A8">
            <wp:extent cx="5219700" cy="613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134451"/>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5A63EB78"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100F1DF5">
            <wp:extent cx="5220000" cy="688983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889831"/>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73C275F3" w14:textId="3754108A" w:rsidR="006D5CCE" w:rsidRPr="003F48CD" w:rsidRDefault="000E50E1" w:rsidP="00BD16D6">
      <w:pPr>
        <w:pStyle w:val="121"/>
        <w:rPr>
          <w:rtl/>
        </w:rPr>
      </w:pPr>
      <w:bookmarkStart w:id="0" w:name="_Hlk33594366"/>
      <w:r>
        <w:rPr>
          <w:rFonts w:hint="cs"/>
          <w:rtl/>
        </w:rPr>
        <w:lastRenderedPageBreak/>
        <w:t>פעילות לשכת עורכי הדין בישראל</w:t>
      </w:r>
    </w:p>
    <w:bookmarkEnd w:id="0"/>
    <w:p w14:paraId="6924D494" w14:textId="77777777" w:rsidR="006D5CCE" w:rsidRPr="001C72B2" w:rsidRDefault="006D5CCE" w:rsidP="006D5CCE">
      <w:pPr>
        <w:pStyle w:val="316"/>
        <w:rPr>
          <w:bCs/>
          <w:rtl/>
        </w:rPr>
      </w:pPr>
      <w:r w:rsidRPr="001C72B2">
        <w:rPr>
          <w:rtl/>
        </w:rPr>
        <w:t>מבוא</w:t>
      </w:r>
    </w:p>
    <w:p w14:paraId="7B1E423A" w14:textId="77777777" w:rsidR="00387987" w:rsidRDefault="00387987" w:rsidP="00183085">
      <w:pPr>
        <w:pStyle w:val="100"/>
        <w:rPr>
          <w:rtl/>
        </w:rPr>
      </w:pPr>
      <w:r>
        <w:rPr>
          <w:rtl/>
        </w:rPr>
        <w:t>לשכת עורכי הדין (להלן - הלשכה) הוקמה בשנת 1961 על פי חוק לשכת עורכי הדין, התשכ"א-1961 (להלן - החוק</w:t>
      </w:r>
      <w:r>
        <w:rPr>
          <w:rFonts w:hint="cs"/>
          <w:rtl/>
        </w:rPr>
        <w:t xml:space="preserve"> או חוק לשכת עורכי הדין</w:t>
      </w:r>
      <w:r>
        <w:rPr>
          <w:rtl/>
        </w:rPr>
        <w:t>)</w:t>
      </w:r>
      <w:r>
        <w:rPr>
          <w:rFonts w:hint="cs"/>
          <w:rtl/>
        </w:rPr>
        <w:t>. על פי החוק מטרת הקמתה של הלשכה היא ל</w:t>
      </w:r>
      <w:r w:rsidRPr="006866B2">
        <w:rPr>
          <w:rtl/>
        </w:rPr>
        <w:t>אגד את עורכי הדין בישראל</w:t>
      </w:r>
      <w:r>
        <w:rPr>
          <w:rFonts w:hint="cs"/>
          <w:rtl/>
        </w:rPr>
        <w:t>, ל</w:t>
      </w:r>
      <w:r w:rsidRPr="006866B2">
        <w:rPr>
          <w:rtl/>
        </w:rPr>
        <w:t>שקוד על רמתו וט</w:t>
      </w:r>
      <w:r>
        <w:rPr>
          <w:rFonts w:hint="cs"/>
          <w:rtl/>
        </w:rPr>
        <w:t>ו</w:t>
      </w:r>
      <w:r w:rsidRPr="006866B2">
        <w:rPr>
          <w:rtl/>
        </w:rPr>
        <w:t xml:space="preserve">הרו של מקצוע עריכת הדין </w:t>
      </w:r>
      <w:r>
        <w:rPr>
          <w:rFonts w:hint="cs"/>
          <w:rtl/>
        </w:rPr>
        <w:t>ולפעול</w:t>
      </w:r>
      <w:r w:rsidRPr="006866B2">
        <w:rPr>
          <w:rtl/>
        </w:rPr>
        <w:t xml:space="preserve"> למען הגנה על שלטון החוק, זכויות האדם וערכי היסוד של מדינת ישראל.</w:t>
      </w:r>
      <w:r>
        <w:rPr>
          <w:rFonts w:hint="cs"/>
          <w:rtl/>
        </w:rPr>
        <w:t xml:space="preserve"> שר המשפטים הוא הממונה על ביצוע החוק ורשאי להתקין תקנות בקשר לביצועו.</w:t>
      </w:r>
    </w:p>
    <w:p w14:paraId="66F74DFD" w14:textId="77777777" w:rsidR="00387987" w:rsidRDefault="00387987" w:rsidP="00183085">
      <w:pPr>
        <w:pStyle w:val="100"/>
        <w:rPr>
          <w:rtl/>
        </w:rPr>
      </w:pPr>
      <w:r>
        <w:rPr>
          <w:rFonts w:hint="cs"/>
          <w:rtl/>
        </w:rPr>
        <w:t>החוק קובע תפקידי חובה ותפקידי רשות שעל הלשכה למלא כמתואר בתרשים שלהלן:</w:t>
      </w:r>
    </w:p>
    <w:p w14:paraId="67FD9BFA" w14:textId="77777777" w:rsidR="00387987" w:rsidRPr="00E4158B" w:rsidRDefault="00387987" w:rsidP="00183085">
      <w:pPr>
        <w:pStyle w:val="a8"/>
        <w:rPr>
          <w:rtl/>
        </w:rPr>
      </w:pPr>
      <w:r w:rsidRPr="00E4158B">
        <w:rPr>
          <w:rFonts w:hint="eastAsia"/>
          <w:rtl/>
        </w:rPr>
        <w:t>תרשים</w:t>
      </w:r>
      <w:r w:rsidRPr="00E4158B">
        <w:rPr>
          <w:rtl/>
        </w:rPr>
        <w:t xml:space="preserve"> 1</w:t>
      </w:r>
      <w:r w:rsidRPr="00183085">
        <w:rPr>
          <w:b/>
          <w:bCs/>
          <w:rtl/>
        </w:rPr>
        <w:t xml:space="preserve">: </w:t>
      </w:r>
      <w:r w:rsidRPr="00183085">
        <w:rPr>
          <w:rFonts w:hint="eastAsia"/>
          <w:b/>
          <w:bCs/>
          <w:rtl/>
        </w:rPr>
        <w:t>תפקידי</w:t>
      </w:r>
      <w:r w:rsidRPr="00183085">
        <w:rPr>
          <w:b/>
          <w:bCs/>
          <w:rtl/>
        </w:rPr>
        <w:t xml:space="preserve"> </w:t>
      </w:r>
      <w:r w:rsidRPr="00183085">
        <w:rPr>
          <w:rFonts w:hint="eastAsia"/>
          <w:b/>
          <w:bCs/>
          <w:rtl/>
        </w:rPr>
        <w:t>החובה</w:t>
      </w:r>
      <w:r w:rsidRPr="00183085">
        <w:rPr>
          <w:b/>
          <w:bCs/>
          <w:rtl/>
        </w:rPr>
        <w:t xml:space="preserve"> </w:t>
      </w:r>
      <w:r w:rsidRPr="00183085">
        <w:rPr>
          <w:rFonts w:hint="eastAsia"/>
          <w:b/>
          <w:bCs/>
          <w:rtl/>
        </w:rPr>
        <w:t>ועיקר</w:t>
      </w:r>
      <w:r w:rsidRPr="00183085">
        <w:rPr>
          <w:b/>
          <w:bCs/>
          <w:rtl/>
        </w:rPr>
        <w:t xml:space="preserve"> תפקידי </w:t>
      </w:r>
      <w:r w:rsidRPr="00183085">
        <w:rPr>
          <w:rFonts w:hint="eastAsia"/>
          <w:b/>
          <w:bCs/>
          <w:rtl/>
        </w:rPr>
        <w:t>הרשות</w:t>
      </w:r>
      <w:r w:rsidRPr="00183085">
        <w:rPr>
          <w:b/>
          <w:bCs/>
          <w:rtl/>
        </w:rPr>
        <w:t xml:space="preserve"> </w:t>
      </w:r>
      <w:r w:rsidRPr="00183085">
        <w:rPr>
          <w:rFonts w:hint="eastAsia"/>
          <w:b/>
          <w:bCs/>
          <w:rtl/>
        </w:rPr>
        <w:t>של</w:t>
      </w:r>
      <w:r w:rsidRPr="00183085">
        <w:rPr>
          <w:b/>
          <w:bCs/>
          <w:rtl/>
        </w:rPr>
        <w:t xml:space="preserve"> </w:t>
      </w:r>
      <w:r w:rsidRPr="00183085">
        <w:rPr>
          <w:rFonts w:hint="eastAsia"/>
          <w:b/>
          <w:bCs/>
          <w:rtl/>
        </w:rPr>
        <w:t>הלשכה</w:t>
      </w:r>
    </w:p>
    <w:p w14:paraId="0755A848" w14:textId="77777777" w:rsidR="00387987" w:rsidRDefault="00387987" w:rsidP="00183085">
      <w:pPr>
        <w:pStyle w:val="a8"/>
        <w:rPr>
          <w:rtl/>
        </w:rPr>
      </w:pPr>
      <w:r w:rsidRPr="00C72413">
        <w:rPr>
          <w:noProof/>
          <w:rtl/>
        </w:rPr>
        <w:drawing>
          <wp:inline distT="0" distB="0" distL="0" distR="0" wp14:anchorId="7691E227" wp14:editId="776C0E2D">
            <wp:extent cx="3403748" cy="3323229"/>
            <wp:effectExtent l="0" t="0" r="6350" b="0"/>
            <wp:docPr id="24" name="תמונה 21" descr="F:\Gov Min\Agaf_16\דוחות 2019\לשכת עוד\לקראת פניה\תרשימים\אינפוגרפיקה\תפקידי הלשכ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65222" name="Picture 2" descr="F:\Gov Min\Agaf_16\דוחות 2019\לשכת עוד\לקראת פניה\תרשימים\אינפוגרפיקה\תפקידי הלשכה.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03748" cy="3323229"/>
                    </a:xfrm>
                    <a:prstGeom prst="rect">
                      <a:avLst/>
                    </a:prstGeom>
                    <a:noFill/>
                    <a:ln>
                      <a:noFill/>
                    </a:ln>
                  </pic:spPr>
                </pic:pic>
              </a:graphicData>
            </a:graphic>
          </wp:inline>
        </w:drawing>
      </w:r>
    </w:p>
    <w:p w14:paraId="7C257931" w14:textId="77777777" w:rsidR="00387987" w:rsidRPr="00E4158B" w:rsidRDefault="00387987" w:rsidP="00183085">
      <w:pPr>
        <w:pStyle w:val="aa"/>
        <w:rPr>
          <w:rtl/>
        </w:rPr>
      </w:pPr>
      <w:r>
        <w:rPr>
          <w:rFonts w:hint="cs"/>
          <w:rtl/>
        </w:rPr>
        <w:t>על פי</w:t>
      </w:r>
      <w:r w:rsidRPr="00E4158B">
        <w:rPr>
          <w:rtl/>
        </w:rPr>
        <w:t xml:space="preserve"> </w:t>
      </w:r>
      <w:r>
        <w:rPr>
          <w:rFonts w:hint="cs"/>
          <w:rtl/>
        </w:rPr>
        <w:t>חוק לשכת עורכי הדין</w:t>
      </w:r>
      <w:r w:rsidRPr="00E4158B">
        <w:rPr>
          <w:rtl/>
        </w:rPr>
        <w:t>.</w:t>
      </w:r>
    </w:p>
    <w:p w14:paraId="5F286938" w14:textId="04BA0E21" w:rsidR="00387987" w:rsidRDefault="00387987" w:rsidP="00183085">
      <w:pPr>
        <w:pStyle w:val="100"/>
        <w:jc w:val="left"/>
        <w:rPr>
          <w:rtl/>
        </w:rPr>
      </w:pPr>
      <w:r>
        <w:rPr>
          <w:rFonts w:hint="cs"/>
          <w:rtl/>
        </w:rPr>
        <w:lastRenderedPageBreak/>
        <w:t>במועד סיום הביקורת, באוגוסט 2019, היו רשומים בלשכת עורכי הדין כ-68,500 חברים</w:t>
      </w:r>
      <w:r>
        <w:rPr>
          <w:rStyle w:val="FootnoteReference"/>
          <w:rtl/>
        </w:rPr>
        <w:footnoteReference w:id="1"/>
      </w:r>
      <w:r>
        <w:rPr>
          <w:rFonts w:hint="cs"/>
          <w:rtl/>
        </w:rPr>
        <w:t>. להלן מספר עורכי הדין הרשומים בכל מחוז:</w:t>
      </w:r>
    </w:p>
    <w:p w14:paraId="5E084183" w14:textId="028367BB" w:rsidR="00387987" w:rsidRPr="00B678AC" w:rsidRDefault="00387987" w:rsidP="00183085">
      <w:pPr>
        <w:pStyle w:val="a8"/>
        <w:bidi w:val="0"/>
        <w:rPr>
          <w:rtl/>
        </w:rPr>
      </w:pPr>
      <w:r w:rsidRPr="00B678AC">
        <w:rPr>
          <w:rFonts w:hint="eastAsia"/>
          <w:rtl/>
        </w:rPr>
        <w:t>תרשים</w:t>
      </w:r>
      <w:r w:rsidRPr="00B678AC">
        <w:rPr>
          <w:rtl/>
        </w:rPr>
        <w:t xml:space="preserve"> </w:t>
      </w:r>
      <w:r>
        <w:rPr>
          <w:rFonts w:hint="cs"/>
          <w:rtl/>
        </w:rPr>
        <w:t>2</w:t>
      </w:r>
      <w:r w:rsidRPr="00B678AC">
        <w:rPr>
          <w:rtl/>
        </w:rPr>
        <w:t xml:space="preserve">: </w:t>
      </w:r>
      <w:r w:rsidRPr="00183085">
        <w:rPr>
          <w:b/>
          <w:bCs/>
          <w:rtl/>
        </w:rPr>
        <w:t xml:space="preserve">מספר עורכי הדין </w:t>
      </w:r>
      <w:r w:rsidRPr="00183085">
        <w:rPr>
          <w:rFonts w:hint="cs"/>
          <w:b/>
          <w:bCs/>
          <w:rtl/>
        </w:rPr>
        <w:t xml:space="preserve">החברים </w:t>
      </w:r>
      <w:r w:rsidRPr="00183085">
        <w:rPr>
          <w:rFonts w:hint="eastAsia"/>
          <w:b/>
          <w:bCs/>
          <w:rtl/>
        </w:rPr>
        <w:t>בלשכה</w:t>
      </w:r>
      <w:r w:rsidRPr="00183085">
        <w:rPr>
          <w:b/>
          <w:bCs/>
          <w:rtl/>
        </w:rPr>
        <w:t xml:space="preserve">, </w:t>
      </w:r>
      <w:r w:rsidRPr="00183085">
        <w:rPr>
          <w:rFonts w:hint="eastAsia"/>
          <w:b/>
          <w:bCs/>
          <w:rtl/>
        </w:rPr>
        <w:t>לפי</w:t>
      </w:r>
      <w:r w:rsidRPr="00183085">
        <w:rPr>
          <w:b/>
          <w:bCs/>
          <w:rtl/>
        </w:rPr>
        <w:t xml:space="preserve"> </w:t>
      </w:r>
      <w:r w:rsidRPr="00183085">
        <w:rPr>
          <w:rFonts w:hint="eastAsia"/>
          <w:b/>
          <w:bCs/>
          <w:rtl/>
        </w:rPr>
        <w:t>מחוזות</w:t>
      </w:r>
      <w:r w:rsidRPr="00183085">
        <w:rPr>
          <w:rFonts w:hint="cs"/>
          <w:b/>
          <w:bCs/>
          <w:rtl/>
        </w:rPr>
        <w:t>, אוגוסט 2019</w:t>
      </w:r>
    </w:p>
    <w:p w14:paraId="34170076" w14:textId="77777777" w:rsidR="00387987" w:rsidRDefault="00387987" w:rsidP="00183085">
      <w:pPr>
        <w:pStyle w:val="a8"/>
        <w:rPr>
          <w:rtl/>
        </w:rPr>
      </w:pPr>
      <w:r>
        <w:rPr>
          <w:noProof/>
        </w:rPr>
        <w:drawing>
          <wp:inline distT="0" distB="0" distL="0" distR="0" wp14:anchorId="2351A756" wp14:editId="056B463D">
            <wp:extent cx="4555634" cy="2734887"/>
            <wp:effectExtent l="0" t="0" r="0" b="8890"/>
            <wp:docPr id="2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87946"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55634" cy="2734887"/>
                    </a:xfrm>
                    <a:prstGeom prst="rect">
                      <a:avLst/>
                    </a:prstGeom>
                    <a:noFill/>
                  </pic:spPr>
                </pic:pic>
              </a:graphicData>
            </a:graphic>
          </wp:inline>
        </w:drawing>
      </w:r>
    </w:p>
    <w:p w14:paraId="71797D04" w14:textId="77777777" w:rsidR="00387987" w:rsidRPr="00986A62" w:rsidRDefault="00387987" w:rsidP="00183085">
      <w:pPr>
        <w:pStyle w:val="aa"/>
        <w:rPr>
          <w:rtl/>
        </w:rPr>
      </w:pPr>
      <w:r w:rsidRPr="00986A62">
        <w:rPr>
          <w:rtl/>
        </w:rPr>
        <w:t xml:space="preserve">על פי נתוני </w:t>
      </w:r>
      <w:r>
        <w:rPr>
          <w:rFonts w:hint="cs"/>
          <w:rtl/>
        </w:rPr>
        <w:t>הלשכה</w:t>
      </w:r>
      <w:r w:rsidRPr="00986A62">
        <w:rPr>
          <w:rtl/>
        </w:rPr>
        <w:t>.</w:t>
      </w:r>
    </w:p>
    <w:p w14:paraId="5537F379" w14:textId="77777777" w:rsidR="00183085" w:rsidRDefault="00183085" w:rsidP="00183085">
      <w:pPr>
        <w:pStyle w:val="100"/>
        <w:rPr>
          <w:rtl/>
        </w:rPr>
      </w:pPr>
    </w:p>
    <w:p w14:paraId="7D50FD31" w14:textId="080F7CEB" w:rsidR="00387987" w:rsidRDefault="00183085" w:rsidP="00183085">
      <w:pPr>
        <w:pStyle w:val="100"/>
        <w:rPr>
          <w:rtl/>
        </w:rPr>
      </w:pPr>
      <w:r>
        <w:rPr>
          <w:rFonts w:hint="cs"/>
          <w:rtl/>
        </w:rPr>
        <w:t>ב</w:t>
      </w:r>
      <w:r w:rsidR="00387987">
        <w:rPr>
          <w:rFonts w:hint="cs"/>
          <w:rtl/>
        </w:rPr>
        <w:t xml:space="preserve">ין השנים 2013 ל-2019 הוסמכו 21,456 עורכי דין. להלן בתרשים מספר עורכי הדין שהוסמכו בכל אחת מהשנים 2013 - 2019: </w:t>
      </w:r>
    </w:p>
    <w:p w14:paraId="663753D5" w14:textId="77777777" w:rsidR="00387987" w:rsidRPr="00183085" w:rsidRDefault="00387987" w:rsidP="00183085">
      <w:pPr>
        <w:pStyle w:val="a8"/>
        <w:rPr>
          <w:b/>
          <w:bCs/>
          <w:rtl/>
        </w:rPr>
      </w:pPr>
      <w:r w:rsidRPr="00E4158B">
        <w:rPr>
          <w:rFonts w:hint="eastAsia"/>
          <w:rtl/>
        </w:rPr>
        <w:t>תרשים</w:t>
      </w:r>
      <w:r w:rsidRPr="00E4158B">
        <w:rPr>
          <w:rtl/>
        </w:rPr>
        <w:t xml:space="preserve"> </w:t>
      </w:r>
      <w:r>
        <w:rPr>
          <w:rFonts w:hint="cs"/>
          <w:rtl/>
        </w:rPr>
        <w:t>3</w:t>
      </w:r>
      <w:r w:rsidRPr="00E4158B">
        <w:rPr>
          <w:rtl/>
        </w:rPr>
        <w:t xml:space="preserve">: </w:t>
      </w:r>
      <w:r w:rsidRPr="00183085">
        <w:rPr>
          <w:rFonts w:hint="eastAsia"/>
          <w:b/>
          <w:bCs/>
          <w:rtl/>
        </w:rPr>
        <w:t>מספר</w:t>
      </w:r>
      <w:r w:rsidRPr="00183085">
        <w:rPr>
          <w:b/>
          <w:bCs/>
          <w:rtl/>
        </w:rPr>
        <w:t xml:space="preserve"> </w:t>
      </w:r>
      <w:r w:rsidRPr="00183085">
        <w:rPr>
          <w:rFonts w:hint="eastAsia"/>
          <w:b/>
          <w:bCs/>
          <w:rtl/>
        </w:rPr>
        <w:t>עורכי</w:t>
      </w:r>
      <w:r w:rsidRPr="00183085">
        <w:rPr>
          <w:b/>
          <w:bCs/>
          <w:rtl/>
        </w:rPr>
        <w:t xml:space="preserve"> </w:t>
      </w:r>
      <w:r w:rsidRPr="00183085">
        <w:rPr>
          <w:rFonts w:hint="eastAsia"/>
          <w:b/>
          <w:bCs/>
          <w:rtl/>
        </w:rPr>
        <w:t>הדין</w:t>
      </w:r>
      <w:r w:rsidRPr="00183085">
        <w:rPr>
          <w:b/>
          <w:bCs/>
          <w:rtl/>
        </w:rPr>
        <w:t xml:space="preserve"> </w:t>
      </w:r>
      <w:r w:rsidRPr="00183085">
        <w:rPr>
          <w:rFonts w:hint="eastAsia"/>
          <w:b/>
          <w:bCs/>
          <w:rtl/>
        </w:rPr>
        <w:t>שהוסמכו</w:t>
      </w:r>
      <w:r w:rsidRPr="00183085">
        <w:rPr>
          <w:b/>
          <w:bCs/>
          <w:rtl/>
        </w:rPr>
        <w:t xml:space="preserve"> </w:t>
      </w:r>
      <w:r w:rsidRPr="00183085">
        <w:rPr>
          <w:rFonts w:hint="eastAsia"/>
          <w:b/>
          <w:bCs/>
          <w:rtl/>
        </w:rPr>
        <w:t>בשנים</w:t>
      </w:r>
      <w:r w:rsidRPr="00183085">
        <w:rPr>
          <w:b/>
          <w:bCs/>
          <w:rtl/>
        </w:rPr>
        <w:t xml:space="preserve"> 2013 - 2019 </w:t>
      </w:r>
    </w:p>
    <w:p w14:paraId="73980B4F" w14:textId="77777777" w:rsidR="00387987" w:rsidRDefault="00387987" w:rsidP="00387987">
      <w:pPr>
        <w:spacing w:line="269" w:lineRule="auto"/>
        <w:ind w:left="312"/>
        <w:rPr>
          <w:rtl/>
        </w:rPr>
      </w:pPr>
      <w:r>
        <w:rPr>
          <w:noProof/>
        </w:rPr>
        <w:drawing>
          <wp:inline distT="0" distB="0" distL="0" distR="0" wp14:anchorId="5DAE8F8A" wp14:editId="0CC57D26">
            <wp:extent cx="4712335" cy="2018030"/>
            <wp:effectExtent l="0" t="0" r="0" b="1270"/>
            <wp:docPr id="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94201"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12335" cy="2018030"/>
                    </a:xfrm>
                    <a:prstGeom prst="rect">
                      <a:avLst/>
                    </a:prstGeom>
                    <a:noFill/>
                  </pic:spPr>
                </pic:pic>
              </a:graphicData>
            </a:graphic>
          </wp:inline>
        </w:drawing>
      </w:r>
    </w:p>
    <w:p w14:paraId="2AF6DC59" w14:textId="77777777" w:rsidR="00387987" w:rsidRPr="00B678AC" w:rsidRDefault="00387987" w:rsidP="00183085">
      <w:pPr>
        <w:pStyle w:val="aa"/>
        <w:rPr>
          <w:rtl/>
        </w:rPr>
      </w:pPr>
      <w:r w:rsidRPr="00B678AC">
        <w:rPr>
          <w:rFonts w:hint="eastAsia"/>
          <w:rtl/>
        </w:rPr>
        <w:t>על</w:t>
      </w:r>
      <w:r w:rsidRPr="00B678AC">
        <w:rPr>
          <w:rtl/>
        </w:rPr>
        <w:t xml:space="preserve"> פי נתוני הלשכה </w:t>
      </w:r>
      <w:r w:rsidRPr="00B678AC">
        <w:rPr>
          <w:rFonts w:hint="eastAsia"/>
          <w:rtl/>
        </w:rPr>
        <w:t>מספטמבר</w:t>
      </w:r>
      <w:r w:rsidRPr="00B678AC">
        <w:rPr>
          <w:rtl/>
        </w:rPr>
        <w:t xml:space="preserve"> 2019.</w:t>
      </w:r>
    </w:p>
    <w:p w14:paraId="73917CB6" w14:textId="77777777" w:rsidR="00387987" w:rsidRDefault="00387987" w:rsidP="006E42E4">
      <w:pPr>
        <w:pStyle w:val="a1"/>
      </w:pPr>
      <w:r w:rsidRPr="00464279">
        <w:rPr>
          <w:rtl/>
        </w:rPr>
        <w:lastRenderedPageBreak/>
        <w:t xml:space="preserve">הלשכה היא תאגיד כשר לכל חובה, זכות ופעולה משפטית. </w:t>
      </w:r>
      <w:r>
        <w:rPr>
          <w:rFonts w:hint="cs"/>
          <w:rtl/>
        </w:rPr>
        <w:t>כתאגיד סטטוטורי היא משמשת</w:t>
      </w:r>
      <w:r w:rsidRPr="00951556">
        <w:rPr>
          <w:rtl/>
        </w:rPr>
        <w:t xml:space="preserve"> מעין זרוע ביצוע של המדינה לניהול פעילות, לפיקוח ולהסדרה של תחום הנתון לאחריות הממשלה. לתאגידים </w:t>
      </w:r>
      <w:r>
        <w:rPr>
          <w:rFonts w:hint="cs"/>
          <w:rtl/>
        </w:rPr>
        <w:t>הסטטוטוריים</w:t>
      </w:r>
      <w:r w:rsidRPr="00951556">
        <w:rPr>
          <w:rtl/>
        </w:rPr>
        <w:t xml:space="preserve"> מוקנות גמישות ועצמאות ניהולית, הבאות לידי ביטוי בין היתר באוטונומיה של מוסדותיהם ובסמכותם לנהל בעצמם את פעילותם השוטפת ואת תקציבם</w:t>
      </w:r>
      <w:r>
        <w:rPr>
          <w:rStyle w:val="FootnoteReference"/>
          <w:rtl/>
        </w:rPr>
        <w:footnoteReference w:id="2"/>
      </w:r>
      <w:r w:rsidRPr="00951556">
        <w:rPr>
          <w:rtl/>
        </w:rPr>
        <w:t>.</w:t>
      </w:r>
    </w:p>
    <w:p w14:paraId="199D8B4D" w14:textId="77777777" w:rsidR="00387987" w:rsidRDefault="00387987" w:rsidP="006E42E4">
      <w:pPr>
        <w:pStyle w:val="af2"/>
        <w:rPr>
          <w:rtl/>
        </w:rPr>
      </w:pPr>
      <w:r>
        <w:rPr>
          <w:rFonts w:hint="cs"/>
          <w:rtl/>
        </w:rPr>
        <w:t>החוק הקנה ללשכה עצמאות כמעט מלאה בכל תחומי פעילותה והטיל חובה על כלל עורכי הדין להשתייך אליה - חובה זו אינה קיימת במקצועות אחרים בישראל, והיא נועדה להעלות את רמת המקצוע ולחזק את אמון הציבור בעורכי הדין</w:t>
      </w:r>
      <w:r>
        <w:rPr>
          <w:rStyle w:val="FootnoteReference"/>
          <w:rtl/>
        </w:rPr>
        <w:footnoteReference w:id="3"/>
      </w:r>
      <w:r>
        <w:rPr>
          <w:rFonts w:hint="cs"/>
          <w:rtl/>
        </w:rPr>
        <w:t xml:space="preserve">. </w:t>
      </w:r>
    </w:p>
    <w:p w14:paraId="3061D5E3" w14:textId="77777777" w:rsidR="00387987" w:rsidRDefault="00387987" w:rsidP="006E42E4">
      <w:pPr>
        <w:pStyle w:val="a1"/>
        <w:rPr>
          <w:rtl/>
        </w:rPr>
      </w:pPr>
      <w:r>
        <w:rPr>
          <w:rFonts w:hint="cs"/>
          <w:rtl/>
        </w:rPr>
        <w:t xml:space="preserve">בעבר כללו מוסדות הלשכה את </w:t>
      </w:r>
      <w:r>
        <w:rPr>
          <w:rtl/>
        </w:rPr>
        <w:t xml:space="preserve">ראש הלשכה, המועצה הארצית, </w:t>
      </w:r>
      <w:r>
        <w:rPr>
          <w:rFonts w:hint="cs"/>
          <w:rtl/>
        </w:rPr>
        <w:t xml:space="preserve">הוועד המרכזי, חמישה </w:t>
      </w:r>
      <w:r>
        <w:rPr>
          <w:rtl/>
        </w:rPr>
        <w:t>ועדים מחוזיים (ירושלים, תל אביב, חיפה, דרום</w:t>
      </w:r>
      <w:r>
        <w:rPr>
          <w:rFonts w:hint="cs"/>
          <w:rtl/>
        </w:rPr>
        <w:t xml:space="preserve">, </w:t>
      </w:r>
      <w:r>
        <w:rPr>
          <w:rtl/>
        </w:rPr>
        <w:t xml:space="preserve">צפון), בית הדין המשמעתי הארצי, בתי </w:t>
      </w:r>
      <w:r>
        <w:rPr>
          <w:rFonts w:hint="cs"/>
          <w:rtl/>
        </w:rPr>
        <w:t>ה</w:t>
      </w:r>
      <w:r>
        <w:rPr>
          <w:rtl/>
        </w:rPr>
        <w:t xml:space="preserve">דין </w:t>
      </w:r>
      <w:r>
        <w:rPr>
          <w:rFonts w:hint="cs"/>
          <w:rtl/>
        </w:rPr>
        <w:t>ה</w:t>
      </w:r>
      <w:r>
        <w:rPr>
          <w:rtl/>
        </w:rPr>
        <w:t xml:space="preserve">משמעתיים </w:t>
      </w:r>
      <w:r>
        <w:rPr>
          <w:rFonts w:hint="cs"/>
          <w:rtl/>
        </w:rPr>
        <w:t>ה</w:t>
      </w:r>
      <w:r>
        <w:rPr>
          <w:rtl/>
        </w:rPr>
        <w:t xml:space="preserve">מחוזיים, ועדת </w:t>
      </w:r>
      <w:r>
        <w:rPr>
          <w:rFonts w:hint="cs"/>
          <w:rtl/>
        </w:rPr>
        <w:t>ה</w:t>
      </w:r>
      <w:r>
        <w:rPr>
          <w:rtl/>
        </w:rPr>
        <w:t xml:space="preserve">אתיקה </w:t>
      </w:r>
      <w:r>
        <w:rPr>
          <w:rFonts w:hint="cs"/>
          <w:rtl/>
        </w:rPr>
        <w:t>ה</w:t>
      </w:r>
      <w:r>
        <w:rPr>
          <w:rtl/>
        </w:rPr>
        <w:t>ארצית</w:t>
      </w:r>
      <w:r>
        <w:rPr>
          <w:rFonts w:hint="cs"/>
          <w:rtl/>
        </w:rPr>
        <w:t xml:space="preserve"> ו</w:t>
      </w:r>
      <w:r>
        <w:rPr>
          <w:rtl/>
        </w:rPr>
        <w:t xml:space="preserve">ועדות </w:t>
      </w:r>
      <w:r>
        <w:rPr>
          <w:rFonts w:hint="cs"/>
          <w:rtl/>
        </w:rPr>
        <w:t>ה</w:t>
      </w:r>
      <w:r>
        <w:rPr>
          <w:rtl/>
        </w:rPr>
        <w:t xml:space="preserve">אתיקה </w:t>
      </w:r>
      <w:r>
        <w:rPr>
          <w:rFonts w:hint="cs"/>
          <w:rtl/>
        </w:rPr>
        <w:t>ה</w:t>
      </w:r>
      <w:r>
        <w:rPr>
          <w:rtl/>
        </w:rPr>
        <w:t xml:space="preserve">מחוזיות. ראש הלשכה והמועצה הארצית נבחרים בידי כל </w:t>
      </w:r>
      <w:r>
        <w:rPr>
          <w:rFonts w:hint="cs"/>
          <w:rtl/>
        </w:rPr>
        <w:t>חברי הלשכה בארץ</w:t>
      </w:r>
      <w:r>
        <w:rPr>
          <w:rtl/>
        </w:rPr>
        <w:t xml:space="preserve">, וכל ועד מחוזי נבחר בידי </w:t>
      </w:r>
      <w:r>
        <w:rPr>
          <w:rFonts w:hint="cs"/>
          <w:rtl/>
        </w:rPr>
        <w:t>חברי הלשכה</w:t>
      </w:r>
      <w:r>
        <w:rPr>
          <w:rtl/>
        </w:rPr>
        <w:t xml:space="preserve"> במחוז</w:t>
      </w:r>
      <w:r>
        <w:rPr>
          <w:rFonts w:hint="cs"/>
          <w:rtl/>
        </w:rPr>
        <w:t>ו</w:t>
      </w:r>
      <w:r>
        <w:rPr>
          <w:rtl/>
        </w:rPr>
        <w:t xml:space="preserve">. </w:t>
      </w:r>
      <w:r w:rsidRPr="00C02433">
        <w:rPr>
          <w:rtl/>
        </w:rPr>
        <w:t>הוועד המרכזי נבחר בידי המועצה הארצית מ</w:t>
      </w:r>
      <w:r>
        <w:rPr>
          <w:rFonts w:hint="cs"/>
          <w:rtl/>
        </w:rPr>
        <w:t>תוך</w:t>
      </w:r>
      <w:r w:rsidRPr="00C02433">
        <w:rPr>
          <w:rtl/>
        </w:rPr>
        <w:t xml:space="preserve"> חבריה.</w:t>
      </w:r>
      <w:r>
        <w:rPr>
          <w:rFonts w:hint="cs"/>
          <w:rtl/>
        </w:rPr>
        <w:t xml:space="preserve"> הנציגים הנבחרים למוסדות הלשכה אינם מקבלים שכר בעד מילוי תפקידם.</w:t>
      </w:r>
    </w:p>
    <w:p w14:paraId="0EF6E99C" w14:textId="77777777" w:rsidR="00387987" w:rsidRDefault="00387987" w:rsidP="006E42E4">
      <w:pPr>
        <w:pStyle w:val="af2"/>
        <w:rPr>
          <w:rtl/>
        </w:rPr>
      </w:pPr>
      <w:r>
        <w:rPr>
          <w:rFonts w:hint="cs"/>
          <w:rtl/>
        </w:rPr>
        <w:t>בפברואר 2013, על רקע משבר חריף בתפקודה של הלשכה ומאבקי כוחות בין הוועד המרכזי למחוזות הלשכה, מינה שר המשפטים דאז ועדה ציבורית</w:t>
      </w:r>
      <w:r>
        <w:rPr>
          <w:rStyle w:val="FootnoteReference"/>
          <w:rtl/>
        </w:rPr>
        <w:footnoteReference w:id="4"/>
      </w:r>
      <w:r>
        <w:rPr>
          <w:rFonts w:hint="cs"/>
          <w:rtl/>
        </w:rPr>
        <w:t xml:space="preserve"> לבחון את תפקוד הלשכה ואת ההסדרים שלפיהם היא פועלת (להלן - הוועדה הציבורית או הוועדה). הוועדה פרסמה את המלצותיה בדצמבר 2013.</w:t>
      </w:r>
    </w:p>
    <w:p w14:paraId="3543BEBE" w14:textId="77777777" w:rsidR="00387987" w:rsidRDefault="00387987" w:rsidP="006E42E4">
      <w:pPr>
        <w:pStyle w:val="af2"/>
        <w:rPr>
          <w:rtl/>
        </w:rPr>
      </w:pPr>
      <w:r>
        <w:rPr>
          <w:rFonts w:hint="cs"/>
          <w:rtl/>
        </w:rPr>
        <w:t xml:space="preserve">חלק מהמלצות הוועדה יושמו במסגרת </w:t>
      </w:r>
      <w:r w:rsidRPr="00FA5716">
        <w:rPr>
          <w:rtl/>
        </w:rPr>
        <w:t>חוק לשכת עורכי הדין (תיקון מס' 38), התשע"ו-2016</w:t>
      </w:r>
      <w:r>
        <w:rPr>
          <w:rStyle w:val="FootnoteReference"/>
          <w:rtl/>
        </w:rPr>
        <w:footnoteReference w:id="5"/>
      </w:r>
      <w:r>
        <w:rPr>
          <w:rFonts w:hint="cs"/>
          <w:rtl/>
        </w:rPr>
        <w:t xml:space="preserve"> (להלן - תיקון 38 לחוק). במסגרת התיקון בוטל הוועד המרכזי</w:t>
      </w:r>
      <w:r>
        <w:rPr>
          <w:rStyle w:val="FootnoteReference"/>
          <w:rtl/>
        </w:rPr>
        <w:footnoteReference w:id="6"/>
      </w:r>
      <w:r>
        <w:rPr>
          <w:rFonts w:hint="cs"/>
          <w:rtl/>
        </w:rPr>
        <w:t>, הוגדרו סמכויות המועצה הארצית, הוכפפו הוועדים המחוזיים למועצה הארצית ונקבעו סמכויותיהם, הוסדרו תפקידי המנכ"ל, רואה החשבון המבקר, היועץ המשפטי והמבקר הפנימי, נקבעו כללים בנוגע לתקציב הלשכה, נקבעה החובה להקים ועדת ביקורת, נוסף מחוז מרכז</w:t>
      </w:r>
      <w:r>
        <w:rPr>
          <w:rStyle w:val="FootnoteReference"/>
          <w:rtl/>
        </w:rPr>
        <w:footnoteReference w:id="7"/>
      </w:r>
      <w:r>
        <w:rPr>
          <w:rFonts w:hint="cs"/>
          <w:rtl/>
        </w:rPr>
        <w:t xml:space="preserve"> על חמשת מחוזות הלשכה ועוד. </w:t>
      </w:r>
    </w:p>
    <w:p w14:paraId="3096E1B2" w14:textId="77777777" w:rsidR="00387987" w:rsidRDefault="00387987" w:rsidP="006E42E4">
      <w:pPr>
        <w:pStyle w:val="af2"/>
        <w:rPr>
          <w:rtl/>
        </w:rPr>
      </w:pPr>
      <w:r>
        <w:rPr>
          <w:rFonts w:hint="cs"/>
          <w:rtl/>
        </w:rPr>
        <w:t>אשר לחלק מן התיקונים, ובכלל זה ביטול הוועד המרכזי והקמת מחוז מרכז, נקבע כי תחולתם תהיה מיום שייערכו הבחירות הראשונות שלאחר תיקון החוק, אשר התקיימו ביוני 2019.</w:t>
      </w:r>
      <w:r w:rsidRPr="00B925E2">
        <w:rPr>
          <w:rFonts w:hint="cs"/>
          <w:rtl/>
        </w:rPr>
        <w:t xml:space="preserve"> </w:t>
      </w:r>
      <w:r>
        <w:rPr>
          <w:rFonts w:hint="cs"/>
          <w:rtl/>
        </w:rPr>
        <w:t>להלן בתרשים המבנה העדכני של לשכת עורכי הדין:</w:t>
      </w:r>
    </w:p>
    <w:p w14:paraId="275D2B28" w14:textId="77777777" w:rsidR="00387987" w:rsidRDefault="00387987" w:rsidP="00387987">
      <w:pPr>
        <w:spacing w:line="269" w:lineRule="auto"/>
        <w:jc w:val="center"/>
        <w:rPr>
          <w:b/>
          <w:bCs/>
          <w:sz w:val="24"/>
          <w:rtl/>
        </w:rPr>
      </w:pPr>
    </w:p>
    <w:p w14:paraId="7F31D3FD" w14:textId="25930FB7" w:rsidR="00387987" w:rsidRPr="006435C6" w:rsidRDefault="00387987" w:rsidP="003929A4">
      <w:pPr>
        <w:pStyle w:val="a8"/>
        <w:bidi w:val="0"/>
        <w:rPr>
          <w:rtl/>
        </w:rPr>
      </w:pPr>
      <w:r>
        <w:rPr>
          <w:rtl/>
        </w:rPr>
        <w:br w:type="page"/>
      </w:r>
      <w:r w:rsidRPr="00B678AC">
        <w:rPr>
          <w:rFonts w:hint="eastAsia"/>
          <w:rtl/>
        </w:rPr>
        <w:lastRenderedPageBreak/>
        <w:t>תרשים</w:t>
      </w:r>
      <w:r w:rsidRPr="00B678AC">
        <w:rPr>
          <w:rtl/>
        </w:rPr>
        <w:t xml:space="preserve"> 4</w:t>
      </w:r>
      <w:r w:rsidRPr="003929A4">
        <w:rPr>
          <w:b/>
          <w:bCs/>
          <w:rtl/>
        </w:rPr>
        <w:t xml:space="preserve">: </w:t>
      </w:r>
      <w:r w:rsidRPr="003929A4">
        <w:rPr>
          <w:rFonts w:hint="eastAsia"/>
          <w:b/>
          <w:bCs/>
          <w:rtl/>
        </w:rPr>
        <w:t>מבנה</w:t>
      </w:r>
      <w:r w:rsidRPr="003929A4">
        <w:rPr>
          <w:b/>
          <w:bCs/>
          <w:rtl/>
        </w:rPr>
        <w:t xml:space="preserve"> </w:t>
      </w:r>
      <w:r w:rsidRPr="003929A4">
        <w:rPr>
          <w:rFonts w:hint="eastAsia"/>
          <w:b/>
          <w:bCs/>
          <w:rtl/>
        </w:rPr>
        <w:t>לשכת</w:t>
      </w:r>
      <w:r w:rsidRPr="003929A4">
        <w:rPr>
          <w:b/>
          <w:bCs/>
          <w:rtl/>
        </w:rPr>
        <w:t xml:space="preserve"> </w:t>
      </w:r>
      <w:r w:rsidRPr="003929A4">
        <w:rPr>
          <w:rFonts w:hint="eastAsia"/>
          <w:b/>
          <w:bCs/>
          <w:rtl/>
        </w:rPr>
        <w:t>עורכי</w:t>
      </w:r>
      <w:r w:rsidRPr="003929A4">
        <w:rPr>
          <w:b/>
          <w:bCs/>
          <w:rtl/>
        </w:rPr>
        <w:t xml:space="preserve"> </w:t>
      </w:r>
      <w:r w:rsidRPr="003929A4">
        <w:rPr>
          <w:rFonts w:hint="eastAsia"/>
          <w:b/>
          <w:bCs/>
          <w:rtl/>
        </w:rPr>
        <w:t>הדין</w:t>
      </w:r>
    </w:p>
    <w:p w14:paraId="2AC6113D" w14:textId="1D8D92EF" w:rsidR="00DB6E76" w:rsidRDefault="0085795B" w:rsidP="003929A4">
      <w:pPr>
        <w:pStyle w:val="aa"/>
        <w:rPr>
          <w:rtl/>
        </w:rPr>
      </w:pPr>
      <w:r>
        <w:rPr>
          <w:noProof/>
        </w:rPr>
        <w:drawing>
          <wp:inline distT="0" distB="0" distL="0" distR="0" wp14:anchorId="10AAB7ED" wp14:editId="51724A36">
            <wp:extent cx="4773572" cy="30575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8805" cy="3060877"/>
                    </a:xfrm>
                    <a:prstGeom prst="rect">
                      <a:avLst/>
                    </a:prstGeom>
                    <a:noFill/>
                    <a:ln>
                      <a:noFill/>
                    </a:ln>
                  </pic:spPr>
                </pic:pic>
              </a:graphicData>
            </a:graphic>
          </wp:inline>
        </w:drawing>
      </w:r>
    </w:p>
    <w:p w14:paraId="359E7FA8" w14:textId="165A8C53" w:rsidR="00387987" w:rsidRDefault="00387987" w:rsidP="003929A4">
      <w:pPr>
        <w:pStyle w:val="aa"/>
        <w:rPr>
          <w:rtl/>
        </w:rPr>
      </w:pPr>
      <w:r>
        <w:rPr>
          <w:rFonts w:hint="cs"/>
          <w:rtl/>
        </w:rPr>
        <w:t>על פי</w:t>
      </w:r>
      <w:r w:rsidRPr="006435C6">
        <w:rPr>
          <w:rtl/>
        </w:rPr>
        <w:t xml:space="preserve"> חוק</w:t>
      </w:r>
      <w:r>
        <w:rPr>
          <w:rFonts w:hint="cs"/>
          <w:rtl/>
        </w:rPr>
        <w:t xml:space="preserve"> לשכת עורכי הדין, בעיבוד משרד מבקר המדינה</w:t>
      </w:r>
      <w:r w:rsidRPr="006435C6">
        <w:rPr>
          <w:rtl/>
        </w:rPr>
        <w:t>.</w:t>
      </w:r>
    </w:p>
    <w:p w14:paraId="1C94157E" w14:textId="77777777" w:rsidR="00387987" w:rsidRDefault="00387987" w:rsidP="003929A4">
      <w:pPr>
        <w:pStyle w:val="aa"/>
        <w:rPr>
          <w:rtl/>
        </w:rPr>
      </w:pPr>
      <w:r>
        <w:rPr>
          <w:rFonts w:hint="cs"/>
          <w:rtl/>
        </w:rPr>
        <w:t>מוסדות הלשכה מסומנים באפור, גופים ובעלי תפקידים סטטוטוריים בירוק ומנגנון הלשכה באדום.</w:t>
      </w:r>
    </w:p>
    <w:p w14:paraId="780944DB" w14:textId="32E5829C" w:rsidR="00387987" w:rsidRDefault="00387987" w:rsidP="003929A4">
      <w:pPr>
        <w:pStyle w:val="aa"/>
        <w:rPr>
          <w:rtl/>
        </w:rPr>
      </w:pPr>
      <w:r>
        <w:rPr>
          <w:rFonts w:hint="cs"/>
          <w:rtl/>
        </w:rPr>
        <w:t>* נכון למועד סיום הביקורת טרם הוקם במחוז מרכז בית דין משמעתי. ועדת האתיקה הוקמה בתחילת שנת 2020.</w:t>
      </w:r>
    </w:p>
    <w:p w14:paraId="29D06AEC" w14:textId="77777777" w:rsidR="003929A4" w:rsidRDefault="003929A4" w:rsidP="003929A4">
      <w:pPr>
        <w:pStyle w:val="100"/>
        <w:rPr>
          <w:rtl/>
        </w:rPr>
      </w:pPr>
    </w:p>
    <w:p w14:paraId="1B800DE1" w14:textId="77777777" w:rsidR="00387987" w:rsidRDefault="00387987" w:rsidP="003929A4">
      <w:pPr>
        <w:pStyle w:val="a1"/>
        <w:rPr>
          <w:rtl/>
        </w:rPr>
      </w:pPr>
      <w:r>
        <w:rPr>
          <w:rFonts w:hint="cs"/>
          <w:rtl/>
        </w:rPr>
        <w:t>בשנת 1995 הקימה הלשכה</w:t>
      </w:r>
      <w:r>
        <w:rPr>
          <w:rtl/>
        </w:rPr>
        <w:t xml:space="preserve"> </w:t>
      </w:r>
      <w:r>
        <w:rPr>
          <w:rFonts w:hint="cs"/>
          <w:rtl/>
        </w:rPr>
        <w:t xml:space="preserve">חברת בת - החברה הכלכלית של לשכת עורכי הדין (להלן - החברה הכלכלית) במטרה לקדם ולעודד מטרות ציבוריות במסגרת מערכת המשפט, למען שלטון החוק וזכויות האזרח וחינוך לערכי משפט תוך קידום הידע המשפטי. החברה </w:t>
      </w:r>
      <w:r>
        <w:rPr>
          <w:rtl/>
        </w:rPr>
        <w:t>מקיימת קורסי הכנה לבחינות ההסמכה של לשכת עורכי הדין</w:t>
      </w:r>
      <w:r>
        <w:rPr>
          <w:rFonts w:hint="cs"/>
          <w:rtl/>
        </w:rPr>
        <w:t>, מוציאה לאור ספרות משפטית ועוד.</w:t>
      </w:r>
      <w:r>
        <w:rPr>
          <w:rtl/>
        </w:rPr>
        <w:t xml:space="preserve"> </w:t>
      </w:r>
    </w:p>
    <w:p w14:paraId="3777CFCB" w14:textId="77777777" w:rsidR="00387987" w:rsidRDefault="00387987" w:rsidP="003929A4">
      <w:pPr>
        <w:pStyle w:val="316"/>
        <w:rPr>
          <w:rtl/>
        </w:rPr>
      </w:pPr>
      <w:r>
        <w:rPr>
          <w:rFonts w:hint="cs"/>
          <w:rtl/>
        </w:rPr>
        <w:t>פעולות הביקורת</w:t>
      </w:r>
    </w:p>
    <w:p w14:paraId="577C89FC" w14:textId="77777777" w:rsidR="00387987" w:rsidRDefault="00387987" w:rsidP="003929A4">
      <w:pPr>
        <w:pStyle w:val="100"/>
        <w:rPr>
          <w:rtl/>
        </w:rPr>
      </w:pPr>
      <w:r>
        <w:rPr>
          <w:rtl/>
        </w:rPr>
        <w:t xml:space="preserve">בחודשים </w:t>
      </w:r>
      <w:r>
        <w:rPr>
          <w:rFonts w:hint="cs"/>
          <w:rtl/>
        </w:rPr>
        <w:t xml:space="preserve">מרץ </w:t>
      </w:r>
      <w:r>
        <w:rPr>
          <w:rtl/>
        </w:rPr>
        <w:t>-</w:t>
      </w:r>
      <w:r>
        <w:rPr>
          <w:rFonts w:hint="cs"/>
          <w:rtl/>
        </w:rPr>
        <w:t xml:space="preserve"> אוגוסט 2019</w:t>
      </w:r>
      <w:r>
        <w:rPr>
          <w:rtl/>
        </w:rPr>
        <w:t xml:space="preserve"> בדק משרד מבקר המדינה </w:t>
      </w:r>
      <w:r>
        <w:rPr>
          <w:rFonts w:hint="cs"/>
          <w:rtl/>
        </w:rPr>
        <w:t xml:space="preserve">את פעילות לשכת עורכי הדין בישראל בתחומים האלו: תכנון ותוכניות עבודה, מערך הפיקוח על ההתמחות, מערך האתיקה והדין המשמעתי, הסדרה וטיפול במקרים של חשש לניגוד עניינים, מערך ביקורת הפנים והיבטים בעבודת החברה הכלכלית. </w:t>
      </w:r>
      <w:r>
        <w:rPr>
          <w:rtl/>
        </w:rPr>
        <w:t xml:space="preserve">הבדיקה נעשתה </w:t>
      </w:r>
      <w:r>
        <w:rPr>
          <w:rFonts w:hint="cs"/>
          <w:rtl/>
        </w:rPr>
        <w:t xml:space="preserve">במוסדות הלשכה: במועצה הארצית, </w:t>
      </w:r>
      <w:r>
        <w:rPr>
          <w:rtl/>
        </w:rPr>
        <w:t xml:space="preserve">בוועד המרכזי, </w:t>
      </w:r>
      <w:r>
        <w:rPr>
          <w:rFonts w:hint="cs"/>
          <w:rtl/>
        </w:rPr>
        <w:t>במנגנון המינהלי ו</w:t>
      </w:r>
      <w:r>
        <w:rPr>
          <w:rtl/>
        </w:rPr>
        <w:t xml:space="preserve">בוועדים המחוזיים </w:t>
      </w:r>
      <w:r>
        <w:rPr>
          <w:rFonts w:hint="cs"/>
          <w:rtl/>
        </w:rPr>
        <w:t>וכן בחברה הכלכלית. בדיקות השלמה נעשו במשרד המשפטים ובמשטרת ישראל. דוחות ביקורת קודמים פורסמו בשנים 1984, 1999 ו-2011</w:t>
      </w:r>
      <w:r>
        <w:rPr>
          <w:rStyle w:val="FootnoteReference"/>
          <w:rtl/>
        </w:rPr>
        <w:footnoteReference w:id="8"/>
      </w:r>
      <w:r>
        <w:rPr>
          <w:rFonts w:hint="cs"/>
          <w:rtl/>
        </w:rPr>
        <w:t>.</w:t>
      </w:r>
    </w:p>
    <w:p w14:paraId="23103F8E" w14:textId="77777777" w:rsidR="00387987" w:rsidRDefault="00387987" w:rsidP="00411671">
      <w:pPr>
        <w:pStyle w:val="218"/>
        <w:rPr>
          <w:rtl/>
        </w:rPr>
      </w:pPr>
      <w:bookmarkStart w:id="1" w:name="_Toc23155578"/>
      <w:bookmarkStart w:id="2" w:name="_Toc23159777"/>
      <w:r>
        <w:rPr>
          <w:rFonts w:hint="cs"/>
          <w:rtl/>
        </w:rPr>
        <w:lastRenderedPageBreak/>
        <w:t>תקציב ותוכניות עבודה</w:t>
      </w:r>
      <w:bookmarkEnd w:id="1"/>
      <w:bookmarkEnd w:id="2"/>
      <w:r>
        <w:rPr>
          <w:rFonts w:hint="cs"/>
          <w:rtl/>
        </w:rPr>
        <w:t xml:space="preserve"> </w:t>
      </w:r>
    </w:p>
    <w:p w14:paraId="0D93E7F2" w14:textId="7A7865F2" w:rsidR="00387987" w:rsidRDefault="00387987" w:rsidP="00411671">
      <w:pPr>
        <w:pStyle w:val="100"/>
      </w:pPr>
      <w:r w:rsidRPr="000B0849">
        <w:rPr>
          <w:rFonts w:hint="eastAsia"/>
          <w:rtl/>
        </w:rPr>
        <w:t>חוק</w:t>
      </w:r>
      <w:r w:rsidRPr="000B0849">
        <w:rPr>
          <w:rtl/>
        </w:rPr>
        <w:t xml:space="preserve"> </w:t>
      </w:r>
      <w:r w:rsidRPr="000B0849">
        <w:rPr>
          <w:rFonts w:hint="eastAsia"/>
          <w:rtl/>
        </w:rPr>
        <w:t>לשכת</w:t>
      </w:r>
      <w:r w:rsidRPr="000B0849">
        <w:rPr>
          <w:rtl/>
        </w:rPr>
        <w:t xml:space="preserve"> </w:t>
      </w:r>
      <w:r w:rsidRPr="000B0849">
        <w:rPr>
          <w:rFonts w:hint="eastAsia"/>
          <w:rtl/>
        </w:rPr>
        <w:t>עורכי</w:t>
      </w:r>
      <w:r w:rsidRPr="000B0849">
        <w:rPr>
          <w:rtl/>
        </w:rPr>
        <w:t xml:space="preserve"> </w:t>
      </w:r>
      <w:r w:rsidRPr="000B0849">
        <w:rPr>
          <w:rFonts w:hint="eastAsia"/>
          <w:rtl/>
        </w:rPr>
        <w:t>הדין</w:t>
      </w:r>
      <w:r w:rsidRPr="000B0849">
        <w:rPr>
          <w:rtl/>
        </w:rPr>
        <w:t xml:space="preserve"> </w:t>
      </w:r>
      <w:r w:rsidRPr="000B0849">
        <w:rPr>
          <w:rFonts w:hint="eastAsia"/>
          <w:rtl/>
        </w:rPr>
        <w:t>וכללי</w:t>
      </w:r>
      <w:r w:rsidRPr="000B0849">
        <w:rPr>
          <w:rtl/>
        </w:rPr>
        <w:t xml:space="preserve"> </w:t>
      </w:r>
      <w:r w:rsidRPr="000B0849">
        <w:rPr>
          <w:rFonts w:hint="eastAsia"/>
          <w:rtl/>
        </w:rPr>
        <w:t>לשכת</w:t>
      </w:r>
      <w:r w:rsidRPr="000B0849">
        <w:rPr>
          <w:rtl/>
        </w:rPr>
        <w:t xml:space="preserve"> </w:t>
      </w:r>
      <w:r w:rsidRPr="000B0849">
        <w:rPr>
          <w:rFonts w:hint="eastAsia"/>
          <w:rtl/>
        </w:rPr>
        <w:t>עורכי</w:t>
      </w:r>
      <w:r w:rsidRPr="000B0849">
        <w:rPr>
          <w:rtl/>
        </w:rPr>
        <w:t xml:space="preserve"> </w:t>
      </w:r>
      <w:r w:rsidRPr="000B0849">
        <w:rPr>
          <w:rFonts w:hint="eastAsia"/>
          <w:rtl/>
        </w:rPr>
        <w:t>הדין</w:t>
      </w:r>
      <w:r w:rsidRPr="000B0849">
        <w:rPr>
          <w:rtl/>
        </w:rPr>
        <w:t xml:space="preserve"> (קביעת </w:t>
      </w:r>
      <w:r w:rsidRPr="000B0849">
        <w:rPr>
          <w:rFonts w:hint="eastAsia"/>
          <w:rtl/>
        </w:rPr>
        <w:t>תקציב</w:t>
      </w:r>
      <w:r w:rsidRPr="000B0849">
        <w:rPr>
          <w:rtl/>
        </w:rPr>
        <w:t xml:space="preserve"> </w:t>
      </w:r>
      <w:r w:rsidRPr="000B0849">
        <w:rPr>
          <w:rFonts w:hint="eastAsia"/>
          <w:rtl/>
        </w:rPr>
        <w:t>ואגרות</w:t>
      </w:r>
      <w:r w:rsidRPr="000B0849">
        <w:rPr>
          <w:rtl/>
        </w:rPr>
        <w:t xml:space="preserve">), </w:t>
      </w:r>
      <w:r w:rsidRPr="000B0849">
        <w:rPr>
          <w:rFonts w:hint="eastAsia"/>
          <w:rtl/>
        </w:rPr>
        <w:t>התשנ</w:t>
      </w:r>
      <w:r w:rsidRPr="000B0849">
        <w:rPr>
          <w:rtl/>
        </w:rPr>
        <w:t xml:space="preserve">"ה-1994, </w:t>
      </w:r>
      <w:r w:rsidRPr="000B0849">
        <w:rPr>
          <w:rFonts w:hint="eastAsia"/>
          <w:rtl/>
        </w:rPr>
        <w:t>קובעים</w:t>
      </w:r>
      <w:r w:rsidRPr="000B0849">
        <w:rPr>
          <w:rtl/>
        </w:rPr>
        <w:t xml:space="preserve"> </w:t>
      </w:r>
      <w:r w:rsidRPr="000B0849">
        <w:rPr>
          <w:rFonts w:hint="eastAsia"/>
          <w:rtl/>
        </w:rPr>
        <w:t>כי</w:t>
      </w:r>
      <w:r w:rsidRPr="000B0849">
        <w:rPr>
          <w:rtl/>
        </w:rPr>
        <w:t xml:space="preserve"> </w:t>
      </w:r>
      <w:r w:rsidRPr="000B0849">
        <w:rPr>
          <w:rFonts w:hint="eastAsia"/>
          <w:rtl/>
        </w:rPr>
        <w:t>על</w:t>
      </w:r>
      <w:r w:rsidRPr="000B0849">
        <w:rPr>
          <w:rtl/>
        </w:rPr>
        <w:t xml:space="preserve"> </w:t>
      </w:r>
      <w:r w:rsidRPr="000B0849">
        <w:rPr>
          <w:rFonts w:hint="eastAsia"/>
          <w:rtl/>
        </w:rPr>
        <w:t>המועצה</w:t>
      </w:r>
      <w:r w:rsidRPr="000B0849">
        <w:rPr>
          <w:rtl/>
        </w:rPr>
        <w:t xml:space="preserve"> </w:t>
      </w:r>
      <w:r w:rsidRPr="000B0849">
        <w:rPr>
          <w:rFonts w:hint="eastAsia"/>
          <w:rtl/>
        </w:rPr>
        <w:t>הארצית</w:t>
      </w:r>
      <w:r w:rsidRPr="000B0849">
        <w:rPr>
          <w:rtl/>
        </w:rPr>
        <w:t xml:space="preserve"> </w:t>
      </w:r>
      <w:r w:rsidRPr="000B0849">
        <w:rPr>
          <w:rFonts w:hint="eastAsia"/>
          <w:rtl/>
        </w:rPr>
        <w:t>לקבוע</w:t>
      </w:r>
      <w:r w:rsidRPr="000B0849">
        <w:rPr>
          <w:rtl/>
        </w:rPr>
        <w:t xml:space="preserve"> </w:t>
      </w:r>
      <w:r w:rsidRPr="000B0849">
        <w:rPr>
          <w:rFonts w:hint="eastAsia"/>
          <w:rtl/>
        </w:rPr>
        <w:t>את</w:t>
      </w:r>
      <w:r w:rsidRPr="000B0849">
        <w:rPr>
          <w:rtl/>
        </w:rPr>
        <w:t xml:space="preserve"> </w:t>
      </w:r>
      <w:r w:rsidRPr="000B0849">
        <w:rPr>
          <w:rFonts w:hint="eastAsia"/>
          <w:rtl/>
        </w:rPr>
        <w:t>תקציב</w:t>
      </w:r>
      <w:r w:rsidRPr="000B0849">
        <w:rPr>
          <w:rtl/>
        </w:rPr>
        <w:t xml:space="preserve"> </w:t>
      </w:r>
      <w:r w:rsidRPr="000B0849">
        <w:rPr>
          <w:rFonts w:hint="eastAsia"/>
          <w:rtl/>
        </w:rPr>
        <w:t>הלשכה</w:t>
      </w:r>
      <w:r>
        <w:rPr>
          <w:rFonts w:hint="cs"/>
          <w:rtl/>
        </w:rPr>
        <w:t xml:space="preserve"> ולהגישו</w:t>
      </w:r>
      <w:r w:rsidRPr="000E33BA">
        <w:rPr>
          <w:rtl/>
        </w:rPr>
        <w:t xml:space="preserve"> לשר המשפטים ולוועדת החוקה, חוק ומשפט של הכנסת ו</w:t>
      </w:r>
      <w:r w:rsidR="00E66E6D">
        <w:rPr>
          <w:rFonts w:hint="cs"/>
          <w:rtl/>
        </w:rPr>
        <w:t xml:space="preserve">כי הוא </w:t>
      </w:r>
      <w:r w:rsidRPr="000E33BA">
        <w:rPr>
          <w:rtl/>
        </w:rPr>
        <w:t>יועמד לעיון הציבור באתר האינטרנט של הלשכה</w:t>
      </w:r>
      <w:r w:rsidRPr="000B0849">
        <w:rPr>
          <w:rtl/>
        </w:rPr>
        <w:t>.</w:t>
      </w:r>
      <w:r>
        <w:rPr>
          <w:rFonts w:hint="cs"/>
          <w:rtl/>
        </w:rPr>
        <w:t xml:space="preserve"> בתרשים להלן תקציב הלשכה בשנים 2015 - 2019: </w:t>
      </w:r>
    </w:p>
    <w:p w14:paraId="7731C5DB" w14:textId="77777777" w:rsidR="00387987" w:rsidRPr="00411671" w:rsidRDefault="00387987" w:rsidP="00411671">
      <w:pPr>
        <w:pStyle w:val="a8"/>
        <w:rPr>
          <w:b/>
          <w:bCs/>
          <w:rtl/>
        </w:rPr>
      </w:pPr>
      <w:r w:rsidRPr="00B678AC">
        <w:rPr>
          <w:rFonts w:hint="eastAsia"/>
          <w:rtl/>
        </w:rPr>
        <w:t>תרשים</w:t>
      </w:r>
      <w:r w:rsidRPr="00B678AC">
        <w:rPr>
          <w:rtl/>
        </w:rPr>
        <w:t xml:space="preserve"> 5: </w:t>
      </w:r>
      <w:r w:rsidRPr="00411671">
        <w:rPr>
          <w:rFonts w:hint="eastAsia"/>
          <w:b/>
          <w:bCs/>
          <w:rtl/>
        </w:rPr>
        <w:t>תקציב</w:t>
      </w:r>
      <w:r w:rsidRPr="00411671">
        <w:rPr>
          <w:b/>
          <w:bCs/>
          <w:rtl/>
        </w:rPr>
        <w:t xml:space="preserve"> </w:t>
      </w:r>
      <w:r w:rsidRPr="00411671">
        <w:rPr>
          <w:rFonts w:hint="eastAsia"/>
          <w:b/>
          <w:bCs/>
          <w:rtl/>
        </w:rPr>
        <w:t>הלשכה</w:t>
      </w:r>
      <w:r w:rsidRPr="00411671">
        <w:rPr>
          <w:b/>
          <w:bCs/>
          <w:rtl/>
        </w:rPr>
        <w:t xml:space="preserve"> </w:t>
      </w:r>
      <w:r w:rsidRPr="00411671">
        <w:rPr>
          <w:rFonts w:hint="cs"/>
          <w:b/>
          <w:bCs/>
          <w:rtl/>
        </w:rPr>
        <w:t>ב</w:t>
      </w:r>
      <w:r w:rsidRPr="00411671">
        <w:rPr>
          <w:rFonts w:hint="eastAsia"/>
          <w:b/>
          <w:bCs/>
          <w:rtl/>
        </w:rPr>
        <w:t>שנים</w:t>
      </w:r>
      <w:r w:rsidRPr="00411671">
        <w:rPr>
          <w:rFonts w:hint="cs"/>
          <w:b/>
          <w:bCs/>
          <w:rtl/>
        </w:rPr>
        <w:t xml:space="preserve"> 2015 - 2019</w:t>
      </w:r>
      <w:r w:rsidRPr="00411671">
        <w:rPr>
          <w:b/>
          <w:bCs/>
          <w:rtl/>
        </w:rPr>
        <w:t xml:space="preserve"> (באלפי </w:t>
      </w:r>
      <w:r w:rsidRPr="00411671">
        <w:rPr>
          <w:rFonts w:hint="eastAsia"/>
          <w:b/>
          <w:bCs/>
          <w:rtl/>
        </w:rPr>
        <w:t>ש</w:t>
      </w:r>
      <w:r w:rsidRPr="00411671">
        <w:rPr>
          <w:b/>
          <w:bCs/>
          <w:rtl/>
        </w:rPr>
        <w:t>"ח)</w:t>
      </w:r>
      <w:r w:rsidRPr="00411671">
        <w:rPr>
          <w:rStyle w:val="FootnoteReference"/>
          <w:b/>
          <w:bCs/>
          <w:sz w:val="24"/>
          <w:rtl/>
        </w:rPr>
        <w:footnoteReference w:id="9"/>
      </w:r>
    </w:p>
    <w:p w14:paraId="4B8054AD" w14:textId="77777777" w:rsidR="00387987" w:rsidRDefault="00387987" w:rsidP="00411671">
      <w:pPr>
        <w:pStyle w:val="a8"/>
        <w:rPr>
          <w:noProof/>
          <w:rtl/>
        </w:rPr>
      </w:pPr>
      <w:r>
        <w:rPr>
          <w:noProof/>
        </w:rPr>
        <w:drawing>
          <wp:inline distT="0" distB="0" distL="0" distR="0" wp14:anchorId="44FB4058" wp14:editId="75E048AE">
            <wp:extent cx="4572000" cy="2371725"/>
            <wp:effectExtent l="0" t="0" r="0" b="9525"/>
            <wp:docPr id="33" name="תרשים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3D3CE7" w14:textId="77777777" w:rsidR="00387987" w:rsidRPr="00D97C32" w:rsidRDefault="00387987" w:rsidP="00411671">
      <w:pPr>
        <w:pStyle w:val="aa"/>
        <w:rPr>
          <w:rtl/>
        </w:rPr>
      </w:pPr>
      <w:r>
        <w:rPr>
          <w:rFonts w:hint="cs"/>
          <w:rtl/>
        </w:rPr>
        <w:t xml:space="preserve">על פי נתוני </w:t>
      </w:r>
      <w:r w:rsidRPr="00D97C32">
        <w:rPr>
          <w:rFonts w:hint="eastAsia"/>
          <w:rtl/>
        </w:rPr>
        <w:t>דוחות</w:t>
      </w:r>
      <w:r w:rsidRPr="00D97C32">
        <w:rPr>
          <w:rtl/>
        </w:rPr>
        <w:t xml:space="preserve"> </w:t>
      </w:r>
      <w:r w:rsidRPr="00D97C32">
        <w:rPr>
          <w:rFonts w:hint="eastAsia"/>
          <w:rtl/>
        </w:rPr>
        <w:t>התקציב</w:t>
      </w:r>
      <w:r w:rsidRPr="00D97C32">
        <w:rPr>
          <w:rtl/>
        </w:rPr>
        <w:t xml:space="preserve"> </w:t>
      </w:r>
      <w:r w:rsidRPr="00D97C32">
        <w:rPr>
          <w:rFonts w:hint="eastAsia"/>
          <w:rtl/>
        </w:rPr>
        <w:t>של</w:t>
      </w:r>
      <w:r w:rsidRPr="00D97C32">
        <w:rPr>
          <w:rtl/>
        </w:rPr>
        <w:t xml:space="preserve"> </w:t>
      </w:r>
      <w:r w:rsidRPr="00D97C32">
        <w:rPr>
          <w:rFonts w:hint="eastAsia"/>
          <w:rtl/>
        </w:rPr>
        <w:t>לשכת</w:t>
      </w:r>
      <w:r w:rsidRPr="00D97C32">
        <w:rPr>
          <w:rtl/>
        </w:rPr>
        <w:t xml:space="preserve"> </w:t>
      </w:r>
      <w:r w:rsidRPr="00D97C32">
        <w:rPr>
          <w:rFonts w:hint="eastAsia"/>
          <w:rtl/>
        </w:rPr>
        <w:t>עורכי</w:t>
      </w:r>
      <w:r w:rsidRPr="00D97C32">
        <w:rPr>
          <w:rtl/>
        </w:rPr>
        <w:t xml:space="preserve"> </w:t>
      </w:r>
      <w:r w:rsidRPr="00D97C32">
        <w:rPr>
          <w:rFonts w:hint="eastAsia"/>
          <w:rtl/>
        </w:rPr>
        <w:t>הדין</w:t>
      </w:r>
      <w:r>
        <w:rPr>
          <w:rFonts w:hint="cs"/>
          <w:rtl/>
        </w:rPr>
        <w:t>, בעיבוד משרד מבקר המדינה</w:t>
      </w:r>
      <w:r w:rsidRPr="00D97C32">
        <w:rPr>
          <w:rtl/>
        </w:rPr>
        <w:t>.</w:t>
      </w:r>
    </w:p>
    <w:p w14:paraId="74BE4B0F" w14:textId="77777777" w:rsidR="0070704B" w:rsidRDefault="0070704B" w:rsidP="0070704B">
      <w:pPr>
        <w:pStyle w:val="100"/>
        <w:rPr>
          <w:rtl/>
        </w:rPr>
      </w:pPr>
    </w:p>
    <w:p w14:paraId="29CC052E" w14:textId="2816260B" w:rsidR="00387987" w:rsidRDefault="00387987" w:rsidP="0070704B">
      <w:pPr>
        <w:pStyle w:val="100"/>
        <w:rPr>
          <w:rtl/>
        </w:rPr>
      </w:pPr>
      <w:r>
        <w:rPr>
          <w:rFonts w:hint="cs"/>
          <w:rtl/>
        </w:rPr>
        <w:t xml:space="preserve">תקציב הלשכה לשנת 2019 היה כ-69 מיליון ש"ח. כ-54 מיליון ש"ח מקורם בדמי החבר שמשלמים עורכי הדין ללשכה בהתאם להוראות החוק. </w:t>
      </w:r>
      <w:r w:rsidRPr="0022246D">
        <w:rPr>
          <w:rtl/>
        </w:rPr>
        <w:t>כ-15 מ</w:t>
      </w:r>
      <w:r>
        <w:rPr>
          <w:rFonts w:hint="cs"/>
          <w:rtl/>
        </w:rPr>
        <w:t>י</w:t>
      </w:r>
      <w:r w:rsidRPr="0022246D">
        <w:rPr>
          <w:rtl/>
        </w:rPr>
        <w:t xml:space="preserve">ליון ש"ח </w:t>
      </w:r>
      <w:r>
        <w:rPr>
          <w:rFonts w:hint="cs"/>
          <w:rtl/>
        </w:rPr>
        <w:t xml:space="preserve">מגיעים </w:t>
      </w:r>
      <w:r w:rsidRPr="0022246D">
        <w:rPr>
          <w:rtl/>
        </w:rPr>
        <w:t xml:space="preserve">מפעילויות המוגדרות כ"משק סגור" הממומנות </w:t>
      </w:r>
      <w:r>
        <w:rPr>
          <w:rFonts w:hint="cs"/>
          <w:rtl/>
        </w:rPr>
        <w:t xml:space="preserve">על ידי </w:t>
      </w:r>
      <w:r w:rsidRPr="0022246D">
        <w:rPr>
          <w:rtl/>
        </w:rPr>
        <w:t xml:space="preserve">הגורמים המשתתפים </w:t>
      </w:r>
      <w:r>
        <w:rPr>
          <w:rFonts w:hint="cs"/>
          <w:rtl/>
        </w:rPr>
        <w:t>ב</w:t>
      </w:r>
      <w:r w:rsidRPr="0022246D">
        <w:rPr>
          <w:rtl/>
        </w:rPr>
        <w:t>ה</w:t>
      </w:r>
      <w:r>
        <w:rPr>
          <w:rFonts w:hint="cs"/>
          <w:rtl/>
        </w:rPr>
        <w:t>ן</w:t>
      </w:r>
      <w:r>
        <w:rPr>
          <w:rStyle w:val="FootnoteReference"/>
          <w:rtl/>
        </w:rPr>
        <w:footnoteReference w:id="10"/>
      </w:r>
      <w:r w:rsidRPr="0022246D">
        <w:rPr>
          <w:rtl/>
        </w:rPr>
        <w:t xml:space="preserve">. </w:t>
      </w:r>
      <w:r>
        <w:rPr>
          <w:rFonts w:hint="cs"/>
          <w:rtl/>
        </w:rPr>
        <w:t xml:space="preserve">כ-27 מיליון ש"ח מתקציב הלשכה לאותה שנה הוקצו למחוזות הלשכה. </w:t>
      </w:r>
    </w:p>
    <w:p w14:paraId="0AD04C7E" w14:textId="77777777" w:rsidR="00387987" w:rsidRDefault="00387987" w:rsidP="0070704B">
      <w:pPr>
        <w:pStyle w:val="100"/>
      </w:pPr>
      <w:r>
        <w:rPr>
          <w:rFonts w:hint="cs"/>
          <w:rtl/>
        </w:rPr>
        <w:t xml:space="preserve">במנגנון הארצי של הלשכה כ-70 עובדים, ובמנגנוני המחוזות קרוב למאה עובדים נוספים. זאת נוסף על עשרות רבות של בעלי תפקידים במוסדות הלשכה שאינם מקבלים שכר. </w:t>
      </w:r>
    </w:p>
    <w:p w14:paraId="22043704" w14:textId="77777777" w:rsidR="00387987" w:rsidRDefault="00387987" w:rsidP="0070704B">
      <w:pPr>
        <w:pStyle w:val="100"/>
        <w:rPr>
          <w:rtl/>
        </w:rPr>
      </w:pPr>
      <w:r>
        <w:rPr>
          <w:rFonts w:hint="cs"/>
          <w:rtl/>
        </w:rPr>
        <w:t>כ-40% מתקציב הלשכה בשנת 2019 הוקצה למחוזות. התרשים שלהלן מציג את תקציב מחוזות הלשכה לשנים 2016 - 2019.</w:t>
      </w:r>
    </w:p>
    <w:p w14:paraId="16BF5412" w14:textId="77777777" w:rsidR="00387987" w:rsidRDefault="00387987" w:rsidP="0070704B">
      <w:pPr>
        <w:pStyle w:val="100"/>
        <w:bidi w:val="0"/>
        <w:rPr>
          <w:rtl/>
        </w:rPr>
      </w:pPr>
      <w:r>
        <w:rPr>
          <w:rtl/>
        </w:rPr>
        <w:br w:type="page"/>
      </w:r>
    </w:p>
    <w:p w14:paraId="033FBF08" w14:textId="77777777" w:rsidR="00387987" w:rsidRPr="0070704B" w:rsidRDefault="00387987" w:rsidP="0070704B">
      <w:pPr>
        <w:pStyle w:val="a8"/>
        <w:rPr>
          <w:b/>
          <w:bCs/>
          <w:rtl/>
        </w:rPr>
      </w:pPr>
      <w:r w:rsidRPr="0070704B">
        <w:rPr>
          <w:rFonts w:hint="eastAsia"/>
          <w:rtl/>
        </w:rPr>
        <w:lastRenderedPageBreak/>
        <w:t>תרשים</w:t>
      </w:r>
      <w:r w:rsidRPr="0070704B">
        <w:rPr>
          <w:rtl/>
        </w:rPr>
        <w:t xml:space="preserve"> </w:t>
      </w:r>
      <w:r w:rsidRPr="0070704B">
        <w:rPr>
          <w:rFonts w:hint="cs"/>
          <w:rtl/>
        </w:rPr>
        <w:t>6</w:t>
      </w:r>
      <w:r w:rsidRPr="0070704B">
        <w:rPr>
          <w:rtl/>
        </w:rPr>
        <w:t xml:space="preserve">: </w:t>
      </w:r>
      <w:r w:rsidRPr="0070704B">
        <w:rPr>
          <w:rFonts w:hint="eastAsia"/>
          <w:b/>
          <w:bCs/>
          <w:rtl/>
        </w:rPr>
        <w:t>תקציב</w:t>
      </w:r>
      <w:r w:rsidRPr="0070704B">
        <w:rPr>
          <w:b/>
          <w:bCs/>
          <w:rtl/>
        </w:rPr>
        <w:t xml:space="preserve"> </w:t>
      </w:r>
      <w:r w:rsidRPr="0070704B">
        <w:rPr>
          <w:rFonts w:hint="eastAsia"/>
          <w:b/>
          <w:bCs/>
          <w:rtl/>
        </w:rPr>
        <w:t>מחוזות</w:t>
      </w:r>
      <w:r w:rsidRPr="0070704B">
        <w:rPr>
          <w:b/>
          <w:bCs/>
          <w:rtl/>
        </w:rPr>
        <w:t xml:space="preserve"> </w:t>
      </w:r>
      <w:r w:rsidRPr="0070704B">
        <w:rPr>
          <w:rFonts w:hint="eastAsia"/>
          <w:b/>
          <w:bCs/>
          <w:rtl/>
        </w:rPr>
        <w:t>הלשכה</w:t>
      </w:r>
      <w:r w:rsidRPr="0070704B">
        <w:rPr>
          <w:b/>
          <w:bCs/>
          <w:rtl/>
        </w:rPr>
        <w:t xml:space="preserve"> </w:t>
      </w:r>
      <w:r w:rsidRPr="0070704B">
        <w:rPr>
          <w:rFonts w:hint="eastAsia"/>
          <w:b/>
          <w:bCs/>
          <w:rtl/>
        </w:rPr>
        <w:t>לשנים</w:t>
      </w:r>
      <w:r w:rsidRPr="0070704B">
        <w:rPr>
          <w:rFonts w:hint="cs"/>
          <w:b/>
          <w:bCs/>
          <w:rtl/>
        </w:rPr>
        <w:t xml:space="preserve"> 2016 - 2019 </w:t>
      </w:r>
      <w:r w:rsidRPr="0070704B">
        <w:rPr>
          <w:b/>
          <w:bCs/>
          <w:rtl/>
        </w:rPr>
        <w:t xml:space="preserve">(באלפי </w:t>
      </w:r>
      <w:r w:rsidRPr="0070704B">
        <w:rPr>
          <w:rFonts w:hint="eastAsia"/>
          <w:b/>
          <w:bCs/>
          <w:rtl/>
        </w:rPr>
        <w:t>ש</w:t>
      </w:r>
      <w:r w:rsidRPr="0070704B">
        <w:rPr>
          <w:b/>
          <w:bCs/>
          <w:rtl/>
        </w:rPr>
        <w:t>"ח)</w:t>
      </w:r>
    </w:p>
    <w:p w14:paraId="3F905419" w14:textId="77777777" w:rsidR="00387987" w:rsidRPr="0070704B" w:rsidRDefault="00387987" w:rsidP="0070704B">
      <w:pPr>
        <w:pStyle w:val="a8"/>
        <w:rPr>
          <w:rtl/>
        </w:rPr>
      </w:pPr>
      <w:r w:rsidRPr="0070704B">
        <w:rPr>
          <w:noProof/>
        </w:rPr>
        <w:drawing>
          <wp:inline distT="0" distB="0" distL="0" distR="0" wp14:anchorId="38513DD0" wp14:editId="1FBD1F1E">
            <wp:extent cx="4411785" cy="2618842"/>
            <wp:effectExtent l="0" t="0" r="8255" b="0"/>
            <wp:docPr id="3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37094"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449427" cy="2641186"/>
                    </a:xfrm>
                    <a:prstGeom prst="rect">
                      <a:avLst/>
                    </a:prstGeom>
                    <a:noFill/>
                  </pic:spPr>
                </pic:pic>
              </a:graphicData>
            </a:graphic>
          </wp:inline>
        </w:drawing>
      </w:r>
    </w:p>
    <w:p w14:paraId="1EF713C9" w14:textId="77777777" w:rsidR="00387987" w:rsidRPr="0061390A" w:rsidRDefault="00387987" w:rsidP="00C857F9">
      <w:pPr>
        <w:pStyle w:val="aa"/>
      </w:pPr>
      <w:r>
        <w:rPr>
          <w:rFonts w:hint="cs"/>
          <w:rtl/>
        </w:rPr>
        <w:t xml:space="preserve">על פי נתוני </w:t>
      </w:r>
      <w:r w:rsidRPr="0061390A">
        <w:rPr>
          <w:rFonts w:hint="cs"/>
          <w:rtl/>
        </w:rPr>
        <w:t>דוחות תקציב של מחוזות הלשכה</w:t>
      </w:r>
      <w:r>
        <w:rPr>
          <w:rFonts w:hint="cs"/>
          <w:rtl/>
        </w:rPr>
        <w:t>, בעיבוד משרד מבקר המדינה</w:t>
      </w:r>
      <w:r w:rsidRPr="0061390A">
        <w:rPr>
          <w:rFonts w:hint="cs"/>
          <w:rtl/>
        </w:rPr>
        <w:t>.</w:t>
      </w:r>
    </w:p>
    <w:p w14:paraId="3C2C7FCF" w14:textId="77777777" w:rsidR="00387987" w:rsidRDefault="00387987" w:rsidP="00C857F9">
      <w:pPr>
        <w:pStyle w:val="316"/>
        <w:rPr>
          <w:rtl/>
        </w:rPr>
      </w:pPr>
      <w:bookmarkStart w:id="3" w:name="_Toc23155580"/>
      <w:bookmarkStart w:id="4" w:name="_Toc23159779"/>
      <w:r w:rsidRPr="00A176F9">
        <w:rPr>
          <w:rFonts w:hint="cs"/>
          <w:rtl/>
        </w:rPr>
        <w:t xml:space="preserve">אישור </w:t>
      </w:r>
      <w:r>
        <w:rPr>
          <w:rFonts w:hint="cs"/>
          <w:rtl/>
        </w:rPr>
        <w:t>ה</w:t>
      </w:r>
      <w:r w:rsidRPr="00A176F9">
        <w:rPr>
          <w:rFonts w:hint="cs"/>
          <w:rtl/>
        </w:rPr>
        <w:t xml:space="preserve">דוחות </w:t>
      </w:r>
      <w:r>
        <w:rPr>
          <w:rFonts w:hint="cs"/>
          <w:rtl/>
        </w:rPr>
        <w:t>ה</w:t>
      </w:r>
      <w:r w:rsidRPr="00A176F9">
        <w:rPr>
          <w:rFonts w:hint="cs"/>
          <w:rtl/>
        </w:rPr>
        <w:t xml:space="preserve">כספיים של </w:t>
      </w:r>
      <w:r>
        <w:rPr>
          <w:rFonts w:hint="cs"/>
          <w:rtl/>
        </w:rPr>
        <w:t>לשכת עורכי הדין</w:t>
      </w:r>
      <w:bookmarkEnd w:id="3"/>
      <w:bookmarkEnd w:id="4"/>
    </w:p>
    <w:p w14:paraId="54136A9A" w14:textId="77777777" w:rsidR="00387987" w:rsidRDefault="00387987" w:rsidP="00C857F9">
      <w:pPr>
        <w:pStyle w:val="100"/>
        <w:rPr>
          <w:color w:val="000000"/>
          <w:sz w:val="24"/>
          <w:rtl/>
        </w:rPr>
      </w:pPr>
      <w:r>
        <w:rPr>
          <w:rFonts w:hint="cs"/>
          <w:color w:val="000000"/>
          <w:sz w:val="24"/>
          <w:rtl/>
        </w:rPr>
        <w:t>ה</w:t>
      </w:r>
      <w:r w:rsidRPr="00AF2F7A">
        <w:rPr>
          <w:rFonts w:hint="cs"/>
          <w:color w:val="000000"/>
          <w:sz w:val="24"/>
          <w:rtl/>
        </w:rPr>
        <w:t xml:space="preserve">דוחות </w:t>
      </w:r>
      <w:r>
        <w:rPr>
          <w:rFonts w:hint="cs"/>
          <w:color w:val="000000"/>
          <w:sz w:val="24"/>
          <w:rtl/>
        </w:rPr>
        <w:t>ה</w:t>
      </w:r>
      <w:r w:rsidRPr="00AF2F7A">
        <w:rPr>
          <w:rFonts w:hint="cs"/>
          <w:color w:val="000000"/>
          <w:sz w:val="24"/>
          <w:rtl/>
        </w:rPr>
        <w:t xml:space="preserve">כספיים </w:t>
      </w:r>
      <w:r>
        <w:rPr>
          <w:rFonts w:hint="cs"/>
          <w:color w:val="000000"/>
          <w:sz w:val="24"/>
          <w:rtl/>
        </w:rPr>
        <w:t xml:space="preserve">של תאגיד </w:t>
      </w:r>
      <w:r w:rsidRPr="00AF2F7A">
        <w:rPr>
          <w:rFonts w:hint="cs"/>
          <w:color w:val="000000"/>
          <w:sz w:val="24"/>
          <w:rtl/>
        </w:rPr>
        <w:t xml:space="preserve">משקפים את תוצאות </w:t>
      </w:r>
      <w:r>
        <w:rPr>
          <w:rFonts w:hint="cs"/>
          <w:color w:val="000000"/>
          <w:sz w:val="24"/>
          <w:rtl/>
        </w:rPr>
        <w:t>ה</w:t>
      </w:r>
      <w:r w:rsidRPr="00AF2F7A">
        <w:rPr>
          <w:rFonts w:hint="cs"/>
          <w:color w:val="000000"/>
          <w:sz w:val="24"/>
          <w:rtl/>
        </w:rPr>
        <w:t>פעילות, תזרימי המזומנים ו</w:t>
      </w:r>
      <w:r>
        <w:rPr>
          <w:rFonts w:hint="cs"/>
          <w:color w:val="000000"/>
          <w:sz w:val="24"/>
          <w:rtl/>
        </w:rPr>
        <w:t>ה</w:t>
      </w:r>
      <w:r w:rsidRPr="00AF2F7A">
        <w:rPr>
          <w:rFonts w:hint="cs"/>
          <w:color w:val="000000"/>
          <w:sz w:val="24"/>
          <w:rtl/>
        </w:rPr>
        <w:t xml:space="preserve">מצב הכספי </w:t>
      </w:r>
      <w:r>
        <w:rPr>
          <w:rFonts w:hint="cs"/>
          <w:color w:val="000000"/>
          <w:sz w:val="24"/>
          <w:rtl/>
        </w:rPr>
        <w:t>שלו ו</w:t>
      </w:r>
      <w:r w:rsidRPr="00AF2F7A">
        <w:rPr>
          <w:rFonts w:hint="cs"/>
          <w:color w:val="000000"/>
          <w:sz w:val="24"/>
          <w:rtl/>
        </w:rPr>
        <w:t>מאפשרים ל</w:t>
      </w:r>
      <w:r>
        <w:rPr>
          <w:rFonts w:hint="cs"/>
          <w:color w:val="000000"/>
          <w:sz w:val="24"/>
          <w:rtl/>
        </w:rPr>
        <w:t xml:space="preserve">קורא </w:t>
      </w:r>
      <w:r w:rsidRPr="00AF2F7A">
        <w:rPr>
          <w:rFonts w:hint="cs"/>
          <w:color w:val="000000"/>
          <w:sz w:val="24"/>
          <w:rtl/>
        </w:rPr>
        <w:t>להשוות נתונים ולזהות מגמות ב</w:t>
      </w:r>
      <w:r>
        <w:rPr>
          <w:rFonts w:hint="cs"/>
          <w:color w:val="000000"/>
          <w:sz w:val="24"/>
          <w:rtl/>
        </w:rPr>
        <w:t>עבודתו</w:t>
      </w:r>
      <w:r>
        <w:rPr>
          <w:rStyle w:val="FootnoteReference"/>
          <w:color w:val="000000"/>
          <w:sz w:val="24"/>
          <w:rtl/>
        </w:rPr>
        <w:footnoteReference w:id="11"/>
      </w:r>
      <w:r w:rsidRPr="00AF2F7A">
        <w:rPr>
          <w:rFonts w:hint="cs"/>
          <w:color w:val="000000"/>
          <w:sz w:val="24"/>
          <w:rtl/>
        </w:rPr>
        <w:t>.</w:t>
      </w:r>
      <w:r>
        <w:rPr>
          <w:rFonts w:hint="cs"/>
          <w:rtl/>
        </w:rPr>
        <w:t xml:space="preserve"> ה</w:t>
      </w:r>
      <w:r w:rsidRPr="00DE4287">
        <w:rPr>
          <w:rFonts w:hint="cs"/>
          <w:rtl/>
        </w:rPr>
        <w:t xml:space="preserve">דוחות </w:t>
      </w:r>
      <w:r>
        <w:rPr>
          <w:rFonts w:hint="cs"/>
          <w:rtl/>
        </w:rPr>
        <w:t>הכספיים ה</w:t>
      </w:r>
      <w:r w:rsidRPr="00DE4287">
        <w:rPr>
          <w:rFonts w:hint="cs"/>
          <w:rtl/>
        </w:rPr>
        <w:t xml:space="preserve">מאוחדים </w:t>
      </w:r>
      <w:r>
        <w:rPr>
          <w:rFonts w:hint="cs"/>
          <w:rtl/>
        </w:rPr>
        <w:t>של הלשכה כוללים גם את ה</w:t>
      </w:r>
      <w:r w:rsidRPr="00DE4287">
        <w:rPr>
          <w:rFonts w:hint="cs"/>
          <w:rtl/>
        </w:rPr>
        <w:t xml:space="preserve">נתונים </w:t>
      </w:r>
      <w:r>
        <w:rPr>
          <w:rFonts w:hint="cs"/>
          <w:rtl/>
        </w:rPr>
        <w:t>ה</w:t>
      </w:r>
      <w:r w:rsidRPr="00DE4287">
        <w:rPr>
          <w:rFonts w:hint="cs"/>
          <w:rtl/>
        </w:rPr>
        <w:t>כספיים של מחוזות הלשכה</w:t>
      </w:r>
      <w:r>
        <w:rPr>
          <w:rFonts w:hint="cs"/>
          <w:rtl/>
        </w:rPr>
        <w:t xml:space="preserve"> ו</w:t>
      </w:r>
      <w:r w:rsidRPr="00DE4287">
        <w:rPr>
          <w:rFonts w:hint="cs"/>
          <w:rtl/>
        </w:rPr>
        <w:t>של חברות שבבעלותה</w:t>
      </w:r>
      <w:r>
        <w:rPr>
          <w:rStyle w:val="FootnoteReference"/>
          <w:rtl/>
        </w:rPr>
        <w:footnoteReference w:id="12"/>
      </w:r>
      <w:r w:rsidRPr="00DE4287">
        <w:rPr>
          <w:rFonts w:hint="cs"/>
          <w:rtl/>
        </w:rPr>
        <w:t xml:space="preserve">. </w:t>
      </w:r>
    </w:p>
    <w:p w14:paraId="3ACF44BA" w14:textId="41EB8289" w:rsidR="00387987" w:rsidRPr="000E33BA" w:rsidRDefault="00387987" w:rsidP="00C857F9">
      <w:pPr>
        <w:pStyle w:val="100"/>
        <w:rPr>
          <w:color w:val="000000"/>
          <w:sz w:val="24"/>
          <w:rtl/>
        </w:rPr>
      </w:pPr>
      <w:r>
        <w:rPr>
          <w:rFonts w:hint="cs"/>
          <w:color w:val="000000"/>
          <w:sz w:val="24"/>
          <w:rtl/>
        </w:rPr>
        <w:t xml:space="preserve">כאמור, </w:t>
      </w:r>
      <w:r w:rsidRPr="000B0849">
        <w:rPr>
          <w:rFonts w:hint="eastAsia"/>
          <w:color w:val="000000"/>
          <w:sz w:val="24"/>
          <w:rtl/>
        </w:rPr>
        <w:t>על</w:t>
      </w:r>
      <w:r w:rsidRPr="000B0849">
        <w:rPr>
          <w:color w:val="000000"/>
          <w:sz w:val="24"/>
          <w:rtl/>
        </w:rPr>
        <w:t xml:space="preserve"> </w:t>
      </w:r>
      <w:r w:rsidRPr="000B0849">
        <w:rPr>
          <w:rFonts w:hint="eastAsia"/>
          <w:color w:val="000000"/>
          <w:sz w:val="24"/>
          <w:rtl/>
        </w:rPr>
        <w:t>המועצה</w:t>
      </w:r>
      <w:r w:rsidRPr="000B0849">
        <w:rPr>
          <w:color w:val="000000"/>
          <w:sz w:val="24"/>
          <w:rtl/>
        </w:rPr>
        <w:t xml:space="preserve"> </w:t>
      </w:r>
      <w:r w:rsidRPr="000B0849">
        <w:rPr>
          <w:rFonts w:hint="eastAsia"/>
          <w:color w:val="000000"/>
          <w:sz w:val="24"/>
          <w:rtl/>
        </w:rPr>
        <w:t>הארצית</w:t>
      </w:r>
      <w:r w:rsidRPr="000B0849">
        <w:rPr>
          <w:color w:val="000000"/>
          <w:sz w:val="24"/>
          <w:rtl/>
        </w:rPr>
        <w:t xml:space="preserve"> </w:t>
      </w:r>
      <w:r w:rsidRPr="000B0849">
        <w:rPr>
          <w:rFonts w:hint="eastAsia"/>
          <w:color w:val="000000"/>
          <w:sz w:val="24"/>
          <w:rtl/>
        </w:rPr>
        <w:t>לקבוע</w:t>
      </w:r>
      <w:r w:rsidRPr="000B0849">
        <w:rPr>
          <w:color w:val="000000"/>
          <w:sz w:val="24"/>
          <w:rtl/>
        </w:rPr>
        <w:t xml:space="preserve"> </w:t>
      </w:r>
      <w:r w:rsidRPr="000B0849">
        <w:rPr>
          <w:rFonts w:hint="eastAsia"/>
          <w:color w:val="000000"/>
          <w:sz w:val="24"/>
          <w:rtl/>
        </w:rPr>
        <w:t>את</w:t>
      </w:r>
      <w:r w:rsidRPr="000B0849">
        <w:rPr>
          <w:color w:val="000000"/>
          <w:sz w:val="24"/>
          <w:rtl/>
        </w:rPr>
        <w:t xml:space="preserve"> </w:t>
      </w:r>
      <w:r w:rsidRPr="000B0849">
        <w:rPr>
          <w:rFonts w:hint="eastAsia"/>
          <w:color w:val="000000"/>
          <w:sz w:val="24"/>
          <w:rtl/>
        </w:rPr>
        <w:t>תקציב</w:t>
      </w:r>
      <w:r w:rsidRPr="000B0849">
        <w:rPr>
          <w:color w:val="000000"/>
          <w:sz w:val="24"/>
          <w:rtl/>
        </w:rPr>
        <w:t xml:space="preserve"> </w:t>
      </w:r>
      <w:r w:rsidRPr="000B0849">
        <w:rPr>
          <w:rFonts w:hint="eastAsia"/>
          <w:color w:val="000000"/>
          <w:sz w:val="24"/>
          <w:rtl/>
        </w:rPr>
        <w:t>הלשכה</w:t>
      </w:r>
      <w:r>
        <w:rPr>
          <w:rFonts w:hint="cs"/>
          <w:color w:val="000000"/>
          <w:sz w:val="24"/>
          <w:rtl/>
        </w:rPr>
        <w:t xml:space="preserve"> ולהגישו</w:t>
      </w:r>
      <w:r w:rsidRPr="000E33BA">
        <w:rPr>
          <w:color w:val="000000"/>
          <w:sz w:val="24"/>
          <w:rtl/>
        </w:rPr>
        <w:t xml:space="preserve"> לשר המשפטים ולוועדת החוקה, חוק ומשפט של הכנסת ו</w:t>
      </w:r>
      <w:r>
        <w:rPr>
          <w:rFonts w:hint="cs"/>
          <w:color w:val="000000"/>
          <w:sz w:val="24"/>
          <w:rtl/>
        </w:rPr>
        <w:t>להעמידו</w:t>
      </w:r>
      <w:r w:rsidRPr="000E33BA">
        <w:rPr>
          <w:color w:val="000000"/>
          <w:sz w:val="24"/>
          <w:rtl/>
        </w:rPr>
        <w:t xml:space="preserve"> לעיון הציבור באתר האינטרנט של הלשכה</w:t>
      </w:r>
      <w:r w:rsidRPr="000B0849">
        <w:rPr>
          <w:color w:val="000000"/>
          <w:sz w:val="24"/>
          <w:rtl/>
        </w:rPr>
        <w:t>.</w:t>
      </w:r>
      <w:r>
        <w:rPr>
          <w:rFonts w:hint="cs"/>
          <w:rtl/>
        </w:rPr>
        <w:t xml:space="preserve"> </w:t>
      </w:r>
      <w:r w:rsidRPr="000E33BA">
        <w:rPr>
          <w:color w:val="000000"/>
          <w:sz w:val="24"/>
          <w:rtl/>
        </w:rPr>
        <w:t xml:space="preserve">בתוך שלושה חודשים לאחר </w:t>
      </w:r>
      <w:r>
        <w:rPr>
          <w:rFonts w:hint="cs"/>
          <w:color w:val="000000"/>
          <w:sz w:val="24"/>
          <w:rtl/>
        </w:rPr>
        <w:t>שה</w:t>
      </w:r>
      <w:r w:rsidRPr="000B0849">
        <w:rPr>
          <w:rFonts w:hint="eastAsia"/>
          <w:color w:val="000000"/>
          <w:sz w:val="24"/>
          <w:rtl/>
        </w:rPr>
        <w:t>מועצה</w:t>
      </w:r>
      <w:r w:rsidRPr="000B0849">
        <w:rPr>
          <w:color w:val="000000"/>
          <w:sz w:val="24"/>
          <w:rtl/>
        </w:rPr>
        <w:t xml:space="preserve"> </w:t>
      </w:r>
      <w:r>
        <w:rPr>
          <w:rFonts w:hint="cs"/>
          <w:color w:val="000000"/>
          <w:sz w:val="24"/>
          <w:rtl/>
        </w:rPr>
        <w:t xml:space="preserve">אישרה </w:t>
      </w:r>
      <w:r w:rsidRPr="000B0849">
        <w:rPr>
          <w:rFonts w:hint="eastAsia"/>
          <w:color w:val="000000"/>
          <w:sz w:val="24"/>
          <w:rtl/>
        </w:rPr>
        <w:t>את</w:t>
      </w:r>
      <w:r w:rsidRPr="000B0849">
        <w:rPr>
          <w:color w:val="000000"/>
          <w:sz w:val="24"/>
          <w:rtl/>
        </w:rPr>
        <w:t xml:space="preserve"> </w:t>
      </w:r>
      <w:r>
        <w:rPr>
          <w:rFonts w:hint="cs"/>
          <w:color w:val="000000"/>
          <w:sz w:val="24"/>
          <w:rtl/>
        </w:rPr>
        <w:t>ה</w:t>
      </w:r>
      <w:r w:rsidRPr="000B0849">
        <w:rPr>
          <w:rFonts w:hint="eastAsia"/>
          <w:color w:val="000000"/>
          <w:sz w:val="24"/>
          <w:rtl/>
        </w:rPr>
        <w:t>תקציב</w:t>
      </w:r>
      <w:r>
        <w:rPr>
          <w:rFonts w:hint="cs"/>
          <w:color w:val="000000"/>
          <w:sz w:val="24"/>
          <w:rtl/>
        </w:rPr>
        <w:t>,</w:t>
      </w:r>
      <w:r w:rsidRPr="000B0849">
        <w:rPr>
          <w:color w:val="000000"/>
          <w:sz w:val="24"/>
          <w:rtl/>
        </w:rPr>
        <w:t xml:space="preserve"> </w:t>
      </w:r>
      <w:r>
        <w:rPr>
          <w:rFonts w:hint="cs"/>
          <w:color w:val="000000"/>
          <w:sz w:val="24"/>
          <w:rtl/>
        </w:rPr>
        <w:t>עליה</w:t>
      </w:r>
      <w:r w:rsidRPr="000E33BA">
        <w:rPr>
          <w:color w:val="000000"/>
          <w:sz w:val="24"/>
          <w:rtl/>
        </w:rPr>
        <w:t xml:space="preserve"> </w:t>
      </w:r>
      <w:r>
        <w:rPr>
          <w:rFonts w:hint="cs"/>
          <w:color w:val="000000"/>
          <w:sz w:val="24"/>
          <w:rtl/>
        </w:rPr>
        <w:t>לה</w:t>
      </w:r>
      <w:r w:rsidRPr="000E33BA">
        <w:rPr>
          <w:color w:val="000000"/>
          <w:sz w:val="24"/>
          <w:rtl/>
        </w:rPr>
        <w:t>גיש</w:t>
      </w:r>
      <w:r>
        <w:rPr>
          <w:rFonts w:hint="cs"/>
          <w:color w:val="000000"/>
          <w:sz w:val="24"/>
          <w:rtl/>
        </w:rPr>
        <w:t xml:space="preserve"> </w:t>
      </w:r>
      <w:r w:rsidRPr="000E33BA">
        <w:rPr>
          <w:color w:val="000000"/>
          <w:sz w:val="24"/>
          <w:rtl/>
        </w:rPr>
        <w:t>את הדוחות הכספיים שלה לשנת התקציב הקודמת לשר המשפטים ו</w:t>
      </w:r>
      <w:r>
        <w:rPr>
          <w:rFonts w:hint="cs"/>
          <w:color w:val="000000"/>
          <w:sz w:val="24"/>
          <w:rtl/>
        </w:rPr>
        <w:t>ל</w:t>
      </w:r>
      <w:r w:rsidR="00A667F7">
        <w:rPr>
          <w:rFonts w:hint="cs"/>
          <w:color w:val="000000"/>
          <w:sz w:val="24"/>
          <w:rtl/>
        </w:rPr>
        <w:t>ה</w:t>
      </w:r>
      <w:r w:rsidRPr="000E33BA">
        <w:rPr>
          <w:color w:val="000000"/>
          <w:sz w:val="24"/>
          <w:rtl/>
        </w:rPr>
        <w:t>עמיד אותם לעיון הציבור באתר האינטרנט שלה</w:t>
      </w:r>
      <w:r>
        <w:rPr>
          <w:rStyle w:val="FootnoteReference"/>
          <w:color w:val="000000"/>
          <w:sz w:val="24"/>
          <w:rtl/>
        </w:rPr>
        <w:footnoteReference w:id="13"/>
      </w:r>
      <w:r w:rsidRPr="000E33BA">
        <w:rPr>
          <w:color w:val="000000"/>
          <w:sz w:val="24"/>
          <w:rtl/>
        </w:rPr>
        <w:t>. הלוח שלהלן מתאר את המועדים שבהם נדרשה הלשכה להגיש את הדוחות הכספיים בכל שנה בשנים 201</w:t>
      </w:r>
      <w:r>
        <w:rPr>
          <w:rFonts w:hint="cs"/>
          <w:color w:val="000000"/>
          <w:sz w:val="24"/>
          <w:rtl/>
        </w:rPr>
        <w:t>4</w:t>
      </w:r>
      <w:r w:rsidRPr="000E33BA">
        <w:rPr>
          <w:color w:val="000000"/>
          <w:sz w:val="24"/>
          <w:rtl/>
        </w:rPr>
        <w:t xml:space="preserve"> - 2018 ואת המועד שבו אושרו הדוחות בפועל על ידי רואה החשבון המבקר של הלשכה: </w:t>
      </w:r>
    </w:p>
    <w:p w14:paraId="716DF0E7" w14:textId="5E3ACC34" w:rsidR="00387987" w:rsidRPr="005A27E8" w:rsidRDefault="00C857F9" w:rsidP="006373B0">
      <w:pPr>
        <w:pStyle w:val="a8"/>
        <w:bidi w:val="0"/>
        <w:rPr>
          <w:rtl/>
        </w:rPr>
      </w:pPr>
      <w:r>
        <w:rPr>
          <w:rtl/>
        </w:rPr>
        <w:br w:type="page"/>
      </w:r>
      <w:r w:rsidR="00387987">
        <w:rPr>
          <w:rFonts w:hint="cs"/>
          <w:rtl/>
        </w:rPr>
        <w:lastRenderedPageBreak/>
        <w:t>לוח</w:t>
      </w:r>
      <w:r w:rsidR="00387987" w:rsidRPr="005A27E8">
        <w:rPr>
          <w:rtl/>
        </w:rPr>
        <w:t xml:space="preserve"> 1: </w:t>
      </w:r>
      <w:r w:rsidR="00387987" w:rsidRPr="006373B0">
        <w:rPr>
          <w:rFonts w:hint="eastAsia"/>
          <w:b/>
          <w:bCs/>
          <w:rtl/>
        </w:rPr>
        <w:t>מועד</w:t>
      </w:r>
      <w:r w:rsidR="00387987" w:rsidRPr="006373B0">
        <w:rPr>
          <w:b/>
          <w:bCs/>
          <w:rtl/>
        </w:rPr>
        <w:t xml:space="preserve"> </w:t>
      </w:r>
      <w:r w:rsidR="00387987" w:rsidRPr="006373B0">
        <w:rPr>
          <w:rFonts w:hint="eastAsia"/>
          <w:b/>
          <w:bCs/>
          <w:rtl/>
        </w:rPr>
        <w:t>אישור</w:t>
      </w:r>
      <w:r w:rsidR="00387987" w:rsidRPr="006373B0">
        <w:rPr>
          <w:b/>
          <w:bCs/>
          <w:rtl/>
        </w:rPr>
        <w:t xml:space="preserve"> </w:t>
      </w:r>
      <w:r w:rsidR="00387987" w:rsidRPr="006373B0">
        <w:rPr>
          <w:rFonts w:hint="cs"/>
          <w:b/>
          <w:bCs/>
          <w:rtl/>
        </w:rPr>
        <w:t>ה</w:t>
      </w:r>
      <w:r w:rsidR="00387987" w:rsidRPr="006373B0">
        <w:rPr>
          <w:rFonts w:hint="eastAsia"/>
          <w:b/>
          <w:bCs/>
          <w:rtl/>
        </w:rPr>
        <w:t>דוחות</w:t>
      </w:r>
      <w:r w:rsidR="00387987" w:rsidRPr="006373B0">
        <w:rPr>
          <w:b/>
          <w:bCs/>
          <w:rtl/>
        </w:rPr>
        <w:t xml:space="preserve"> </w:t>
      </w:r>
      <w:r w:rsidR="00387987" w:rsidRPr="006373B0">
        <w:rPr>
          <w:rFonts w:hint="cs"/>
          <w:b/>
          <w:bCs/>
          <w:rtl/>
        </w:rPr>
        <w:t>ה</w:t>
      </w:r>
      <w:r w:rsidR="00387987" w:rsidRPr="006373B0">
        <w:rPr>
          <w:rFonts w:hint="eastAsia"/>
          <w:b/>
          <w:bCs/>
          <w:rtl/>
        </w:rPr>
        <w:t>כספיים</w:t>
      </w:r>
      <w:r w:rsidR="00387987" w:rsidRPr="006373B0">
        <w:rPr>
          <w:b/>
          <w:bCs/>
          <w:rtl/>
        </w:rPr>
        <w:t xml:space="preserve"> </w:t>
      </w:r>
      <w:r w:rsidR="00387987" w:rsidRPr="006373B0">
        <w:rPr>
          <w:rFonts w:hint="eastAsia"/>
          <w:b/>
          <w:bCs/>
          <w:rtl/>
        </w:rPr>
        <w:t>של</w:t>
      </w:r>
      <w:r w:rsidR="00387987" w:rsidRPr="006373B0">
        <w:rPr>
          <w:b/>
          <w:bCs/>
          <w:rtl/>
        </w:rPr>
        <w:t xml:space="preserve"> </w:t>
      </w:r>
      <w:r w:rsidR="00387987" w:rsidRPr="006373B0">
        <w:rPr>
          <w:rFonts w:hint="eastAsia"/>
          <w:b/>
          <w:bCs/>
          <w:rtl/>
        </w:rPr>
        <w:t>הלשכה</w:t>
      </w:r>
      <w:r w:rsidR="00387987" w:rsidRPr="006373B0">
        <w:rPr>
          <w:b/>
          <w:bCs/>
          <w:rtl/>
        </w:rPr>
        <w:t xml:space="preserve"> </w:t>
      </w:r>
      <w:r w:rsidR="00387987" w:rsidRPr="006373B0">
        <w:rPr>
          <w:rFonts w:hint="cs"/>
          <w:b/>
          <w:bCs/>
          <w:rtl/>
        </w:rPr>
        <w:t>ל</w:t>
      </w:r>
      <w:r w:rsidR="00387987" w:rsidRPr="006373B0">
        <w:rPr>
          <w:b/>
          <w:bCs/>
          <w:rtl/>
        </w:rPr>
        <w:t>שנים</w:t>
      </w:r>
      <w:r w:rsidR="00387987" w:rsidRPr="006373B0">
        <w:rPr>
          <w:rFonts w:hint="cs"/>
          <w:b/>
          <w:bCs/>
          <w:rtl/>
        </w:rPr>
        <w:t xml:space="preserve"> 2014 - 2018</w:t>
      </w:r>
    </w:p>
    <w:tbl>
      <w:tblPr>
        <w:tblStyle w:val="4-41"/>
        <w:bidiVisual/>
        <w:tblW w:w="8356" w:type="dxa"/>
        <w:tblInd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554"/>
        <w:gridCol w:w="1093"/>
        <w:gridCol w:w="1724"/>
        <w:gridCol w:w="1494"/>
        <w:gridCol w:w="1476"/>
      </w:tblGrid>
      <w:tr w:rsidR="00387987" w:rsidRPr="004E7761" w14:paraId="1B456A23" w14:textId="77777777" w:rsidTr="00637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Borders>
              <w:top w:val="none" w:sz="0" w:space="0" w:color="auto"/>
              <w:left w:val="none" w:sz="0" w:space="0" w:color="auto"/>
              <w:bottom w:val="none" w:sz="0" w:space="0" w:color="auto"/>
              <w:right w:val="none" w:sz="0" w:space="0" w:color="auto"/>
            </w:tcBorders>
            <w:shd w:val="clear" w:color="auto" w:fill="C6D9F1"/>
            <w:vAlign w:val="bottom"/>
          </w:tcPr>
          <w:p w14:paraId="21BFB5D8" w14:textId="77777777" w:rsidR="00387987" w:rsidRPr="00202068" w:rsidRDefault="00387987" w:rsidP="00202068">
            <w:pPr>
              <w:pStyle w:val="af"/>
              <w:rPr>
                <w:b/>
                <w:bCs/>
                <w:color w:val="auto"/>
                <w:rtl/>
              </w:rPr>
            </w:pPr>
            <w:r w:rsidRPr="00202068">
              <w:rPr>
                <w:rFonts w:hint="cs"/>
                <w:b/>
                <w:bCs/>
                <w:color w:val="auto"/>
                <w:rtl/>
              </w:rPr>
              <w:t xml:space="preserve">שנת התקציב </w:t>
            </w:r>
          </w:p>
        </w:tc>
        <w:tc>
          <w:tcPr>
            <w:tcW w:w="1585" w:type="dxa"/>
            <w:tcBorders>
              <w:top w:val="none" w:sz="0" w:space="0" w:color="auto"/>
              <w:left w:val="none" w:sz="0" w:space="0" w:color="auto"/>
              <w:bottom w:val="none" w:sz="0" w:space="0" w:color="auto"/>
              <w:right w:val="none" w:sz="0" w:space="0" w:color="auto"/>
            </w:tcBorders>
            <w:shd w:val="clear" w:color="auto" w:fill="C6D9F1"/>
            <w:vAlign w:val="bottom"/>
          </w:tcPr>
          <w:p w14:paraId="52AFF6E9" w14:textId="77777777" w:rsidR="00387987" w:rsidRPr="00202068" w:rsidRDefault="00387987" w:rsidP="00202068">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202068">
              <w:rPr>
                <w:rFonts w:hint="cs"/>
                <w:b/>
                <w:bCs/>
                <w:color w:val="auto"/>
                <w:rtl/>
              </w:rPr>
              <w:t xml:space="preserve">מועד אישור התקציב על ידי המועצה </w:t>
            </w:r>
          </w:p>
        </w:tc>
        <w:tc>
          <w:tcPr>
            <w:tcW w:w="1113" w:type="dxa"/>
            <w:tcBorders>
              <w:top w:val="none" w:sz="0" w:space="0" w:color="auto"/>
              <w:left w:val="none" w:sz="0" w:space="0" w:color="auto"/>
              <w:bottom w:val="none" w:sz="0" w:space="0" w:color="auto"/>
              <w:right w:val="none" w:sz="0" w:space="0" w:color="auto"/>
            </w:tcBorders>
            <w:shd w:val="clear" w:color="auto" w:fill="C6D9F1"/>
            <w:vAlign w:val="bottom"/>
          </w:tcPr>
          <w:p w14:paraId="43A02182" w14:textId="77777777" w:rsidR="00387987" w:rsidRPr="00202068" w:rsidRDefault="00387987" w:rsidP="00202068">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202068">
              <w:rPr>
                <w:rFonts w:hint="cs"/>
                <w:b/>
                <w:bCs/>
                <w:color w:val="auto"/>
                <w:rtl/>
              </w:rPr>
              <w:t>שנת הדוח הכספי</w:t>
            </w:r>
          </w:p>
        </w:tc>
        <w:tc>
          <w:tcPr>
            <w:tcW w:w="1784" w:type="dxa"/>
            <w:tcBorders>
              <w:top w:val="none" w:sz="0" w:space="0" w:color="auto"/>
              <w:left w:val="none" w:sz="0" w:space="0" w:color="auto"/>
              <w:bottom w:val="none" w:sz="0" w:space="0" w:color="auto"/>
              <w:right w:val="none" w:sz="0" w:space="0" w:color="auto"/>
            </w:tcBorders>
            <w:shd w:val="clear" w:color="auto" w:fill="C6D9F1"/>
            <w:vAlign w:val="bottom"/>
          </w:tcPr>
          <w:p w14:paraId="71326266" w14:textId="77777777" w:rsidR="00387987" w:rsidRPr="00202068" w:rsidRDefault="00387987" w:rsidP="00202068">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202068">
              <w:rPr>
                <w:rFonts w:hint="cs"/>
                <w:b/>
                <w:bCs/>
                <w:color w:val="auto"/>
                <w:rtl/>
              </w:rPr>
              <w:t>מועד ההגשה הנדרש לפי החוק והכללים</w:t>
            </w:r>
          </w:p>
        </w:tc>
        <w:tc>
          <w:tcPr>
            <w:tcW w:w="1539" w:type="dxa"/>
            <w:tcBorders>
              <w:top w:val="none" w:sz="0" w:space="0" w:color="auto"/>
              <w:left w:val="none" w:sz="0" w:space="0" w:color="auto"/>
              <w:bottom w:val="none" w:sz="0" w:space="0" w:color="auto"/>
              <w:right w:val="none" w:sz="0" w:space="0" w:color="auto"/>
            </w:tcBorders>
            <w:shd w:val="clear" w:color="auto" w:fill="C6D9F1"/>
            <w:vAlign w:val="bottom"/>
          </w:tcPr>
          <w:p w14:paraId="34F5CBA8" w14:textId="77777777" w:rsidR="00387987" w:rsidRPr="00202068" w:rsidRDefault="00387987" w:rsidP="00202068">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202068">
              <w:rPr>
                <w:rFonts w:hint="cs"/>
                <w:b/>
                <w:bCs/>
                <w:color w:val="auto"/>
                <w:rtl/>
              </w:rPr>
              <w:t>אישור הדוח בפועל על ידי רו"ח מבקר</w:t>
            </w:r>
            <w:r w:rsidRPr="00DD2BA9">
              <w:rPr>
                <w:rStyle w:val="FootnoteReference"/>
                <w:b/>
                <w:bCs/>
                <w:color w:val="auto"/>
                <w:rtl/>
              </w:rPr>
              <w:footnoteReference w:id="14"/>
            </w:r>
          </w:p>
        </w:tc>
        <w:tc>
          <w:tcPr>
            <w:tcW w:w="1510" w:type="dxa"/>
            <w:tcBorders>
              <w:top w:val="none" w:sz="0" w:space="0" w:color="auto"/>
              <w:left w:val="none" w:sz="0" w:space="0" w:color="auto"/>
              <w:bottom w:val="none" w:sz="0" w:space="0" w:color="auto"/>
              <w:right w:val="none" w:sz="0" w:space="0" w:color="auto"/>
            </w:tcBorders>
            <w:shd w:val="clear" w:color="auto" w:fill="C6D9F1"/>
            <w:vAlign w:val="bottom"/>
          </w:tcPr>
          <w:p w14:paraId="5492B563" w14:textId="77777777" w:rsidR="00387987" w:rsidRPr="00202068" w:rsidRDefault="00387987" w:rsidP="00202068">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202068">
              <w:rPr>
                <w:rFonts w:hint="cs"/>
                <w:b/>
                <w:bCs/>
                <w:color w:val="auto"/>
                <w:rtl/>
              </w:rPr>
              <w:t>פער בחודשים</w:t>
            </w:r>
          </w:p>
        </w:tc>
      </w:tr>
      <w:tr w:rsidR="00387987" w:rsidRPr="004E7761" w14:paraId="50FEE226" w14:textId="77777777" w:rsidTr="00C85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bottom"/>
          </w:tcPr>
          <w:p w14:paraId="51058C04" w14:textId="77777777" w:rsidR="00387987" w:rsidRPr="0063730B" w:rsidRDefault="00387987" w:rsidP="0063730B">
            <w:pPr>
              <w:pStyle w:val="B"/>
              <w:rPr>
                <w:szCs w:val="20"/>
                <w:rtl/>
              </w:rPr>
            </w:pPr>
            <w:r w:rsidRPr="0063730B">
              <w:rPr>
                <w:rFonts w:hint="cs"/>
                <w:szCs w:val="20"/>
                <w:rtl/>
              </w:rPr>
              <w:t>2015</w:t>
            </w:r>
          </w:p>
        </w:tc>
        <w:tc>
          <w:tcPr>
            <w:tcW w:w="1585" w:type="dxa"/>
            <w:shd w:val="clear" w:color="auto" w:fill="auto"/>
            <w:vAlign w:val="bottom"/>
          </w:tcPr>
          <w:p w14:paraId="5CD96458"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tl/>
              </w:rPr>
              <w:t>23.11.2014</w:t>
            </w:r>
          </w:p>
        </w:tc>
        <w:tc>
          <w:tcPr>
            <w:tcW w:w="1113" w:type="dxa"/>
            <w:shd w:val="clear" w:color="auto" w:fill="auto"/>
            <w:vAlign w:val="bottom"/>
          </w:tcPr>
          <w:p w14:paraId="1AEB7D94" w14:textId="77777777" w:rsidR="00387987" w:rsidRPr="0063730B" w:rsidRDefault="00387987" w:rsidP="0063730B">
            <w:pPr>
              <w:pStyle w:val="B"/>
              <w:cnfStyle w:val="000000100000" w:firstRow="0" w:lastRow="0" w:firstColumn="0" w:lastColumn="0" w:oddVBand="0" w:evenVBand="0" w:oddHBand="1" w:evenHBand="0" w:firstRowFirstColumn="0" w:firstRowLastColumn="0" w:lastRowFirstColumn="0" w:lastRowLastColumn="0"/>
              <w:rPr>
                <w:szCs w:val="20"/>
                <w:rtl/>
              </w:rPr>
            </w:pPr>
            <w:r w:rsidRPr="0063730B">
              <w:rPr>
                <w:rFonts w:hint="cs"/>
                <w:szCs w:val="20"/>
                <w:rtl/>
              </w:rPr>
              <w:t>2014</w:t>
            </w:r>
          </w:p>
        </w:tc>
        <w:tc>
          <w:tcPr>
            <w:tcW w:w="1784" w:type="dxa"/>
            <w:shd w:val="clear" w:color="auto" w:fill="auto"/>
            <w:vAlign w:val="bottom"/>
          </w:tcPr>
          <w:p w14:paraId="573D6909"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Fonts w:hint="cs"/>
                <w:rtl/>
              </w:rPr>
              <w:t>23.2.15</w:t>
            </w:r>
          </w:p>
        </w:tc>
        <w:tc>
          <w:tcPr>
            <w:tcW w:w="1539" w:type="dxa"/>
            <w:shd w:val="clear" w:color="auto" w:fill="auto"/>
            <w:vAlign w:val="bottom"/>
          </w:tcPr>
          <w:p w14:paraId="69F3690A"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Fonts w:hint="cs"/>
                <w:rtl/>
              </w:rPr>
              <w:t>26.1.17</w:t>
            </w:r>
          </w:p>
        </w:tc>
        <w:tc>
          <w:tcPr>
            <w:tcW w:w="1510" w:type="dxa"/>
            <w:shd w:val="clear" w:color="auto" w:fill="auto"/>
            <w:vAlign w:val="bottom"/>
          </w:tcPr>
          <w:p w14:paraId="3A119E9E"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Fonts w:hint="cs"/>
                <w:rtl/>
              </w:rPr>
              <w:t>23 חודשים</w:t>
            </w:r>
          </w:p>
        </w:tc>
      </w:tr>
      <w:tr w:rsidR="00387987" w:rsidRPr="004E7761" w14:paraId="28853D9C" w14:textId="77777777" w:rsidTr="00C857F9">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bottom"/>
          </w:tcPr>
          <w:p w14:paraId="5D36A1F9" w14:textId="77777777" w:rsidR="00387987" w:rsidRPr="0063730B" w:rsidRDefault="00387987" w:rsidP="0063730B">
            <w:pPr>
              <w:pStyle w:val="B"/>
              <w:rPr>
                <w:szCs w:val="20"/>
                <w:rtl/>
              </w:rPr>
            </w:pPr>
            <w:r w:rsidRPr="0063730B">
              <w:rPr>
                <w:rFonts w:hint="cs"/>
                <w:szCs w:val="20"/>
                <w:rtl/>
              </w:rPr>
              <w:t>2016</w:t>
            </w:r>
          </w:p>
        </w:tc>
        <w:tc>
          <w:tcPr>
            <w:tcW w:w="1585" w:type="dxa"/>
            <w:shd w:val="clear" w:color="auto" w:fill="auto"/>
            <w:vAlign w:val="bottom"/>
          </w:tcPr>
          <w:p w14:paraId="13F0A2F4" w14:textId="77777777" w:rsidR="00387987" w:rsidRPr="0063730B" w:rsidRDefault="00387987" w:rsidP="0063730B">
            <w:pPr>
              <w:pStyle w:val="R"/>
              <w:cnfStyle w:val="000000000000" w:firstRow="0" w:lastRow="0" w:firstColumn="0" w:lastColumn="0" w:oddVBand="0" w:evenVBand="0" w:oddHBand="0" w:evenHBand="0" w:firstRowFirstColumn="0" w:firstRowLastColumn="0" w:lastRowFirstColumn="0" w:lastRowLastColumn="0"/>
              <w:rPr>
                <w:rtl/>
              </w:rPr>
            </w:pPr>
            <w:r w:rsidRPr="0063730B">
              <w:rPr>
                <w:rFonts w:hint="cs"/>
                <w:rtl/>
              </w:rPr>
              <w:t>2</w:t>
            </w:r>
            <w:r w:rsidRPr="0063730B">
              <w:rPr>
                <w:rtl/>
              </w:rPr>
              <w:t>3.11.2015</w:t>
            </w:r>
          </w:p>
        </w:tc>
        <w:tc>
          <w:tcPr>
            <w:tcW w:w="1113" w:type="dxa"/>
            <w:shd w:val="clear" w:color="auto" w:fill="auto"/>
            <w:vAlign w:val="bottom"/>
          </w:tcPr>
          <w:p w14:paraId="11A827C9" w14:textId="77777777" w:rsidR="00387987" w:rsidRPr="0063730B" w:rsidRDefault="00387987" w:rsidP="0063730B">
            <w:pPr>
              <w:pStyle w:val="B"/>
              <w:cnfStyle w:val="000000000000" w:firstRow="0" w:lastRow="0" w:firstColumn="0" w:lastColumn="0" w:oddVBand="0" w:evenVBand="0" w:oddHBand="0" w:evenHBand="0" w:firstRowFirstColumn="0" w:firstRowLastColumn="0" w:lastRowFirstColumn="0" w:lastRowLastColumn="0"/>
              <w:rPr>
                <w:szCs w:val="20"/>
                <w:rtl/>
              </w:rPr>
            </w:pPr>
            <w:r w:rsidRPr="0063730B">
              <w:rPr>
                <w:rFonts w:hint="cs"/>
                <w:szCs w:val="20"/>
                <w:rtl/>
              </w:rPr>
              <w:t>2015</w:t>
            </w:r>
          </w:p>
        </w:tc>
        <w:tc>
          <w:tcPr>
            <w:tcW w:w="1784" w:type="dxa"/>
            <w:shd w:val="clear" w:color="auto" w:fill="auto"/>
            <w:vAlign w:val="bottom"/>
          </w:tcPr>
          <w:p w14:paraId="7B0B05E2" w14:textId="77777777" w:rsidR="00387987" w:rsidRPr="0063730B" w:rsidRDefault="00387987" w:rsidP="0063730B">
            <w:pPr>
              <w:pStyle w:val="R"/>
              <w:cnfStyle w:val="000000000000" w:firstRow="0" w:lastRow="0" w:firstColumn="0" w:lastColumn="0" w:oddVBand="0" w:evenVBand="0" w:oddHBand="0" w:evenHBand="0" w:firstRowFirstColumn="0" w:firstRowLastColumn="0" w:lastRowFirstColumn="0" w:lastRowLastColumn="0"/>
              <w:rPr>
                <w:rtl/>
              </w:rPr>
            </w:pPr>
            <w:r w:rsidRPr="0063730B">
              <w:rPr>
                <w:rFonts w:hint="cs"/>
                <w:rtl/>
              </w:rPr>
              <w:t>23.2.16</w:t>
            </w:r>
          </w:p>
        </w:tc>
        <w:tc>
          <w:tcPr>
            <w:tcW w:w="1539" w:type="dxa"/>
            <w:shd w:val="clear" w:color="auto" w:fill="auto"/>
            <w:vAlign w:val="bottom"/>
          </w:tcPr>
          <w:p w14:paraId="70EDB452" w14:textId="77777777" w:rsidR="00387987" w:rsidRPr="0063730B" w:rsidRDefault="00387987" w:rsidP="0063730B">
            <w:pPr>
              <w:pStyle w:val="R"/>
              <w:cnfStyle w:val="000000000000" w:firstRow="0" w:lastRow="0" w:firstColumn="0" w:lastColumn="0" w:oddVBand="0" w:evenVBand="0" w:oddHBand="0" w:evenHBand="0" w:firstRowFirstColumn="0" w:firstRowLastColumn="0" w:lastRowFirstColumn="0" w:lastRowLastColumn="0"/>
              <w:rPr>
                <w:rtl/>
              </w:rPr>
            </w:pPr>
            <w:r w:rsidRPr="0063730B">
              <w:rPr>
                <w:rFonts w:hint="cs"/>
                <w:rtl/>
              </w:rPr>
              <w:t xml:space="preserve">14.11.17 </w:t>
            </w:r>
          </w:p>
        </w:tc>
        <w:tc>
          <w:tcPr>
            <w:tcW w:w="1510" w:type="dxa"/>
            <w:shd w:val="clear" w:color="auto" w:fill="auto"/>
            <w:vAlign w:val="bottom"/>
          </w:tcPr>
          <w:p w14:paraId="6A2BAC7E" w14:textId="77777777" w:rsidR="00387987" w:rsidRPr="0063730B" w:rsidRDefault="00387987" w:rsidP="0063730B">
            <w:pPr>
              <w:pStyle w:val="R"/>
              <w:cnfStyle w:val="000000000000" w:firstRow="0" w:lastRow="0" w:firstColumn="0" w:lastColumn="0" w:oddVBand="0" w:evenVBand="0" w:oddHBand="0" w:evenHBand="0" w:firstRowFirstColumn="0" w:firstRowLastColumn="0" w:lastRowFirstColumn="0" w:lastRowLastColumn="0"/>
              <w:rPr>
                <w:rtl/>
              </w:rPr>
            </w:pPr>
            <w:r w:rsidRPr="0063730B">
              <w:rPr>
                <w:rFonts w:hint="cs"/>
                <w:rtl/>
              </w:rPr>
              <w:t>20 חודשים</w:t>
            </w:r>
          </w:p>
        </w:tc>
      </w:tr>
      <w:tr w:rsidR="00387987" w:rsidRPr="004E7761" w14:paraId="1FB3A42D" w14:textId="77777777" w:rsidTr="00C85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bottom"/>
          </w:tcPr>
          <w:p w14:paraId="1A99495D" w14:textId="77777777" w:rsidR="00387987" w:rsidRPr="0063730B" w:rsidRDefault="00387987" w:rsidP="0063730B">
            <w:pPr>
              <w:pStyle w:val="B"/>
              <w:rPr>
                <w:szCs w:val="20"/>
                <w:rtl/>
              </w:rPr>
            </w:pPr>
            <w:r w:rsidRPr="0063730B">
              <w:rPr>
                <w:rFonts w:hint="cs"/>
                <w:szCs w:val="20"/>
                <w:rtl/>
              </w:rPr>
              <w:t>2017</w:t>
            </w:r>
          </w:p>
        </w:tc>
        <w:tc>
          <w:tcPr>
            <w:tcW w:w="1585" w:type="dxa"/>
            <w:shd w:val="clear" w:color="auto" w:fill="auto"/>
            <w:vAlign w:val="bottom"/>
          </w:tcPr>
          <w:p w14:paraId="05A03766"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Fonts w:hint="cs"/>
                <w:rtl/>
              </w:rPr>
              <w:t>7</w:t>
            </w:r>
            <w:r w:rsidRPr="0063730B">
              <w:rPr>
                <w:rtl/>
              </w:rPr>
              <w:t>.11.2016</w:t>
            </w:r>
          </w:p>
        </w:tc>
        <w:tc>
          <w:tcPr>
            <w:tcW w:w="1113" w:type="dxa"/>
            <w:shd w:val="clear" w:color="auto" w:fill="auto"/>
            <w:vAlign w:val="bottom"/>
          </w:tcPr>
          <w:p w14:paraId="6E7A09E3" w14:textId="77777777" w:rsidR="00387987" w:rsidRPr="0063730B" w:rsidRDefault="00387987" w:rsidP="0063730B">
            <w:pPr>
              <w:pStyle w:val="B"/>
              <w:cnfStyle w:val="000000100000" w:firstRow="0" w:lastRow="0" w:firstColumn="0" w:lastColumn="0" w:oddVBand="0" w:evenVBand="0" w:oddHBand="1" w:evenHBand="0" w:firstRowFirstColumn="0" w:firstRowLastColumn="0" w:lastRowFirstColumn="0" w:lastRowLastColumn="0"/>
              <w:rPr>
                <w:szCs w:val="20"/>
                <w:rtl/>
              </w:rPr>
            </w:pPr>
            <w:r w:rsidRPr="0063730B">
              <w:rPr>
                <w:rFonts w:hint="cs"/>
                <w:szCs w:val="20"/>
                <w:rtl/>
              </w:rPr>
              <w:t>2016</w:t>
            </w:r>
          </w:p>
        </w:tc>
        <w:tc>
          <w:tcPr>
            <w:tcW w:w="1784" w:type="dxa"/>
            <w:shd w:val="clear" w:color="auto" w:fill="auto"/>
            <w:vAlign w:val="bottom"/>
          </w:tcPr>
          <w:p w14:paraId="5ADA2E64"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Fonts w:hint="cs"/>
                <w:rtl/>
              </w:rPr>
              <w:t>7.2.17</w:t>
            </w:r>
          </w:p>
        </w:tc>
        <w:tc>
          <w:tcPr>
            <w:tcW w:w="1539" w:type="dxa"/>
            <w:shd w:val="clear" w:color="auto" w:fill="auto"/>
            <w:vAlign w:val="bottom"/>
          </w:tcPr>
          <w:p w14:paraId="7F32A5F0"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Fonts w:hint="cs"/>
                <w:rtl/>
              </w:rPr>
              <w:t>10.12.18</w:t>
            </w:r>
          </w:p>
        </w:tc>
        <w:tc>
          <w:tcPr>
            <w:tcW w:w="1510" w:type="dxa"/>
            <w:shd w:val="clear" w:color="auto" w:fill="auto"/>
            <w:vAlign w:val="bottom"/>
          </w:tcPr>
          <w:p w14:paraId="5514F2CE"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Fonts w:hint="cs"/>
                <w:rtl/>
              </w:rPr>
              <w:t>21 חודשים</w:t>
            </w:r>
          </w:p>
        </w:tc>
      </w:tr>
      <w:tr w:rsidR="00387987" w:rsidRPr="004E7761" w14:paraId="4B996B0F" w14:textId="77777777" w:rsidTr="00C857F9">
        <w:trPr>
          <w:trHeight w:val="278"/>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bottom"/>
          </w:tcPr>
          <w:p w14:paraId="49AE15EF" w14:textId="77777777" w:rsidR="00387987" w:rsidRPr="0063730B" w:rsidRDefault="00387987" w:rsidP="0063730B">
            <w:pPr>
              <w:pStyle w:val="B"/>
              <w:rPr>
                <w:szCs w:val="20"/>
                <w:rtl/>
              </w:rPr>
            </w:pPr>
            <w:r w:rsidRPr="0063730B">
              <w:rPr>
                <w:rFonts w:hint="cs"/>
                <w:szCs w:val="20"/>
                <w:rtl/>
              </w:rPr>
              <w:t>2018</w:t>
            </w:r>
          </w:p>
        </w:tc>
        <w:tc>
          <w:tcPr>
            <w:tcW w:w="1585" w:type="dxa"/>
            <w:shd w:val="clear" w:color="auto" w:fill="auto"/>
            <w:vAlign w:val="bottom"/>
          </w:tcPr>
          <w:p w14:paraId="368C4585" w14:textId="77777777" w:rsidR="00387987" w:rsidRPr="0063730B" w:rsidRDefault="00387987" w:rsidP="0063730B">
            <w:pPr>
              <w:pStyle w:val="R"/>
              <w:cnfStyle w:val="000000000000" w:firstRow="0" w:lastRow="0" w:firstColumn="0" w:lastColumn="0" w:oddVBand="0" w:evenVBand="0" w:oddHBand="0" w:evenHBand="0" w:firstRowFirstColumn="0" w:firstRowLastColumn="0" w:lastRowFirstColumn="0" w:lastRowLastColumn="0"/>
              <w:rPr>
                <w:rtl/>
              </w:rPr>
            </w:pPr>
            <w:r w:rsidRPr="0063730B">
              <w:rPr>
                <w:rtl/>
              </w:rPr>
              <w:t>13.9.2017</w:t>
            </w:r>
          </w:p>
        </w:tc>
        <w:tc>
          <w:tcPr>
            <w:tcW w:w="1113" w:type="dxa"/>
            <w:shd w:val="clear" w:color="auto" w:fill="auto"/>
            <w:vAlign w:val="bottom"/>
          </w:tcPr>
          <w:p w14:paraId="3E53D509" w14:textId="77777777" w:rsidR="00387987" w:rsidRPr="0063730B" w:rsidRDefault="00387987" w:rsidP="0063730B">
            <w:pPr>
              <w:pStyle w:val="B"/>
              <w:cnfStyle w:val="000000000000" w:firstRow="0" w:lastRow="0" w:firstColumn="0" w:lastColumn="0" w:oddVBand="0" w:evenVBand="0" w:oddHBand="0" w:evenHBand="0" w:firstRowFirstColumn="0" w:firstRowLastColumn="0" w:lastRowFirstColumn="0" w:lastRowLastColumn="0"/>
              <w:rPr>
                <w:szCs w:val="20"/>
                <w:rtl/>
              </w:rPr>
            </w:pPr>
            <w:r w:rsidRPr="0063730B">
              <w:rPr>
                <w:rFonts w:hint="cs"/>
                <w:szCs w:val="20"/>
                <w:rtl/>
              </w:rPr>
              <w:t>2017</w:t>
            </w:r>
          </w:p>
        </w:tc>
        <w:tc>
          <w:tcPr>
            <w:tcW w:w="1784" w:type="dxa"/>
            <w:shd w:val="clear" w:color="auto" w:fill="auto"/>
            <w:vAlign w:val="bottom"/>
          </w:tcPr>
          <w:p w14:paraId="31208C51" w14:textId="77777777" w:rsidR="00387987" w:rsidRPr="0063730B" w:rsidRDefault="00387987" w:rsidP="0063730B">
            <w:pPr>
              <w:pStyle w:val="R"/>
              <w:cnfStyle w:val="000000000000" w:firstRow="0" w:lastRow="0" w:firstColumn="0" w:lastColumn="0" w:oddVBand="0" w:evenVBand="0" w:oddHBand="0" w:evenHBand="0" w:firstRowFirstColumn="0" w:firstRowLastColumn="0" w:lastRowFirstColumn="0" w:lastRowLastColumn="0"/>
              <w:rPr>
                <w:rtl/>
              </w:rPr>
            </w:pPr>
            <w:r w:rsidRPr="0063730B">
              <w:rPr>
                <w:rFonts w:hint="cs"/>
                <w:rtl/>
              </w:rPr>
              <w:t>13.12.17</w:t>
            </w:r>
          </w:p>
        </w:tc>
        <w:tc>
          <w:tcPr>
            <w:tcW w:w="1539" w:type="dxa"/>
            <w:shd w:val="clear" w:color="auto" w:fill="auto"/>
            <w:vAlign w:val="bottom"/>
          </w:tcPr>
          <w:p w14:paraId="48B3D54B" w14:textId="77777777" w:rsidR="00387987" w:rsidRPr="0063730B" w:rsidRDefault="00387987" w:rsidP="0063730B">
            <w:pPr>
              <w:pStyle w:val="R"/>
              <w:cnfStyle w:val="000000000000" w:firstRow="0" w:lastRow="0" w:firstColumn="0" w:lastColumn="0" w:oddVBand="0" w:evenVBand="0" w:oddHBand="0" w:evenHBand="0" w:firstRowFirstColumn="0" w:firstRowLastColumn="0" w:lastRowFirstColumn="0" w:lastRowLastColumn="0"/>
              <w:rPr>
                <w:rtl/>
              </w:rPr>
            </w:pPr>
            <w:r w:rsidRPr="0063730B">
              <w:rPr>
                <w:rFonts w:hint="cs"/>
                <w:rtl/>
              </w:rPr>
              <w:t>20.8.19</w:t>
            </w:r>
          </w:p>
        </w:tc>
        <w:tc>
          <w:tcPr>
            <w:tcW w:w="1510" w:type="dxa"/>
            <w:shd w:val="clear" w:color="auto" w:fill="auto"/>
            <w:vAlign w:val="bottom"/>
          </w:tcPr>
          <w:p w14:paraId="360A7E3B" w14:textId="77777777" w:rsidR="00387987" w:rsidRPr="0063730B" w:rsidRDefault="00387987" w:rsidP="0063730B">
            <w:pPr>
              <w:pStyle w:val="R"/>
              <w:cnfStyle w:val="000000000000" w:firstRow="0" w:lastRow="0" w:firstColumn="0" w:lastColumn="0" w:oddVBand="0" w:evenVBand="0" w:oddHBand="0" w:evenHBand="0" w:firstRowFirstColumn="0" w:firstRowLastColumn="0" w:lastRowFirstColumn="0" w:lastRowLastColumn="0"/>
              <w:rPr>
                <w:rtl/>
              </w:rPr>
            </w:pPr>
            <w:r w:rsidRPr="0063730B">
              <w:rPr>
                <w:rFonts w:hint="cs"/>
                <w:rtl/>
              </w:rPr>
              <w:t>17 חודשים*</w:t>
            </w:r>
          </w:p>
        </w:tc>
      </w:tr>
      <w:tr w:rsidR="00387987" w:rsidRPr="004E7761" w14:paraId="775D558D" w14:textId="77777777" w:rsidTr="00C857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bottom"/>
          </w:tcPr>
          <w:p w14:paraId="57ACFF2E" w14:textId="77777777" w:rsidR="00387987" w:rsidRPr="0063730B" w:rsidRDefault="00387987" w:rsidP="0063730B">
            <w:pPr>
              <w:pStyle w:val="B"/>
              <w:rPr>
                <w:szCs w:val="20"/>
                <w:rtl/>
              </w:rPr>
            </w:pPr>
            <w:r w:rsidRPr="0063730B">
              <w:rPr>
                <w:rFonts w:hint="cs"/>
                <w:szCs w:val="20"/>
                <w:rtl/>
              </w:rPr>
              <w:t>2019</w:t>
            </w:r>
          </w:p>
        </w:tc>
        <w:tc>
          <w:tcPr>
            <w:tcW w:w="1585" w:type="dxa"/>
            <w:shd w:val="clear" w:color="auto" w:fill="auto"/>
            <w:vAlign w:val="bottom"/>
          </w:tcPr>
          <w:p w14:paraId="22C674A9"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tl/>
              </w:rPr>
              <w:t>5.9.2018</w:t>
            </w:r>
          </w:p>
        </w:tc>
        <w:tc>
          <w:tcPr>
            <w:tcW w:w="1113" w:type="dxa"/>
            <w:shd w:val="clear" w:color="auto" w:fill="auto"/>
            <w:vAlign w:val="bottom"/>
          </w:tcPr>
          <w:p w14:paraId="32762EEB" w14:textId="77777777" w:rsidR="00387987" w:rsidRPr="0063730B" w:rsidRDefault="00387987" w:rsidP="0063730B">
            <w:pPr>
              <w:pStyle w:val="B"/>
              <w:cnfStyle w:val="000000100000" w:firstRow="0" w:lastRow="0" w:firstColumn="0" w:lastColumn="0" w:oddVBand="0" w:evenVBand="0" w:oddHBand="1" w:evenHBand="0" w:firstRowFirstColumn="0" w:firstRowLastColumn="0" w:lastRowFirstColumn="0" w:lastRowLastColumn="0"/>
              <w:rPr>
                <w:szCs w:val="20"/>
                <w:rtl/>
              </w:rPr>
            </w:pPr>
            <w:r w:rsidRPr="0063730B">
              <w:rPr>
                <w:rFonts w:hint="cs"/>
                <w:szCs w:val="20"/>
                <w:rtl/>
              </w:rPr>
              <w:t>2018</w:t>
            </w:r>
          </w:p>
        </w:tc>
        <w:tc>
          <w:tcPr>
            <w:tcW w:w="1784" w:type="dxa"/>
            <w:shd w:val="clear" w:color="auto" w:fill="auto"/>
            <w:vAlign w:val="bottom"/>
          </w:tcPr>
          <w:p w14:paraId="7AF2B7B2"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Fonts w:hint="cs"/>
                <w:rtl/>
              </w:rPr>
              <w:t>5.12.18</w:t>
            </w:r>
          </w:p>
        </w:tc>
        <w:tc>
          <w:tcPr>
            <w:tcW w:w="1539" w:type="dxa"/>
            <w:shd w:val="clear" w:color="auto" w:fill="auto"/>
            <w:vAlign w:val="bottom"/>
          </w:tcPr>
          <w:p w14:paraId="4C7E2F0F"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r w:rsidRPr="0063730B">
              <w:rPr>
                <w:rFonts w:hint="cs"/>
                <w:rtl/>
              </w:rPr>
              <w:t>טרם אושר</w:t>
            </w:r>
          </w:p>
        </w:tc>
        <w:tc>
          <w:tcPr>
            <w:tcW w:w="1510" w:type="dxa"/>
            <w:shd w:val="clear" w:color="auto" w:fill="auto"/>
            <w:vAlign w:val="bottom"/>
          </w:tcPr>
          <w:p w14:paraId="1FE034FB" w14:textId="77777777" w:rsidR="00387987" w:rsidRPr="0063730B" w:rsidRDefault="00387987" w:rsidP="0063730B">
            <w:pPr>
              <w:pStyle w:val="R"/>
              <w:cnfStyle w:val="000000100000" w:firstRow="0" w:lastRow="0" w:firstColumn="0" w:lastColumn="0" w:oddVBand="0" w:evenVBand="0" w:oddHBand="1" w:evenHBand="0" w:firstRowFirstColumn="0" w:firstRowLastColumn="0" w:lastRowFirstColumn="0" w:lastRowLastColumn="0"/>
              <w:rPr>
                <w:rtl/>
              </w:rPr>
            </w:pPr>
          </w:p>
        </w:tc>
      </w:tr>
    </w:tbl>
    <w:p w14:paraId="52A7F04B" w14:textId="3024BD30" w:rsidR="00387987" w:rsidRPr="004E7761" w:rsidRDefault="00387987" w:rsidP="00706474">
      <w:pPr>
        <w:pStyle w:val="aa"/>
        <w:rPr>
          <w:rtl/>
        </w:rPr>
      </w:pPr>
      <w:r w:rsidRPr="004E7761">
        <w:rPr>
          <w:rFonts w:hint="cs"/>
          <w:rtl/>
        </w:rPr>
        <w:t xml:space="preserve">*לאור העובדה שלא ניתן לערוך דוח כספי לפני תום שנת הכספים חושב הפער ממועד ההגשה </w:t>
      </w:r>
      <w:r w:rsidR="00454092">
        <w:rPr>
          <w:rFonts w:hint="cs"/>
          <w:rtl/>
        </w:rPr>
        <w:t>המאוחר.</w:t>
      </w:r>
    </w:p>
    <w:p w14:paraId="0FBA40A5" w14:textId="77777777" w:rsidR="00387987" w:rsidRPr="004E7761" w:rsidRDefault="00387987" w:rsidP="00706474">
      <w:pPr>
        <w:pStyle w:val="aa"/>
        <w:rPr>
          <w:rtl/>
        </w:rPr>
      </w:pPr>
      <w:r w:rsidRPr="004E7761">
        <w:rPr>
          <w:rFonts w:hint="eastAsia"/>
          <w:rtl/>
        </w:rPr>
        <w:t>המקור</w:t>
      </w:r>
      <w:r w:rsidRPr="004E7761">
        <w:rPr>
          <w:rtl/>
        </w:rPr>
        <w:t xml:space="preserve">: </w:t>
      </w:r>
      <w:r w:rsidRPr="004E7761">
        <w:rPr>
          <w:rFonts w:hint="cs"/>
          <w:rtl/>
        </w:rPr>
        <w:t>ה</w:t>
      </w:r>
      <w:r w:rsidRPr="004E7761">
        <w:rPr>
          <w:rFonts w:hint="eastAsia"/>
          <w:rtl/>
        </w:rPr>
        <w:t>דוחות</w:t>
      </w:r>
      <w:r w:rsidRPr="004E7761">
        <w:rPr>
          <w:rtl/>
        </w:rPr>
        <w:t xml:space="preserve"> </w:t>
      </w:r>
      <w:r w:rsidRPr="004E7761">
        <w:rPr>
          <w:rFonts w:hint="cs"/>
          <w:rtl/>
        </w:rPr>
        <w:t>ה</w:t>
      </w:r>
      <w:r w:rsidRPr="004E7761">
        <w:rPr>
          <w:rFonts w:hint="eastAsia"/>
          <w:rtl/>
        </w:rPr>
        <w:t>כספיים</w:t>
      </w:r>
      <w:r w:rsidRPr="004E7761">
        <w:rPr>
          <w:rtl/>
        </w:rPr>
        <w:t xml:space="preserve"> </w:t>
      </w:r>
      <w:r w:rsidRPr="004E7761">
        <w:rPr>
          <w:rFonts w:hint="cs"/>
          <w:rtl/>
        </w:rPr>
        <w:t>ה</w:t>
      </w:r>
      <w:r w:rsidRPr="004E7761">
        <w:rPr>
          <w:rFonts w:hint="eastAsia"/>
          <w:rtl/>
        </w:rPr>
        <w:t>מבוקרים</w:t>
      </w:r>
      <w:r w:rsidRPr="004E7761">
        <w:rPr>
          <w:rtl/>
        </w:rPr>
        <w:t xml:space="preserve"> </w:t>
      </w:r>
      <w:r w:rsidRPr="004E7761">
        <w:rPr>
          <w:rFonts w:hint="eastAsia"/>
          <w:rtl/>
        </w:rPr>
        <w:t>של</w:t>
      </w:r>
      <w:r w:rsidRPr="004E7761">
        <w:rPr>
          <w:rtl/>
        </w:rPr>
        <w:t xml:space="preserve"> </w:t>
      </w:r>
      <w:r w:rsidRPr="004E7761">
        <w:rPr>
          <w:rFonts w:hint="eastAsia"/>
          <w:rtl/>
        </w:rPr>
        <w:t>הלשכה</w:t>
      </w:r>
      <w:r w:rsidRPr="004E7761">
        <w:rPr>
          <w:rtl/>
        </w:rPr>
        <w:t xml:space="preserve"> </w:t>
      </w:r>
      <w:r w:rsidRPr="004E7761">
        <w:rPr>
          <w:rFonts w:hint="eastAsia"/>
          <w:rtl/>
        </w:rPr>
        <w:t>לשנים</w:t>
      </w:r>
      <w:r w:rsidRPr="004E7761">
        <w:rPr>
          <w:rFonts w:hint="cs"/>
          <w:rtl/>
        </w:rPr>
        <w:t xml:space="preserve"> 2015 - 2017 בעיבוד משרד מבקר המדינה. </w:t>
      </w:r>
    </w:p>
    <w:p w14:paraId="774EB3C8" w14:textId="5C195999" w:rsidR="00387987" w:rsidRDefault="00387987" w:rsidP="00952259">
      <w:pPr>
        <w:pStyle w:val="100"/>
        <w:rPr>
          <w:rtl/>
        </w:rPr>
      </w:pPr>
    </w:p>
    <w:p w14:paraId="2154088D" w14:textId="77777777" w:rsidR="00387987" w:rsidRDefault="00387987" w:rsidP="00952259">
      <w:pPr>
        <w:pStyle w:val="af3"/>
        <w:rPr>
          <w:rtl/>
        </w:rPr>
      </w:pPr>
      <w:r w:rsidRPr="000B0849">
        <w:rPr>
          <w:rFonts w:hint="eastAsia"/>
          <w:rtl/>
        </w:rPr>
        <w:t>במועד</w:t>
      </w:r>
      <w:r w:rsidRPr="000B0849">
        <w:rPr>
          <w:rtl/>
        </w:rPr>
        <w:t xml:space="preserve"> </w:t>
      </w:r>
      <w:r w:rsidRPr="000B0849">
        <w:rPr>
          <w:rFonts w:hint="eastAsia"/>
          <w:rtl/>
        </w:rPr>
        <w:t>סיום</w:t>
      </w:r>
      <w:r w:rsidRPr="000B0849">
        <w:rPr>
          <w:rtl/>
        </w:rPr>
        <w:t xml:space="preserve"> </w:t>
      </w:r>
      <w:r w:rsidRPr="000B0849">
        <w:rPr>
          <w:rFonts w:hint="eastAsia"/>
          <w:rtl/>
        </w:rPr>
        <w:t>הביקורת</w:t>
      </w:r>
      <w:r w:rsidRPr="000B0849">
        <w:rPr>
          <w:rtl/>
        </w:rPr>
        <w:t xml:space="preserve">, </w:t>
      </w:r>
      <w:r w:rsidRPr="000B0849">
        <w:rPr>
          <w:rFonts w:hint="eastAsia"/>
          <w:rtl/>
        </w:rPr>
        <w:t>הדוח</w:t>
      </w:r>
      <w:r w:rsidRPr="000B0849">
        <w:rPr>
          <w:rtl/>
        </w:rPr>
        <w:t xml:space="preserve"> </w:t>
      </w:r>
      <w:r w:rsidRPr="000B0849">
        <w:rPr>
          <w:rFonts w:hint="eastAsia"/>
          <w:rtl/>
        </w:rPr>
        <w:t>הכספי</w:t>
      </w:r>
      <w:r w:rsidRPr="000B0849">
        <w:rPr>
          <w:rtl/>
        </w:rPr>
        <w:t xml:space="preserve"> </w:t>
      </w:r>
      <w:r w:rsidRPr="000B0849">
        <w:rPr>
          <w:rFonts w:hint="eastAsia"/>
          <w:rtl/>
        </w:rPr>
        <w:t>האחרון</w:t>
      </w:r>
      <w:r w:rsidRPr="000B0849">
        <w:rPr>
          <w:rtl/>
        </w:rPr>
        <w:t xml:space="preserve"> </w:t>
      </w:r>
      <w:r w:rsidRPr="000B0849">
        <w:rPr>
          <w:rFonts w:hint="eastAsia"/>
          <w:rtl/>
        </w:rPr>
        <w:t>של</w:t>
      </w:r>
      <w:r w:rsidRPr="000B0849">
        <w:rPr>
          <w:rtl/>
        </w:rPr>
        <w:t xml:space="preserve"> </w:t>
      </w:r>
      <w:r w:rsidRPr="000B0849">
        <w:rPr>
          <w:rFonts w:hint="eastAsia"/>
          <w:rtl/>
        </w:rPr>
        <w:t>לשכת</w:t>
      </w:r>
      <w:r w:rsidRPr="000B0849">
        <w:rPr>
          <w:rtl/>
        </w:rPr>
        <w:t xml:space="preserve"> </w:t>
      </w:r>
      <w:r w:rsidRPr="000B0849">
        <w:rPr>
          <w:rFonts w:hint="eastAsia"/>
          <w:rtl/>
        </w:rPr>
        <w:t>עורכי</w:t>
      </w:r>
      <w:r w:rsidRPr="000B0849">
        <w:rPr>
          <w:rtl/>
        </w:rPr>
        <w:t xml:space="preserve"> </w:t>
      </w:r>
      <w:r w:rsidRPr="000B0849">
        <w:rPr>
          <w:rFonts w:hint="eastAsia"/>
          <w:rtl/>
        </w:rPr>
        <w:t>הדין</w:t>
      </w:r>
      <w:r w:rsidRPr="000B0849">
        <w:rPr>
          <w:rtl/>
        </w:rPr>
        <w:t xml:space="preserve"> </w:t>
      </w:r>
      <w:r w:rsidRPr="000B0849">
        <w:rPr>
          <w:rFonts w:hint="eastAsia"/>
          <w:rtl/>
        </w:rPr>
        <w:t>שאושר</w:t>
      </w:r>
      <w:r w:rsidRPr="000B0849">
        <w:rPr>
          <w:rtl/>
        </w:rPr>
        <w:t xml:space="preserve"> </w:t>
      </w:r>
      <w:r w:rsidRPr="000B0849">
        <w:rPr>
          <w:rFonts w:hint="eastAsia"/>
          <w:rtl/>
        </w:rPr>
        <w:t>ונחתם</w:t>
      </w:r>
      <w:r w:rsidRPr="000B0849">
        <w:rPr>
          <w:rtl/>
        </w:rPr>
        <w:t xml:space="preserve"> </w:t>
      </w:r>
      <w:r>
        <w:rPr>
          <w:rFonts w:hint="cs"/>
          <w:rtl/>
        </w:rPr>
        <w:t xml:space="preserve">באוגוסט 2019 </w:t>
      </w:r>
      <w:r w:rsidRPr="000B0849">
        <w:rPr>
          <w:rFonts w:hint="eastAsia"/>
          <w:rtl/>
        </w:rPr>
        <w:t>היה</w:t>
      </w:r>
      <w:r w:rsidRPr="000B0849">
        <w:rPr>
          <w:rtl/>
        </w:rPr>
        <w:t xml:space="preserve"> </w:t>
      </w:r>
      <w:r w:rsidRPr="000B0849">
        <w:rPr>
          <w:rFonts w:hint="eastAsia"/>
          <w:rtl/>
        </w:rPr>
        <w:t>הדוח</w:t>
      </w:r>
      <w:r w:rsidRPr="000B0849">
        <w:rPr>
          <w:rtl/>
        </w:rPr>
        <w:t xml:space="preserve"> </w:t>
      </w:r>
      <w:r w:rsidRPr="000B0849">
        <w:rPr>
          <w:rFonts w:hint="eastAsia"/>
          <w:rtl/>
        </w:rPr>
        <w:t>לשנת</w:t>
      </w:r>
      <w:r w:rsidRPr="000B0849">
        <w:rPr>
          <w:rtl/>
        </w:rPr>
        <w:t xml:space="preserve"> 2017. </w:t>
      </w:r>
      <w:r>
        <w:rPr>
          <w:rFonts w:hint="cs"/>
          <w:rtl/>
        </w:rPr>
        <w:t xml:space="preserve">שלא על פי </w:t>
      </w:r>
      <w:r w:rsidRPr="000B0849">
        <w:rPr>
          <w:rFonts w:hint="eastAsia"/>
          <w:rtl/>
        </w:rPr>
        <w:t>חוק</w:t>
      </w:r>
      <w:r w:rsidRPr="000B0849">
        <w:rPr>
          <w:rtl/>
        </w:rPr>
        <w:t xml:space="preserve"> </w:t>
      </w:r>
      <w:r w:rsidRPr="000B0849">
        <w:rPr>
          <w:rFonts w:hint="eastAsia"/>
          <w:rtl/>
        </w:rPr>
        <w:t>לשכת</w:t>
      </w:r>
      <w:r w:rsidRPr="000B0849">
        <w:rPr>
          <w:rtl/>
        </w:rPr>
        <w:t xml:space="preserve"> </w:t>
      </w:r>
      <w:r w:rsidRPr="000B0849">
        <w:rPr>
          <w:rFonts w:hint="eastAsia"/>
          <w:rtl/>
        </w:rPr>
        <w:t>עורכי</w:t>
      </w:r>
      <w:r w:rsidRPr="000B0849">
        <w:rPr>
          <w:rtl/>
        </w:rPr>
        <w:t xml:space="preserve"> </w:t>
      </w:r>
      <w:r w:rsidRPr="000B0849">
        <w:rPr>
          <w:rFonts w:hint="eastAsia"/>
          <w:rtl/>
        </w:rPr>
        <w:t>הדין</w:t>
      </w:r>
      <w:r w:rsidRPr="000B0849">
        <w:rPr>
          <w:rtl/>
        </w:rPr>
        <w:t xml:space="preserve">, </w:t>
      </w:r>
      <w:r w:rsidRPr="000B0849">
        <w:rPr>
          <w:rFonts w:hint="eastAsia"/>
          <w:rtl/>
        </w:rPr>
        <w:t>ב</w:t>
      </w:r>
      <w:r>
        <w:rPr>
          <w:rFonts w:hint="cs"/>
          <w:rtl/>
        </w:rPr>
        <w:t>חמש</w:t>
      </w:r>
      <w:r w:rsidRPr="000B0849">
        <w:rPr>
          <w:rtl/>
        </w:rPr>
        <w:t xml:space="preserve"> </w:t>
      </w:r>
      <w:r w:rsidRPr="000B0849">
        <w:rPr>
          <w:rFonts w:hint="eastAsia"/>
          <w:rtl/>
        </w:rPr>
        <w:t>השנים</w:t>
      </w:r>
      <w:r w:rsidRPr="000B0849">
        <w:rPr>
          <w:rtl/>
        </w:rPr>
        <w:t xml:space="preserve"> </w:t>
      </w:r>
      <w:r w:rsidRPr="000B0849">
        <w:rPr>
          <w:rFonts w:hint="eastAsia"/>
          <w:rtl/>
        </w:rPr>
        <w:t>האחרונות</w:t>
      </w:r>
      <w:r w:rsidRPr="000B0849">
        <w:rPr>
          <w:rtl/>
        </w:rPr>
        <w:t xml:space="preserve"> </w:t>
      </w:r>
      <w:r w:rsidRPr="000B0849">
        <w:rPr>
          <w:rFonts w:hint="eastAsia"/>
          <w:rtl/>
        </w:rPr>
        <w:t>לא</w:t>
      </w:r>
      <w:r w:rsidRPr="000B0849">
        <w:rPr>
          <w:rtl/>
        </w:rPr>
        <w:t xml:space="preserve"> </w:t>
      </w:r>
      <w:r w:rsidRPr="000B0849">
        <w:rPr>
          <w:rFonts w:hint="eastAsia"/>
          <w:rtl/>
        </w:rPr>
        <w:t>אושרו</w:t>
      </w:r>
      <w:r w:rsidRPr="000B0849">
        <w:rPr>
          <w:rtl/>
        </w:rPr>
        <w:t xml:space="preserve"> </w:t>
      </w:r>
      <w:r w:rsidRPr="000B0849">
        <w:rPr>
          <w:rFonts w:hint="eastAsia"/>
          <w:rtl/>
        </w:rPr>
        <w:t>הדוחות</w:t>
      </w:r>
      <w:r w:rsidRPr="000B0849">
        <w:rPr>
          <w:rtl/>
        </w:rPr>
        <w:t xml:space="preserve"> </w:t>
      </w:r>
      <w:r w:rsidRPr="000B0849">
        <w:rPr>
          <w:rFonts w:hint="eastAsia"/>
          <w:rtl/>
        </w:rPr>
        <w:t>במועד</w:t>
      </w:r>
      <w:r w:rsidRPr="000B0849">
        <w:rPr>
          <w:rtl/>
        </w:rPr>
        <w:t xml:space="preserve"> </w:t>
      </w:r>
      <w:r w:rsidRPr="000B0849">
        <w:rPr>
          <w:rFonts w:hint="eastAsia"/>
          <w:rtl/>
        </w:rPr>
        <w:t>ולא</w:t>
      </w:r>
      <w:r w:rsidRPr="000B0849">
        <w:rPr>
          <w:rtl/>
        </w:rPr>
        <w:t xml:space="preserve"> </w:t>
      </w:r>
      <w:r w:rsidRPr="000B0849">
        <w:rPr>
          <w:rFonts w:hint="eastAsia"/>
          <w:rtl/>
        </w:rPr>
        <w:t>פורסמו</w:t>
      </w:r>
      <w:r w:rsidRPr="000B0849">
        <w:rPr>
          <w:rtl/>
        </w:rPr>
        <w:t xml:space="preserve"> </w:t>
      </w:r>
      <w:r w:rsidRPr="000B0849">
        <w:rPr>
          <w:rFonts w:hint="eastAsia"/>
          <w:rtl/>
        </w:rPr>
        <w:t>באתר</w:t>
      </w:r>
      <w:r w:rsidRPr="000B0849">
        <w:rPr>
          <w:rtl/>
        </w:rPr>
        <w:t xml:space="preserve"> </w:t>
      </w:r>
      <w:r w:rsidRPr="000B0849">
        <w:rPr>
          <w:rFonts w:hint="eastAsia"/>
          <w:rtl/>
        </w:rPr>
        <w:t>האינטרנט</w:t>
      </w:r>
      <w:r w:rsidRPr="000B0849">
        <w:rPr>
          <w:rtl/>
        </w:rPr>
        <w:t xml:space="preserve"> </w:t>
      </w:r>
      <w:r w:rsidRPr="000B0849">
        <w:rPr>
          <w:rFonts w:hint="eastAsia"/>
          <w:rtl/>
        </w:rPr>
        <w:t>של</w:t>
      </w:r>
      <w:r w:rsidRPr="000B0849">
        <w:rPr>
          <w:rtl/>
        </w:rPr>
        <w:t xml:space="preserve"> </w:t>
      </w:r>
      <w:r w:rsidRPr="000B0849">
        <w:rPr>
          <w:rFonts w:hint="eastAsia"/>
          <w:rtl/>
        </w:rPr>
        <w:t>הלשכה</w:t>
      </w:r>
      <w:r w:rsidRPr="000B0849">
        <w:rPr>
          <w:rtl/>
        </w:rPr>
        <w:t>.</w:t>
      </w:r>
      <w:r>
        <w:rPr>
          <w:rFonts w:hint="cs"/>
          <w:rtl/>
        </w:rPr>
        <w:t xml:space="preserve"> </w:t>
      </w:r>
    </w:p>
    <w:p w14:paraId="2DBCB7CC" w14:textId="77777777" w:rsidR="00387987" w:rsidRDefault="00387987" w:rsidP="00952259">
      <w:pPr>
        <w:pStyle w:val="100"/>
        <w:rPr>
          <w:sz w:val="22"/>
          <w:szCs w:val="22"/>
          <w:rtl/>
        </w:rPr>
      </w:pPr>
      <w:r w:rsidRPr="00FE3C56">
        <w:rPr>
          <w:rFonts w:hint="eastAsia"/>
          <w:rtl/>
        </w:rPr>
        <w:t>בתשובה</w:t>
      </w:r>
      <w:r w:rsidRPr="00FE3C56">
        <w:rPr>
          <w:rtl/>
        </w:rPr>
        <w:t xml:space="preserve"> </w:t>
      </w:r>
      <w:r w:rsidRPr="00FE3C56">
        <w:rPr>
          <w:rFonts w:hint="eastAsia"/>
          <w:rtl/>
        </w:rPr>
        <w:t>שמסרה</w:t>
      </w:r>
      <w:r w:rsidRPr="00FE3C56">
        <w:rPr>
          <w:rtl/>
        </w:rPr>
        <w:t xml:space="preserve"> הלשכה</w:t>
      </w:r>
      <w:r w:rsidRPr="00FE3C56">
        <w:rPr>
          <w:rFonts w:hint="cs"/>
          <w:rtl/>
        </w:rPr>
        <w:t xml:space="preserve"> למשרד מבקר המדינה בנובמבר 2019</w:t>
      </w:r>
      <w:r w:rsidRPr="00FE3C56">
        <w:rPr>
          <w:rtl/>
        </w:rPr>
        <w:t xml:space="preserve"> (להלן - תשובת הלשכה) </w:t>
      </w:r>
      <w:r w:rsidRPr="00FE3C56">
        <w:rPr>
          <w:rFonts w:hint="eastAsia"/>
          <w:rtl/>
        </w:rPr>
        <w:t>היא</w:t>
      </w:r>
      <w:r w:rsidRPr="00AE1700">
        <w:rPr>
          <w:rtl/>
        </w:rPr>
        <w:t xml:space="preserve"> </w:t>
      </w:r>
      <w:r w:rsidRPr="00AE1700">
        <w:rPr>
          <w:rFonts w:hint="eastAsia"/>
          <w:rtl/>
        </w:rPr>
        <w:t>הסבירה</w:t>
      </w:r>
      <w:r w:rsidRPr="00AE1700">
        <w:rPr>
          <w:rtl/>
        </w:rPr>
        <w:t xml:space="preserve"> כי כדי לערוך דוח כספי מאוחד בזמן, על המחוזות</w:t>
      </w:r>
      <w:r w:rsidRPr="0049040D">
        <w:rPr>
          <w:rtl/>
        </w:rPr>
        <w:t xml:space="preserve"> ו</w:t>
      </w:r>
      <w:r>
        <w:rPr>
          <w:rFonts w:hint="cs"/>
          <w:rtl/>
        </w:rPr>
        <w:t>ה</w:t>
      </w:r>
      <w:r w:rsidRPr="0049040D">
        <w:rPr>
          <w:rtl/>
        </w:rPr>
        <w:t>חברות הבנות של הלשכה לעבור ביקורת רואה חשבון לפני המועד הקבוע בחוק ולהותיר זמן</w:t>
      </w:r>
      <w:r>
        <w:rPr>
          <w:rFonts w:hint="cs"/>
          <w:rtl/>
        </w:rPr>
        <w:t xml:space="preserve"> מספיק</w:t>
      </w:r>
      <w:r w:rsidRPr="0049040D">
        <w:rPr>
          <w:rtl/>
        </w:rPr>
        <w:t xml:space="preserve"> לביצוע עבודת איחוד</w:t>
      </w:r>
      <w:r>
        <w:rPr>
          <w:rFonts w:hint="cs"/>
          <w:rtl/>
        </w:rPr>
        <w:t xml:space="preserve"> הדוחות הכספיים וכי בעקבות עיכובים של חלק מגופי הלשכה חל עיכוב בהוצאת הדוח הכספי המאוחד</w:t>
      </w:r>
      <w:r w:rsidRPr="0049040D">
        <w:rPr>
          <w:rtl/>
        </w:rPr>
        <w:t xml:space="preserve">. </w:t>
      </w:r>
      <w:r w:rsidRPr="000B0849">
        <w:rPr>
          <w:rtl/>
        </w:rPr>
        <w:t>עוד הודיעה הלשכה</w:t>
      </w:r>
      <w:r>
        <w:rPr>
          <w:rFonts w:hint="cs"/>
          <w:rtl/>
        </w:rPr>
        <w:t>,</w:t>
      </w:r>
      <w:r w:rsidRPr="000B0849">
        <w:rPr>
          <w:rtl/>
        </w:rPr>
        <w:t xml:space="preserve"> כי ב</w:t>
      </w:r>
      <w:r>
        <w:rPr>
          <w:rFonts w:hint="cs"/>
          <w:rtl/>
        </w:rPr>
        <w:t xml:space="preserve">נובמבר 2019 </w:t>
      </w:r>
      <w:r w:rsidRPr="000B0849">
        <w:rPr>
          <w:rtl/>
        </w:rPr>
        <w:t xml:space="preserve">פורסמו באתר הלשכה </w:t>
      </w:r>
      <w:r>
        <w:rPr>
          <w:rFonts w:hint="cs"/>
          <w:rtl/>
        </w:rPr>
        <w:t>ה</w:t>
      </w:r>
      <w:r w:rsidRPr="000B0849">
        <w:rPr>
          <w:rtl/>
        </w:rPr>
        <w:t xml:space="preserve">דוחות </w:t>
      </w:r>
      <w:r>
        <w:rPr>
          <w:rFonts w:hint="cs"/>
          <w:rtl/>
        </w:rPr>
        <w:t>ה</w:t>
      </w:r>
      <w:r w:rsidRPr="000B0849">
        <w:rPr>
          <w:rtl/>
        </w:rPr>
        <w:t>כספיים לשנים</w:t>
      </w:r>
      <w:r>
        <w:rPr>
          <w:rFonts w:hint="cs"/>
          <w:rtl/>
        </w:rPr>
        <w:t xml:space="preserve"> 2015 עד 2017, </w:t>
      </w:r>
      <w:r w:rsidRPr="000B0849">
        <w:rPr>
          <w:rtl/>
        </w:rPr>
        <w:t xml:space="preserve">והוסיפה כי </w:t>
      </w:r>
      <w:r>
        <w:rPr>
          <w:rFonts w:hint="cs"/>
          <w:rtl/>
        </w:rPr>
        <w:t xml:space="preserve">בעתיד היא </w:t>
      </w:r>
      <w:r w:rsidRPr="000B0849">
        <w:rPr>
          <w:rtl/>
        </w:rPr>
        <w:t xml:space="preserve">תפעל לכך שתקציב הלשכה והדוחות הכספיים </w:t>
      </w:r>
      <w:r>
        <w:rPr>
          <w:rFonts w:hint="cs"/>
          <w:rtl/>
        </w:rPr>
        <w:t>יפורסמו ל</w:t>
      </w:r>
      <w:r w:rsidRPr="000B0849">
        <w:rPr>
          <w:rtl/>
        </w:rPr>
        <w:t>ציבור</w:t>
      </w:r>
      <w:r>
        <w:rPr>
          <w:rFonts w:hint="cs"/>
          <w:rtl/>
        </w:rPr>
        <w:t xml:space="preserve"> במועד המוקדם האפשרי לאחר אישורם</w:t>
      </w:r>
      <w:r w:rsidRPr="000B0849">
        <w:rPr>
          <w:rtl/>
        </w:rPr>
        <w:t>.</w:t>
      </w:r>
    </w:p>
    <w:p w14:paraId="2F879C51" w14:textId="77777777" w:rsidR="00387987" w:rsidRPr="000B0849" w:rsidRDefault="00387987" w:rsidP="00952259">
      <w:pPr>
        <w:pStyle w:val="af3"/>
        <w:rPr>
          <w:sz w:val="22"/>
          <w:szCs w:val="22"/>
          <w:rtl/>
        </w:rPr>
      </w:pPr>
      <w:r w:rsidRPr="000B0849">
        <w:rPr>
          <w:rFonts w:hint="eastAsia"/>
          <w:rtl/>
        </w:rPr>
        <w:t>על</w:t>
      </w:r>
      <w:r w:rsidRPr="000B0849">
        <w:rPr>
          <w:rtl/>
        </w:rPr>
        <w:t xml:space="preserve"> הלשכה </w:t>
      </w:r>
      <w:r w:rsidRPr="000B0849">
        <w:rPr>
          <w:rFonts w:hint="eastAsia"/>
          <w:rtl/>
        </w:rPr>
        <w:t>להקפיד</w:t>
      </w:r>
      <w:r w:rsidRPr="000B0849">
        <w:rPr>
          <w:rtl/>
        </w:rPr>
        <w:t xml:space="preserve"> </w:t>
      </w:r>
      <w:r w:rsidRPr="000B0849">
        <w:rPr>
          <w:rFonts w:hint="eastAsia"/>
          <w:rtl/>
        </w:rPr>
        <w:t>על</w:t>
      </w:r>
      <w:r w:rsidRPr="000B0849">
        <w:rPr>
          <w:rtl/>
        </w:rPr>
        <w:t xml:space="preserve"> </w:t>
      </w:r>
      <w:r w:rsidRPr="000B0849">
        <w:rPr>
          <w:rFonts w:hint="eastAsia"/>
          <w:rtl/>
        </w:rPr>
        <w:t>אישור</w:t>
      </w:r>
      <w:r w:rsidRPr="000B0849">
        <w:rPr>
          <w:rtl/>
        </w:rPr>
        <w:t xml:space="preserve"> </w:t>
      </w:r>
      <w:r w:rsidRPr="000B0849">
        <w:rPr>
          <w:rFonts w:hint="eastAsia"/>
          <w:rtl/>
        </w:rPr>
        <w:t>דוחות</w:t>
      </w:r>
      <w:r>
        <w:rPr>
          <w:rFonts w:hint="cs"/>
          <w:rtl/>
        </w:rPr>
        <w:t>יה</w:t>
      </w:r>
      <w:r w:rsidRPr="000B0849">
        <w:rPr>
          <w:rtl/>
        </w:rPr>
        <w:t xml:space="preserve"> </w:t>
      </w:r>
      <w:r w:rsidRPr="000B0849">
        <w:rPr>
          <w:rFonts w:hint="eastAsia"/>
          <w:rtl/>
        </w:rPr>
        <w:t>הכספיים</w:t>
      </w:r>
      <w:r w:rsidRPr="000B0849">
        <w:rPr>
          <w:rtl/>
        </w:rPr>
        <w:t xml:space="preserve"> במועד הקבוע בחוק.</w:t>
      </w:r>
      <w:r>
        <w:rPr>
          <w:rtl/>
        </w:rPr>
        <w:t xml:space="preserve"> </w:t>
      </w:r>
    </w:p>
    <w:p w14:paraId="7803198D" w14:textId="77777777" w:rsidR="00387987" w:rsidRDefault="00387987" w:rsidP="00952259">
      <w:pPr>
        <w:pStyle w:val="100"/>
        <w:rPr>
          <w:rtl/>
        </w:rPr>
      </w:pPr>
      <w:r w:rsidRPr="00490703">
        <w:rPr>
          <w:rtl/>
        </w:rPr>
        <w:t>להלן נתונים כ</w:t>
      </w:r>
      <w:r>
        <w:rPr>
          <w:rFonts w:hint="cs"/>
          <w:rtl/>
        </w:rPr>
        <w:t>לכליים</w:t>
      </w:r>
      <w:r w:rsidRPr="00490703">
        <w:rPr>
          <w:rtl/>
        </w:rPr>
        <w:t xml:space="preserve"> עיקריים מתוך הדוחות </w:t>
      </w:r>
      <w:r>
        <w:rPr>
          <w:rFonts w:hint="cs"/>
          <w:rtl/>
        </w:rPr>
        <w:t xml:space="preserve">הכספיים </w:t>
      </w:r>
      <w:r w:rsidRPr="00490703">
        <w:rPr>
          <w:rtl/>
        </w:rPr>
        <w:t>המאוחדים של הלשכה לשנים</w:t>
      </w:r>
      <w:r>
        <w:rPr>
          <w:rFonts w:hint="cs"/>
          <w:rtl/>
        </w:rPr>
        <w:t xml:space="preserve"> 2014 - 2017</w:t>
      </w:r>
      <w:r w:rsidRPr="00490703">
        <w:rPr>
          <w:rtl/>
        </w:rPr>
        <w:t xml:space="preserve"> (באלפי ש"ח).</w:t>
      </w:r>
    </w:p>
    <w:p w14:paraId="6281397B" w14:textId="77777777" w:rsidR="00952259" w:rsidRDefault="00952259">
      <w:pPr>
        <w:bidi w:val="0"/>
        <w:spacing w:after="200" w:line="276" w:lineRule="auto"/>
        <w:rPr>
          <w:b/>
          <w:bCs/>
          <w:sz w:val="24"/>
          <w:rtl/>
        </w:rPr>
      </w:pPr>
      <w:r>
        <w:rPr>
          <w:b/>
          <w:bCs/>
          <w:sz w:val="24"/>
          <w:rtl/>
        </w:rPr>
        <w:br w:type="page"/>
      </w:r>
    </w:p>
    <w:p w14:paraId="306426DF" w14:textId="46270896" w:rsidR="00387987" w:rsidRPr="00952259" w:rsidRDefault="00387987" w:rsidP="00952259">
      <w:pPr>
        <w:pStyle w:val="a8"/>
        <w:rPr>
          <w:b/>
          <w:bCs/>
          <w:rtl/>
        </w:rPr>
      </w:pPr>
      <w:r>
        <w:rPr>
          <w:rFonts w:hint="cs"/>
          <w:rtl/>
        </w:rPr>
        <w:lastRenderedPageBreak/>
        <w:t>לוח</w:t>
      </w:r>
      <w:r w:rsidRPr="005A27E8">
        <w:rPr>
          <w:rtl/>
        </w:rPr>
        <w:t xml:space="preserve"> 2: </w:t>
      </w:r>
      <w:r w:rsidRPr="00952259">
        <w:rPr>
          <w:rFonts w:hint="eastAsia"/>
          <w:b/>
          <w:bCs/>
          <w:rtl/>
        </w:rPr>
        <w:t>עיקרי</w:t>
      </w:r>
      <w:r w:rsidRPr="00952259">
        <w:rPr>
          <w:b/>
          <w:bCs/>
          <w:rtl/>
        </w:rPr>
        <w:t xml:space="preserve"> </w:t>
      </w:r>
      <w:r w:rsidRPr="00952259">
        <w:rPr>
          <w:rFonts w:hint="eastAsia"/>
          <w:b/>
          <w:bCs/>
          <w:rtl/>
        </w:rPr>
        <w:t>נתונים</w:t>
      </w:r>
      <w:r w:rsidRPr="00952259">
        <w:rPr>
          <w:b/>
          <w:bCs/>
          <w:rtl/>
        </w:rPr>
        <w:t xml:space="preserve"> </w:t>
      </w:r>
      <w:r w:rsidRPr="00952259">
        <w:rPr>
          <w:rFonts w:hint="eastAsia"/>
          <w:b/>
          <w:bCs/>
          <w:rtl/>
        </w:rPr>
        <w:t>כלכליים</w:t>
      </w:r>
      <w:r w:rsidRPr="00952259">
        <w:rPr>
          <w:b/>
          <w:bCs/>
          <w:rtl/>
        </w:rPr>
        <w:t xml:space="preserve"> </w:t>
      </w:r>
      <w:r w:rsidRPr="00952259">
        <w:rPr>
          <w:rFonts w:hint="eastAsia"/>
          <w:b/>
          <w:bCs/>
          <w:rtl/>
        </w:rPr>
        <w:t>מהדוחות</w:t>
      </w:r>
      <w:r w:rsidRPr="00952259">
        <w:rPr>
          <w:b/>
          <w:bCs/>
          <w:rtl/>
        </w:rPr>
        <w:t xml:space="preserve"> </w:t>
      </w:r>
      <w:r w:rsidRPr="00952259">
        <w:rPr>
          <w:rFonts w:hint="eastAsia"/>
          <w:b/>
          <w:bCs/>
          <w:rtl/>
        </w:rPr>
        <w:t>הכספיים</w:t>
      </w:r>
      <w:r w:rsidRPr="00952259">
        <w:rPr>
          <w:b/>
          <w:bCs/>
          <w:rtl/>
        </w:rPr>
        <w:t xml:space="preserve"> </w:t>
      </w:r>
      <w:r w:rsidRPr="00952259">
        <w:rPr>
          <w:rFonts w:hint="eastAsia"/>
          <w:b/>
          <w:bCs/>
          <w:rtl/>
        </w:rPr>
        <w:t>של</w:t>
      </w:r>
      <w:r w:rsidRPr="00952259">
        <w:rPr>
          <w:b/>
          <w:bCs/>
          <w:rtl/>
        </w:rPr>
        <w:t xml:space="preserve"> </w:t>
      </w:r>
      <w:r w:rsidRPr="00952259">
        <w:rPr>
          <w:rFonts w:hint="eastAsia"/>
          <w:b/>
          <w:bCs/>
          <w:rtl/>
        </w:rPr>
        <w:t>הלשכה</w:t>
      </w:r>
      <w:r w:rsidRPr="00952259">
        <w:rPr>
          <w:b/>
          <w:bCs/>
          <w:rtl/>
        </w:rPr>
        <w:t xml:space="preserve"> </w:t>
      </w:r>
      <w:r w:rsidRPr="00952259">
        <w:rPr>
          <w:rFonts w:hint="eastAsia"/>
          <w:b/>
          <w:bCs/>
          <w:rtl/>
        </w:rPr>
        <w:t>לשנים</w:t>
      </w:r>
      <w:r w:rsidRPr="00952259">
        <w:rPr>
          <w:rFonts w:hint="cs"/>
          <w:b/>
          <w:bCs/>
          <w:rtl/>
        </w:rPr>
        <w:t xml:space="preserve"> 2014 - 2017 (באלפי ש"ח)</w:t>
      </w:r>
    </w:p>
    <w:tbl>
      <w:tblPr>
        <w:tblStyle w:val="4-41"/>
        <w:bidiVisual/>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849"/>
        <w:gridCol w:w="849"/>
        <w:gridCol w:w="1022"/>
        <w:gridCol w:w="347"/>
        <w:gridCol w:w="864"/>
        <w:gridCol w:w="932"/>
      </w:tblGrid>
      <w:tr w:rsidR="00387987" w:rsidRPr="004E7761" w14:paraId="6A59F9BD" w14:textId="77777777" w:rsidTr="009522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pct"/>
            <w:tcBorders>
              <w:top w:val="none" w:sz="0" w:space="0" w:color="auto"/>
              <w:left w:val="none" w:sz="0" w:space="0" w:color="auto"/>
              <w:bottom w:val="none" w:sz="0" w:space="0" w:color="auto"/>
              <w:right w:val="none" w:sz="0" w:space="0" w:color="auto"/>
            </w:tcBorders>
            <w:shd w:val="clear" w:color="auto" w:fill="C6D9F1"/>
          </w:tcPr>
          <w:p w14:paraId="0D33FC00" w14:textId="77777777" w:rsidR="00387987" w:rsidRPr="00952259" w:rsidRDefault="00387987" w:rsidP="00952259">
            <w:pPr>
              <w:pStyle w:val="af"/>
              <w:rPr>
                <w:b/>
                <w:bCs/>
                <w:color w:val="auto"/>
                <w:rtl/>
              </w:rPr>
            </w:pPr>
            <w:r w:rsidRPr="00952259">
              <w:rPr>
                <w:rFonts w:hint="cs"/>
                <w:b/>
                <w:bCs/>
                <w:color w:val="auto"/>
                <w:rtl/>
              </w:rPr>
              <w:t>השנה</w:t>
            </w:r>
          </w:p>
        </w:tc>
        <w:tc>
          <w:tcPr>
            <w:tcW w:w="522" w:type="pct"/>
            <w:tcBorders>
              <w:top w:val="none" w:sz="0" w:space="0" w:color="auto"/>
              <w:left w:val="none" w:sz="0" w:space="0" w:color="auto"/>
              <w:bottom w:val="none" w:sz="0" w:space="0" w:color="auto"/>
              <w:right w:val="none" w:sz="0" w:space="0" w:color="auto"/>
            </w:tcBorders>
            <w:shd w:val="clear" w:color="auto" w:fill="C6D9F1"/>
          </w:tcPr>
          <w:p w14:paraId="1E574E50" w14:textId="77777777" w:rsidR="00387987" w:rsidRPr="00952259" w:rsidRDefault="00387987" w:rsidP="00952259">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952259">
              <w:rPr>
                <w:rFonts w:hint="cs"/>
                <w:b/>
                <w:bCs/>
                <w:color w:val="auto"/>
                <w:rtl/>
              </w:rPr>
              <w:t>2014</w:t>
            </w:r>
          </w:p>
        </w:tc>
        <w:tc>
          <w:tcPr>
            <w:tcW w:w="522" w:type="pct"/>
            <w:tcBorders>
              <w:top w:val="none" w:sz="0" w:space="0" w:color="auto"/>
              <w:left w:val="none" w:sz="0" w:space="0" w:color="auto"/>
              <w:bottom w:val="none" w:sz="0" w:space="0" w:color="auto"/>
              <w:right w:val="none" w:sz="0" w:space="0" w:color="auto"/>
            </w:tcBorders>
            <w:shd w:val="clear" w:color="auto" w:fill="C6D9F1"/>
          </w:tcPr>
          <w:p w14:paraId="16642363" w14:textId="77777777" w:rsidR="00387987" w:rsidRPr="00952259" w:rsidRDefault="00387987" w:rsidP="00952259">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952259">
              <w:rPr>
                <w:rFonts w:hint="cs"/>
                <w:b/>
                <w:bCs/>
                <w:color w:val="auto"/>
                <w:rtl/>
              </w:rPr>
              <w:t>2015</w:t>
            </w:r>
          </w:p>
        </w:tc>
        <w:tc>
          <w:tcPr>
            <w:tcW w:w="628" w:type="pct"/>
            <w:tcBorders>
              <w:top w:val="none" w:sz="0" w:space="0" w:color="auto"/>
              <w:left w:val="none" w:sz="0" w:space="0" w:color="auto"/>
              <w:bottom w:val="none" w:sz="0" w:space="0" w:color="auto"/>
              <w:right w:val="none" w:sz="0" w:space="0" w:color="auto"/>
            </w:tcBorders>
            <w:shd w:val="clear" w:color="auto" w:fill="C6D9F1"/>
          </w:tcPr>
          <w:p w14:paraId="1AAE5C04" w14:textId="77777777" w:rsidR="00387987" w:rsidRPr="00952259" w:rsidRDefault="00387987" w:rsidP="00952259">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952259">
              <w:rPr>
                <w:rFonts w:hint="cs"/>
                <w:b/>
                <w:bCs/>
                <w:color w:val="auto"/>
                <w:rtl/>
              </w:rPr>
              <w:t>2016</w:t>
            </w:r>
          </w:p>
        </w:tc>
        <w:tc>
          <w:tcPr>
            <w:tcW w:w="214" w:type="pct"/>
            <w:tcBorders>
              <w:top w:val="none" w:sz="0" w:space="0" w:color="auto"/>
              <w:left w:val="none" w:sz="0" w:space="0" w:color="auto"/>
              <w:bottom w:val="none" w:sz="0" w:space="0" w:color="auto"/>
              <w:right w:val="none" w:sz="0" w:space="0" w:color="auto"/>
            </w:tcBorders>
            <w:shd w:val="clear" w:color="auto" w:fill="C6D9F1"/>
          </w:tcPr>
          <w:p w14:paraId="2E0CD122" w14:textId="77777777" w:rsidR="00387987" w:rsidRPr="00952259" w:rsidRDefault="00387987" w:rsidP="00952259">
            <w:pPr>
              <w:pStyle w:val="af"/>
              <w:cnfStyle w:val="100000000000" w:firstRow="1" w:lastRow="0" w:firstColumn="0" w:lastColumn="0" w:oddVBand="0" w:evenVBand="0" w:oddHBand="0" w:evenHBand="0" w:firstRowFirstColumn="0" w:firstRowLastColumn="0" w:lastRowFirstColumn="0" w:lastRowLastColumn="0"/>
              <w:rPr>
                <w:b/>
                <w:bCs/>
                <w:color w:val="auto"/>
                <w:rtl/>
              </w:rPr>
            </w:pPr>
          </w:p>
        </w:tc>
        <w:tc>
          <w:tcPr>
            <w:tcW w:w="531" w:type="pct"/>
            <w:tcBorders>
              <w:top w:val="none" w:sz="0" w:space="0" w:color="auto"/>
              <w:left w:val="none" w:sz="0" w:space="0" w:color="auto"/>
              <w:bottom w:val="none" w:sz="0" w:space="0" w:color="auto"/>
              <w:right w:val="none" w:sz="0" w:space="0" w:color="auto"/>
            </w:tcBorders>
            <w:shd w:val="clear" w:color="auto" w:fill="C6D9F1"/>
          </w:tcPr>
          <w:p w14:paraId="3CBFCA5C" w14:textId="77777777" w:rsidR="00387987" w:rsidRPr="00952259" w:rsidRDefault="00387987" w:rsidP="00952259">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952259">
              <w:rPr>
                <w:rFonts w:hint="cs"/>
                <w:b/>
                <w:bCs/>
                <w:color w:val="auto"/>
                <w:rtl/>
              </w:rPr>
              <w:t>2016*</w:t>
            </w:r>
          </w:p>
        </w:tc>
        <w:tc>
          <w:tcPr>
            <w:tcW w:w="559" w:type="pct"/>
            <w:tcBorders>
              <w:top w:val="none" w:sz="0" w:space="0" w:color="auto"/>
              <w:left w:val="none" w:sz="0" w:space="0" w:color="auto"/>
              <w:bottom w:val="none" w:sz="0" w:space="0" w:color="auto"/>
              <w:right w:val="none" w:sz="0" w:space="0" w:color="auto"/>
            </w:tcBorders>
            <w:shd w:val="clear" w:color="auto" w:fill="C6D9F1"/>
          </w:tcPr>
          <w:p w14:paraId="24C3106D" w14:textId="77777777" w:rsidR="00387987" w:rsidRPr="00952259" w:rsidRDefault="00387987" w:rsidP="00952259">
            <w:pPr>
              <w:pStyle w:val="af"/>
              <w:cnfStyle w:val="100000000000" w:firstRow="1" w:lastRow="0" w:firstColumn="0" w:lastColumn="0" w:oddVBand="0" w:evenVBand="0" w:oddHBand="0" w:evenHBand="0" w:firstRowFirstColumn="0" w:firstRowLastColumn="0" w:lastRowFirstColumn="0" w:lastRowLastColumn="0"/>
              <w:rPr>
                <w:b/>
                <w:bCs/>
                <w:color w:val="auto"/>
                <w:rtl/>
              </w:rPr>
            </w:pPr>
            <w:r w:rsidRPr="00952259">
              <w:rPr>
                <w:rFonts w:hint="cs"/>
                <w:b/>
                <w:bCs/>
                <w:color w:val="auto"/>
                <w:rtl/>
              </w:rPr>
              <w:t>2017</w:t>
            </w:r>
          </w:p>
        </w:tc>
      </w:tr>
      <w:tr w:rsidR="00387987" w:rsidRPr="004E7761" w14:paraId="7A07D2CD"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6" w:type="pct"/>
            <w:gridSpan w:val="4"/>
            <w:shd w:val="clear" w:color="auto" w:fill="auto"/>
          </w:tcPr>
          <w:p w14:paraId="18CEC731" w14:textId="77777777" w:rsidR="00387987" w:rsidRPr="00A5085F" w:rsidRDefault="00387987" w:rsidP="00952259">
            <w:pPr>
              <w:pStyle w:val="R"/>
              <w:rPr>
                <w:i/>
                <w:iCs/>
                <w:rtl/>
              </w:rPr>
            </w:pPr>
            <w:r w:rsidRPr="00A5085F">
              <w:rPr>
                <w:rFonts w:hint="cs"/>
                <w:i/>
                <w:iCs/>
                <w:rtl/>
              </w:rPr>
              <w:t>נתונים מהמאזן:</w:t>
            </w:r>
          </w:p>
        </w:tc>
        <w:tc>
          <w:tcPr>
            <w:tcW w:w="214" w:type="pct"/>
            <w:vMerge w:val="restart"/>
            <w:shd w:val="clear" w:color="auto" w:fill="auto"/>
          </w:tcPr>
          <w:p w14:paraId="4FBC5C1F" w14:textId="77777777" w:rsidR="00387987" w:rsidRPr="00952259"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c>
          <w:tcPr>
            <w:tcW w:w="531" w:type="pct"/>
            <w:shd w:val="clear" w:color="auto" w:fill="auto"/>
          </w:tcPr>
          <w:p w14:paraId="0826E962" w14:textId="77777777" w:rsidR="00387987" w:rsidRPr="00952259"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c>
          <w:tcPr>
            <w:tcW w:w="559" w:type="pct"/>
            <w:shd w:val="clear" w:color="auto" w:fill="auto"/>
          </w:tcPr>
          <w:p w14:paraId="57D3F917" w14:textId="77777777" w:rsidR="00387987" w:rsidRPr="00952259"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r>
      <w:tr w:rsidR="00387987" w:rsidRPr="004E7761" w14:paraId="03924384"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3696" w:type="pct"/>
            <w:gridSpan w:val="4"/>
            <w:shd w:val="clear" w:color="auto" w:fill="auto"/>
          </w:tcPr>
          <w:p w14:paraId="192EEE72" w14:textId="77777777" w:rsidR="00387987" w:rsidRPr="00A5085F" w:rsidRDefault="00387987" w:rsidP="00952259">
            <w:pPr>
              <w:pStyle w:val="B"/>
              <w:rPr>
                <w:szCs w:val="20"/>
                <w:u w:val="single"/>
                <w:rtl/>
              </w:rPr>
            </w:pPr>
            <w:r w:rsidRPr="00A5085F">
              <w:rPr>
                <w:rFonts w:hint="eastAsia"/>
                <w:szCs w:val="20"/>
                <w:u w:val="single"/>
                <w:rtl/>
              </w:rPr>
              <w:t>נכסים</w:t>
            </w:r>
          </w:p>
        </w:tc>
        <w:tc>
          <w:tcPr>
            <w:tcW w:w="214" w:type="pct"/>
            <w:vMerge/>
            <w:shd w:val="clear" w:color="auto" w:fill="auto"/>
          </w:tcPr>
          <w:p w14:paraId="387E5B83" w14:textId="77777777" w:rsidR="00387987" w:rsidRPr="004E7761" w:rsidRDefault="00387987" w:rsidP="00C857F9">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p>
        </w:tc>
        <w:tc>
          <w:tcPr>
            <w:tcW w:w="531" w:type="pct"/>
            <w:shd w:val="clear" w:color="auto" w:fill="auto"/>
          </w:tcPr>
          <w:p w14:paraId="62899118" w14:textId="77777777" w:rsidR="00387987" w:rsidRPr="004E7761" w:rsidRDefault="00387987" w:rsidP="00C857F9">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p>
        </w:tc>
        <w:tc>
          <w:tcPr>
            <w:tcW w:w="559" w:type="pct"/>
            <w:shd w:val="clear" w:color="auto" w:fill="auto"/>
          </w:tcPr>
          <w:p w14:paraId="5290441F" w14:textId="77777777" w:rsidR="00387987" w:rsidRPr="004E7761" w:rsidRDefault="00387987" w:rsidP="00C857F9">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p>
        </w:tc>
      </w:tr>
      <w:tr w:rsidR="00387987" w:rsidRPr="004E7761" w14:paraId="499D6D80"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1D34C1CC" w14:textId="77777777" w:rsidR="00387987" w:rsidRPr="00952259" w:rsidRDefault="00387987" w:rsidP="00952259">
            <w:pPr>
              <w:pStyle w:val="R"/>
              <w:rPr>
                <w:rtl/>
              </w:rPr>
            </w:pPr>
            <w:r w:rsidRPr="00952259">
              <w:rPr>
                <w:rFonts w:hint="cs"/>
                <w:rtl/>
              </w:rPr>
              <w:t>נכסים שוטפים</w:t>
            </w:r>
          </w:p>
        </w:tc>
        <w:tc>
          <w:tcPr>
            <w:tcW w:w="522" w:type="pct"/>
            <w:shd w:val="clear" w:color="auto" w:fill="auto"/>
          </w:tcPr>
          <w:p w14:paraId="0BFB7459"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38,363</w:t>
            </w:r>
          </w:p>
        </w:tc>
        <w:tc>
          <w:tcPr>
            <w:tcW w:w="522" w:type="pct"/>
            <w:shd w:val="clear" w:color="auto" w:fill="auto"/>
          </w:tcPr>
          <w:p w14:paraId="48AB2783"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33,052</w:t>
            </w:r>
          </w:p>
        </w:tc>
        <w:tc>
          <w:tcPr>
            <w:tcW w:w="628" w:type="pct"/>
            <w:shd w:val="clear" w:color="auto" w:fill="auto"/>
          </w:tcPr>
          <w:p w14:paraId="6917BABB"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42,756</w:t>
            </w:r>
          </w:p>
        </w:tc>
        <w:tc>
          <w:tcPr>
            <w:tcW w:w="214" w:type="pct"/>
            <w:vMerge/>
            <w:shd w:val="clear" w:color="auto" w:fill="auto"/>
          </w:tcPr>
          <w:p w14:paraId="4E639896"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p>
        </w:tc>
        <w:tc>
          <w:tcPr>
            <w:tcW w:w="531" w:type="pct"/>
            <w:shd w:val="clear" w:color="auto" w:fill="auto"/>
          </w:tcPr>
          <w:p w14:paraId="5DE1879C"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38,302</w:t>
            </w:r>
          </w:p>
        </w:tc>
        <w:tc>
          <w:tcPr>
            <w:tcW w:w="559" w:type="pct"/>
            <w:shd w:val="clear" w:color="auto" w:fill="auto"/>
          </w:tcPr>
          <w:p w14:paraId="301C52B3"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43,401</w:t>
            </w:r>
          </w:p>
        </w:tc>
      </w:tr>
      <w:tr w:rsidR="00387987" w:rsidRPr="004E7761" w14:paraId="5478EB13"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377EA47D" w14:textId="77777777" w:rsidR="00387987" w:rsidRPr="00952259" w:rsidRDefault="00387987" w:rsidP="00952259">
            <w:pPr>
              <w:pStyle w:val="R"/>
              <w:rPr>
                <w:rtl/>
              </w:rPr>
            </w:pPr>
            <w:r w:rsidRPr="00952259">
              <w:rPr>
                <w:rFonts w:hint="cs"/>
                <w:rtl/>
              </w:rPr>
              <w:t>השקעות ורכוש אחר</w:t>
            </w:r>
          </w:p>
        </w:tc>
        <w:tc>
          <w:tcPr>
            <w:tcW w:w="522" w:type="pct"/>
            <w:shd w:val="clear" w:color="auto" w:fill="auto"/>
          </w:tcPr>
          <w:p w14:paraId="107912D9"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451</w:t>
            </w:r>
          </w:p>
        </w:tc>
        <w:tc>
          <w:tcPr>
            <w:tcW w:w="522" w:type="pct"/>
            <w:shd w:val="clear" w:color="auto" w:fill="auto"/>
          </w:tcPr>
          <w:p w14:paraId="0FD4D498"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471</w:t>
            </w:r>
          </w:p>
        </w:tc>
        <w:tc>
          <w:tcPr>
            <w:tcW w:w="628" w:type="pct"/>
            <w:shd w:val="clear" w:color="auto" w:fill="auto"/>
          </w:tcPr>
          <w:p w14:paraId="72EC82D0"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1,806</w:t>
            </w:r>
          </w:p>
        </w:tc>
        <w:tc>
          <w:tcPr>
            <w:tcW w:w="214" w:type="pct"/>
            <w:vMerge/>
            <w:shd w:val="clear" w:color="auto" w:fill="auto"/>
          </w:tcPr>
          <w:p w14:paraId="76635D38"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p>
        </w:tc>
        <w:tc>
          <w:tcPr>
            <w:tcW w:w="531" w:type="pct"/>
            <w:shd w:val="clear" w:color="auto" w:fill="auto"/>
          </w:tcPr>
          <w:p w14:paraId="5CFC30B1"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471</w:t>
            </w:r>
          </w:p>
        </w:tc>
        <w:tc>
          <w:tcPr>
            <w:tcW w:w="559" w:type="pct"/>
            <w:shd w:val="clear" w:color="auto" w:fill="auto"/>
          </w:tcPr>
          <w:p w14:paraId="51E4E02C"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1,865</w:t>
            </w:r>
          </w:p>
        </w:tc>
      </w:tr>
      <w:tr w:rsidR="00387987" w:rsidRPr="004E7761" w14:paraId="10B643FF"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3DDF11BE" w14:textId="77777777" w:rsidR="00387987" w:rsidRPr="00952259" w:rsidRDefault="00387987" w:rsidP="00952259">
            <w:pPr>
              <w:pStyle w:val="R"/>
              <w:rPr>
                <w:rtl/>
              </w:rPr>
            </w:pPr>
            <w:r w:rsidRPr="00952259">
              <w:rPr>
                <w:rFonts w:hint="cs"/>
                <w:rtl/>
              </w:rPr>
              <w:t xml:space="preserve">עודף יעודה על עתודה, נטו </w:t>
            </w:r>
          </w:p>
        </w:tc>
        <w:tc>
          <w:tcPr>
            <w:tcW w:w="522" w:type="pct"/>
            <w:shd w:val="clear" w:color="auto" w:fill="auto"/>
          </w:tcPr>
          <w:p w14:paraId="31B877B2"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306</w:t>
            </w:r>
          </w:p>
        </w:tc>
        <w:tc>
          <w:tcPr>
            <w:tcW w:w="522" w:type="pct"/>
            <w:shd w:val="clear" w:color="auto" w:fill="auto"/>
          </w:tcPr>
          <w:p w14:paraId="0CD4C10F"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c>
          <w:tcPr>
            <w:tcW w:w="628" w:type="pct"/>
            <w:shd w:val="clear" w:color="auto" w:fill="auto"/>
          </w:tcPr>
          <w:p w14:paraId="58FF044F"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c>
          <w:tcPr>
            <w:tcW w:w="214" w:type="pct"/>
            <w:vMerge/>
            <w:shd w:val="clear" w:color="auto" w:fill="auto"/>
          </w:tcPr>
          <w:p w14:paraId="4A553CD1"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c>
          <w:tcPr>
            <w:tcW w:w="531" w:type="pct"/>
            <w:shd w:val="clear" w:color="auto" w:fill="auto"/>
          </w:tcPr>
          <w:p w14:paraId="430AE9E7"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c>
          <w:tcPr>
            <w:tcW w:w="559" w:type="pct"/>
            <w:shd w:val="clear" w:color="auto" w:fill="auto"/>
          </w:tcPr>
          <w:p w14:paraId="14BC23CE"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r>
      <w:tr w:rsidR="00387987" w:rsidRPr="004E7761" w14:paraId="2996A418"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3B5B3CEB" w14:textId="77777777" w:rsidR="00387987" w:rsidRPr="00952259" w:rsidRDefault="00387987" w:rsidP="00952259">
            <w:pPr>
              <w:pStyle w:val="R"/>
              <w:rPr>
                <w:rtl/>
              </w:rPr>
            </w:pPr>
            <w:r w:rsidRPr="00952259">
              <w:rPr>
                <w:rFonts w:hint="cs"/>
                <w:rtl/>
              </w:rPr>
              <w:t>רכוש קבוע נטו</w:t>
            </w:r>
          </w:p>
        </w:tc>
        <w:tc>
          <w:tcPr>
            <w:tcW w:w="522" w:type="pct"/>
            <w:shd w:val="clear" w:color="auto" w:fill="auto"/>
          </w:tcPr>
          <w:p w14:paraId="363CCE73"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59,607</w:t>
            </w:r>
          </w:p>
        </w:tc>
        <w:tc>
          <w:tcPr>
            <w:tcW w:w="522" w:type="pct"/>
            <w:shd w:val="clear" w:color="auto" w:fill="auto"/>
          </w:tcPr>
          <w:p w14:paraId="55C8EBC4"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60,453</w:t>
            </w:r>
          </w:p>
        </w:tc>
        <w:tc>
          <w:tcPr>
            <w:tcW w:w="628" w:type="pct"/>
            <w:shd w:val="clear" w:color="auto" w:fill="auto"/>
          </w:tcPr>
          <w:p w14:paraId="18099DD0"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58,826</w:t>
            </w:r>
          </w:p>
        </w:tc>
        <w:tc>
          <w:tcPr>
            <w:tcW w:w="214" w:type="pct"/>
            <w:vMerge/>
            <w:shd w:val="clear" w:color="auto" w:fill="auto"/>
          </w:tcPr>
          <w:p w14:paraId="43F805B6"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c>
          <w:tcPr>
            <w:tcW w:w="531" w:type="pct"/>
            <w:shd w:val="clear" w:color="auto" w:fill="auto"/>
          </w:tcPr>
          <w:p w14:paraId="1CFFE618"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58,556</w:t>
            </w:r>
          </w:p>
        </w:tc>
        <w:tc>
          <w:tcPr>
            <w:tcW w:w="559" w:type="pct"/>
            <w:shd w:val="clear" w:color="auto" w:fill="auto"/>
          </w:tcPr>
          <w:p w14:paraId="202AEB6E"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56,919</w:t>
            </w:r>
          </w:p>
        </w:tc>
      </w:tr>
      <w:tr w:rsidR="00387987" w:rsidRPr="004E7761" w14:paraId="33B8446F"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1321EAFD" w14:textId="77777777" w:rsidR="00387987" w:rsidRPr="00952259" w:rsidRDefault="00387987" w:rsidP="00952259">
            <w:pPr>
              <w:pStyle w:val="R"/>
              <w:rPr>
                <w:rtl/>
              </w:rPr>
            </w:pPr>
            <w:r w:rsidRPr="00952259">
              <w:rPr>
                <w:rFonts w:hint="cs"/>
                <w:rtl/>
              </w:rPr>
              <w:t>סה"כ נכסים</w:t>
            </w:r>
          </w:p>
        </w:tc>
        <w:tc>
          <w:tcPr>
            <w:tcW w:w="522" w:type="pct"/>
            <w:shd w:val="clear" w:color="auto" w:fill="auto"/>
          </w:tcPr>
          <w:p w14:paraId="17409D37"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98,727</w:t>
            </w:r>
          </w:p>
        </w:tc>
        <w:tc>
          <w:tcPr>
            <w:tcW w:w="522" w:type="pct"/>
            <w:shd w:val="clear" w:color="auto" w:fill="auto"/>
          </w:tcPr>
          <w:p w14:paraId="24DC0E64"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93,976</w:t>
            </w:r>
          </w:p>
        </w:tc>
        <w:tc>
          <w:tcPr>
            <w:tcW w:w="628" w:type="pct"/>
            <w:shd w:val="clear" w:color="auto" w:fill="auto"/>
          </w:tcPr>
          <w:p w14:paraId="2920C9C7"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103,388</w:t>
            </w:r>
          </w:p>
        </w:tc>
        <w:tc>
          <w:tcPr>
            <w:tcW w:w="214" w:type="pct"/>
            <w:vMerge/>
            <w:shd w:val="clear" w:color="auto" w:fill="auto"/>
          </w:tcPr>
          <w:p w14:paraId="69E99AA7"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c>
          <w:tcPr>
            <w:tcW w:w="531" w:type="pct"/>
            <w:shd w:val="clear" w:color="auto" w:fill="auto"/>
          </w:tcPr>
          <w:p w14:paraId="41DEDDD2"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97,329</w:t>
            </w:r>
          </w:p>
        </w:tc>
        <w:tc>
          <w:tcPr>
            <w:tcW w:w="559" w:type="pct"/>
            <w:shd w:val="clear" w:color="auto" w:fill="auto"/>
          </w:tcPr>
          <w:p w14:paraId="1DF0A35F"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102,185</w:t>
            </w:r>
          </w:p>
        </w:tc>
      </w:tr>
      <w:tr w:rsidR="00387987" w:rsidRPr="004E7761" w14:paraId="6D528815"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3F2636C2" w14:textId="77777777" w:rsidR="00387987" w:rsidRPr="00A5085F" w:rsidRDefault="00387987" w:rsidP="00952259">
            <w:pPr>
              <w:pStyle w:val="B"/>
              <w:rPr>
                <w:szCs w:val="20"/>
                <w:u w:val="single"/>
                <w:rtl/>
              </w:rPr>
            </w:pPr>
            <w:r w:rsidRPr="00A5085F">
              <w:rPr>
                <w:rFonts w:hint="eastAsia"/>
                <w:szCs w:val="20"/>
                <w:u w:val="single"/>
                <w:rtl/>
              </w:rPr>
              <w:t>התחייבויות</w:t>
            </w:r>
          </w:p>
        </w:tc>
        <w:tc>
          <w:tcPr>
            <w:tcW w:w="522" w:type="pct"/>
            <w:shd w:val="clear" w:color="auto" w:fill="auto"/>
          </w:tcPr>
          <w:p w14:paraId="380F818D" w14:textId="77777777" w:rsidR="00387987" w:rsidRPr="00952259"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c>
          <w:tcPr>
            <w:tcW w:w="522" w:type="pct"/>
            <w:shd w:val="clear" w:color="auto" w:fill="auto"/>
          </w:tcPr>
          <w:p w14:paraId="45E9C63B" w14:textId="77777777" w:rsidR="00387987" w:rsidRPr="00952259"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c>
          <w:tcPr>
            <w:tcW w:w="628" w:type="pct"/>
            <w:shd w:val="clear" w:color="auto" w:fill="auto"/>
          </w:tcPr>
          <w:p w14:paraId="34668E44"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c>
          <w:tcPr>
            <w:tcW w:w="214" w:type="pct"/>
            <w:vMerge/>
            <w:shd w:val="clear" w:color="auto" w:fill="auto"/>
          </w:tcPr>
          <w:p w14:paraId="5D6C8F75"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c>
          <w:tcPr>
            <w:tcW w:w="531" w:type="pct"/>
            <w:shd w:val="clear" w:color="auto" w:fill="auto"/>
          </w:tcPr>
          <w:p w14:paraId="28C863A8"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c>
          <w:tcPr>
            <w:tcW w:w="559" w:type="pct"/>
            <w:shd w:val="clear" w:color="auto" w:fill="auto"/>
          </w:tcPr>
          <w:p w14:paraId="2AA3E9F1"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r>
      <w:tr w:rsidR="00387987" w:rsidRPr="004E7761" w14:paraId="0E74FC43"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123B7D0D" w14:textId="77777777" w:rsidR="00387987" w:rsidRPr="00952259" w:rsidRDefault="00387987" w:rsidP="00952259">
            <w:pPr>
              <w:pStyle w:val="R"/>
              <w:rPr>
                <w:rtl/>
              </w:rPr>
            </w:pPr>
            <w:r w:rsidRPr="00952259">
              <w:rPr>
                <w:rFonts w:hint="cs"/>
                <w:rtl/>
              </w:rPr>
              <w:t xml:space="preserve">התחייבויות שוטפות </w:t>
            </w:r>
          </w:p>
        </w:tc>
        <w:tc>
          <w:tcPr>
            <w:tcW w:w="522" w:type="pct"/>
            <w:shd w:val="clear" w:color="auto" w:fill="auto"/>
          </w:tcPr>
          <w:p w14:paraId="0F391319"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34,848</w:t>
            </w:r>
          </w:p>
        </w:tc>
        <w:tc>
          <w:tcPr>
            <w:tcW w:w="522" w:type="pct"/>
            <w:shd w:val="clear" w:color="auto" w:fill="auto"/>
          </w:tcPr>
          <w:p w14:paraId="1B9E627A"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31,959</w:t>
            </w:r>
          </w:p>
        </w:tc>
        <w:tc>
          <w:tcPr>
            <w:tcW w:w="628" w:type="pct"/>
            <w:shd w:val="clear" w:color="auto" w:fill="auto"/>
          </w:tcPr>
          <w:p w14:paraId="2634A53C"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41,591</w:t>
            </w:r>
          </w:p>
        </w:tc>
        <w:tc>
          <w:tcPr>
            <w:tcW w:w="214" w:type="pct"/>
            <w:vMerge/>
            <w:shd w:val="clear" w:color="auto" w:fill="auto"/>
          </w:tcPr>
          <w:p w14:paraId="4CB3AA24"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c>
          <w:tcPr>
            <w:tcW w:w="531" w:type="pct"/>
            <w:shd w:val="clear" w:color="auto" w:fill="auto"/>
          </w:tcPr>
          <w:p w14:paraId="2392FB86"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33,744</w:t>
            </w:r>
          </w:p>
        </w:tc>
        <w:tc>
          <w:tcPr>
            <w:tcW w:w="559" w:type="pct"/>
            <w:shd w:val="clear" w:color="auto" w:fill="auto"/>
          </w:tcPr>
          <w:p w14:paraId="58C8125A"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32,850</w:t>
            </w:r>
          </w:p>
        </w:tc>
      </w:tr>
      <w:tr w:rsidR="00387987" w:rsidRPr="004E7761" w14:paraId="7FE4B3C7"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38FE4997" w14:textId="77777777" w:rsidR="00387987" w:rsidRPr="00952259" w:rsidRDefault="00387987" w:rsidP="00952259">
            <w:pPr>
              <w:pStyle w:val="R"/>
              <w:rPr>
                <w:rtl/>
              </w:rPr>
            </w:pPr>
            <w:r w:rsidRPr="00952259">
              <w:rPr>
                <w:rFonts w:hint="cs"/>
                <w:rtl/>
              </w:rPr>
              <w:t>התחייבויות לזמן ארוך</w:t>
            </w:r>
          </w:p>
        </w:tc>
        <w:tc>
          <w:tcPr>
            <w:tcW w:w="522" w:type="pct"/>
            <w:shd w:val="clear" w:color="auto" w:fill="auto"/>
          </w:tcPr>
          <w:p w14:paraId="0E5A08FD"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c>
          <w:tcPr>
            <w:tcW w:w="522" w:type="pct"/>
            <w:shd w:val="clear" w:color="auto" w:fill="auto"/>
          </w:tcPr>
          <w:p w14:paraId="2F17914D"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997</w:t>
            </w:r>
          </w:p>
        </w:tc>
        <w:tc>
          <w:tcPr>
            <w:tcW w:w="628" w:type="pct"/>
            <w:shd w:val="clear" w:color="auto" w:fill="auto"/>
          </w:tcPr>
          <w:p w14:paraId="362E0413"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1,662</w:t>
            </w:r>
          </w:p>
        </w:tc>
        <w:tc>
          <w:tcPr>
            <w:tcW w:w="214" w:type="pct"/>
            <w:vMerge/>
            <w:shd w:val="clear" w:color="auto" w:fill="auto"/>
          </w:tcPr>
          <w:p w14:paraId="1E5F2339"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c>
          <w:tcPr>
            <w:tcW w:w="531" w:type="pct"/>
            <w:shd w:val="clear" w:color="auto" w:fill="auto"/>
          </w:tcPr>
          <w:p w14:paraId="42D6FEC6"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1,225</w:t>
            </w:r>
          </w:p>
        </w:tc>
        <w:tc>
          <w:tcPr>
            <w:tcW w:w="559" w:type="pct"/>
            <w:shd w:val="clear" w:color="auto" w:fill="auto"/>
          </w:tcPr>
          <w:p w14:paraId="4CF8CD31"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1,435</w:t>
            </w:r>
          </w:p>
        </w:tc>
      </w:tr>
      <w:tr w:rsidR="00387987" w:rsidRPr="004E7761" w14:paraId="181DF90D"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03D1D77A" w14:textId="77777777" w:rsidR="00387987" w:rsidRPr="00952259" w:rsidRDefault="00387987" w:rsidP="00952259">
            <w:pPr>
              <w:pStyle w:val="R"/>
              <w:rPr>
                <w:rtl/>
              </w:rPr>
            </w:pPr>
            <w:r w:rsidRPr="00952259">
              <w:rPr>
                <w:rFonts w:hint="cs"/>
                <w:rtl/>
              </w:rPr>
              <w:t>נכסים נטו (הון)</w:t>
            </w:r>
          </w:p>
        </w:tc>
        <w:tc>
          <w:tcPr>
            <w:tcW w:w="522" w:type="pct"/>
            <w:shd w:val="clear" w:color="auto" w:fill="auto"/>
          </w:tcPr>
          <w:p w14:paraId="2444124D"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63,879</w:t>
            </w:r>
          </w:p>
        </w:tc>
        <w:tc>
          <w:tcPr>
            <w:tcW w:w="522" w:type="pct"/>
            <w:shd w:val="clear" w:color="auto" w:fill="auto"/>
          </w:tcPr>
          <w:p w14:paraId="627EE98A"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61,020</w:t>
            </w:r>
          </w:p>
        </w:tc>
        <w:tc>
          <w:tcPr>
            <w:tcW w:w="628" w:type="pct"/>
            <w:shd w:val="clear" w:color="auto" w:fill="auto"/>
          </w:tcPr>
          <w:p w14:paraId="39D23D9B"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60,135</w:t>
            </w:r>
          </w:p>
        </w:tc>
        <w:tc>
          <w:tcPr>
            <w:tcW w:w="214" w:type="pct"/>
            <w:vMerge/>
            <w:shd w:val="clear" w:color="auto" w:fill="auto"/>
          </w:tcPr>
          <w:p w14:paraId="5192416B"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p>
        </w:tc>
        <w:tc>
          <w:tcPr>
            <w:tcW w:w="531" w:type="pct"/>
            <w:shd w:val="clear" w:color="auto" w:fill="auto"/>
          </w:tcPr>
          <w:p w14:paraId="72E4851A"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62,360</w:t>
            </w:r>
          </w:p>
        </w:tc>
        <w:tc>
          <w:tcPr>
            <w:tcW w:w="559" w:type="pct"/>
            <w:shd w:val="clear" w:color="auto" w:fill="auto"/>
          </w:tcPr>
          <w:p w14:paraId="43D3317A" w14:textId="77777777" w:rsidR="00387987" w:rsidRPr="004E7761" w:rsidRDefault="00387987" w:rsidP="00952259">
            <w:pPr>
              <w:pStyle w:val="R"/>
              <w:cnfStyle w:val="000000100000" w:firstRow="0" w:lastRow="0" w:firstColumn="0" w:lastColumn="0" w:oddVBand="0" w:evenVBand="0" w:oddHBand="1" w:evenHBand="0" w:firstRowFirstColumn="0" w:firstRowLastColumn="0" w:lastRowFirstColumn="0" w:lastRowLastColumn="0"/>
              <w:rPr>
                <w:rtl/>
              </w:rPr>
            </w:pPr>
            <w:r w:rsidRPr="004E7761">
              <w:rPr>
                <w:rFonts w:hint="cs"/>
                <w:rtl/>
              </w:rPr>
              <w:t>67,900</w:t>
            </w:r>
          </w:p>
        </w:tc>
      </w:tr>
      <w:tr w:rsidR="00387987" w:rsidRPr="004E7761" w14:paraId="0A225278"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50E8387F" w14:textId="77777777" w:rsidR="00387987" w:rsidRPr="00952259" w:rsidRDefault="00387987" w:rsidP="00952259">
            <w:pPr>
              <w:pStyle w:val="R"/>
              <w:rPr>
                <w:rtl/>
              </w:rPr>
            </w:pPr>
            <w:r w:rsidRPr="00952259">
              <w:rPr>
                <w:rFonts w:hint="cs"/>
                <w:rtl/>
              </w:rPr>
              <w:t>סה"כ התחייבויות</w:t>
            </w:r>
          </w:p>
        </w:tc>
        <w:tc>
          <w:tcPr>
            <w:tcW w:w="522" w:type="pct"/>
            <w:shd w:val="clear" w:color="auto" w:fill="auto"/>
          </w:tcPr>
          <w:p w14:paraId="77CC32A1"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98,727</w:t>
            </w:r>
          </w:p>
        </w:tc>
        <w:tc>
          <w:tcPr>
            <w:tcW w:w="522" w:type="pct"/>
            <w:shd w:val="clear" w:color="auto" w:fill="auto"/>
          </w:tcPr>
          <w:p w14:paraId="6FBF4A2A"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93,976</w:t>
            </w:r>
          </w:p>
        </w:tc>
        <w:tc>
          <w:tcPr>
            <w:tcW w:w="628" w:type="pct"/>
            <w:shd w:val="clear" w:color="auto" w:fill="auto"/>
          </w:tcPr>
          <w:p w14:paraId="188D1AE1"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103,388</w:t>
            </w:r>
          </w:p>
        </w:tc>
        <w:tc>
          <w:tcPr>
            <w:tcW w:w="214" w:type="pct"/>
            <w:vMerge/>
            <w:shd w:val="clear" w:color="auto" w:fill="auto"/>
          </w:tcPr>
          <w:p w14:paraId="784CF9AF"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p>
        </w:tc>
        <w:tc>
          <w:tcPr>
            <w:tcW w:w="531" w:type="pct"/>
            <w:shd w:val="clear" w:color="auto" w:fill="auto"/>
          </w:tcPr>
          <w:p w14:paraId="3C13A782"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97,329</w:t>
            </w:r>
          </w:p>
        </w:tc>
        <w:tc>
          <w:tcPr>
            <w:tcW w:w="559" w:type="pct"/>
            <w:shd w:val="clear" w:color="auto" w:fill="auto"/>
          </w:tcPr>
          <w:p w14:paraId="590E06A8" w14:textId="77777777" w:rsidR="00387987" w:rsidRPr="004E7761" w:rsidRDefault="00387987" w:rsidP="00952259">
            <w:pPr>
              <w:pStyle w:val="R"/>
              <w:cnfStyle w:val="000000000000" w:firstRow="0" w:lastRow="0" w:firstColumn="0" w:lastColumn="0" w:oddVBand="0" w:evenVBand="0" w:oddHBand="0" w:evenHBand="0" w:firstRowFirstColumn="0" w:firstRowLastColumn="0" w:lastRowFirstColumn="0" w:lastRowLastColumn="0"/>
              <w:rPr>
                <w:rtl/>
              </w:rPr>
            </w:pPr>
            <w:r w:rsidRPr="004E7761">
              <w:rPr>
                <w:rFonts w:hint="cs"/>
                <w:rtl/>
              </w:rPr>
              <w:t>102,185</w:t>
            </w:r>
          </w:p>
        </w:tc>
      </w:tr>
      <w:tr w:rsidR="00387987" w:rsidRPr="004E7761" w14:paraId="2238C75F"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6" w:type="pct"/>
            <w:gridSpan w:val="4"/>
            <w:shd w:val="clear" w:color="auto" w:fill="auto"/>
          </w:tcPr>
          <w:p w14:paraId="61C28D99" w14:textId="77777777" w:rsidR="00387987" w:rsidRPr="00A5085F" w:rsidRDefault="00387987" w:rsidP="00952259">
            <w:pPr>
              <w:pStyle w:val="R"/>
              <w:rPr>
                <w:i/>
                <w:iCs/>
                <w:rtl/>
              </w:rPr>
            </w:pPr>
            <w:r w:rsidRPr="00A5085F">
              <w:rPr>
                <w:rFonts w:hint="cs"/>
                <w:i/>
                <w:iCs/>
                <w:rtl/>
              </w:rPr>
              <w:t>נתונים מתוך דוחות על הפעילויות:</w:t>
            </w:r>
          </w:p>
        </w:tc>
        <w:tc>
          <w:tcPr>
            <w:tcW w:w="214" w:type="pct"/>
            <w:vMerge/>
            <w:shd w:val="clear" w:color="auto" w:fill="auto"/>
          </w:tcPr>
          <w:p w14:paraId="7FBF15C6" w14:textId="77777777" w:rsidR="00387987" w:rsidRPr="004E7761" w:rsidRDefault="00387987" w:rsidP="00C857F9">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p>
        </w:tc>
        <w:tc>
          <w:tcPr>
            <w:tcW w:w="531" w:type="pct"/>
            <w:shd w:val="clear" w:color="auto" w:fill="auto"/>
          </w:tcPr>
          <w:p w14:paraId="60B33C0C" w14:textId="77777777" w:rsidR="00387987" w:rsidRPr="004E7761" w:rsidRDefault="00387987" w:rsidP="00C857F9">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p>
        </w:tc>
        <w:tc>
          <w:tcPr>
            <w:tcW w:w="559" w:type="pct"/>
            <w:shd w:val="clear" w:color="auto" w:fill="auto"/>
          </w:tcPr>
          <w:p w14:paraId="57138095" w14:textId="77777777" w:rsidR="00387987" w:rsidRPr="004E7761" w:rsidRDefault="00387987" w:rsidP="00C857F9">
            <w:pPr>
              <w:spacing w:line="269" w:lineRule="auto"/>
              <w:cnfStyle w:val="000000100000" w:firstRow="0" w:lastRow="0" w:firstColumn="0" w:lastColumn="0" w:oddVBand="0" w:evenVBand="0" w:oddHBand="1" w:evenHBand="0" w:firstRowFirstColumn="0" w:firstRowLastColumn="0" w:lastRowFirstColumn="0" w:lastRowLastColumn="0"/>
              <w:rPr>
                <w:sz w:val="22"/>
                <w:szCs w:val="22"/>
                <w:rtl/>
              </w:rPr>
            </w:pPr>
          </w:p>
        </w:tc>
      </w:tr>
      <w:tr w:rsidR="00387987" w:rsidRPr="004E7761" w14:paraId="0CB5BADC"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774548EC" w14:textId="77777777" w:rsidR="00387987" w:rsidRPr="00952259" w:rsidRDefault="00387987" w:rsidP="00952259">
            <w:pPr>
              <w:pStyle w:val="R"/>
              <w:rPr>
                <w:rtl/>
              </w:rPr>
            </w:pPr>
            <w:r w:rsidRPr="00952259">
              <w:rPr>
                <w:rFonts w:hint="cs"/>
                <w:rtl/>
              </w:rPr>
              <w:t>מחזור פעילות</w:t>
            </w:r>
          </w:p>
        </w:tc>
        <w:tc>
          <w:tcPr>
            <w:tcW w:w="522" w:type="pct"/>
            <w:shd w:val="clear" w:color="auto" w:fill="auto"/>
          </w:tcPr>
          <w:p w14:paraId="380B7587"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84,369</w:t>
            </w:r>
          </w:p>
        </w:tc>
        <w:tc>
          <w:tcPr>
            <w:tcW w:w="522" w:type="pct"/>
            <w:shd w:val="clear" w:color="auto" w:fill="auto"/>
          </w:tcPr>
          <w:p w14:paraId="2AA8962F"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72,269</w:t>
            </w:r>
          </w:p>
        </w:tc>
        <w:tc>
          <w:tcPr>
            <w:tcW w:w="628" w:type="pct"/>
            <w:shd w:val="clear" w:color="auto" w:fill="auto"/>
          </w:tcPr>
          <w:p w14:paraId="20965042"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88,074</w:t>
            </w:r>
          </w:p>
        </w:tc>
        <w:tc>
          <w:tcPr>
            <w:tcW w:w="214" w:type="pct"/>
            <w:vMerge/>
            <w:shd w:val="clear" w:color="auto" w:fill="auto"/>
          </w:tcPr>
          <w:p w14:paraId="4191BCE2"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p>
        </w:tc>
        <w:tc>
          <w:tcPr>
            <w:tcW w:w="531" w:type="pct"/>
            <w:shd w:val="clear" w:color="auto" w:fill="auto"/>
          </w:tcPr>
          <w:p w14:paraId="0F07F9D4"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73,200</w:t>
            </w:r>
          </w:p>
        </w:tc>
        <w:tc>
          <w:tcPr>
            <w:tcW w:w="559" w:type="pct"/>
            <w:shd w:val="clear" w:color="auto" w:fill="auto"/>
          </w:tcPr>
          <w:p w14:paraId="4007F7AF"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77,836</w:t>
            </w:r>
          </w:p>
        </w:tc>
      </w:tr>
      <w:tr w:rsidR="00387987" w:rsidRPr="004E7761" w14:paraId="14AEBBDC"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32CE4BEF" w14:textId="77777777" w:rsidR="00387987" w:rsidRPr="00952259" w:rsidRDefault="00387987" w:rsidP="00952259">
            <w:pPr>
              <w:pStyle w:val="R"/>
              <w:rPr>
                <w:rtl/>
              </w:rPr>
            </w:pPr>
            <w:r w:rsidRPr="00952259">
              <w:rPr>
                <w:rFonts w:hint="cs"/>
                <w:rtl/>
              </w:rPr>
              <w:t>עלות הפעילות</w:t>
            </w:r>
          </w:p>
        </w:tc>
        <w:tc>
          <w:tcPr>
            <w:tcW w:w="522" w:type="pct"/>
            <w:shd w:val="clear" w:color="auto" w:fill="auto"/>
          </w:tcPr>
          <w:p w14:paraId="2F43EAA3"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85,419</w:t>
            </w:r>
          </w:p>
        </w:tc>
        <w:tc>
          <w:tcPr>
            <w:tcW w:w="522" w:type="pct"/>
            <w:shd w:val="clear" w:color="auto" w:fill="auto"/>
          </w:tcPr>
          <w:p w14:paraId="5B8D4EBF"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73,469</w:t>
            </w:r>
          </w:p>
        </w:tc>
        <w:tc>
          <w:tcPr>
            <w:tcW w:w="628" w:type="pct"/>
            <w:shd w:val="clear" w:color="auto" w:fill="auto"/>
          </w:tcPr>
          <w:p w14:paraId="5712E5EE"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87,927</w:t>
            </w:r>
          </w:p>
        </w:tc>
        <w:tc>
          <w:tcPr>
            <w:tcW w:w="214" w:type="pct"/>
            <w:vMerge/>
            <w:shd w:val="clear" w:color="auto" w:fill="auto"/>
          </w:tcPr>
          <w:p w14:paraId="0B0BAE8F"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p>
        </w:tc>
        <w:tc>
          <w:tcPr>
            <w:tcW w:w="531" w:type="pct"/>
            <w:shd w:val="clear" w:color="auto" w:fill="auto"/>
          </w:tcPr>
          <w:p w14:paraId="5A346848"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71,449</w:t>
            </w:r>
          </w:p>
        </w:tc>
        <w:tc>
          <w:tcPr>
            <w:tcW w:w="559" w:type="pct"/>
            <w:shd w:val="clear" w:color="auto" w:fill="auto"/>
          </w:tcPr>
          <w:p w14:paraId="2791852C"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71,890</w:t>
            </w:r>
          </w:p>
        </w:tc>
      </w:tr>
      <w:tr w:rsidR="00387987" w:rsidRPr="004E7761" w14:paraId="413741D1"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0E69965B" w14:textId="77777777" w:rsidR="00387987" w:rsidRPr="00952259" w:rsidRDefault="00387987" w:rsidP="00952259">
            <w:pPr>
              <w:pStyle w:val="R"/>
              <w:rPr>
                <w:rtl/>
              </w:rPr>
            </w:pPr>
            <w:r w:rsidRPr="00952259">
              <w:rPr>
                <w:rFonts w:hint="cs"/>
                <w:rtl/>
              </w:rPr>
              <w:t>עודף/גירעון נטו מפעילויות</w:t>
            </w:r>
          </w:p>
        </w:tc>
        <w:tc>
          <w:tcPr>
            <w:tcW w:w="522" w:type="pct"/>
            <w:shd w:val="clear" w:color="auto" w:fill="auto"/>
          </w:tcPr>
          <w:p w14:paraId="03B9D3B7"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1,050-</w:t>
            </w:r>
          </w:p>
        </w:tc>
        <w:tc>
          <w:tcPr>
            <w:tcW w:w="522" w:type="pct"/>
            <w:shd w:val="clear" w:color="auto" w:fill="auto"/>
          </w:tcPr>
          <w:p w14:paraId="0AFBBEDE"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1,200-</w:t>
            </w:r>
          </w:p>
        </w:tc>
        <w:tc>
          <w:tcPr>
            <w:tcW w:w="628" w:type="pct"/>
            <w:shd w:val="clear" w:color="auto" w:fill="auto"/>
          </w:tcPr>
          <w:p w14:paraId="76D604A4"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147</w:t>
            </w:r>
          </w:p>
        </w:tc>
        <w:tc>
          <w:tcPr>
            <w:tcW w:w="214" w:type="pct"/>
            <w:vMerge/>
            <w:shd w:val="clear" w:color="auto" w:fill="auto"/>
          </w:tcPr>
          <w:p w14:paraId="0B7CF80D"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p>
        </w:tc>
        <w:tc>
          <w:tcPr>
            <w:tcW w:w="531" w:type="pct"/>
            <w:shd w:val="clear" w:color="auto" w:fill="auto"/>
          </w:tcPr>
          <w:p w14:paraId="5444B08F"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1,751</w:t>
            </w:r>
          </w:p>
        </w:tc>
        <w:tc>
          <w:tcPr>
            <w:tcW w:w="559" w:type="pct"/>
            <w:shd w:val="clear" w:color="auto" w:fill="auto"/>
          </w:tcPr>
          <w:p w14:paraId="6A3653BC"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5,946</w:t>
            </w:r>
          </w:p>
        </w:tc>
      </w:tr>
      <w:tr w:rsidR="00387987" w:rsidRPr="004E7761" w14:paraId="7A8CB29D"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7FE4C5B0" w14:textId="77777777" w:rsidR="00387987" w:rsidRPr="00952259" w:rsidRDefault="00387987" w:rsidP="00952259">
            <w:pPr>
              <w:pStyle w:val="R"/>
              <w:rPr>
                <w:rtl/>
              </w:rPr>
            </w:pPr>
            <w:r w:rsidRPr="00952259">
              <w:rPr>
                <w:rFonts w:hint="cs"/>
                <w:rtl/>
              </w:rPr>
              <w:t>הוצאות מימון נטו והפסד הון</w:t>
            </w:r>
          </w:p>
        </w:tc>
        <w:tc>
          <w:tcPr>
            <w:tcW w:w="522" w:type="pct"/>
            <w:shd w:val="clear" w:color="auto" w:fill="auto"/>
          </w:tcPr>
          <w:p w14:paraId="0680FE2E"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126-</w:t>
            </w:r>
          </w:p>
        </w:tc>
        <w:tc>
          <w:tcPr>
            <w:tcW w:w="522" w:type="pct"/>
            <w:shd w:val="clear" w:color="auto" w:fill="auto"/>
          </w:tcPr>
          <w:p w14:paraId="1DA3ED53"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393-</w:t>
            </w:r>
          </w:p>
        </w:tc>
        <w:tc>
          <w:tcPr>
            <w:tcW w:w="628" w:type="pct"/>
            <w:shd w:val="clear" w:color="auto" w:fill="auto"/>
          </w:tcPr>
          <w:p w14:paraId="34D44EFD"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447-</w:t>
            </w:r>
          </w:p>
        </w:tc>
        <w:tc>
          <w:tcPr>
            <w:tcW w:w="214" w:type="pct"/>
            <w:vMerge/>
            <w:shd w:val="clear" w:color="auto" w:fill="auto"/>
          </w:tcPr>
          <w:p w14:paraId="4FE6FE7A"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p>
        </w:tc>
        <w:tc>
          <w:tcPr>
            <w:tcW w:w="531" w:type="pct"/>
            <w:shd w:val="clear" w:color="auto" w:fill="auto"/>
          </w:tcPr>
          <w:p w14:paraId="6BBD5B7E"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411-</w:t>
            </w:r>
          </w:p>
        </w:tc>
        <w:tc>
          <w:tcPr>
            <w:tcW w:w="559" w:type="pct"/>
            <w:shd w:val="clear" w:color="auto" w:fill="auto"/>
          </w:tcPr>
          <w:p w14:paraId="5A6BF46C" w14:textId="77777777" w:rsidR="00387987" w:rsidRPr="00385426" w:rsidRDefault="00387987" w:rsidP="00385426">
            <w:pPr>
              <w:pStyle w:val="R"/>
              <w:cnfStyle w:val="000000100000" w:firstRow="0" w:lastRow="0" w:firstColumn="0" w:lastColumn="0" w:oddVBand="0" w:evenVBand="0" w:oddHBand="1" w:evenHBand="0" w:firstRowFirstColumn="0" w:firstRowLastColumn="0" w:lastRowFirstColumn="0" w:lastRowLastColumn="0"/>
              <w:rPr>
                <w:rtl/>
              </w:rPr>
            </w:pPr>
            <w:r w:rsidRPr="00385426">
              <w:rPr>
                <w:rFonts w:hint="cs"/>
                <w:rtl/>
              </w:rPr>
              <w:t>406-</w:t>
            </w:r>
          </w:p>
        </w:tc>
      </w:tr>
      <w:tr w:rsidR="00387987" w:rsidRPr="004E7761" w14:paraId="28E358B2"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2025" w:type="pct"/>
            <w:shd w:val="clear" w:color="auto" w:fill="auto"/>
          </w:tcPr>
          <w:p w14:paraId="02AD3A02" w14:textId="77777777" w:rsidR="00387987" w:rsidRPr="00952259" w:rsidRDefault="00387987" w:rsidP="00952259">
            <w:pPr>
              <w:pStyle w:val="R"/>
              <w:rPr>
                <w:rtl/>
              </w:rPr>
            </w:pPr>
            <w:r w:rsidRPr="00952259">
              <w:rPr>
                <w:rFonts w:hint="cs"/>
                <w:rtl/>
              </w:rPr>
              <w:t>עודף/גירעון נטו לשנה</w:t>
            </w:r>
          </w:p>
        </w:tc>
        <w:tc>
          <w:tcPr>
            <w:tcW w:w="522" w:type="pct"/>
            <w:shd w:val="clear" w:color="auto" w:fill="auto"/>
          </w:tcPr>
          <w:p w14:paraId="4A9713B3"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1,176-</w:t>
            </w:r>
          </w:p>
        </w:tc>
        <w:tc>
          <w:tcPr>
            <w:tcW w:w="522" w:type="pct"/>
            <w:shd w:val="clear" w:color="auto" w:fill="auto"/>
          </w:tcPr>
          <w:p w14:paraId="20DBA3FB"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1,593-</w:t>
            </w:r>
          </w:p>
        </w:tc>
        <w:tc>
          <w:tcPr>
            <w:tcW w:w="628" w:type="pct"/>
            <w:shd w:val="clear" w:color="auto" w:fill="auto"/>
          </w:tcPr>
          <w:p w14:paraId="252E9885"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300-</w:t>
            </w:r>
          </w:p>
        </w:tc>
        <w:tc>
          <w:tcPr>
            <w:tcW w:w="214" w:type="pct"/>
            <w:vMerge/>
            <w:shd w:val="clear" w:color="auto" w:fill="auto"/>
          </w:tcPr>
          <w:p w14:paraId="079DF2F9"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p>
        </w:tc>
        <w:tc>
          <w:tcPr>
            <w:tcW w:w="531" w:type="pct"/>
            <w:shd w:val="clear" w:color="auto" w:fill="auto"/>
          </w:tcPr>
          <w:p w14:paraId="517EE6F7"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1,340</w:t>
            </w:r>
          </w:p>
        </w:tc>
        <w:tc>
          <w:tcPr>
            <w:tcW w:w="559" w:type="pct"/>
            <w:shd w:val="clear" w:color="auto" w:fill="auto"/>
          </w:tcPr>
          <w:p w14:paraId="0C6F6787" w14:textId="77777777" w:rsidR="00387987" w:rsidRPr="00385426" w:rsidRDefault="00387987" w:rsidP="00385426">
            <w:pPr>
              <w:pStyle w:val="R"/>
              <w:cnfStyle w:val="000000000000" w:firstRow="0" w:lastRow="0" w:firstColumn="0" w:lastColumn="0" w:oddVBand="0" w:evenVBand="0" w:oddHBand="0" w:evenHBand="0" w:firstRowFirstColumn="0" w:firstRowLastColumn="0" w:lastRowFirstColumn="0" w:lastRowLastColumn="0"/>
              <w:rPr>
                <w:rtl/>
              </w:rPr>
            </w:pPr>
            <w:r w:rsidRPr="00385426">
              <w:rPr>
                <w:rFonts w:hint="cs"/>
                <w:rtl/>
              </w:rPr>
              <w:t>5,540</w:t>
            </w:r>
          </w:p>
        </w:tc>
      </w:tr>
    </w:tbl>
    <w:p w14:paraId="34CE7669" w14:textId="77777777" w:rsidR="00387987" w:rsidRDefault="00387987" w:rsidP="00A5085F">
      <w:pPr>
        <w:pStyle w:val="aa"/>
        <w:rPr>
          <w:rtl/>
        </w:rPr>
      </w:pPr>
      <w:r w:rsidRPr="00266183">
        <w:rPr>
          <w:rFonts w:hint="eastAsia"/>
          <w:rtl/>
        </w:rPr>
        <w:t>המקור</w:t>
      </w:r>
      <w:r w:rsidRPr="00266183">
        <w:rPr>
          <w:rtl/>
        </w:rPr>
        <w:t>: הדוחות המאוחדים של הלשכה לשנים 2014 - 2017</w:t>
      </w:r>
      <w:r>
        <w:rPr>
          <w:rFonts w:hint="cs"/>
          <w:rtl/>
        </w:rPr>
        <w:t>.</w:t>
      </w:r>
    </w:p>
    <w:p w14:paraId="6FA17A80" w14:textId="77777777" w:rsidR="00387987" w:rsidRPr="005A27E8" w:rsidRDefault="00387987" w:rsidP="00A5085F">
      <w:pPr>
        <w:pStyle w:val="aa"/>
        <w:rPr>
          <w:rtl/>
        </w:rPr>
      </w:pPr>
      <w:r>
        <w:rPr>
          <w:rFonts w:hint="cs"/>
          <w:rtl/>
        </w:rPr>
        <w:t xml:space="preserve">* הנתונים לשנת 2016 </w:t>
      </w:r>
      <w:r w:rsidRPr="005A27E8">
        <w:rPr>
          <w:rFonts w:hint="eastAsia"/>
          <w:rtl/>
        </w:rPr>
        <w:t>ב</w:t>
      </w:r>
      <w:r w:rsidRPr="005A27E8">
        <w:rPr>
          <w:rtl/>
        </w:rPr>
        <w:t xml:space="preserve">"מספרי </w:t>
      </w:r>
      <w:r w:rsidRPr="005A27E8">
        <w:rPr>
          <w:rFonts w:hint="eastAsia"/>
          <w:rtl/>
        </w:rPr>
        <w:t>השוואה</w:t>
      </w:r>
      <w:r w:rsidRPr="005A27E8">
        <w:rPr>
          <w:rtl/>
        </w:rPr>
        <w:t xml:space="preserve">" </w:t>
      </w:r>
      <w:r w:rsidRPr="005A27E8">
        <w:rPr>
          <w:rFonts w:hint="eastAsia"/>
          <w:rtl/>
        </w:rPr>
        <w:t>לשנת</w:t>
      </w:r>
      <w:r w:rsidRPr="005A27E8">
        <w:rPr>
          <w:rtl/>
        </w:rPr>
        <w:t xml:space="preserve"> 2017 </w:t>
      </w:r>
      <w:r w:rsidRPr="005A27E8">
        <w:rPr>
          <w:rFonts w:hint="eastAsia"/>
          <w:rtl/>
        </w:rPr>
        <w:t>משמע</w:t>
      </w:r>
      <w:r w:rsidRPr="005A27E8">
        <w:rPr>
          <w:rtl/>
        </w:rPr>
        <w:t xml:space="preserve">: </w:t>
      </w:r>
      <w:r w:rsidRPr="005A27E8">
        <w:rPr>
          <w:rFonts w:hint="eastAsia"/>
          <w:rtl/>
        </w:rPr>
        <w:t>הנתונים</w:t>
      </w:r>
      <w:r w:rsidRPr="005A27E8">
        <w:rPr>
          <w:rtl/>
        </w:rPr>
        <w:t xml:space="preserve"> שהוצגו בדוח </w:t>
      </w:r>
      <w:r w:rsidRPr="005A27E8">
        <w:rPr>
          <w:rFonts w:hint="eastAsia"/>
          <w:rtl/>
        </w:rPr>
        <w:t>הכספי</w:t>
      </w:r>
      <w:r w:rsidRPr="005A27E8">
        <w:rPr>
          <w:rtl/>
        </w:rPr>
        <w:t xml:space="preserve"> </w:t>
      </w:r>
      <w:r w:rsidRPr="005A27E8">
        <w:rPr>
          <w:rFonts w:hint="eastAsia"/>
          <w:rtl/>
        </w:rPr>
        <w:t>לשנת</w:t>
      </w:r>
      <w:r w:rsidRPr="005A27E8">
        <w:rPr>
          <w:rtl/>
        </w:rPr>
        <w:t xml:space="preserve"> 2017 </w:t>
      </w:r>
      <w:r w:rsidRPr="005A27E8">
        <w:rPr>
          <w:rFonts w:hint="eastAsia"/>
          <w:rtl/>
        </w:rPr>
        <w:t>ב</w:t>
      </w:r>
      <w:r>
        <w:rPr>
          <w:rFonts w:hint="cs"/>
          <w:rtl/>
        </w:rPr>
        <w:t>נוגע</w:t>
      </w:r>
      <w:r w:rsidRPr="005A27E8">
        <w:rPr>
          <w:rtl/>
        </w:rPr>
        <w:t xml:space="preserve"> </w:t>
      </w:r>
      <w:r w:rsidRPr="005A27E8">
        <w:rPr>
          <w:rFonts w:hint="eastAsia"/>
          <w:rtl/>
        </w:rPr>
        <w:t>לשנת</w:t>
      </w:r>
      <w:r w:rsidRPr="005A27E8">
        <w:rPr>
          <w:rtl/>
        </w:rPr>
        <w:t xml:space="preserve"> 2016.</w:t>
      </w:r>
    </w:p>
    <w:p w14:paraId="20E570F8" w14:textId="5CA6B0CA" w:rsidR="00387987" w:rsidRDefault="00387987" w:rsidP="00387987">
      <w:pPr>
        <w:spacing w:line="269" w:lineRule="auto"/>
        <w:rPr>
          <w:rtl/>
        </w:rPr>
      </w:pPr>
    </w:p>
    <w:p w14:paraId="1D2BA64C" w14:textId="77777777" w:rsidR="00387987" w:rsidRDefault="00387987" w:rsidP="00150BE7">
      <w:pPr>
        <w:pStyle w:val="100"/>
        <w:rPr>
          <w:rtl/>
        </w:rPr>
      </w:pPr>
      <w:r>
        <w:rPr>
          <w:rFonts w:hint="cs"/>
          <w:rtl/>
        </w:rPr>
        <w:t xml:space="preserve">מהלוח עולה כי בשנים 2014 - 2016, סיימה הלשכה את השנה בגירעון, ואילו בשנת 2016, לאחר ההצגה מחדש של הנתונים, וכן בשנת 2017 סיימה הלשכה את השנה בעודף. לשכת עורכי הדין ערכה מחדש את הדוחות הכספיים לשנת </w:t>
      </w:r>
      <w:r w:rsidRPr="00F40938">
        <w:rPr>
          <w:rFonts w:hint="cs"/>
          <w:rtl/>
        </w:rPr>
        <w:t>2017</w:t>
      </w:r>
      <w:r w:rsidRPr="00631D01">
        <w:rPr>
          <w:rFonts w:hint="cs"/>
          <w:rtl/>
        </w:rPr>
        <w:t xml:space="preserve"> וכן את מספרי ההשוואה</w:t>
      </w:r>
      <w:r>
        <w:rPr>
          <w:rStyle w:val="FootnoteReference"/>
          <w:rtl/>
        </w:rPr>
        <w:footnoteReference w:id="15"/>
      </w:r>
      <w:r w:rsidRPr="00631D01">
        <w:rPr>
          <w:rFonts w:hint="cs"/>
          <w:rtl/>
        </w:rPr>
        <w:t xml:space="preserve"> לשנת</w:t>
      </w:r>
      <w:r>
        <w:rPr>
          <w:rFonts w:hint="cs"/>
          <w:rtl/>
        </w:rPr>
        <w:t xml:space="preserve"> </w:t>
      </w:r>
      <w:r w:rsidRPr="00631D01">
        <w:rPr>
          <w:rFonts w:hint="cs"/>
          <w:rtl/>
        </w:rPr>
        <w:t>2016</w:t>
      </w:r>
      <w:r>
        <w:rPr>
          <w:rFonts w:hint="cs"/>
          <w:rtl/>
        </w:rPr>
        <w:t xml:space="preserve">. בנוגע לשנת 2017 </w:t>
      </w:r>
      <w:r w:rsidRPr="00F40938">
        <w:rPr>
          <w:rFonts w:hint="cs"/>
          <w:rtl/>
        </w:rPr>
        <w:t xml:space="preserve">רשמה הלשכה הערה </w:t>
      </w:r>
      <w:r>
        <w:rPr>
          <w:rFonts w:hint="cs"/>
          <w:rtl/>
        </w:rPr>
        <w:t>בדוח הכספי ו</w:t>
      </w:r>
      <w:r w:rsidRPr="00F40938">
        <w:rPr>
          <w:rFonts w:hint="cs"/>
          <w:rtl/>
        </w:rPr>
        <w:t>לפיה:</w:t>
      </w:r>
      <w:r>
        <w:rPr>
          <w:rFonts w:hint="cs"/>
          <w:rtl/>
        </w:rPr>
        <w:t xml:space="preserve"> "</w:t>
      </w:r>
      <w:r w:rsidRPr="00F40938">
        <w:rPr>
          <w:rFonts w:hint="cs"/>
          <w:rtl/>
        </w:rPr>
        <w:t>הדוחות הכספיים ליום 31 בדצמבר 2016 ולשנה שהסתיימה ביום 31 בדצמבר 2016 הוצגו מחדש על מנת לשקף בהם למפרע</w:t>
      </w:r>
      <w:r>
        <w:rPr>
          <w:rFonts w:hint="cs"/>
          <w:rtl/>
        </w:rPr>
        <w:t xml:space="preserve"> את </w:t>
      </w:r>
      <w:r>
        <w:rPr>
          <w:rFonts w:hint="cs"/>
          <w:rtl/>
        </w:rPr>
        <w:lastRenderedPageBreak/>
        <w:t xml:space="preserve">ביטול האיחוד של החברה הכלכלית של לשכת עורכי הדין בישראל והצגתה לפי עלות שלא בהתאם לכללי חשבונאות מקובלים". יש לציין כי רואה החשבון המבקר של הלשכה הסתייג מהדוחות הכספיים של הלשכה וציין כי הצגה זו היא "שלא בהתאם לכללי חשבונאות מקובלים". </w:t>
      </w:r>
    </w:p>
    <w:p w14:paraId="053DFE6E" w14:textId="77777777" w:rsidR="00387987" w:rsidRPr="00650119" w:rsidRDefault="00387987" w:rsidP="0080175F">
      <w:pPr>
        <w:pStyle w:val="af3"/>
        <w:rPr>
          <w:rtl/>
        </w:rPr>
      </w:pPr>
      <w:r>
        <w:rPr>
          <w:rFonts w:hint="cs"/>
          <w:rtl/>
        </w:rPr>
        <w:t>ב</w:t>
      </w:r>
      <w:r w:rsidRPr="00650119">
        <w:rPr>
          <w:rFonts w:hint="cs"/>
          <w:rtl/>
        </w:rPr>
        <w:t>דוח הכספי של הלשכה לשנת 2017 הפסיקה הלשכה לאחד את הדוח הכספי של</w:t>
      </w:r>
      <w:r>
        <w:rPr>
          <w:rFonts w:hint="cs"/>
          <w:rtl/>
        </w:rPr>
        <w:t xml:space="preserve">ה עם הדוח הכספי של </w:t>
      </w:r>
      <w:r w:rsidRPr="00650119">
        <w:rPr>
          <w:rFonts w:hint="cs"/>
          <w:rtl/>
        </w:rPr>
        <w:t xml:space="preserve">החברה הכלכלית, </w:t>
      </w:r>
      <w:r>
        <w:rPr>
          <w:rFonts w:hint="cs"/>
          <w:rtl/>
        </w:rPr>
        <w:t>וזאת ללא כל הסבר</w:t>
      </w:r>
      <w:r>
        <w:rPr>
          <w:rStyle w:val="FootnoteReference"/>
          <w:b/>
          <w:bCs/>
          <w:color w:val="000000"/>
          <w:sz w:val="24"/>
          <w:rtl/>
        </w:rPr>
        <w:footnoteReference w:id="16"/>
      </w:r>
      <w:r w:rsidRPr="00650119">
        <w:rPr>
          <w:rFonts w:hint="cs"/>
          <w:rtl/>
        </w:rPr>
        <w:t>.</w:t>
      </w:r>
    </w:p>
    <w:p w14:paraId="2D6E40AA" w14:textId="77777777" w:rsidR="00387987" w:rsidRPr="000B0849" w:rsidRDefault="00387987" w:rsidP="0080175F">
      <w:pPr>
        <w:pStyle w:val="100"/>
        <w:rPr>
          <w:rtl/>
        </w:rPr>
      </w:pPr>
      <w:r w:rsidRPr="000B0849">
        <w:rPr>
          <w:rFonts w:hint="eastAsia"/>
          <w:rtl/>
        </w:rPr>
        <w:t>בת</w:t>
      </w:r>
      <w:r>
        <w:rPr>
          <w:rFonts w:hint="cs"/>
          <w:rtl/>
        </w:rPr>
        <w:t>שובתה</w:t>
      </w:r>
      <w:r w:rsidRPr="000B0849">
        <w:rPr>
          <w:rtl/>
        </w:rPr>
        <w:t xml:space="preserve"> לביקורת הסבירה הלשכה</w:t>
      </w:r>
      <w:r>
        <w:rPr>
          <w:rFonts w:hint="cs"/>
          <w:rtl/>
        </w:rPr>
        <w:t>,</w:t>
      </w:r>
      <w:r w:rsidRPr="000B0849">
        <w:rPr>
          <w:rtl/>
        </w:rPr>
        <w:t xml:space="preserve"> </w:t>
      </w:r>
      <w:r>
        <w:rPr>
          <w:rFonts w:hint="cs"/>
          <w:rtl/>
        </w:rPr>
        <w:t xml:space="preserve">כי </w:t>
      </w:r>
      <w:r w:rsidRPr="000B0849">
        <w:rPr>
          <w:rtl/>
        </w:rPr>
        <w:t xml:space="preserve">בשנת 2017 </w:t>
      </w:r>
      <w:r>
        <w:rPr>
          <w:rFonts w:hint="cs"/>
          <w:rtl/>
        </w:rPr>
        <w:t xml:space="preserve">התעכב </w:t>
      </w:r>
      <w:r w:rsidRPr="000B0849">
        <w:rPr>
          <w:rtl/>
        </w:rPr>
        <w:t xml:space="preserve">הדוח הכספי של החברה </w:t>
      </w:r>
      <w:r>
        <w:rPr>
          <w:rFonts w:hint="cs"/>
          <w:rtl/>
        </w:rPr>
        <w:t xml:space="preserve">הכלכלית </w:t>
      </w:r>
      <w:r w:rsidRPr="000B0849">
        <w:rPr>
          <w:rtl/>
        </w:rPr>
        <w:t>מעבר ל</w:t>
      </w:r>
      <w:r>
        <w:rPr>
          <w:rFonts w:hint="cs"/>
          <w:rtl/>
        </w:rPr>
        <w:t xml:space="preserve">זמן </w:t>
      </w:r>
      <w:r w:rsidRPr="000B0849">
        <w:rPr>
          <w:rtl/>
        </w:rPr>
        <w:t xml:space="preserve">סביר ולא היה מועד צפוי לסיומו. </w:t>
      </w:r>
      <w:r>
        <w:rPr>
          <w:rFonts w:hint="cs"/>
          <w:rtl/>
        </w:rPr>
        <w:t xml:space="preserve">בהתאם להמלצת </w:t>
      </w:r>
      <w:r w:rsidRPr="000B0849">
        <w:rPr>
          <w:rtl/>
        </w:rPr>
        <w:t>רואה החשבון המבקר של הלשכה</w:t>
      </w:r>
      <w:r>
        <w:rPr>
          <w:rFonts w:hint="cs"/>
          <w:rtl/>
        </w:rPr>
        <w:t>, החליטה הלשכה כי הדוח הכספי שלה לא יכלול את הדוח הכספי של החברה,</w:t>
      </w:r>
      <w:r w:rsidRPr="000B0849">
        <w:rPr>
          <w:rtl/>
        </w:rPr>
        <w:t xml:space="preserve"> </w:t>
      </w:r>
      <w:r>
        <w:rPr>
          <w:rFonts w:hint="cs"/>
          <w:rtl/>
        </w:rPr>
        <w:t xml:space="preserve">תוך </w:t>
      </w:r>
      <w:r w:rsidRPr="000B0849">
        <w:rPr>
          <w:rtl/>
        </w:rPr>
        <w:t xml:space="preserve">הוספת הסתייגות מתאימה </w:t>
      </w:r>
      <w:r>
        <w:rPr>
          <w:rFonts w:hint="cs"/>
          <w:rtl/>
        </w:rPr>
        <w:t xml:space="preserve">לכך שתיתכן </w:t>
      </w:r>
      <w:r w:rsidRPr="00C65CAA">
        <w:rPr>
          <w:rtl/>
        </w:rPr>
        <w:t>פגיעה בנאותות הדוח</w:t>
      </w:r>
      <w:r>
        <w:rPr>
          <w:rFonts w:hint="cs"/>
          <w:rtl/>
        </w:rPr>
        <w:t>ות הכספיים</w:t>
      </w:r>
      <w:r w:rsidRPr="000B0849">
        <w:rPr>
          <w:rtl/>
        </w:rPr>
        <w:t>.</w:t>
      </w:r>
      <w:r>
        <w:rPr>
          <w:rtl/>
        </w:rPr>
        <w:t xml:space="preserve"> </w:t>
      </w:r>
    </w:p>
    <w:p w14:paraId="75B42E79" w14:textId="77777777" w:rsidR="00387987" w:rsidRPr="0080175F" w:rsidRDefault="00387987" w:rsidP="0080175F">
      <w:pPr>
        <w:pStyle w:val="af3"/>
        <w:rPr>
          <w:rtl/>
        </w:rPr>
      </w:pPr>
      <w:r w:rsidRPr="0080175F">
        <w:rPr>
          <w:rFonts w:hint="cs"/>
          <w:rtl/>
        </w:rPr>
        <w:t xml:space="preserve">בעקבות ביטול האיחוד של נתוני החברה הכלכלית של לשכת עורכי הדין עם הנתונים של הלשכה השתפרו לכאורה הנתונים הכספיים בדוחות הלשכה, שמציגים עודף במקום גירעון שהיה בדוחות המקוריים. לפיכך עולה חשש כי הדוחות הכספיים של הלשכה לשנת 2017 אינם משקפים את מצבה הכספי לאשורו. על מנת שהדוחות ישקפו נתונים כספיים מהימנים על הלשכה להציג את הדוחות הכספיים בהתאם לכללי החשבונאות המקובלים. </w:t>
      </w:r>
    </w:p>
    <w:p w14:paraId="53671679" w14:textId="77777777" w:rsidR="00387987" w:rsidRPr="00780B66" w:rsidRDefault="00387987" w:rsidP="0080175F">
      <w:pPr>
        <w:pStyle w:val="100"/>
        <w:rPr>
          <w:rtl/>
        </w:rPr>
      </w:pPr>
      <w:r>
        <w:rPr>
          <w:rFonts w:hint="cs"/>
          <w:rtl/>
        </w:rPr>
        <w:t xml:space="preserve">יצוין </w:t>
      </w:r>
      <w:r w:rsidRPr="0080175F">
        <w:rPr>
          <w:rFonts w:hint="cs"/>
          <w:rtl/>
        </w:rPr>
        <w:t>כי</w:t>
      </w:r>
      <w:r>
        <w:rPr>
          <w:rFonts w:hint="cs"/>
          <w:rtl/>
        </w:rPr>
        <w:t xml:space="preserve"> מקור ההכנסות העיקרי למימון פעילותה של הלשכה הוא דמי החבר שמשלמים עורכי הדין, </w:t>
      </w:r>
      <w:r w:rsidRPr="0046673C">
        <w:rPr>
          <w:rFonts w:hint="cs"/>
          <w:rtl/>
        </w:rPr>
        <w:t>ובלי</w:t>
      </w:r>
      <w:r>
        <w:rPr>
          <w:rFonts w:hint="cs"/>
          <w:rtl/>
        </w:rPr>
        <w:t xml:space="preserve"> לשלמם לא יוכלו לעסוק במקצוע. החוק קובע כי גובה דמי החבר וגובה האגרות ייקבעו בשיעור שלא יעלה על </w:t>
      </w:r>
      <w:r w:rsidRPr="00780B66">
        <w:rPr>
          <w:rFonts w:hint="cs"/>
          <w:rtl/>
        </w:rPr>
        <w:t xml:space="preserve">הסכום הנדרש לשם ביצוע תפקידי הלשכה ובשים לב לכל מקורות המימון העומדים לרשותה, לרבות עודפי תקציב משנים קודמות ורווחים מתאגידים שבשליטתה. </w:t>
      </w:r>
    </w:p>
    <w:p w14:paraId="115567D8" w14:textId="77777777" w:rsidR="00387987" w:rsidRPr="0080175F" w:rsidRDefault="00387987" w:rsidP="0080175F">
      <w:pPr>
        <w:pStyle w:val="af3"/>
        <w:rPr>
          <w:rtl/>
        </w:rPr>
      </w:pPr>
      <w:r w:rsidRPr="0080175F">
        <w:rPr>
          <w:rFonts w:hint="cs"/>
          <w:rtl/>
        </w:rPr>
        <w:t xml:space="preserve">אף שהדוחות על הפעילות הכספית של הלשכה מצביעים על איזון, הרי שבמצב הדברים הקיים, שבו מאושרים ונחתמים דוחות כספיים של הלשכה באיחור ניכר, </w:t>
      </w:r>
      <w:r w:rsidRPr="0080175F">
        <w:rPr>
          <w:rFonts w:hint="eastAsia"/>
          <w:rtl/>
        </w:rPr>
        <w:t>הלשכה</w:t>
      </w:r>
      <w:r w:rsidRPr="0080175F">
        <w:rPr>
          <w:rtl/>
        </w:rPr>
        <w:t xml:space="preserve"> אינה עומדת בדרישות החוק</w:t>
      </w:r>
      <w:r w:rsidRPr="0080175F">
        <w:rPr>
          <w:rFonts w:hint="cs"/>
          <w:rtl/>
        </w:rPr>
        <w:t xml:space="preserve">. כפועל יוצא מכך הלשכה אף </w:t>
      </w:r>
      <w:r w:rsidRPr="0080175F">
        <w:rPr>
          <w:rtl/>
        </w:rPr>
        <w:t xml:space="preserve">אינה </w:t>
      </w:r>
      <w:r w:rsidRPr="0080175F">
        <w:rPr>
          <w:rFonts w:hint="eastAsia"/>
          <w:rtl/>
        </w:rPr>
        <w:t>יכולה</w:t>
      </w:r>
      <w:r w:rsidRPr="0080175F">
        <w:rPr>
          <w:rtl/>
        </w:rPr>
        <w:t xml:space="preserve"> </w:t>
      </w:r>
      <w:r w:rsidRPr="0080175F">
        <w:rPr>
          <w:rFonts w:hint="eastAsia"/>
          <w:rtl/>
        </w:rPr>
        <w:t>לבחון</w:t>
      </w:r>
      <w:r w:rsidRPr="0080175F">
        <w:rPr>
          <w:rtl/>
        </w:rPr>
        <w:t xml:space="preserve"> </w:t>
      </w:r>
      <w:r w:rsidRPr="0080175F">
        <w:rPr>
          <w:rFonts w:hint="eastAsia"/>
          <w:rtl/>
        </w:rPr>
        <w:t>לעומק</w:t>
      </w:r>
      <w:r w:rsidRPr="0080175F">
        <w:rPr>
          <w:rtl/>
        </w:rPr>
        <w:t xml:space="preserve"> </w:t>
      </w:r>
      <w:r w:rsidRPr="0080175F">
        <w:rPr>
          <w:rFonts w:hint="eastAsia"/>
          <w:rtl/>
        </w:rPr>
        <w:t>את</w:t>
      </w:r>
      <w:r w:rsidRPr="0080175F">
        <w:rPr>
          <w:rtl/>
        </w:rPr>
        <w:t xml:space="preserve"> </w:t>
      </w:r>
      <w:r w:rsidRPr="0080175F">
        <w:rPr>
          <w:rFonts w:hint="eastAsia"/>
          <w:rtl/>
        </w:rPr>
        <w:t>סבירות</w:t>
      </w:r>
      <w:r w:rsidRPr="0080175F">
        <w:rPr>
          <w:rtl/>
        </w:rPr>
        <w:t xml:space="preserve"> </w:t>
      </w:r>
      <w:r w:rsidRPr="0080175F">
        <w:rPr>
          <w:rFonts w:hint="eastAsia"/>
          <w:rtl/>
        </w:rPr>
        <w:t>גובה</w:t>
      </w:r>
      <w:r w:rsidRPr="0080175F">
        <w:rPr>
          <w:rtl/>
        </w:rPr>
        <w:t xml:space="preserve"> </w:t>
      </w:r>
      <w:r w:rsidRPr="0080175F">
        <w:rPr>
          <w:rFonts w:hint="eastAsia"/>
          <w:rtl/>
        </w:rPr>
        <w:t>דמי</w:t>
      </w:r>
      <w:r w:rsidRPr="0080175F">
        <w:rPr>
          <w:rtl/>
        </w:rPr>
        <w:t xml:space="preserve"> </w:t>
      </w:r>
      <w:r w:rsidRPr="0080175F">
        <w:rPr>
          <w:rFonts w:hint="eastAsia"/>
          <w:rtl/>
        </w:rPr>
        <w:t>החבר</w:t>
      </w:r>
      <w:r w:rsidRPr="0080175F">
        <w:rPr>
          <w:rtl/>
        </w:rPr>
        <w:t xml:space="preserve"> </w:t>
      </w:r>
      <w:r w:rsidRPr="0080175F">
        <w:rPr>
          <w:rFonts w:hint="eastAsia"/>
          <w:rtl/>
        </w:rPr>
        <w:t>בהתאם</w:t>
      </w:r>
      <w:r w:rsidRPr="0080175F">
        <w:rPr>
          <w:rtl/>
        </w:rPr>
        <w:t xml:space="preserve"> </w:t>
      </w:r>
      <w:r w:rsidRPr="0080175F">
        <w:rPr>
          <w:rFonts w:hint="eastAsia"/>
          <w:rtl/>
        </w:rPr>
        <w:t>לנדרש</w:t>
      </w:r>
      <w:r w:rsidRPr="0080175F">
        <w:rPr>
          <w:rtl/>
        </w:rPr>
        <w:t xml:space="preserve"> </w:t>
      </w:r>
      <w:r w:rsidRPr="0080175F">
        <w:rPr>
          <w:rFonts w:hint="eastAsia"/>
          <w:rtl/>
        </w:rPr>
        <w:t>בחוק</w:t>
      </w:r>
      <w:r w:rsidRPr="0080175F">
        <w:rPr>
          <w:rtl/>
        </w:rPr>
        <w:t xml:space="preserve"> ואת נתוני הביצוע המבוקרים </w:t>
      </w:r>
      <w:r w:rsidRPr="0080175F">
        <w:rPr>
          <w:rFonts w:hint="cs"/>
          <w:rtl/>
        </w:rPr>
        <w:t xml:space="preserve">לשנת התקציב הקודמת </w:t>
      </w:r>
      <w:r w:rsidRPr="0080175F">
        <w:rPr>
          <w:rtl/>
        </w:rPr>
        <w:t>בעת גיבוש תקציבה</w:t>
      </w:r>
      <w:r w:rsidRPr="0080175F">
        <w:rPr>
          <w:rFonts w:hint="cs"/>
          <w:rtl/>
        </w:rPr>
        <w:t xml:space="preserve"> לשנת התקציב הבאה</w:t>
      </w:r>
      <w:r w:rsidRPr="0080175F">
        <w:rPr>
          <w:rtl/>
        </w:rPr>
        <w:t>.</w:t>
      </w:r>
      <w:r w:rsidRPr="0080175F">
        <w:rPr>
          <w:rFonts w:hint="cs"/>
          <w:rtl/>
        </w:rPr>
        <w:t xml:space="preserve"> </w:t>
      </w:r>
    </w:p>
    <w:p w14:paraId="2CB38726" w14:textId="77777777" w:rsidR="00387987" w:rsidRPr="0080175F" w:rsidRDefault="00387987" w:rsidP="0080175F">
      <w:pPr>
        <w:pStyle w:val="af3"/>
        <w:rPr>
          <w:rtl/>
        </w:rPr>
      </w:pPr>
      <w:r w:rsidRPr="0080175F">
        <w:rPr>
          <w:rFonts w:hint="eastAsia"/>
          <w:rtl/>
        </w:rPr>
        <w:t>משרד</w:t>
      </w:r>
      <w:r w:rsidRPr="0080175F">
        <w:rPr>
          <w:rtl/>
        </w:rPr>
        <w:t xml:space="preserve"> </w:t>
      </w:r>
      <w:r w:rsidRPr="0080175F">
        <w:rPr>
          <w:rFonts w:hint="eastAsia"/>
          <w:rtl/>
        </w:rPr>
        <w:t>מבקר</w:t>
      </w:r>
      <w:r w:rsidRPr="0080175F">
        <w:rPr>
          <w:rtl/>
        </w:rPr>
        <w:t xml:space="preserve"> המדינה רואה בחיוב את העובדה שהפעילות הכספית של הלשכה מאוזנת. </w:t>
      </w:r>
      <w:r w:rsidRPr="0080175F">
        <w:rPr>
          <w:rFonts w:hint="eastAsia"/>
          <w:rtl/>
        </w:rPr>
        <w:t>עם</w:t>
      </w:r>
      <w:r w:rsidRPr="0080175F">
        <w:rPr>
          <w:rtl/>
        </w:rPr>
        <w:t xml:space="preserve"> </w:t>
      </w:r>
      <w:r w:rsidRPr="0080175F">
        <w:rPr>
          <w:rFonts w:hint="eastAsia"/>
          <w:rtl/>
        </w:rPr>
        <w:t>זאת</w:t>
      </w:r>
      <w:r w:rsidRPr="0080175F">
        <w:rPr>
          <w:rtl/>
        </w:rPr>
        <w:t>,</w:t>
      </w:r>
      <w:r w:rsidRPr="0080175F">
        <w:rPr>
          <w:rFonts w:hint="cs"/>
          <w:rtl/>
        </w:rPr>
        <w:t xml:space="preserve"> </w:t>
      </w:r>
      <w:r w:rsidRPr="0080175F">
        <w:rPr>
          <w:rFonts w:hint="eastAsia"/>
          <w:rtl/>
        </w:rPr>
        <w:t>על</w:t>
      </w:r>
      <w:r w:rsidRPr="0080175F">
        <w:rPr>
          <w:rtl/>
        </w:rPr>
        <w:t xml:space="preserve"> </w:t>
      </w:r>
      <w:r w:rsidRPr="0080175F">
        <w:rPr>
          <w:rFonts w:hint="eastAsia"/>
          <w:rtl/>
        </w:rPr>
        <w:t>הלשכה</w:t>
      </w:r>
      <w:r w:rsidRPr="0080175F">
        <w:rPr>
          <w:rtl/>
        </w:rPr>
        <w:t xml:space="preserve"> </w:t>
      </w:r>
      <w:r w:rsidRPr="0080175F">
        <w:rPr>
          <w:rFonts w:hint="eastAsia"/>
          <w:rtl/>
        </w:rPr>
        <w:t>לפרסם</w:t>
      </w:r>
      <w:r w:rsidRPr="0080175F">
        <w:rPr>
          <w:rtl/>
        </w:rPr>
        <w:t xml:space="preserve"> </w:t>
      </w:r>
      <w:r w:rsidRPr="0080175F">
        <w:rPr>
          <w:rFonts w:hint="eastAsia"/>
          <w:rtl/>
        </w:rPr>
        <w:t>דוחות</w:t>
      </w:r>
      <w:r w:rsidRPr="0080175F">
        <w:rPr>
          <w:rtl/>
        </w:rPr>
        <w:t xml:space="preserve"> </w:t>
      </w:r>
      <w:r w:rsidRPr="0080175F">
        <w:rPr>
          <w:rFonts w:hint="eastAsia"/>
          <w:rtl/>
        </w:rPr>
        <w:t>כספיים</w:t>
      </w:r>
      <w:r w:rsidRPr="0080175F">
        <w:rPr>
          <w:rtl/>
        </w:rPr>
        <w:t xml:space="preserve"> </w:t>
      </w:r>
      <w:r w:rsidRPr="0080175F">
        <w:rPr>
          <w:rFonts w:hint="eastAsia"/>
          <w:rtl/>
        </w:rPr>
        <w:t>בהתאם</w:t>
      </w:r>
      <w:r w:rsidRPr="0080175F">
        <w:rPr>
          <w:rtl/>
        </w:rPr>
        <w:t xml:space="preserve"> </w:t>
      </w:r>
      <w:r w:rsidRPr="0080175F">
        <w:rPr>
          <w:rFonts w:hint="eastAsia"/>
          <w:rtl/>
        </w:rPr>
        <w:t>לכללי</w:t>
      </w:r>
      <w:r w:rsidRPr="0080175F">
        <w:rPr>
          <w:rtl/>
        </w:rPr>
        <w:t xml:space="preserve"> </w:t>
      </w:r>
      <w:r w:rsidRPr="0080175F">
        <w:rPr>
          <w:rFonts w:hint="cs"/>
          <w:rtl/>
        </w:rPr>
        <w:t>ה</w:t>
      </w:r>
      <w:r w:rsidRPr="0080175F">
        <w:rPr>
          <w:rFonts w:hint="eastAsia"/>
          <w:rtl/>
        </w:rPr>
        <w:t>חשבונאות</w:t>
      </w:r>
      <w:r w:rsidRPr="0080175F">
        <w:rPr>
          <w:rtl/>
        </w:rPr>
        <w:t xml:space="preserve"> </w:t>
      </w:r>
      <w:r w:rsidRPr="0080175F">
        <w:rPr>
          <w:rFonts w:hint="cs"/>
          <w:rtl/>
        </w:rPr>
        <w:t>ה</w:t>
      </w:r>
      <w:r w:rsidRPr="0080175F">
        <w:rPr>
          <w:rFonts w:hint="eastAsia"/>
          <w:rtl/>
        </w:rPr>
        <w:t>מקובלים</w:t>
      </w:r>
      <w:r w:rsidRPr="0080175F">
        <w:rPr>
          <w:rtl/>
        </w:rPr>
        <w:t xml:space="preserve"> (לרבות איחוד </w:t>
      </w:r>
      <w:r w:rsidRPr="0080175F">
        <w:rPr>
          <w:rFonts w:hint="cs"/>
          <w:rtl/>
        </w:rPr>
        <w:t xml:space="preserve">של נתוניה עם </w:t>
      </w:r>
      <w:r w:rsidRPr="0080175F">
        <w:rPr>
          <w:rtl/>
        </w:rPr>
        <w:t xml:space="preserve">נתוני חברת הבת) </w:t>
      </w:r>
      <w:r w:rsidRPr="0080175F">
        <w:rPr>
          <w:rFonts w:hint="eastAsia"/>
          <w:rtl/>
        </w:rPr>
        <w:t>כך</w:t>
      </w:r>
      <w:r w:rsidRPr="0080175F">
        <w:rPr>
          <w:rtl/>
        </w:rPr>
        <w:t xml:space="preserve"> </w:t>
      </w:r>
      <w:r w:rsidRPr="0080175F">
        <w:rPr>
          <w:rFonts w:hint="eastAsia"/>
          <w:rtl/>
        </w:rPr>
        <w:t>שלא</w:t>
      </w:r>
      <w:r w:rsidRPr="0080175F">
        <w:rPr>
          <w:rtl/>
        </w:rPr>
        <w:t xml:space="preserve"> </w:t>
      </w:r>
      <w:r w:rsidRPr="0080175F">
        <w:rPr>
          <w:rFonts w:hint="eastAsia"/>
          <w:rtl/>
        </w:rPr>
        <w:t>תידרש</w:t>
      </w:r>
      <w:r w:rsidRPr="0080175F">
        <w:rPr>
          <w:rtl/>
        </w:rPr>
        <w:t xml:space="preserve"> חוו</w:t>
      </w:r>
      <w:r w:rsidRPr="0080175F">
        <w:rPr>
          <w:rFonts w:hint="eastAsia"/>
          <w:rtl/>
        </w:rPr>
        <w:t>ת</w:t>
      </w:r>
      <w:r w:rsidRPr="0080175F">
        <w:rPr>
          <w:rtl/>
        </w:rPr>
        <w:t xml:space="preserve"> דעת מסויגת.</w:t>
      </w:r>
      <w:r w:rsidRPr="0080175F">
        <w:rPr>
          <w:rFonts w:hint="cs"/>
          <w:rtl/>
        </w:rPr>
        <w:t xml:space="preserve"> כן עליה לעמוד</w:t>
      </w:r>
      <w:r w:rsidRPr="0080175F">
        <w:rPr>
          <w:rtl/>
        </w:rPr>
        <w:t xml:space="preserve"> </w:t>
      </w:r>
      <w:r w:rsidRPr="0080175F">
        <w:rPr>
          <w:rFonts w:hint="eastAsia"/>
          <w:rtl/>
        </w:rPr>
        <w:t>במועד</w:t>
      </w:r>
      <w:r w:rsidRPr="0080175F">
        <w:rPr>
          <w:rFonts w:hint="cs"/>
          <w:rtl/>
        </w:rPr>
        <w:t xml:space="preserve">י הפרסום </w:t>
      </w:r>
      <w:r w:rsidRPr="0080175F">
        <w:rPr>
          <w:rFonts w:hint="eastAsia"/>
          <w:rtl/>
        </w:rPr>
        <w:t>הקבוע</w:t>
      </w:r>
      <w:r w:rsidRPr="0080175F">
        <w:rPr>
          <w:rFonts w:hint="cs"/>
          <w:rtl/>
        </w:rPr>
        <w:t>ים</w:t>
      </w:r>
      <w:r w:rsidRPr="0080175F">
        <w:rPr>
          <w:rtl/>
        </w:rPr>
        <w:t xml:space="preserve"> </w:t>
      </w:r>
      <w:r w:rsidRPr="0080175F">
        <w:rPr>
          <w:rFonts w:hint="eastAsia"/>
          <w:rtl/>
        </w:rPr>
        <w:t>בחוק</w:t>
      </w:r>
      <w:r w:rsidRPr="0080175F">
        <w:rPr>
          <w:rtl/>
        </w:rPr>
        <w:t>.</w:t>
      </w:r>
      <w:r w:rsidRPr="0080175F">
        <w:rPr>
          <w:rFonts w:hint="cs"/>
          <w:rtl/>
        </w:rPr>
        <w:t xml:space="preserve"> </w:t>
      </w:r>
    </w:p>
    <w:p w14:paraId="55AC424E" w14:textId="77777777" w:rsidR="00F07E52" w:rsidRDefault="00F07E52">
      <w:pPr>
        <w:bidi w:val="0"/>
        <w:spacing w:after="200" w:line="276" w:lineRule="auto"/>
        <w:rPr>
          <w:rFonts w:eastAsiaTheme="majorEastAsia"/>
          <w:bCs/>
          <w:szCs w:val="28"/>
          <w:u w:val="single"/>
          <w:rtl/>
        </w:rPr>
      </w:pPr>
      <w:r>
        <w:rPr>
          <w:rtl/>
        </w:rPr>
        <w:br w:type="page"/>
      </w:r>
    </w:p>
    <w:p w14:paraId="0BE2439C" w14:textId="6D3CEF11" w:rsidR="00387987" w:rsidRDefault="00387987" w:rsidP="00F07E52">
      <w:pPr>
        <w:pStyle w:val="316"/>
        <w:rPr>
          <w:rtl/>
        </w:rPr>
      </w:pPr>
      <w:r>
        <w:rPr>
          <w:rFonts w:hint="cs"/>
          <w:rtl/>
        </w:rPr>
        <w:lastRenderedPageBreak/>
        <w:t>תוכניות עבודה</w:t>
      </w:r>
    </w:p>
    <w:p w14:paraId="329BFBF0" w14:textId="77777777" w:rsidR="00387987" w:rsidRPr="006C3786" w:rsidRDefault="00387987" w:rsidP="00F07E52">
      <w:pPr>
        <w:pStyle w:val="100"/>
        <w:rPr>
          <w:rtl/>
        </w:rPr>
      </w:pPr>
      <w:r>
        <w:rPr>
          <w:rFonts w:hint="cs"/>
          <w:rtl/>
        </w:rPr>
        <w:t>תוכניות עבודה הן כלי עזר בתהליך חשיבה אסטרטגית המגדיר את המצב שאליו שואף גוף להגיע ומתווה את הדרך למימושו. התוכניות כוללות את המטרות העומדות בבסיס פעילותו של הגוף, את היעדים המרכזיים הנדרשים לצורך השגת המטרות ואת הפעולות המרכזיות שעל הגוף לבצע לצורך השגת היעדים</w:t>
      </w:r>
      <w:r>
        <w:rPr>
          <w:rStyle w:val="FootnoteReference"/>
          <w:rtl/>
        </w:rPr>
        <w:footnoteReference w:id="17"/>
      </w:r>
      <w:r>
        <w:rPr>
          <w:rFonts w:hint="cs"/>
          <w:rtl/>
        </w:rPr>
        <w:t>.</w:t>
      </w:r>
      <w:r w:rsidRPr="006C3786">
        <w:rPr>
          <w:rFonts w:hint="cs"/>
          <w:rtl/>
        </w:rPr>
        <w:t xml:space="preserve"> בתיקון 38 לחוק נקבע כי המועצה הארצית </w:t>
      </w:r>
      <w:r w:rsidRPr="006C3786">
        <w:rPr>
          <w:rtl/>
        </w:rPr>
        <w:t xml:space="preserve">תקבע את מדיניות הלשכה בתחומי התפקידים והסמכויות שהוקנו לה לפי הוראות </w:t>
      </w:r>
      <w:r w:rsidRPr="006C3786">
        <w:rPr>
          <w:rFonts w:hint="cs"/>
          <w:rtl/>
        </w:rPr>
        <w:t>החוק ותקבע בכל שנה את תו</w:t>
      </w:r>
      <w:r w:rsidRPr="006C3786">
        <w:rPr>
          <w:rtl/>
        </w:rPr>
        <w:t>כנית הפעולה של הלשכה לאותה שנה ות</w:t>
      </w:r>
      <w:r w:rsidRPr="006C3786">
        <w:rPr>
          <w:rFonts w:hint="cs"/>
          <w:rtl/>
        </w:rPr>
        <w:t>ו</w:t>
      </w:r>
      <w:r w:rsidRPr="006C3786">
        <w:rPr>
          <w:rtl/>
        </w:rPr>
        <w:t>כניותיה לטווח ארוך</w:t>
      </w:r>
      <w:r w:rsidRPr="006C3786">
        <w:rPr>
          <w:rFonts w:hint="cs"/>
          <w:rtl/>
        </w:rPr>
        <w:t>. תוקפו של תיקון זה מיוני 2019.</w:t>
      </w:r>
    </w:p>
    <w:p w14:paraId="647476C5" w14:textId="77777777" w:rsidR="00387987" w:rsidRDefault="00387987" w:rsidP="00F07E52">
      <w:pPr>
        <w:pStyle w:val="af3"/>
        <w:rPr>
          <w:rtl/>
        </w:rPr>
      </w:pPr>
      <w:r w:rsidRPr="006859FE">
        <w:rPr>
          <w:rFonts w:hint="cs"/>
          <w:rtl/>
        </w:rPr>
        <w:t xml:space="preserve">בביקורת נמצא כי </w:t>
      </w:r>
      <w:r>
        <w:rPr>
          <w:rFonts w:hint="cs"/>
          <w:rtl/>
        </w:rPr>
        <w:t>משך שנים לא קבעה ה</w:t>
      </w:r>
      <w:r w:rsidRPr="006859FE">
        <w:rPr>
          <w:rFonts w:hint="cs"/>
          <w:rtl/>
        </w:rPr>
        <w:t>לשכה ת</w:t>
      </w:r>
      <w:r>
        <w:rPr>
          <w:rFonts w:hint="cs"/>
          <w:rtl/>
        </w:rPr>
        <w:t>ו</w:t>
      </w:r>
      <w:r w:rsidRPr="006859FE">
        <w:rPr>
          <w:rFonts w:hint="cs"/>
          <w:rtl/>
        </w:rPr>
        <w:t>כניות עבודה שנתיות ורב</w:t>
      </w:r>
      <w:r>
        <w:rPr>
          <w:rFonts w:hint="cs"/>
          <w:rtl/>
        </w:rPr>
        <w:t>-</w:t>
      </w:r>
      <w:r w:rsidRPr="006859FE">
        <w:rPr>
          <w:rFonts w:hint="cs"/>
          <w:rtl/>
        </w:rPr>
        <w:t xml:space="preserve">שנתיות המגדירות את </w:t>
      </w:r>
      <w:r>
        <w:rPr>
          <w:rFonts w:hint="cs"/>
          <w:rtl/>
        </w:rPr>
        <w:t xml:space="preserve">מטרותיה, יעדיה, משימותיה, את המדדים לבחינת העמידה בכל אלו וכן מי האחראים לכל משימה ומה לוח הזמנים המוקצה לה. </w:t>
      </w:r>
    </w:p>
    <w:p w14:paraId="2865EDBD" w14:textId="77777777" w:rsidR="00387987" w:rsidRPr="00C951A4" w:rsidRDefault="00387987" w:rsidP="00F07E52">
      <w:pPr>
        <w:pStyle w:val="100"/>
        <w:rPr>
          <w:rtl/>
        </w:rPr>
      </w:pPr>
      <w:r w:rsidRPr="00C951A4">
        <w:rPr>
          <w:rFonts w:hint="cs"/>
          <w:rtl/>
        </w:rPr>
        <w:t xml:space="preserve">הלשכה מסרה בתשובתה כי </w:t>
      </w:r>
      <w:r w:rsidRPr="00C951A4">
        <w:rPr>
          <w:rtl/>
        </w:rPr>
        <w:t>ת</w:t>
      </w:r>
      <w:r>
        <w:rPr>
          <w:rFonts w:hint="cs"/>
          <w:rtl/>
        </w:rPr>
        <w:t>ו</w:t>
      </w:r>
      <w:r w:rsidRPr="00C951A4">
        <w:rPr>
          <w:rtl/>
        </w:rPr>
        <w:t>כנית העבודה השנתית נהגתה ועוצבה בפורומים הרלוונטיים וקיבלה ביטוי בתקציב הלשכה המשקף את ת</w:t>
      </w:r>
      <w:r>
        <w:rPr>
          <w:rFonts w:hint="cs"/>
          <w:rtl/>
        </w:rPr>
        <w:t>ו</w:t>
      </w:r>
      <w:r w:rsidRPr="00C951A4">
        <w:rPr>
          <w:rtl/>
        </w:rPr>
        <w:t xml:space="preserve">כנית העבודה השנתית באופן חלוקת התקציב. </w:t>
      </w:r>
      <w:r w:rsidRPr="00C951A4">
        <w:rPr>
          <w:rFonts w:hint="cs"/>
          <w:rtl/>
        </w:rPr>
        <w:t>עם זאת מסרה הלשכה כי היא מקבלת</w:t>
      </w:r>
      <w:r w:rsidRPr="00C951A4">
        <w:rPr>
          <w:rtl/>
        </w:rPr>
        <w:t xml:space="preserve"> את הערת הב</w:t>
      </w:r>
      <w:r>
        <w:rPr>
          <w:rFonts w:hint="cs"/>
          <w:rtl/>
        </w:rPr>
        <w:t>י</w:t>
      </w:r>
      <w:r w:rsidRPr="00C951A4">
        <w:rPr>
          <w:rtl/>
        </w:rPr>
        <w:t>ק</w:t>
      </w:r>
      <w:r>
        <w:rPr>
          <w:rFonts w:hint="cs"/>
          <w:rtl/>
        </w:rPr>
        <w:t>ו</w:t>
      </w:r>
      <w:r w:rsidRPr="00C951A4">
        <w:rPr>
          <w:rtl/>
        </w:rPr>
        <w:t>ר</w:t>
      </w:r>
      <w:r>
        <w:rPr>
          <w:rFonts w:hint="cs"/>
          <w:rtl/>
        </w:rPr>
        <w:t>ת</w:t>
      </w:r>
      <w:r w:rsidRPr="00C951A4">
        <w:rPr>
          <w:rtl/>
        </w:rPr>
        <w:t xml:space="preserve"> </w:t>
      </w:r>
      <w:r w:rsidRPr="00C951A4">
        <w:rPr>
          <w:rFonts w:hint="cs"/>
          <w:rtl/>
        </w:rPr>
        <w:t>ונערכת</w:t>
      </w:r>
      <w:r w:rsidRPr="00C951A4">
        <w:rPr>
          <w:rtl/>
        </w:rPr>
        <w:t xml:space="preserve"> </w:t>
      </w:r>
      <w:r>
        <w:rPr>
          <w:rFonts w:hint="cs"/>
          <w:rtl/>
        </w:rPr>
        <w:t xml:space="preserve">להצגת </w:t>
      </w:r>
      <w:r w:rsidRPr="00C951A4">
        <w:rPr>
          <w:rtl/>
        </w:rPr>
        <w:t>ת</w:t>
      </w:r>
      <w:r>
        <w:rPr>
          <w:rFonts w:hint="cs"/>
          <w:rtl/>
        </w:rPr>
        <w:t>ו</w:t>
      </w:r>
      <w:r w:rsidRPr="00C951A4">
        <w:rPr>
          <w:rtl/>
        </w:rPr>
        <w:t>כנית עבודה מסודרת</w:t>
      </w:r>
      <w:r w:rsidRPr="00C951A4">
        <w:rPr>
          <w:rFonts w:hint="cs"/>
          <w:rtl/>
        </w:rPr>
        <w:t xml:space="preserve"> לשנת </w:t>
      </w:r>
      <w:r>
        <w:rPr>
          <w:rFonts w:hint="cs"/>
          <w:rtl/>
        </w:rPr>
        <w:t>2020</w:t>
      </w:r>
      <w:r w:rsidRPr="00C951A4">
        <w:rPr>
          <w:rtl/>
        </w:rPr>
        <w:t>.</w:t>
      </w:r>
    </w:p>
    <w:p w14:paraId="5F1342E3" w14:textId="77777777" w:rsidR="00387987" w:rsidRDefault="00387987" w:rsidP="00F07E52">
      <w:pPr>
        <w:pStyle w:val="af3"/>
        <w:rPr>
          <w:rtl/>
        </w:rPr>
      </w:pPr>
      <w:r w:rsidRPr="006C3786">
        <w:rPr>
          <w:rFonts w:hint="cs"/>
          <w:rtl/>
        </w:rPr>
        <w:t xml:space="preserve">לצד הצגת תוכנית עבודה לשנת 2020, </w:t>
      </w:r>
      <w:r>
        <w:rPr>
          <w:rFonts w:hint="cs"/>
          <w:rtl/>
        </w:rPr>
        <w:t xml:space="preserve">ראוי שהלשכה תקדם </w:t>
      </w:r>
      <w:r w:rsidRPr="004E37B3">
        <w:rPr>
          <w:rFonts w:hint="cs"/>
          <w:rtl/>
        </w:rPr>
        <w:t>תהליך ש</w:t>
      </w:r>
      <w:r>
        <w:rPr>
          <w:rFonts w:hint="cs"/>
          <w:rtl/>
        </w:rPr>
        <w:t>ל קביעת מדיניות, תכנון וקביעת תו</w:t>
      </w:r>
      <w:r w:rsidRPr="004E37B3">
        <w:rPr>
          <w:rFonts w:hint="cs"/>
          <w:rtl/>
        </w:rPr>
        <w:t>כניות עבודה רב</w:t>
      </w:r>
      <w:r>
        <w:rPr>
          <w:rFonts w:hint="cs"/>
          <w:rtl/>
        </w:rPr>
        <w:t>-</w:t>
      </w:r>
      <w:r w:rsidRPr="004E37B3">
        <w:rPr>
          <w:rFonts w:hint="cs"/>
          <w:rtl/>
        </w:rPr>
        <w:t xml:space="preserve">שנתיות ושנתיות בהתאם למטרות </w:t>
      </w:r>
      <w:r>
        <w:rPr>
          <w:rFonts w:hint="cs"/>
          <w:rtl/>
        </w:rPr>
        <w:t>ול</w:t>
      </w:r>
      <w:r w:rsidRPr="004E37B3">
        <w:rPr>
          <w:rFonts w:hint="cs"/>
          <w:rtl/>
        </w:rPr>
        <w:t xml:space="preserve">יעדים </w:t>
      </w:r>
      <w:r>
        <w:rPr>
          <w:rFonts w:hint="cs"/>
          <w:rtl/>
        </w:rPr>
        <w:t xml:space="preserve">ברורים ולקבוע </w:t>
      </w:r>
      <w:r w:rsidRPr="004E37B3">
        <w:rPr>
          <w:rFonts w:hint="cs"/>
          <w:rtl/>
        </w:rPr>
        <w:t>מדדים ליישומן</w:t>
      </w:r>
      <w:r>
        <w:rPr>
          <w:rFonts w:hint="cs"/>
          <w:rtl/>
        </w:rPr>
        <w:t>. כמו כן מוצע כי תוכניות אלה יפרטו את מכלול המשימות, לוח הזמנים וגורמים אחראיים לביצוען.</w:t>
      </w:r>
    </w:p>
    <w:p w14:paraId="0FF9AB53" w14:textId="77777777" w:rsidR="00387987" w:rsidRDefault="00387987" w:rsidP="00F07E52">
      <w:pPr>
        <w:pStyle w:val="414"/>
        <w:rPr>
          <w:rtl/>
        </w:rPr>
      </w:pPr>
      <w:r>
        <w:rPr>
          <w:rFonts w:hint="cs"/>
          <w:rtl/>
        </w:rPr>
        <w:t>אתר האינטרנט של הלשכה</w:t>
      </w:r>
    </w:p>
    <w:p w14:paraId="22F289D3" w14:textId="77777777" w:rsidR="00387987" w:rsidRDefault="00387987" w:rsidP="00F07E52">
      <w:pPr>
        <w:pStyle w:val="100"/>
        <w:rPr>
          <w:rtl/>
        </w:rPr>
      </w:pPr>
      <w:r>
        <w:rPr>
          <w:rtl/>
        </w:rPr>
        <w:t>אתר האינטרנט של הלשכה הוא כלי למתן שירות ל</w:t>
      </w:r>
      <w:r>
        <w:rPr>
          <w:rFonts w:hint="cs"/>
          <w:rtl/>
        </w:rPr>
        <w:t>עורכי הדין ולכלל הציבור</w:t>
      </w:r>
      <w:r>
        <w:rPr>
          <w:rtl/>
        </w:rPr>
        <w:t xml:space="preserve">. עיון באתר מעלה כי חלק מהמידע המופיע בו אינו מעודכן דיו. כך למשל הדף שכותרתו </w:t>
      </w:r>
      <w:r>
        <w:rPr>
          <w:rFonts w:hint="cs"/>
          <w:rtl/>
        </w:rPr>
        <w:t>'</w:t>
      </w:r>
      <w:r>
        <w:rPr>
          <w:rtl/>
        </w:rPr>
        <w:t>חקיקה</w:t>
      </w:r>
      <w:r>
        <w:rPr>
          <w:rFonts w:hint="cs"/>
          <w:rtl/>
        </w:rPr>
        <w:t>'</w:t>
      </w:r>
      <w:r>
        <w:rPr>
          <w:rtl/>
        </w:rPr>
        <w:t xml:space="preserve"> באתר כולל </w:t>
      </w:r>
      <w:r>
        <w:rPr>
          <w:rFonts w:hint="cs"/>
          <w:rtl/>
        </w:rPr>
        <w:t>כמה</w:t>
      </w:r>
      <w:r>
        <w:rPr>
          <w:rtl/>
        </w:rPr>
        <w:t xml:space="preserve"> דברי חקיקה בגרסה ישנה שאינם מעודכנים</w:t>
      </w:r>
      <w:r>
        <w:rPr>
          <w:rFonts w:hint="cs"/>
          <w:rtl/>
        </w:rPr>
        <w:t>,</w:t>
      </w:r>
      <w:r>
        <w:rPr>
          <w:rtl/>
        </w:rPr>
        <w:t xml:space="preserve"> לרבות חוק לשכת עורכי הדין עצמו</w:t>
      </w:r>
      <w:r>
        <w:rPr>
          <w:rFonts w:hint="cs"/>
          <w:rtl/>
        </w:rPr>
        <w:t xml:space="preserve"> </w:t>
      </w:r>
      <w:r>
        <w:rPr>
          <w:rtl/>
        </w:rPr>
        <w:t>המעודכן לשנת 2009 בלבד</w:t>
      </w:r>
      <w:r>
        <w:rPr>
          <w:rFonts w:hint="cs"/>
          <w:rtl/>
        </w:rPr>
        <w:t>.</w:t>
      </w:r>
      <w:r>
        <w:rPr>
          <w:rtl/>
        </w:rPr>
        <w:t xml:space="preserve"> כמו כן </w:t>
      </w:r>
      <w:r>
        <w:rPr>
          <w:rFonts w:hint="cs"/>
          <w:rtl/>
        </w:rPr>
        <w:t>ה</w:t>
      </w:r>
      <w:r>
        <w:rPr>
          <w:rtl/>
        </w:rPr>
        <w:t>מידע</w:t>
      </w:r>
      <w:r>
        <w:rPr>
          <w:rFonts w:hint="cs"/>
          <w:rtl/>
        </w:rPr>
        <w:t xml:space="preserve"> המובא באתר</w:t>
      </w:r>
      <w:r>
        <w:rPr>
          <w:rtl/>
        </w:rPr>
        <w:t xml:space="preserve"> אינו</w:t>
      </w:r>
      <w:r>
        <w:rPr>
          <w:rFonts w:hint="cs"/>
          <w:rtl/>
        </w:rPr>
        <w:t xml:space="preserve"> מסודר באופן</w:t>
      </w:r>
      <w:r>
        <w:rPr>
          <w:rtl/>
        </w:rPr>
        <w:t xml:space="preserve"> קוהרנטי</w:t>
      </w:r>
      <w:r>
        <w:rPr>
          <w:rFonts w:hint="cs"/>
          <w:rtl/>
        </w:rPr>
        <w:t>,</w:t>
      </w:r>
      <w:r>
        <w:rPr>
          <w:rtl/>
        </w:rPr>
        <w:t xml:space="preserve"> ו</w:t>
      </w:r>
      <w:r>
        <w:rPr>
          <w:rFonts w:hint="cs"/>
          <w:rtl/>
        </w:rPr>
        <w:t xml:space="preserve">בחלק מהנושאים צורת </w:t>
      </w:r>
      <w:r>
        <w:rPr>
          <w:rtl/>
        </w:rPr>
        <w:t xml:space="preserve">החיפוש באתר </w:t>
      </w:r>
      <w:r>
        <w:rPr>
          <w:rFonts w:hint="cs"/>
          <w:rtl/>
        </w:rPr>
        <w:t>אינה יעילה</w:t>
      </w:r>
      <w:r>
        <w:rPr>
          <w:rtl/>
        </w:rPr>
        <w:t xml:space="preserve">. </w:t>
      </w:r>
    </w:p>
    <w:p w14:paraId="49F7A477" w14:textId="77777777" w:rsidR="00387987" w:rsidRDefault="00387987" w:rsidP="00F07E52">
      <w:pPr>
        <w:pStyle w:val="100"/>
        <w:rPr>
          <w:rtl/>
        </w:rPr>
      </w:pPr>
      <w:r w:rsidRPr="00E04801">
        <w:rPr>
          <w:rFonts w:hint="eastAsia"/>
          <w:rtl/>
        </w:rPr>
        <w:t>הלשכה</w:t>
      </w:r>
      <w:r w:rsidRPr="00E04801">
        <w:rPr>
          <w:rtl/>
        </w:rPr>
        <w:t xml:space="preserve"> מסרה בתשובתה</w:t>
      </w:r>
      <w:r w:rsidRPr="00703DD3">
        <w:rPr>
          <w:rFonts w:hint="cs"/>
          <w:rtl/>
        </w:rPr>
        <w:t xml:space="preserve"> כי האתר עלה לאוויר בשנת 2002 וכי </w:t>
      </w:r>
      <w:r w:rsidRPr="00703DD3">
        <w:rPr>
          <w:rtl/>
        </w:rPr>
        <w:t>הצגת התכנים</w:t>
      </w:r>
      <w:r w:rsidRPr="00703DD3">
        <w:rPr>
          <w:rFonts w:hint="cs"/>
          <w:rtl/>
        </w:rPr>
        <w:t xml:space="preserve"> באתר</w:t>
      </w:r>
      <w:r w:rsidRPr="00703DD3">
        <w:rPr>
          <w:rtl/>
        </w:rPr>
        <w:t xml:space="preserve"> </w:t>
      </w:r>
      <w:r w:rsidRPr="00703DD3">
        <w:rPr>
          <w:rFonts w:hint="cs"/>
          <w:rtl/>
        </w:rPr>
        <w:t xml:space="preserve">ועדכונם </w:t>
      </w:r>
      <w:r w:rsidRPr="00703DD3">
        <w:rPr>
          <w:rtl/>
        </w:rPr>
        <w:t>נשענים על טכנולוגי</w:t>
      </w:r>
      <w:r>
        <w:rPr>
          <w:rtl/>
        </w:rPr>
        <w:t xml:space="preserve">ה ישנה שאינה מאפשרת ניהול </w:t>
      </w:r>
      <w:r>
        <w:rPr>
          <w:rFonts w:hint="cs"/>
          <w:rtl/>
        </w:rPr>
        <w:t>מיטבי</w:t>
      </w:r>
      <w:r>
        <w:rPr>
          <w:rtl/>
        </w:rPr>
        <w:t xml:space="preserve"> של כל המידע הקיים</w:t>
      </w:r>
      <w:r>
        <w:rPr>
          <w:rFonts w:hint="cs"/>
          <w:rtl/>
        </w:rPr>
        <w:t xml:space="preserve"> ועל כן נ</w:t>
      </w:r>
      <w:r>
        <w:rPr>
          <w:rtl/>
        </w:rPr>
        <w:t>דרש</w:t>
      </w:r>
      <w:r>
        <w:rPr>
          <w:rFonts w:hint="cs"/>
          <w:rtl/>
        </w:rPr>
        <w:t>ת</w:t>
      </w:r>
      <w:r>
        <w:rPr>
          <w:rtl/>
        </w:rPr>
        <w:t xml:space="preserve"> התאמה לטכנולוגיות הקיימות כיום</w:t>
      </w:r>
      <w:r>
        <w:rPr>
          <w:rFonts w:hint="cs"/>
          <w:rtl/>
        </w:rPr>
        <w:t xml:space="preserve">, לרבות שיפור הממשק למשתמשים. הלשכה הוסיפה כי בשנת 2011 פרסמה מכרז לפיתוח אתר אינטרנט חדש. בהמשך לכך פותח "אזור אישי" באתר לעורכי דין ומתמחים המאפשר להם לבצע פעולות שונות. לאחר מכן החליטה הלשכה להפסיק את הליכי הפיתוח בשל אי-שביעות רצונה מתוצרי הפיתוח. לאחר כינון המועצה הארצית החדשה ב-2019 הובא הנושא לפתחה מחדש ובתוכנית העבודה לשנת 2020 תוקצב סעיף ייעודי לתחילת </w:t>
      </w:r>
      <w:r>
        <w:rPr>
          <w:rFonts w:hint="cs"/>
          <w:rtl/>
        </w:rPr>
        <w:lastRenderedPageBreak/>
        <w:t>הפרויקט. הלשכה מעריכה כי עד סוף 2021 יפעל האתר החדש.</w:t>
      </w:r>
      <w:r w:rsidRPr="00FB5B1C">
        <w:rPr>
          <w:rFonts w:hint="cs"/>
          <w:rtl/>
        </w:rPr>
        <w:t xml:space="preserve"> </w:t>
      </w:r>
      <w:r>
        <w:rPr>
          <w:rFonts w:hint="cs"/>
          <w:rtl/>
        </w:rPr>
        <w:t>לעניין החקיקה שאינה מעודכנת באתר, ציינה הלשכה כי בתחילת נובמבר 2019 היא החלה לפעול</w:t>
      </w:r>
      <w:r w:rsidRPr="00493327">
        <w:rPr>
          <w:rtl/>
        </w:rPr>
        <w:t xml:space="preserve"> לקבלת עדכוני חקיקה שוטפים לצורך פרסומם באתר</w:t>
      </w:r>
      <w:r>
        <w:rPr>
          <w:rFonts w:hint="cs"/>
          <w:rtl/>
        </w:rPr>
        <w:t>.</w:t>
      </w:r>
    </w:p>
    <w:p w14:paraId="44AD727D" w14:textId="77777777" w:rsidR="00387987" w:rsidRDefault="00387987" w:rsidP="00844CA1">
      <w:pPr>
        <w:pStyle w:val="af3"/>
        <w:rPr>
          <w:rtl/>
        </w:rPr>
      </w:pPr>
      <w:r>
        <w:rPr>
          <w:rFonts w:hint="cs"/>
          <w:rtl/>
        </w:rPr>
        <w:t xml:space="preserve">ראוי שהלשכה תפעל </w:t>
      </w:r>
      <w:r w:rsidRPr="00D2713E">
        <w:rPr>
          <w:rFonts w:hint="cs"/>
          <w:rtl/>
        </w:rPr>
        <w:t>לסיום תהליך הקמת האתר החדש</w:t>
      </w:r>
      <w:r>
        <w:rPr>
          <w:rFonts w:hint="cs"/>
          <w:rtl/>
        </w:rPr>
        <w:t>, על מנת להבטיח מידע נגיש ומעודכן לעורכי הדין, למתמחים ולכלל הציבור</w:t>
      </w:r>
      <w:r w:rsidRPr="00D2713E">
        <w:rPr>
          <w:rFonts w:hint="cs"/>
          <w:rtl/>
        </w:rPr>
        <w:t>.</w:t>
      </w:r>
    </w:p>
    <w:p w14:paraId="4D0E0BB0" w14:textId="77777777" w:rsidR="00387987" w:rsidRPr="00D2713E" w:rsidRDefault="00387987" w:rsidP="00387987">
      <w:pPr>
        <w:spacing w:line="269" w:lineRule="auto"/>
        <w:rPr>
          <w:b/>
          <w:bCs/>
          <w:rtl/>
        </w:rPr>
      </w:pPr>
    </w:p>
    <w:p w14:paraId="2EE33675" w14:textId="77777777" w:rsidR="00387987" w:rsidRDefault="00387987" w:rsidP="00387987">
      <w:pPr>
        <w:bidi w:val="0"/>
        <w:spacing w:after="200" w:line="276" w:lineRule="auto"/>
        <w:rPr>
          <w:rFonts w:eastAsiaTheme="majorEastAsia"/>
          <w:bCs/>
          <w:szCs w:val="32"/>
          <w:rtl/>
        </w:rPr>
      </w:pPr>
      <w:bookmarkStart w:id="5" w:name="_Toc23155581"/>
      <w:bookmarkStart w:id="6" w:name="_Toc23159780"/>
      <w:r>
        <w:rPr>
          <w:rtl/>
        </w:rPr>
        <w:br w:type="page"/>
      </w:r>
    </w:p>
    <w:p w14:paraId="5DACDFF9" w14:textId="77777777" w:rsidR="00387987" w:rsidRDefault="00387987" w:rsidP="00AC3451">
      <w:pPr>
        <w:pStyle w:val="218"/>
        <w:rPr>
          <w:rtl/>
        </w:rPr>
      </w:pPr>
      <w:r>
        <w:rPr>
          <w:rFonts w:hint="cs"/>
          <w:rtl/>
        </w:rPr>
        <w:lastRenderedPageBreak/>
        <w:t xml:space="preserve">פעילות מערך האתיקה והדין המשמעתי </w:t>
      </w:r>
      <w:bookmarkEnd w:id="5"/>
      <w:bookmarkEnd w:id="6"/>
    </w:p>
    <w:p w14:paraId="7EC01933" w14:textId="77777777" w:rsidR="00387987" w:rsidRDefault="00387987" w:rsidP="00AC3451">
      <w:pPr>
        <w:pStyle w:val="100"/>
        <w:rPr>
          <w:rtl/>
        </w:rPr>
      </w:pPr>
      <w:r>
        <w:rPr>
          <w:rFonts w:hint="cs"/>
          <w:rtl/>
        </w:rPr>
        <w:t>מקצוע עריכת הדין הוא מקצוע ייחודי, ועורכי הדין המייצגים לקוחות מבצעים עבורם פעולות בעלות חשיבות רבה שעשויות להיות להן השלכות על חירותם, מעמדם וזכויותיהם. לצורך כך נקבעו כללי אתיקה שיסדירו את התנהלות עורכי הדין, והפסיקה אף פירשה את כללי הנאמנות החלים על עורכי הדין ככאלה המטילים אחריות מוגברת כלפי לקוחותיהם</w:t>
      </w:r>
      <w:r>
        <w:rPr>
          <w:rStyle w:val="FootnoteReference"/>
          <w:rtl/>
        </w:rPr>
        <w:footnoteReference w:id="18"/>
      </w:r>
      <w:r>
        <w:rPr>
          <w:rFonts w:hint="cs"/>
          <w:rtl/>
        </w:rPr>
        <w:t>. לקיומו התקין של מערך האתיקה והמשמעת חשיבות רבה על מנת להגן על ציבור הלקוחות הפוטנציאליים של עורכי דין שכשלו וכן לצורך</w:t>
      </w:r>
      <w:r w:rsidRPr="00585638">
        <w:rPr>
          <w:rtl/>
        </w:rPr>
        <w:t xml:space="preserve"> שמירה על רמת המקצוע ועל האמון שרוחש ציבור הלקוחות לעורכי הדין</w:t>
      </w:r>
      <w:r>
        <w:rPr>
          <w:rStyle w:val="FootnoteReference"/>
          <w:rtl/>
        </w:rPr>
        <w:footnoteReference w:id="19"/>
      </w:r>
      <w:r>
        <w:rPr>
          <w:rFonts w:hint="cs"/>
          <w:rtl/>
        </w:rPr>
        <w:t xml:space="preserve">. </w:t>
      </w:r>
    </w:p>
    <w:p w14:paraId="7D498F22" w14:textId="77777777" w:rsidR="00387987" w:rsidRDefault="00387987" w:rsidP="00AC3451">
      <w:pPr>
        <w:pStyle w:val="100"/>
        <w:rPr>
          <w:rtl/>
        </w:rPr>
      </w:pPr>
      <w:r>
        <w:rPr>
          <w:rFonts w:hint="cs"/>
          <w:rtl/>
        </w:rPr>
        <w:t>בהתאם לחוק, אחד מתפקידי החובה של הלשכה הוא לקיים שיפוט משמעתי לחבריה, לעורכי דין זרים הרשומים אצלה ולמתמחים.</w:t>
      </w:r>
    </w:p>
    <w:p w14:paraId="7CB34E43" w14:textId="77777777" w:rsidR="00387987" w:rsidRDefault="00387987" w:rsidP="00AC3451">
      <w:pPr>
        <w:pStyle w:val="100"/>
        <w:rPr>
          <w:rtl/>
        </w:rPr>
      </w:pPr>
      <w:r>
        <w:rPr>
          <w:rFonts w:hint="cs"/>
          <w:rtl/>
        </w:rPr>
        <w:t>על כל ועד מחוז למנות, באישור ועדת המינויים של הלשכה</w:t>
      </w:r>
      <w:r>
        <w:rPr>
          <w:rStyle w:val="FootnoteReference"/>
          <w:rtl/>
        </w:rPr>
        <w:footnoteReference w:id="20"/>
      </w:r>
      <w:r>
        <w:rPr>
          <w:rFonts w:hint="cs"/>
          <w:rtl/>
        </w:rPr>
        <w:t>, ועדת אתיקה שבה יהיו חברים עורכי דין מהמחוז ונציגי ציבור. מספר חברי ועדת האתיקה בכל מחוז נקבע בכללים</w:t>
      </w:r>
      <w:r>
        <w:rPr>
          <w:rStyle w:val="FootnoteReference"/>
          <w:rtl/>
        </w:rPr>
        <w:footnoteReference w:id="21"/>
      </w:r>
      <w:r>
        <w:rPr>
          <w:rFonts w:hint="cs"/>
          <w:rtl/>
        </w:rPr>
        <w:t>. נוסף על כך, על המועצה הארצית למנות, באישור ועדת המינויים, ועדת אתיקה ארצית המורכבת מעורכי דין חברי הלשכה ומנציגי ציבור</w:t>
      </w:r>
      <w:r>
        <w:rPr>
          <w:rStyle w:val="FootnoteReference"/>
          <w:rtl/>
        </w:rPr>
        <w:footnoteReference w:id="22"/>
      </w:r>
      <w:r>
        <w:rPr>
          <w:rFonts w:hint="cs"/>
          <w:rtl/>
        </w:rPr>
        <w:t>.</w:t>
      </w:r>
    </w:p>
    <w:p w14:paraId="56834709" w14:textId="77777777" w:rsidR="00387987" w:rsidRDefault="00387987" w:rsidP="00AC3451">
      <w:pPr>
        <w:pStyle w:val="100"/>
        <w:rPr>
          <w:rtl/>
        </w:rPr>
      </w:pPr>
      <w:r>
        <w:rPr>
          <w:rtl/>
        </w:rPr>
        <w:t xml:space="preserve">ליד </w:t>
      </w:r>
      <w:r>
        <w:rPr>
          <w:rFonts w:hint="cs"/>
          <w:rtl/>
        </w:rPr>
        <w:t xml:space="preserve">כל </w:t>
      </w:r>
      <w:r>
        <w:rPr>
          <w:rtl/>
        </w:rPr>
        <w:t xml:space="preserve">ועדת אתיקה </w:t>
      </w:r>
      <w:r>
        <w:rPr>
          <w:rFonts w:hint="cs"/>
          <w:rtl/>
        </w:rPr>
        <w:t>פועל</w:t>
      </w:r>
      <w:r>
        <w:rPr>
          <w:rtl/>
        </w:rPr>
        <w:t xml:space="preserve"> פרקליט</w:t>
      </w:r>
      <w:r>
        <w:rPr>
          <w:rFonts w:hint="cs"/>
          <w:rtl/>
        </w:rPr>
        <w:t xml:space="preserve"> שתפקידו ל</w:t>
      </w:r>
      <w:r>
        <w:rPr>
          <w:rtl/>
        </w:rPr>
        <w:t>ברר תלונות על עבירות משמעת</w:t>
      </w:r>
      <w:r>
        <w:rPr>
          <w:rFonts w:hint="cs"/>
          <w:rtl/>
        </w:rPr>
        <w:t>יות</w:t>
      </w:r>
      <w:r>
        <w:rPr>
          <w:rtl/>
        </w:rPr>
        <w:t xml:space="preserve"> של עורכי דין </w:t>
      </w:r>
      <w:r>
        <w:rPr>
          <w:rFonts w:hint="cs"/>
          <w:rtl/>
        </w:rPr>
        <w:t>ולהעבירן</w:t>
      </w:r>
      <w:r>
        <w:rPr>
          <w:rtl/>
        </w:rPr>
        <w:t xml:space="preserve"> </w:t>
      </w:r>
      <w:r>
        <w:rPr>
          <w:rFonts w:hint="cs"/>
          <w:rtl/>
        </w:rPr>
        <w:t>אל הוועדה עם המלצתו להעמיד לדין בגין התלונה או לגונזה. כמו כן נקבע כי הפרקליט</w:t>
      </w:r>
      <w:r>
        <w:rPr>
          <w:rtl/>
        </w:rPr>
        <w:t xml:space="preserve"> ייצג את ועדת האתיקה </w:t>
      </w:r>
      <w:r>
        <w:rPr>
          <w:rFonts w:hint="cs"/>
          <w:rtl/>
        </w:rPr>
        <w:t>שהוא</w:t>
      </w:r>
      <w:r>
        <w:rPr>
          <w:rtl/>
        </w:rPr>
        <w:t xml:space="preserve"> פועל לידה בהליכים לפני בתי הדין המשמעתיים ולפני בתי המשפט </w:t>
      </w:r>
      <w:r>
        <w:rPr>
          <w:rFonts w:hint="cs"/>
          <w:rtl/>
        </w:rPr>
        <w:t>וייעץ</w:t>
      </w:r>
      <w:r>
        <w:rPr>
          <w:rtl/>
        </w:rPr>
        <w:t xml:space="preserve"> לה בכל עניין הקשור בכך.</w:t>
      </w:r>
      <w:r>
        <w:rPr>
          <w:rFonts w:hint="cs"/>
          <w:rtl/>
        </w:rPr>
        <w:t xml:space="preserve"> </w:t>
      </w:r>
    </w:p>
    <w:p w14:paraId="5F5446CB" w14:textId="77777777" w:rsidR="00387987" w:rsidRDefault="00387987" w:rsidP="00AC3451">
      <w:pPr>
        <w:pStyle w:val="100"/>
        <w:rPr>
          <w:rtl/>
        </w:rPr>
      </w:pPr>
      <w:r>
        <w:rPr>
          <w:rFonts w:hint="cs"/>
          <w:rtl/>
        </w:rPr>
        <w:t>בנוהלי הלשכה נקבע כי ועדת האתיקה הארצית תדון בתלונות נגד חברי בתי דין משמעתיים, מתמחים ועורכי דין מושעים, בקשר לפעולות שעשו בזמן השעייתם ובתלונות בעלות חשיבות מיוחדת</w:t>
      </w:r>
      <w:r>
        <w:rPr>
          <w:rStyle w:val="FootnoteReference"/>
          <w:rtl/>
        </w:rPr>
        <w:footnoteReference w:id="23"/>
      </w:r>
      <w:r>
        <w:rPr>
          <w:rFonts w:hint="cs"/>
          <w:rtl/>
        </w:rPr>
        <w:t xml:space="preserve">. </w:t>
      </w:r>
      <w:r w:rsidRPr="0027006A">
        <w:rPr>
          <w:rtl/>
        </w:rPr>
        <w:t xml:space="preserve">ועדת האתיקה הארצית, ועדת אתיקה מחוזית וכן היועץ המשפטי לממשלה ופרקליט המדינה (להלן - קובל) רשאים להגיש קובלנה לבית </w:t>
      </w:r>
      <w:r>
        <w:rPr>
          <w:rFonts w:hint="cs"/>
          <w:rtl/>
        </w:rPr>
        <w:t>ה</w:t>
      </w:r>
      <w:r w:rsidRPr="0027006A">
        <w:rPr>
          <w:rtl/>
        </w:rPr>
        <w:t xml:space="preserve">דין </w:t>
      </w:r>
      <w:r>
        <w:rPr>
          <w:rFonts w:hint="cs"/>
          <w:rtl/>
        </w:rPr>
        <w:t>ה</w:t>
      </w:r>
      <w:r w:rsidRPr="0027006A">
        <w:rPr>
          <w:rtl/>
        </w:rPr>
        <w:t xml:space="preserve">משמעתי </w:t>
      </w:r>
      <w:r>
        <w:rPr>
          <w:rFonts w:hint="cs"/>
          <w:rtl/>
        </w:rPr>
        <w:t xml:space="preserve">של הלשכה </w:t>
      </w:r>
      <w:r w:rsidRPr="0027006A">
        <w:rPr>
          <w:rtl/>
        </w:rPr>
        <w:t>בשל עביר</w:t>
      </w:r>
      <w:r>
        <w:rPr>
          <w:rFonts w:hint="cs"/>
          <w:rtl/>
        </w:rPr>
        <w:t>ה</w:t>
      </w:r>
      <w:r w:rsidRPr="0027006A">
        <w:rPr>
          <w:rtl/>
        </w:rPr>
        <w:t xml:space="preserve"> משמעת</w:t>
      </w:r>
      <w:r>
        <w:rPr>
          <w:rFonts w:hint="cs"/>
          <w:rtl/>
        </w:rPr>
        <w:t>ית</w:t>
      </w:r>
      <w:r w:rsidRPr="0027006A">
        <w:rPr>
          <w:rtl/>
        </w:rPr>
        <w:t>.</w:t>
      </w:r>
      <w:r>
        <w:rPr>
          <w:rFonts w:hint="cs"/>
          <w:rtl/>
        </w:rPr>
        <w:t xml:space="preserve"> </w:t>
      </w:r>
    </w:p>
    <w:p w14:paraId="35FCF919" w14:textId="5176290C" w:rsidR="00387987" w:rsidRDefault="00AC3451" w:rsidP="005A78EE">
      <w:pPr>
        <w:pStyle w:val="100"/>
        <w:rPr>
          <w:rtl/>
        </w:rPr>
      </w:pPr>
      <w:r>
        <w:rPr>
          <w:rFonts w:hint="cs"/>
          <w:rtl/>
        </w:rPr>
        <w:lastRenderedPageBreak/>
        <w:t>ע</w:t>
      </w:r>
      <w:r w:rsidR="00387987">
        <w:rPr>
          <w:rFonts w:hint="cs"/>
          <w:rtl/>
        </w:rPr>
        <w:t>וד נקבע בחוק, כי ועדת המינויים תמנה חברים לבית הדין המשמעתי הארצי של הלשכה מבין חברי הלשכה וכן תמנה חברים לבתי הדין המחוזיים של הלשכה מבין חברי המחוז. מספרם של חברי בתי הדין נקבע בכללים</w:t>
      </w:r>
      <w:r w:rsidR="00387987">
        <w:rPr>
          <w:rStyle w:val="FootnoteReference"/>
          <w:rtl/>
        </w:rPr>
        <w:footnoteReference w:id="24"/>
      </w:r>
      <w:r w:rsidR="00387987">
        <w:rPr>
          <w:rFonts w:hint="cs"/>
          <w:rtl/>
        </w:rPr>
        <w:t xml:space="preserve">. </w:t>
      </w:r>
    </w:p>
    <w:p w14:paraId="34C350FC" w14:textId="77777777" w:rsidR="00387987" w:rsidRDefault="00387987" w:rsidP="005A78EE">
      <w:pPr>
        <w:pStyle w:val="100"/>
        <w:rPr>
          <w:rtl/>
        </w:rPr>
      </w:pPr>
      <w:r>
        <w:rPr>
          <w:rFonts w:hint="cs"/>
          <w:rtl/>
        </w:rPr>
        <w:t xml:space="preserve">בית דין משמעתי שהחליט להרשיע את הנקבל מוסמך להטיל כמה עונשים ובהם </w:t>
      </w:r>
      <w:r>
        <w:rPr>
          <w:rtl/>
        </w:rPr>
        <w:t>נזיפה</w:t>
      </w:r>
      <w:r>
        <w:rPr>
          <w:rFonts w:hint="cs"/>
          <w:rtl/>
        </w:rPr>
        <w:t xml:space="preserve">, </w:t>
      </w:r>
      <w:r>
        <w:rPr>
          <w:rtl/>
        </w:rPr>
        <w:t>קנס</w:t>
      </w:r>
      <w:r>
        <w:rPr>
          <w:rFonts w:hint="cs"/>
          <w:rtl/>
        </w:rPr>
        <w:t xml:space="preserve">, </w:t>
      </w:r>
      <w:r>
        <w:rPr>
          <w:rtl/>
        </w:rPr>
        <w:t xml:space="preserve">השעיה </w:t>
      </w:r>
      <w:r>
        <w:rPr>
          <w:rFonts w:hint="cs"/>
          <w:rtl/>
        </w:rPr>
        <w:t xml:space="preserve">או </w:t>
      </w:r>
      <w:r>
        <w:rPr>
          <w:rtl/>
        </w:rPr>
        <w:t>הוצאה מן הלשכה</w:t>
      </w:r>
      <w:r>
        <w:rPr>
          <w:rStyle w:val="FootnoteReference"/>
          <w:rtl/>
        </w:rPr>
        <w:footnoteReference w:id="25"/>
      </w:r>
      <w:r>
        <w:rPr>
          <w:rFonts w:hint="cs"/>
          <w:rtl/>
        </w:rPr>
        <w:t xml:space="preserve">, </w:t>
      </w:r>
      <w:r w:rsidRPr="00714B07">
        <w:rPr>
          <w:rtl/>
        </w:rPr>
        <w:t>חי</w:t>
      </w:r>
      <w:r>
        <w:rPr>
          <w:rFonts w:hint="cs"/>
          <w:rtl/>
        </w:rPr>
        <w:t>ו</w:t>
      </w:r>
      <w:r w:rsidRPr="00714B07">
        <w:rPr>
          <w:rtl/>
        </w:rPr>
        <w:t xml:space="preserve">ב בהחזרת </w:t>
      </w:r>
      <w:r>
        <w:rPr>
          <w:rFonts w:hint="cs"/>
          <w:rtl/>
        </w:rPr>
        <w:t>שכר טרחה</w:t>
      </w:r>
      <w:r w:rsidRPr="00714B07">
        <w:rPr>
          <w:rtl/>
        </w:rPr>
        <w:t xml:space="preserve"> בנסיבות מסוימות, </w:t>
      </w:r>
      <w:r>
        <w:rPr>
          <w:rFonts w:hint="cs"/>
          <w:rtl/>
        </w:rPr>
        <w:t xml:space="preserve">חיוב </w:t>
      </w:r>
      <w:r w:rsidRPr="00714B07">
        <w:rPr>
          <w:rtl/>
        </w:rPr>
        <w:t>בתשלום פיצויים ועוד.</w:t>
      </w:r>
      <w:r>
        <w:rPr>
          <w:rFonts w:hint="cs"/>
          <w:rtl/>
        </w:rPr>
        <w:t xml:space="preserve"> למורשע יש זכות ערעור על פסק דין של בית דין משמעתי מחוזי לבית הדין המשמעתי הארצי. </w:t>
      </w:r>
    </w:p>
    <w:p w14:paraId="508F711E" w14:textId="77777777" w:rsidR="00387987" w:rsidRDefault="00387987" w:rsidP="005A78EE">
      <w:pPr>
        <w:pStyle w:val="100"/>
        <w:rPr>
          <w:rtl/>
        </w:rPr>
      </w:pPr>
      <w:r>
        <w:rPr>
          <w:rFonts w:hint="cs"/>
          <w:rtl/>
        </w:rPr>
        <w:t>בשנים 2016 עד 2018 הוגשו 9,941 תלונות אתיקה לכלל ועדות האתיקה. בשנים אלה הגישו ועדות האתיקה 826 קובלנות.</w:t>
      </w:r>
    </w:p>
    <w:p w14:paraId="621EEF41" w14:textId="77777777" w:rsidR="00717296" w:rsidRDefault="00717296">
      <w:pPr>
        <w:bidi w:val="0"/>
        <w:spacing w:after="200" w:line="276" w:lineRule="auto"/>
        <w:rPr>
          <w:rFonts w:ascii="Tahoma" w:hAnsi="Tahoma" w:cs="Tahoma"/>
          <w:szCs w:val="20"/>
          <w:rtl/>
        </w:rPr>
      </w:pPr>
      <w:r>
        <w:rPr>
          <w:rtl/>
        </w:rPr>
        <w:br w:type="page"/>
      </w:r>
    </w:p>
    <w:p w14:paraId="7A228EDD" w14:textId="26A6A544" w:rsidR="00387987" w:rsidRDefault="00387987" w:rsidP="0063690F">
      <w:pPr>
        <w:pStyle w:val="100"/>
        <w:rPr>
          <w:rtl/>
        </w:rPr>
      </w:pPr>
      <w:r>
        <w:rPr>
          <w:rFonts w:hint="cs"/>
          <w:rtl/>
        </w:rPr>
        <w:lastRenderedPageBreak/>
        <w:t>מסלול הטיפול בתלונ</w:t>
      </w:r>
      <w:r w:rsidR="00D359FF">
        <w:rPr>
          <w:rFonts w:hint="cs"/>
          <w:rtl/>
        </w:rPr>
        <w:t>ה</w:t>
      </w:r>
      <w:r w:rsidR="000C7DCA">
        <w:rPr>
          <w:rFonts w:hint="cs"/>
          <w:rtl/>
        </w:rPr>
        <w:t xml:space="preserve"> שהוגשה לוועדת</w:t>
      </w:r>
      <w:r>
        <w:rPr>
          <w:rFonts w:hint="cs"/>
          <w:rtl/>
        </w:rPr>
        <w:t xml:space="preserve"> </w:t>
      </w:r>
      <w:r w:rsidR="000C7DCA">
        <w:rPr>
          <w:rFonts w:hint="cs"/>
          <w:rtl/>
        </w:rPr>
        <w:t>ה</w:t>
      </w:r>
      <w:r>
        <w:rPr>
          <w:rFonts w:hint="cs"/>
          <w:rtl/>
        </w:rPr>
        <w:t>אתיקה מפורט בתרשים שלהלן:</w:t>
      </w:r>
    </w:p>
    <w:p w14:paraId="2B188A82" w14:textId="21297B84" w:rsidR="00387987" w:rsidRPr="005A78EE" w:rsidRDefault="00387987" w:rsidP="005A78EE">
      <w:pPr>
        <w:pStyle w:val="a8"/>
        <w:rPr>
          <w:b/>
          <w:bCs/>
          <w:rtl/>
        </w:rPr>
      </w:pPr>
      <w:r w:rsidRPr="00B92A4E">
        <w:rPr>
          <w:rFonts w:hint="eastAsia"/>
          <w:rtl/>
        </w:rPr>
        <w:t>תרשים</w:t>
      </w:r>
      <w:r w:rsidRPr="00B92A4E">
        <w:rPr>
          <w:rtl/>
        </w:rPr>
        <w:t xml:space="preserve"> </w:t>
      </w:r>
      <w:r>
        <w:rPr>
          <w:rFonts w:hint="cs"/>
          <w:rtl/>
        </w:rPr>
        <w:t>7</w:t>
      </w:r>
      <w:r w:rsidRPr="00B92A4E">
        <w:rPr>
          <w:rtl/>
        </w:rPr>
        <w:t xml:space="preserve">: </w:t>
      </w:r>
      <w:r w:rsidRPr="005A78EE">
        <w:rPr>
          <w:b/>
          <w:bCs/>
          <w:rtl/>
        </w:rPr>
        <w:t>מסלול הטיפול בתלונ</w:t>
      </w:r>
      <w:r w:rsidR="00717296">
        <w:rPr>
          <w:rFonts w:hint="cs"/>
          <w:b/>
          <w:bCs/>
          <w:rtl/>
        </w:rPr>
        <w:t>ה</w:t>
      </w:r>
      <w:r w:rsidRPr="005A78EE">
        <w:rPr>
          <w:b/>
          <w:bCs/>
          <w:rtl/>
        </w:rPr>
        <w:t xml:space="preserve"> </w:t>
      </w:r>
      <w:r w:rsidR="00717296">
        <w:rPr>
          <w:rFonts w:hint="cs"/>
          <w:b/>
          <w:bCs/>
          <w:rtl/>
        </w:rPr>
        <w:t>שהוגשה לוועדת ה</w:t>
      </w:r>
      <w:r w:rsidRPr="005A78EE">
        <w:rPr>
          <w:rFonts w:hint="eastAsia"/>
          <w:b/>
          <w:bCs/>
          <w:rtl/>
        </w:rPr>
        <w:t>אתיקה</w:t>
      </w:r>
    </w:p>
    <w:p w14:paraId="67865951" w14:textId="77777777" w:rsidR="00387987" w:rsidRDefault="00387987" w:rsidP="005A78EE">
      <w:pPr>
        <w:pStyle w:val="a8"/>
        <w:rPr>
          <w:rtl/>
        </w:rPr>
      </w:pPr>
      <w:r>
        <w:rPr>
          <w:noProof/>
        </w:rPr>
        <w:drawing>
          <wp:inline distT="0" distB="0" distL="0" distR="0" wp14:anchorId="355F9179" wp14:editId="2E5CA50D">
            <wp:extent cx="5220155" cy="5619750"/>
            <wp:effectExtent l="0" t="0" r="0" b="0"/>
            <wp:docPr id="35" name="תמונה 5" descr="C:\Users\itiel_ma\AppData\Local\Microsoft\Windows\INetCache\Content.Word\תרשים סרוק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iel_ma\AppData\Local\Microsoft\Windows\INetCache\Content.Word\תרשים סרוק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4430" cy="5624353"/>
                    </a:xfrm>
                    <a:prstGeom prst="rect">
                      <a:avLst/>
                    </a:prstGeom>
                    <a:noFill/>
                    <a:ln>
                      <a:noFill/>
                    </a:ln>
                  </pic:spPr>
                </pic:pic>
              </a:graphicData>
            </a:graphic>
          </wp:inline>
        </w:drawing>
      </w:r>
    </w:p>
    <w:p w14:paraId="281D6C31" w14:textId="77777777" w:rsidR="00387987" w:rsidRDefault="00387987" w:rsidP="00387987">
      <w:pPr>
        <w:spacing w:line="269" w:lineRule="auto"/>
        <w:rPr>
          <w:szCs w:val="20"/>
          <w:rtl/>
        </w:rPr>
      </w:pPr>
    </w:p>
    <w:p w14:paraId="0BCC5FA2" w14:textId="309A3093" w:rsidR="005A78EE" w:rsidRDefault="00387987" w:rsidP="005A78EE">
      <w:pPr>
        <w:pStyle w:val="aa"/>
        <w:rPr>
          <w:rtl/>
        </w:rPr>
      </w:pPr>
      <w:r>
        <w:rPr>
          <w:rFonts w:hint="cs"/>
          <w:rtl/>
        </w:rPr>
        <w:t>על פי</w:t>
      </w:r>
      <w:r w:rsidRPr="00571C10">
        <w:rPr>
          <w:rtl/>
        </w:rPr>
        <w:t xml:space="preserve"> </w:t>
      </w:r>
      <w:r>
        <w:rPr>
          <w:rFonts w:hint="cs"/>
          <w:rtl/>
        </w:rPr>
        <w:t xml:space="preserve">נתוני </w:t>
      </w:r>
      <w:r w:rsidRPr="00571C10">
        <w:rPr>
          <w:rtl/>
        </w:rPr>
        <w:t xml:space="preserve">נוהל </w:t>
      </w:r>
      <w:r w:rsidRPr="00571C10">
        <w:rPr>
          <w:rFonts w:hint="eastAsia"/>
          <w:rtl/>
        </w:rPr>
        <w:t>ארצי</w:t>
      </w:r>
      <w:r w:rsidRPr="00571C10">
        <w:rPr>
          <w:rtl/>
        </w:rPr>
        <w:t xml:space="preserve"> </w:t>
      </w:r>
      <w:r w:rsidRPr="00571C10">
        <w:rPr>
          <w:rFonts w:hint="eastAsia"/>
          <w:rtl/>
        </w:rPr>
        <w:t>ל</w:t>
      </w:r>
      <w:r w:rsidRPr="00571C10">
        <w:rPr>
          <w:rtl/>
        </w:rPr>
        <w:t>טיפול בתלונות על ידי ועדות האתיקה שפרסמה ועדת האתיקה הארצית בשנת 2013</w:t>
      </w:r>
      <w:r>
        <w:rPr>
          <w:rFonts w:hint="cs"/>
          <w:rtl/>
        </w:rPr>
        <w:t>, בעיבוד משרד מבקר המדינה</w:t>
      </w:r>
      <w:r w:rsidRPr="00571C10">
        <w:rPr>
          <w:rtl/>
        </w:rPr>
        <w:t>.</w:t>
      </w:r>
    </w:p>
    <w:p w14:paraId="26465584" w14:textId="77777777" w:rsidR="005A78EE" w:rsidRDefault="005A78EE">
      <w:pPr>
        <w:bidi w:val="0"/>
        <w:spacing w:after="200" w:line="276" w:lineRule="auto"/>
        <w:rPr>
          <w:rFonts w:ascii="Tahoma" w:hAnsi="Tahoma" w:cs="Tahoma"/>
          <w:sz w:val="16"/>
          <w:szCs w:val="16"/>
          <w:rtl/>
        </w:rPr>
      </w:pPr>
      <w:r>
        <w:rPr>
          <w:rtl/>
        </w:rPr>
        <w:br w:type="page"/>
      </w:r>
    </w:p>
    <w:p w14:paraId="3A7D766F" w14:textId="77777777" w:rsidR="00387987" w:rsidRDefault="00387987" w:rsidP="005A78EE">
      <w:pPr>
        <w:pStyle w:val="316"/>
        <w:rPr>
          <w:rtl/>
        </w:rPr>
      </w:pPr>
      <w:bookmarkStart w:id="7" w:name="_Toc23155582"/>
      <w:bookmarkStart w:id="8" w:name="_Toc23159781"/>
      <w:r>
        <w:rPr>
          <w:rFonts w:hint="cs"/>
          <w:rtl/>
        </w:rPr>
        <w:lastRenderedPageBreak/>
        <w:t>פעילות ועדות האתיקה</w:t>
      </w:r>
      <w:bookmarkEnd w:id="7"/>
      <w:bookmarkEnd w:id="8"/>
    </w:p>
    <w:p w14:paraId="7A355D15" w14:textId="77777777" w:rsidR="00387987" w:rsidRPr="00717465" w:rsidRDefault="00387987" w:rsidP="005A78EE">
      <w:pPr>
        <w:pStyle w:val="414"/>
        <w:rPr>
          <w:rtl/>
        </w:rPr>
      </w:pPr>
      <w:bookmarkStart w:id="9" w:name="_Toc23155583"/>
      <w:r>
        <w:rPr>
          <w:rFonts w:hint="cs"/>
          <w:rtl/>
        </w:rPr>
        <w:t>נוהלי ועדות האתיקה בנוגע לטיפול בתלונות</w:t>
      </w:r>
      <w:bookmarkEnd w:id="9"/>
    </w:p>
    <w:p w14:paraId="11597BAA" w14:textId="77777777" w:rsidR="00387987" w:rsidRDefault="00387987" w:rsidP="005A78EE">
      <w:pPr>
        <w:pStyle w:val="100"/>
        <w:rPr>
          <w:rtl/>
        </w:rPr>
      </w:pPr>
      <w:r w:rsidRPr="00B932F6">
        <w:rPr>
          <w:rtl/>
        </w:rPr>
        <w:t>כללי לשכת עורכי הדין (סדרי הדין בבתי הדין המשמעתיים), התשע"ה-2015 (להלן - כללי המשמעת</w:t>
      </w:r>
      <w:r>
        <w:rPr>
          <w:rFonts w:hint="cs"/>
          <w:rtl/>
        </w:rPr>
        <w:t>),</w:t>
      </w:r>
      <w:r w:rsidRPr="00B932F6">
        <w:rPr>
          <w:rFonts w:hint="cs"/>
          <w:rtl/>
        </w:rPr>
        <w:t xml:space="preserve"> </w:t>
      </w:r>
      <w:r>
        <w:rPr>
          <w:rFonts w:hint="cs"/>
          <w:rtl/>
        </w:rPr>
        <w:t xml:space="preserve">קובעים את אופן טיפול ועדות האתיקה בתלונות, בהגשת קובלנות וכן את סדרי הדין בבתי הדין המשמעתיים. </w:t>
      </w:r>
      <w:r>
        <w:rPr>
          <w:rtl/>
        </w:rPr>
        <w:t xml:space="preserve">בשנת </w:t>
      </w:r>
      <w:r>
        <w:rPr>
          <w:rFonts w:hint="cs"/>
          <w:rtl/>
        </w:rPr>
        <w:t>2013</w:t>
      </w:r>
      <w:r>
        <w:rPr>
          <w:rtl/>
        </w:rPr>
        <w:t xml:space="preserve"> פרסמה </w:t>
      </w:r>
      <w:r>
        <w:rPr>
          <w:rFonts w:hint="cs"/>
          <w:rtl/>
        </w:rPr>
        <w:t>ועדת האתיקה הארצית</w:t>
      </w:r>
      <w:r>
        <w:rPr>
          <w:rtl/>
        </w:rPr>
        <w:t xml:space="preserve"> נוהל </w:t>
      </w:r>
      <w:r>
        <w:rPr>
          <w:rFonts w:hint="cs"/>
          <w:rtl/>
        </w:rPr>
        <w:t>ארצי ל</w:t>
      </w:r>
      <w:r>
        <w:rPr>
          <w:rtl/>
        </w:rPr>
        <w:t>טיפול בתלונות על ידי ועדות האתיקה</w:t>
      </w:r>
      <w:r>
        <w:rPr>
          <w:rFonts w:hint="cs"/>
          <w:rtl/>
        </w:rPr>
        <w:t xml:space="preserve"> (להלן - הנוהל הארצי)</w:t>
      </w:r>
      <w:r>
        <w:rPr>
          <w:rtl/>
        </w:rPr>
        <w:t xml:space="preserve">. </w:t>
      </w:r>
    </w:p>
    <w:p w14:paraId="1833EA24" w14:textId="2566D611" w:rsidR="00387987" w:rsidRPr="009933E3" w:rsidRDefault="00387987" w:rsidP="005A78EE">
      <w:pPr>
        <w:pStyle w:val="af3"/>
        <w:rPr>
          <w:rtl/>
        </w:rPr>
      </w:pPr>
      <w:r>
        <w:rPr>
          <w:rFonts w:hint="cs"/>
          <w:rtl/>
        </w:rPr>
        <w:t>הנוהל הארצי</w:t>
      </w:r>
      <w:r w:rsidRPr="009933E3">
        <w:rPr>
          <w:rtl/>
        </w:rPr>
        <w:t xml:space="preserve"> נ</w:t>
      </w:r>
      <w:r>
        <w:rPr>
          <w:rFonts w:hint="cs"/>
          <w:rtl/>
        </w:rPr>
        <w:t>וסח</w:t>
      </w:r>
      <w:r w:rsidRPr="009933E3">
        <w:rPr>
          <w:rtl/>
        </w:rPr>
        <w:t xml:space="preserve"> בהתבסס על כללי </w:t>
      </w:r>
      <w:r>
        <w:rPr>
          <w:rFonts w:hint="cs"/>
          <w:rtl/>
        </w:rPr>
        <w:t>המשמעת</w:t>
      </w:r>
      <w:r>
        <w:rPr>
          <w:rtl/>
        </w:rPr>
        <w:t xml:space="preserve"> שהיו קיימים באותה ע</w:t>
      </w:r>
      <w:r>
        <w:rPr>
          <w:rFonts w:hint="cs"/>
          <w:rtl/>
        </w:rPr>
        <w:t>ת</w:t>
      </w:r>
      <w:r>
        <w:rPr>
          <w:rStyle w:val="FootnoteReference"/>
          <w:b/>
          <w:bCs/>
          <w:rtl/>
        </w:rPr>
        <w:footnoteReference w:id="26"/>
      </w:r>
      <w:r w:rsidRPr="009933E3">
        <w:rPr>
          <w:rtl/>
        </w:rPr>
        <w:t xml:space="preserve">. </w:t>
      </w:r>
      <w:r>
        <w:rPr>
          <w:rFonts w:hint="cs"/>
          <w:rtl/>
        </w:rPr>
        <w:t xml:space="preserve">בביקורת נמצא כי </w:t>
      </w:r>
      <w:r w:rsidRPr="009933E3">
        <w:rPr>
          <w:rtl/>
        </w:rPr>
        <w:t xml:space="preserve">אף שבשנת 2015 פורסמו </w:t>
      </w:r>
      <w:r>
        <w:rPr>
          <w:rFonts w:hint="cs"/>
          <w:rtl/>
        </w:rPr>
        <w:t>כללי משמעת חדשים</w:t>
      </w:r>
      <w:r>
        <w:rPr>
          <w:rStyle w:val="FootnoteReference"/>
          <w:b/>
          <w:bCs/>
          <w:rtl/>
        </w:rPr>
        <w:footnoteReference w:id="27"/>
      </w:r>
      <w:r w:rsidRPr="009933E3">
        <w:rPr>
          <w:rtl/>
        </w:rPr>
        <w:t xml:space="preserve"> הנוהל לא תוקן בהתאם.</w:t>
      </w:r>
      <w:r>
        <w:rPr>
          <w:rFonts w:hint="cs"/>
          <w:rtl/>
        </w:rPr>
        <w:t xml:space="preserve"> עוד נמצא כי </w:t>
      </w:r>
      <w:r w:rsidRPr="009933E3">
        <w:rPr>
          <w:rtl/>
        </w:rPr>
        <w:t>אף שבנוהל</w:t>
      </w:r>
      <w:r>
        <w:rPr>
          <w:rFonts w:hint="cs"/>
          <w:rtl/>
        </w:rPr>
        <w:t xml:space="preserve"> הארצי</w:t>
      </w:r>
      <w:r w:rsidRPr="009933E3">
        <w:rPr>
          <w:rtl/>
        </w:rPr>
        <w:t xml:space="preserve"> נכתב כי הוא "קובע כללי טיפול אחידים בתלונות בוועדות האתיקה של לשכת עורכי הדין" </w:t>
      </w:r>
      <w:r>
        <w:rPr>
          <w:rFonts w:hint="cs"/>
          <w:rtl/>
        </w:rPr>
        <w:t>הוועדות אינן פועלות לפי הנוהל באופן מלא</w:t>
      </w:r>
      <w:r w:rsidRPr="009933E3">
        <w:rPr>
          <w:rtl/>
        </w:rPr>
        <w:t>.</w:t>
      </w:r>
      <w:r>
        <w:rPr>
          <w:rFonts w:hint="cs"/>
          <w:rtl/>
        </w:rPr>
        <w:t xml:space="preserve"> להלן מקרים שבהם פעלו ועדות בניגוד לכללי המשמעת, מקרים שבהם עלו סתירות בין כללי המשמעת לנוהל הארצי ומקרים של היעדר אחידות בטיפול בתלונות בין </w:t>
      </w:r>
      <w:r w:rsidR="00E6345E">
        <w:rPr>
          <w:rFonts w:hint="cs"/>
          <w:rtl/>
        </w:rPr>
        <w:t>הוועדות</w:t>
      </w:r>
      <w:r>
        <w:rPr>
          <w:rFonts w:hint="cs"/>
          <w:rtl/>
        </w:rPr>
        <w:t>:</w:t>
      </w:r>
    </w:p>
    <w:p w14:paraId="0E3363F2" w14:textId="77777777" w:rsidR="00387987" w:rsidRPr="00B932F6" w:rsidRDefault="00387987" w:rsidP="005950C8">
      <w:pPr>
        <w:pStyle w:val="a1"/>
        <w:numPr>
          <w:ilvl w:val="0"/>
          <w:numId w:val="15"/>
        </w:numPr>
      </w:pPr>
      <w:r w:rsidRPr="00B932F6">
        <w:rPr>
          <w:rFonts w:hint="eastAsia"/>
          <w:rtl/>
        </w:rPr>
        <w:t>בהתאם</w:t>
      </w:r>
      <w:r w:rsidRPr="00B932F6">
        <w:rPr>
          <w:rtl/>
        </w:rPr>
        <w:t xml:space="preserve"> לכללי המשמעת </w:t>
      </w:r>
      <w:r w:rsidRPr="00B932F6">
        <w:rPr>
          <w:rFonts w:hint="eastAsia"/>
          <w:rtl/>
        </w:rPr>
        <w:t>על</w:t>
      </w:r>
      <w:r w:rsidRPr="00B932F6">
        <w:rPr>
          <w:rtl/>
        </w:rPr>
        <w:t xml:space="preserve"> </w:t>
      </w:r>
      <w:r w:rsidRPr="00B932F6">
        <w:rPr>
          <w:rFonts w:hint="eastAsia"/>
          <w:rtl/>
        </w:rPr>
        <w:t>ועדת</w:t>
      </w:r>
      <w:r w:rsidRPr="00B932F6">
        <w:rPr>
          <w:rtl/>
        </w:rPr>
        <w:t xml:space="preserve"> </w:t>
      </w:r>
      <w:r w:rsidRPr="00B932F6">
        <w:rPr>
          <w:rFonts w:hint="eastAsia"/>
          <w:rtl/>
        </w:rPr>
        <w:t>האתיקה</w:t>
      </w:r>
      <w:r w:rsidRPr="00B932F6">
        <w:rPr>
          <w:rtl/>
        </w:rPr>
        <w:t xml:space="preserve"> </w:t>
      </w:r>
      <w:r w:rsidRPr="00B932F6">
        <w:rPr>
          <w:rFonts w:hint="eastAsia"/>
          <w:rtl/>
        </w:rPr>
        <w:t>לפנות</w:t>
      </w:r>
      <w:r w:rsidRPr="00B932F6">
        <w:rPr>
          <w:rtl/>
        </w:rPr>
        <w:t xml:space="preserve"> </w:t>
      </w:r>
      <w:r w:rsidRPr="00B932F6">
        <w:rPr>
          <w:rFonts w:hint="eastAsia"/>
          <w:rtl/>
        </w:rPr>
        <w:t>לנילון</w:t>
      </w:r>
      <w:r w:rsidRPr="00B932F6">
        <w:rPr>
          <w:rtl/>
        </w:rPr>
        <w:t xml:space="preserve"> </w:t>
      </w:r>
      <w:r w:rsidRPr="00B932F6">
        <w:rPr>
          <w:rFonts w:hint="eastAsia"/>
          <w:rtl/>
        </w:rPr>
        <w:t>ולבקשו</w:t>
      </w:r>
      <w:r w:rsidRPr="00B932F6">
        <w:rPr>
          <w:rtl/>
        </w:rPr>
        <w:t xml:space="preserve"> </w:t>
      </w:r>
      <w:r w:rsidRPr="00B932F6">
        <w:rPr>
          <w:rFonts w:hint="eastAsia"/>
          <w:rtl/>
        </w:rPr>
        <w:t>להשיב</w:t>
      </w:r>
      <w:r w:rsidRPr="00B932F6">
        <w:rPr>
          <w:rtl/>
        </w:rPr>
        <w:t xml:space="preserve"> </w:t>
      </w:r>
      <w:r w:rsidRPr="00B932F6">
        <w:rPr>
          <w:rFonts w:hint="eastAsia"/>
          <w:rtl/>
        </w:rPr>
        <w:t>לתלונה</w:t>
      </w:r>
      <w:r w:rsidRPr="00B932F6">
        <w:rPr>
          <w:rtl/>
        </w:rPr>
        <w:t xml:space="preserve"> </w:t>
      </w:r>
      <w:r w:rsidRPr="00B932F6">
        <w:rPr>
          <w:rFonts w:hint="eastAsia"/>
          <w:rtl/>
        </w:rPr>
        <w:t>בכתב</w:t>
      </w:r>
      <w:r w:rsidRPr="00B932F6">
        <w:rPr>
          <w:rtl/>
        </w:rPr>
        <w:t xml:space="preserve"> (להלן - </w:t>
      </w:r>
      <w:r w:rsidRPr="00B932F6">
        <w:rPr>
          <w:rFonts w:hint="eastAsia"/>
          <w:rtl/>
        </w:rPr>
        <w:t>תשובה</w:t>
      </w:r>
      <w:r w:rsidRPr="00B932F6">
        <w:rPr>
          <w:rtl/>
        </w:rPr>
        <w:t xml:space="preserve"> </w:t>
      </w:r>
      <w:r w:rsidRPr="00B932F6">
        <w:rPr>
          <w:rFonts w:hint="eastAsia"/>
          <w:rtl/>
        </w:rPr>
        <w:t>סטטוטורית</w:t>
      </w:r>
      <w:r w:rsidRPr="00B932F6">
        <w:rPr>
          <w:rtl/>
        </w:rPr>
        <w:t xml:space="preserve">). </w:t>
      </w:r>
      <w:r>
        <w:rPr>
          <w:rFonts w:hint="cs"/>
          <w:rtl/>
        </w:rPr>
        <w:t xml:space="preserve">עוד נקבע בכללים כי </w:t>
      </w:r>
      <w:r w:rsidRPr="00B932F6">
        <w:rPr>
          <w:rtl/>
        </w:rPr>
        <w:t xml:space="preserve">הוועדה תודיע </w:t>
      </w:r>
      <w:r w:rsidRPr="00B932F6">
        <w:rPr>
          <w:rFonts w:hint="eastAsia"/>
          <w:rtl/>
        </w:rPr>
        <w:t>לנילון</w:t>
      </w:r>
      <w:r w:rsidRPr="00B932F6">
        <w:rPr>
          <w:rtl/>
        </w:rPr>
        <w:t xml:space="preserve"> כי ניתן לעשות שימוש בתשובתו כראיה נגדו במסגרת הדיון בקובלנה, אם תוגש</w:t>
      </w:r>
      <w:r>
        <w:rPr>
          <w:rFonts w:hint="cs"/>
          <w:rtl/>
        </w:rPr>
        <w:t xml:space="preserve"> (להלן - אזהרה)</w:t>
      </w:r>
      <w:r w:rsidRPr="00B932F6">
        <w:rPr>
          <w:rtl/>
        </w:rPr>
        <w:t xml:space="preserve">. </w:t>
      </w:r>
      <w:r w:rsidRPr="00B932F6">
        <w:rPr>
          <w:rFonts w:hint="eastAsia"/>
          <w:rtl/>
        </w:rPr>
        <w:t>לעומת</w:t>
      </w:r>
      <w:r w:rsidRPr="00B932F6">
        <w:rPr>
          <w:rtl/>
        </w:rPr>
        <w:t xml:space="preserve"> זאת, </w:t>
      </w:r>
      <w:r w:rsidRPr="00B932F6">
        <w:rPr>
          <w:rFonts w:hint="eastAsia"/>
          <w:rtl/>
        </w:rPr>
        <w:t>הנוהל</w:t>
      </w:r>
      <w:r w:rsidRPr="00B932F6">
        <w:rPr>
          <w:rtl/>
        </w:rPr>
        <w:t xml:space="preserve"> הארצי קובע כי </w:t>
      </w:r>
      <w:r w:rsidRPr="00B932F6">
        <w:rPr>
          <w:rFonts w:hint="eastAsia"/>
          <w:rtl/>
        </w:rPr>
        <w:t>על</w:t>
      </w:r>
      <w:r w:rsidRPr="00B932F6">
        <w:rPr>
          <w:rtl/>
        </w:rPr>
        <w:t xml:space="preserve"> </w:t>
      </w:r>
      <w:r w:rsidRPr="00B932F6">
        <w:rPr>
          <w:rFonts w:hint="eastAsia"/>
          <w:rtl/>
        </w:rPr>
        <w:t>נציג</w:t>
      </w:r>
      <w:r>
        <w:rPr>
          <w:rStyle w:val="FootnoteReference"/>
          <w:rtl/>
        </w:rPr>
        <w:footnoteReference w:id="28"/>
      </w:r>
      <w:r w:rsidRPr="00B932F6">
        <w:rPr>
          <w:rtl/>
        </w:rPr>
        <w:t xml:space="preserve"> ועדת האתיקה להעביר </w:t>
      </w:r>
      <w:r w:rsidRPr="00B932F6">
        <w:rPr>
          <w:rFonts w:hint="eastAsia"/>
          <w:rtl/>
        </w:rPr>
        <w:t>תלונה</w:t>
      </w:r>
      <w:r w:rsidRPr="00B932F6">
        <w:rPr>
          <w:rtl/>
        </w:rPr>
        <w:t xml:space="preserve"> </w:t>
      </w:r>
      <w:r w:rsidRPr="00B932F6">
        <w:rPr>
          <w:rFonts w:hint="eastAsia"/>
          <w:rtl/>
        </w:rPr>
        <w:t>לתגובה</w:t>
      </w:r>
      <w:r w:rsidRPr="00B932F6">
        <w:rPr>
          <w:rtl/>
        </w:rPr>
        <w:t xml:space="preserve"> </w:t>
      </w:r>
      <w:r w:rsidRPr="00B932F6">
        <w:rPr>
          <w:rFonts w:hint="eastAsia"/>
          <w:rtl/>
        </w:rPr>
        <w:t>ראשונית</w:t>
      </w:r>
      <w:r w:rsidRPr="00B932F6">
        <w:rPr>
          <w:rtl/>
        </w:rPr>
        <w:t xml:space="preserve"> </w:t>
      </w:r>
      <w:r w:rsidRPr="00B932F6">
        <w:rPr>
          <w:rFonts w:hint="eastAsia"/>
          <w:rtl/>
        </w:rPr>
        <w:t>של</w:t>
      </w:r>
      <w:r w:rsidRPr="00B932F6">
        <w:rPr>
          <w:rtl/>
        </w:rPr>
        <w:t xml:space="preserve"> </w:t>
      </w:r>
      <w:r w:rsidRPr="00B932F6">
        <w:rPr>
          <w:rFonts w:hint="eastAsia"/>
          <w:rtl/>
        </w:rPr>
        <w:t>הנילון</w:t>
      </w:r>
      <w:r w:rsidRPr="00B932F6">
        <w:rPr>
          <w:rtl/>
        </w:rPr>
        <w:t xml:space="preserve"> ורק לאחר מכן יוחלט אם לבקש מהנילון </w:t>
      </w:r>
      <w:r>
        <w:rPr>
          <w:rFonts w:hint="cs"/>
          <w:rtl/>
        </w:rPr>
        <w:t>תשובה</w:t>
      </w:r>
      <w:r w:rsidRPr="00B932F6">
        <w:rPr>
          <w:rtl/>
        </w:rPr>
        <w:t xml:space="preserve"> סטטו</w:t>
      </w:r>
      <w:r w:rsidRPr="00B932F6">
        <w:rPr>
          <w:rFonts w:hint="eastAsia"/>
          <w:rtl/>
        </w:rPr>
        <w:t>טורית</w:t>
      </w:r>
      <w:r>
        <w:rPr>
          <w:rStyle w:val="FootnoteReference"/>
          <w:rtl/>
        </w:rPr>
        <w:footnoteReference w:id="29"/>
      </w:r>
      <w:r w:rsidRPr="00B932F6">
        <w:rPr>
          <w:rtl/>
        </w:rPr>
        <w:t xml:space="preserve">. </w:t>
      </w:r>
    </w:p>
    <w:p w14:paraId="35E7EE04" w14:textId="77777777" w:rsidR="00387987" w:rsidRDefault="00387987" w:rsidP="00B933BC">
      <w:pPr>
        <w:pStyle w:val="ac"/>
        <w:rPr>
          <w:rtl/>
        </w:rPr>
      </w:pPr>
      <w:r w:rsidRPr="00596F88">
        <w:rPr>
          <w:rFonts w:hint="cs"/>
          <w:rtl/>
        </w:rPr>
        <w:t xml:space="preserve">בביקורת נמצא כי </w:t>
      </w:r>
      <w:r>
        <w:rPr>
          <w:rFonts w:hint="cs"/>
          <w:rtl/>
        </w:rPr>
        <w:t>ועדות האתיקה ב</w:t>
      </w:r>
      <w:r w:rsidRPr="00596F88">
        <w:rPr>
          <w:rFonts w:hint="cs"/>
          <w:rtl/>
        </w:rPr>
        <w:t>מחוז תל אביב ו</w:t>
      </w:r>
      <w:r>
        <w:rPr>
          <w:rFonts w:hint="cs"/>
          <w:rtl/>
        </w:rPr>
        <w:t xml:space="preserve">מחוז </w:t>
      </w:r>
      <w:r w:rsidRPr="00596F88">
        <w:rPr>
          <w:rFonts w:hint="cs"/>
          <w:rtl/>
        </w:rPr>
        <w:t>צפון מבקש</w:t>
      </w:r>
      <w:r>
        <w:rPr>
          <w:rFonts w:hint="cs"/>
          <w:rtl/>
        </w:rPr>
        <w:t>ות</w:t>
      </w:r>
      <w:r w:rsidRPr="00596F88">
        <w:rPr>
          <w:rFonts w:hint="cs"/>
          <w:rtl/>
        </w:rPr>
        <w:t xml:space="preserve"> מלכתחילה </w:t>
      </w:r>
      <w:r>
        <w:rPr>
          <w:rFonts w:hint="cs"/>
          <w:rtl/>
        </w:rPr>
        <w:t>תשובה</w:t>
      </w:r>
      <w:r w:rsidRPr="00596F88">
        <w:rPr>
          <w:rFonts w:hint="cs"/>
          <w:rtl/>
        </w:rPr>
        <w:t xml:space="preserve"> </w:t>
      </w:r>
      <w:r w:rsidRPr="003B043F">
        <w:rPr>
          <w:rFonts w:hint="cs"/>
          <w:rtl/>
        </w:rPr>
        <w:t>סטטוטורית</w:t>
      </w:r>
      <w:r>
        <w:rPr>
          <w:rFonts w:hint="cs"/>
          <w:rtl/>
        </w:rPr>
        <w:t>,</w:t>
      </w:r>
      <w:r w:rsidRPr="003B043F">
        <w:rPr>
          <w:rFonts w:hint="cs"/>
          <w:rtl/>
        </w:rPr>
        <w:t xml:space="preserve"> ואילו בשאר המחוזות מבקשים ככלל תגובה ראשונית לפני </w:t>
      </w:r>
      <w:r>
        <w:rPr>
          <w:rFonts w:hint="cs"/>
          <w:rtl/>
        </w:rPr>
        <w:t>תשובה</w:t>
      </w:r>
      <w:r w:rsidRPr="003B043F">
        <w:rPr>
          <w:rFonts w:hint="cs"/>
          <w:rtl/>
        </w:rPr>
        <w:t xml:space="preserve"> סטטוטורית. עוד נמצא כי במחוז דרום התגובה הראשונית נשלחת ללא אזהרה ואילו במחוז</w:t>
      </w:r>
      <w:r>
        <w:rPr>
          <w:rFonts w:hint="cs"/>
          <w:rtl/>
        </w:rPr>
        <w:t>ות</w:t>
      </w:r>
      <w:r w:rsidRPr="003B043F">
        <w:rPr>
          <w:rFonts w:hint="cs"/>
          <w:rtl/>
        </w:rPr>
        <w:t xml:space="preserve"> חיפה, </w:t>
      </w:r>
      <w:r>
        <w:rPr>
          <w:rFonts w:hint="cs"/>
          <w:rtl/>
        </w:rPr>
        <w:t>ה</w:t>
      </w:r>
      <w:r w:rsidRPr="003B043F">
        <w:rPr>
          <w:rFonts w:hint="cs"/>
          <w:rtl/>
        </w:rPr>
        <w:t>דרום, ירושלים ובוועדת האתיקה הארצית, מצורפת אזהרה בדומה לאזהרה שבתשובה הסטטוטורית.</w:t>
      </w:r>
    </w:p>
    <w:p w14:paraId="0C4A4607" w14:textId="77777777" w:rsidR="00387987" w:rsidRDefault="00387987" w:rsidP="00B933BC">
      <w:pPr>
        <w:pStyle w:val="af2"/>
      </w:pPr>
      <w:r>
        <w:rPr>
          <w:rFonts w:hint="cs"/>
          <w:rtl/>
        </w:rPr>
        <w:t xml:space="preserve">יצוין כי </w:t>
      </w:r>
      <w:r w:rsidRPr="0051493C">
        <w:rPr>
          <w:rFonts w:hint="cs"/>
          <w:rtl/>
        </w:rPr>
        <w:t>בדיו</w:t>
      </w:r>
      <w:r>
        <w:rPr>
          <w:rFonts w:hint="cs"/>
          <w:rtl/>
        </w:rPr>
        <w:t xml:space="preserve">נים </w:t>
      </w:r>
      <w:r w:rsidRPr="0051493C">
        <w:rPr>
          <w:rFonts w:hint="cs"/>
          <w:rtl/>
        </w:rPr>
        <w:t xml:space="preserve">של פורום </w:t>
      </w:r>
      <w:r>
        <w:rPr>
          <w:rFonts w:hint="cs"/>
          <w:rtl/>
        </w:rPr>
        <w:t>יושבי ראש</w:t>
      </w:r>
      <w:r w:rsidRPr="0051493C">
        <w:rPr>
          <w:rFonts w:hint="cs"/>
          <w:rtl/>
        </w:rPr>
        <w:t xml:space="preserve"> ועדות האתיקה נדונה </w:t>
      </w:r>
      <w:r>
        <w:rPr>
          <w:rFonts w:hint="cs"/>
          <w:rtl/>
        </w:rPr>
        <w:t>סוגיית בקשת התשובה הסטטוטורית ועלו ההבדלים</w:t>
      </w:r>
      <w:r w:rsidRPr="0051493C">
        <w:rPr>
          <w:rFonts w:hint="cs"/>
          <w:rtl/>
        </w:rPr>
        <w:t xml:space="preserve"> </w:t>
      </w:r>
      <w:r>
        <w:rPr>
          <w:rFonts w:hint="cs"/>
          <w:rtl/>
        </w:rPr>
        <w:t xml:space="preserve">הקיימים בנושא זה </w:t>
      </w:r>
      <w:r w:rsidRPr="0051493C">
        <w:rPr>
          <w:rFonts w:hint="cs"/>
          <w:rtl/>
        </w:rPr>
        <w:t xml:space="preserve">בין </w:t>
      </w:r>
      <w:r>
        <w:rPr>
          <w:rFonts w:hint="cs"/>
          <w:rtl/>
        </w:rPr>
        <w:t>הוועד</w:t>
      </w:r>
      <w:r w:rsidRPr="0051493C">
        <w:rPr>
          <w:rFonts w:hint="cs"/>
          <w:rtl/>
        </w:rPr>
        <w:t xml:space="preserve">ות. בישיבה </w:t>
      </w:r>
      <w:r>
        <w:rPr>
          <w:rFonts w:hint="cs"/>
          <w:rtl/>
        </w:rPr>
        <w:t>ממאי 2018</w:t>
      </w:r>
      <w:r w:rsidRPr="0051493C">
        <w:rPr>
          <w:rFonts w:hint="cs"/>
          <w:rtl/>
        </w:rPr>
        <w:t xml:space="preserve"> ציין יו"ר ועדת האתיקה הארצית כי </w:t>
      </w:r>
      <w:r>
        <w:rPr>
          <w:rFonts w:hint="cs"/>
          <w:rtl/>
        </w:rPr>
        <w:t>ההוראה בנוהל הארצי ל</w:t>
      </w:r>
      <w:r w:rsidRPr="0051493C">
        <w:rPr>
          <w:rFonts w:hint="cs"/>
          <w:rtl/>
        </w:rPr>
        <w:t xml:space="preserve">שלוח </w:t>
      </w:r>
      <w:r>
        <w:rPr>
          <w:rFonts w:hint="cs"/>
          <w:rtl/>
        </w:rPr>
        <w:t>את התלונה</w:t>
      </w:r>
      <w:r w:rsidRPr="0051493C">
        <w:rPr>
          <w:rFonts w:hint="cs"/>
          <w:rtl/>
        </w:rPr>
        <w:t xml:space="preserve"> לתגובה ראשונית </w:t>
      </w:r>
      <w:r>
        <w:rPr>
          <w:rFonts w:hint="cs"/>
          <w:rtl/>
        </w:rPr>
        <w:t>של הנילון</w:t>
      </w:r>
      <w:r w:rsidRPr="0051493C">
        <w:rPr>
          <w:rFonts w:hint="cs"/>
          <w:rtl/>
        </w:rPr>
        <w:t xml:space="preserve"> אינה מגובה בכללי המשמעת ועולה שאלה מכוח מה היא נשלחת. עוד ציין כי הדבר מאריך את משך הטיפול בתלונה.</w:t>
      </w:r>
    </w:p>
    <w:p w14:paraId="2FB385AE" w14:textId="73B5229F" w:rsidR="00387987" w:rsidRPr="00BD1D25" w:rsidRDefault="00B933BC" w:rsidP="00B933BC">
      <w:pPr>
        <w:pStyle w:val="af2"/>
        <w:rPr>
          <w:rtl/>
        </w:rPr>
      </w:pPr>
      <w:r>
        <w:rPr>
          <w:rtl/>
        </w:rPr>
        <w:br w:type="page"/>
      </w:r>
      <w:r w:rsidR="00387987" w:rsidRPr="00BD1D25">
        <w:rPr>
          <w:rFonts w:hint="cs"/>
          <w:rtl/>
        </w:rPr>
        <w:lastRenderedPageBreak/>
        <w:t xml:space="preserve">הלשכה מסרה בתשובתה </w:t>
      </w:r>
      <w:r w:rsidR="00387987">
        <w:rPr>
          <w:rFonts w:hint="cs"/>
          <w:rtl/>
        </w:rPr>
        <w:t xml:space="preserve">כי משלוח הפנייה לתגובה ראשונית נעשה לפנים משורת הדין כדי לתת אפשרות לנילון לשטוח את טענותיו בטרם החליטה הוועדה לראות בפנייה תלונה נגדו. </w:t>
      </w:r>
    </w:p>
    <w:p w14:paraId="748E6C89" w14:textId="77777777" w:rsidR="00387987" w:rsidRPr="00473558" w:rsidRDefault="00387987" w:rsidP="00B933BC">
      <w:pPr>
        <w:pStyle w:val="ac"/>
        <w:rPr>
          <w:rtl/>
        </w:rPr>
      </w:pPr>
      <w:r>
        <w:rPr>
          <w:rFonts w:hint="cs"/>
          <w:rtl/>
        </w:rPr>
        <w:t xml:space="preserve">הנקיטה בהליך של תגובה ראשונית מעלה מספר קשיים, בין אם הנילון מוזהר כי תשובתו עלולה לשמש נגדו במקרה של הגשת קובלנה, בין אם לאו. מעבר לכך שקיים ספק אם אכן ניתן לעשות שימוש באמור בתגובה הראשונית במסגרת ההליך, שהרי לכך נועדה התשובה הסטטוטורית, לא ברור מה ההבדל בין התגובה הראשונית לתשובה סטטוטורית במצב שבו התגובה הראשונית כוללת אזהרה ולא ברור לנילון מדוע עליו להגיש שתי תגובות. זאת מעבר לכך שהגשת תגובה ראשונית מאריכה את משך הטיפול בתלונה. </w:t>
      </w:r>
      <w:r w:rsidRPr="0051493C">
        <w:rPr>
          <w:rFonts w:hint="cs"/>
          <w:rtl/>
        </w:rPr>
        <w:t>על ועדות האתיקה לבחון במשותף את שתי האפשרויות</w:t>
      </w:r>
      <w:r>
        <w:rPr>
          <w:rFonts w:hint="cs"/>
          <w:rtl/>
        </w:rPr>
        <w:t xml:space="preserve"> ולפעול </w:t>
      </w:r>
      <w:r w:rsidRPr="0051493C">
        <w:rPr>
          <w:rFonts w:hint="cs"/>
          <w:rtl/>
        </w:rPr>
        <w:t>לשינוי ו</w:t>
      </w:r>
      <w:r>
        <w:rPr>
          <w:rFonts w:hint="cs"/>
          <w:rtl/>
        </w:rPr>
        <w:t>ל</w:t>
      </w:r>
      <w:r w:rsidRPr="0051493C">
        <w:rPr>
          <w:rFonts w:hint="cs"/>
          <w:rtl/>
        </w:rPr>
        <w:t>האחדת הכללים והנוהל</w:t>
      </w:r>
      <w:r>
        <w:rPr>
          <w:rFonts w:hint="cs"/>
          <w:rtl/>
        </w:rPr>
        <w:t xml:space="preserve"> לפי הצורך</w:t>
      </w:r>
      <w:r w:rsidRPr="0051493C">
        <w:rPr>
          <w:rFonts w:hint="cs"/>
          <w:rtl/>
        </w:rPr>
        <w:t>.</w:t>
      </w:r>
      <w:r>
        <w:rPr>
          <w:rFonts w:hint="cs"/>
          <w:rtl/>
        </w:rPr>
        <w:t xml:space="preserve"> </w:t>
      </w:r>
    </w:p>
    <w:p w14:paraId="5CA6CEF1" w14:textId="77777777" w:rsidR="00387987" w:rsidRPr="000B0325" w:rsidRDefault="00387987" w:rsidP="00B933BC">
      <w:pPr>
        <w:pStyle w:val="a1"/>
        <w:rPr>
          <w:rtl/>
        </w:rPr>
      </w:pPr>
      <w:r w:rsidRPr="000B0325">
        <w:rPr>
          <w:rFonts w:hint="cs"/>
          <w:rtl/>
        </w:rPr>
        <w:t>על פי הנוהל הארצי, החלטה על גניזת תלונה על הסף תתקבל בהסכמ</w:t>
      </w:r>
      <w:r>
        <w:rPr>
          <w:rFonts w:hint="cs"/>
          <w:rtl/>
        </w:rPr>
        <w:t>ת</w:t>
      </w:r>
      <w:r w:rsidRPr="000B0325">
        <w:rPr>
          <w:rFonts w:hint="cs"/>
          <w:rtl/>
        </w:rPr>
        <w:t xml:space="preserve"> יו"ר הוועדה וממלא מקומו, ותימסר על</w:t>
      </w:r>
      <w:r>
        <w:rPr>
          <w:rFonts w:hint="cs"/>
          <w:rtl/>
        </w:rPr>
        <w:t>יה</w:t>
      </w:r>
      <w:r w:rsidRPr="000B0325">
        <w:rPr>
          <w:rFonts w:hint="cs"/>
          <w:rtl/>
        </w:rPr>
        <w:t xml:space="preserve"> הודעה למליאת הוועדה על מנת שתינתן הזדמנות למעוניין בכך לקיים דיון בנושא.</w:t>
      </w:r>
    </w:p>
    <w:p w14:paraId="57470AE1" w14:textId="77777777" w:rsidR="00387987" w:rsidRPr="00473558" w:rsidRDefault="00387987" w:rsidP="00B933BC">
      <w:pPr>
        <w:pStyle w:val="ac"/>
      </w:pPr>
      <w:r>
        <w:rPr>
          <w:rFonts w:hint="cs"/>
          <w:rtl/>
        </w:rPr>
        <w:t xml:space="preserve">נמצא </w:t>
      </w:r>
      <w:r w:rsidRPr="008167DF">
        <w:rPr>
          <w:rtl/>
        </w:rPr>
        <w:t xml:space="preserve">כי </w:t>
      </w:r>
      <w:r>
        <w:rPr>
          <w:rFonts w:hint="cs"/>
          <w:rtl/>
        </w:rPr>
        <w:t xml:space="preserve">בוועדות האתיקה מובאת </w:t>
      </w:r>
      <w:r w:rsidRPr="008167DF">
        <w:rPr>
          <w:rtl/>
        </w:rPr>
        <w:t xml:space="preserve">החלטה לגנוז תלונה </w:t>
      </w:r>
      <w:r w:rsidRPr="008167DF">
        <w:rPr>
          <w:rFonts w:hint="eastAsia"/>
          <w:rtl/>
        </w:rPr>
        <w:t>על</w:t>
      </w:r>
      <w:r w:rsidRPr="008167DF">
        <w:rPr>
          <w:rtl/>
        </w:rPr>
        <w:t xml:space="preserve"> </w:t>
      </w:r>
      <w:r w:rsidRPr="008167DF">
        <w:rPr>
          <w:rFonts w:hint="eastAsia"/>
          <w:rtl/>
        </w:rPr>
        <w:t>הסף</w:t>
      </w:r>
      <w:r w:rsidRPr="008167DF">
        <w:rPr>
          <w:rtl/>
        </w:rPr>
        <w:t xml:space="preserve"> </w:t>
      </w:r>
      <w:r w:rsidRPr="008167DF">
        <w:rPr>
          <w:rFonts w:hint="eastAsia"/>
          <w:rtl/>
        </w:rPr>
        <w:t>להכרעת</w:t>
      </w:r>
      <w:r w:rsidRPr="008167DF">
        <w:rPr>
          <w:rtl/>
        </w:rPr>
        <w:t xml:space="preserve"> </w:t>
      </w:r>
      <w:r w:rsidRPr="008167DF">
        <w:rPr>
          <w:rFonts w:hint="eastAsia"/>
          <w:rtl/>
        </w:rPr>
        <w:t>מליאת</w:t>
      </w:r>
      <w:r w:rsidRPr="008167DF">
        <w:rPr>
          <w:rtl/>
        </w:rPr>
        <w:t xml:space="preserve"> </w:t>
      </w:r>
      <w:r w:rsidRPr="008167DF">
        <w:rPr>
          <w:rFonts w:hint="eastAsia"/>
          <w:rtl/>
        </w:rPr>
        <w:t>הוועד</w:t>
      </w:r>
      <w:r>
        <w:rPr>
          <w:rFonts w:hint="cs"/>
          <w:rtl/>
        </w:rPr>
        <w:t>ות,</w:t>
      </w:r>
      <w:r w:rsidRPr="008167DF">
        <w:rPr>
          <w:rtl/>
        </w:rPr>
        <w:t xml:space="preserve"> </w:t>
      </w:r>
      <w:r>
        <w:rPr>
          <w:rFonts w:hint="cs"/>
          <w:rtl/>
        </w:rPr>
        <w:t>למעט</w:t>
      </w:r>
      <w:r w:rsidRPr="008167DF">
        <w:rPr>
          <w:rtl/>
        </w:rPr>
        <w:t xml:space="preserve"> </w:t>
      </w:r>
      <w:r>
        <w:rPr>
          <w:rFonts w:hint="cs"/>
          <w:rtl/>
        </w:rPr>
        <w:t>ב</w:t>
      </w:r>
      <w:r w:rsidRPr="008167DF">
        <w:rPr>
          <w:rFonts w:hint="eastAsia"/>
          <w:rtl/>
        </w:rPr>
        <w:t>מחוז</w:t>
      </w:r>
      <w:r w:rsidRPr="008167DF">
        <w:rPr>
          <w:rtl/>
        </w:rPr>
        <w:t xml:space="preserve"> </w:t>
      </w:r>
      <w:r w:rsidRPr="008167DF">
        <w:rPr>
          <w:rFonts w:hint="eastAsia"/>
          <w:rtl/>
        </w:rPr>
        <w:t>תל</w:t>
      </w:r>
      <w:r w:rsidRPr="008167DF">
        <w:rPr>
          <w:rtl/>
        </w:rPr>
        <w:t xml:space="preserve"> </w:t>
      </w:r>
      <w:r w:rsidRPr="008167DF">
        <w:rPr>
          <w:rFonts w:hint="eastAsia"/>
          <w:rtl/>
        </w:rPr>
        <w:t>אביב</w:t>
      </w:r>
      <w:r w:rsidRPr="008167DF">
        <w:rPr>
          <w:rtl/>
        </w:rPr>
        <w:t xml:space="preserve"> </w:t>
      </w:r>
      <w:r>
        <w:rPr>
          <w:rFonts w:hint="cs"/>
          <w:rtl/>
        </w:rPr>
        <w:t xml:space="preserve">שבו </w:t>
      </w:r>
      <w:r w:rsidRPr="008167DF">
        <w:rPr>
          <w:rFonts w:hint="eastAsia"/>
          <w:rtl/>
        </w:rPr>
        <w:t>ההכרעה</w:t>
      </w:r>
      <w:r w:rsidRPr="008167DF">
        <w:rPr>
          <w:rtl/>
        </w:rPr>
        <w:t xml:space="preserve"> </w:t>
      </w:r>
      <w:r w:rsidRPr="008167DF">
        <w:rPr>
          <w:rFonts w:hint="eastAsia"/>
          <w:rtl/>
        </w:rPr>
        <w:t>מתקבלת</w:t>
      </w:r>
      <w:r w:rsidRPr="008167DF">
        <w:rPr>
          <w:rtl/>
        </w:rPr>
        <w:t xml:space="preserve"> </w:t>
      </w:r>
      <w:r w:rsidRPr="008167DF">
        <w:rPr>
          <w:rFonts w:hint="eastAsia"/>
          <w:rtl/>
        </w:rPr>
        <w:t>על</w:t>
      </w:r>
      <w:r w:rsidRPr="008167DF">
        <w:rPr>
          <w:rtl/>
        </w:rPr>
        <w:t xml:space="preserve"> </w:t>
      </w:r>
      <w:r w:rsidRPr="008167DF">
        <w:rPr>
          <w:rFonts w:hint="eastAsia"/>
          <w:rtl/>
        </w:rPr>
        <w:t>ידי</w:t>
      </w:r>
      <w:r w:rsidRPr="008167DF">
        <w:rPr>
          <w:rtl/>
        </w:rPr>
        <w:t xml:space="preserve"> </w:t>
      </w:r>
      <w:r w:rsidRPr="008167DF">
        <w:rPr>
          <w:rFonts w:hint="eastAsia"/>
          <w:rtl/>
        </w:rPr>
        <w:t>פרקליט</w:t>
      </w:r>
      <w:r w:rsidRPr="008167DF">
        <w:rPr>
          <w:rtl/>
        </w:rPr>
        <w:t xml:space="preserve"> </w:t>
      </w:r>
      <w:r>
        <w:rPr>
          <w:rFonts w:hint="cs"/>
          <w:rtl/>
        </w:rPr>
        <w:t>הוועדה המיידע את יו"ר הוועדה על מנת שיוכל להביא הסוגיה לדיון במליאה אם ירצה בכך</w:t>
      </w:r>
      <w:r w:rsidRPr="008167DF">
        <w:rPr>
          <w:rtl/>
        </w:rPr>
        <w:t>.</w:t>
      </w:r>
      <w:r>
        <w:rPr>
          <w:rFonts w:hint="cs"/>
          <w:rtl/>
        </w:rPr>
        <w:t xml:space="preserve"> </w:t>
      </w:r>
    </w:p>
    <w:p w14:paraId="54F2F878" w14:textId="77777777" w:rsidR="00387987" w:rsidRPr="002B1230" w:rsidRDefault="00387987" w:rsidP="00B933BC">
      <w:pPr>
        <w:pStyle w:val="a1"/>
      </w:pPr>
      <w:r>
        <w:rPr>
          <w:rFonts w:hint="cs"/>
          <w:rtl/>
        </w:rPr>
        <w:t xml:space="preserve">בשנת </w:t>
      </w:r>
      <w:r w:rsidRPr="006D23F2">
        <w:rPr>
          <w:rtl/>
        </w:rPr>
        <w:t>1995</w:t>
      </w:r>
      <w:r>
        <w:rPr>
          <w:rFonts w:hint="cs"/>
          <w:rtl/>
        </w:rPr>
        <w:t xml:space="preserve"> הוקמה ועדה </w:t>
      </w:r>
      <w:r w:rsidRPr="006D23F2">
        <w:rPr>
          <w:rtl/>
        </w:rPr>
        <w:t>בראשות השופט (בדימוס) שאול אלוני</w:t>
      </w:r>
      <w:r>
        <w:rPr>
          <w:rStyle w:val="FootnoteReference"/>
          <w:rtl/>
        </w:rPr>
        <w:footnoteReference w:id="30"/>
      </w:r>
      <w:r w:rsidRPr="006D23F2">
        <w:rPr>
          <w:rtl/>
        </w:rPr>
        <w:t>, לשם בחינת הדין המשמעתי בלשכה.</w:t>
      </w:r>
      <w:r>
        <w:rPr>
          <w:rFonts w:hint="cs"/>
          <w:rtl/>
        </w:rPr>
        <w:t xml:space="preserve"> </w:t>
      </w:r>
      <w:r w:rsidRPr="006D23F2">
        <w:rPr>
          <w:rtl/>
        </w:rPr>
        <w:t xml:space="preserve">עיקר מסקנות הוועדה נועד להפוך את מערכת האתיקה והדין המשמעתי לבלתי תלויים ומנותקים לחלוטין מהדרג הנבחר. </w:t>
      </w:r>
      <w:r>
        <w:rPr>
          <w:rFonts w:hint="cs"/>
          <w:rtl/>
        </w:rPr>
        <w:t>בעקבות מסקנות הוועדה הוסף בתיקון 32 לחוק</w:t>
      </w:r>
      <w:r>
        <w:rPr>
          <w:rStyle w:val="FootnoteReference"/>
          <w:rtl/>
        </w:rPr>
        <w:footnoteReference w:id="31"/>
      </w:r>
      <w:r>
        <w:rPr>
          <w:rFonts w:hint="cs"/>
          <w:rtl/>
        </w:rPr>
        <w:t xml:space="preserve"> תפקיד פרקליט ועדת האתיקה. </w:t>
      </w:r>
      <w:r w:rsidRPr="002B1230">
        <w:rPr>
          <w:rFonts w:hint="cs"/>
          <w:rtl/>
        </w:rPr>
        <w:t>בהתאם לחוק, תפקידו של פרקליט ועדת האתיקה להמליץ לוועדת האתיקה כיצד לפעול בקשר לתלונות המוגשות לה</w:t>
      </w:r>
      <w:r>
        <w:rPr>
          <w:rFonts w:hint="cs"/>
          <w:rtl/>
        </w:rPr>
        <w:t>.</w:t>
      </w:r>
    </w:p>
    <w:p w14:paraId="2704B364" w14:textId="77777777" w:rsidR="00387987" w:rsidRPr="002B1230" w:rsidRDefault="00387987" w:rsidP="00B933BC">
      <w:pPr>
        <w:pStyle w:val="ac"/>
        <w:rPr>
          <w:rtl/>
        </w:rPr>
      </w:pPr>
      <w:r w:rsidRPr="002B1230">
        <w:rPr>
          <w:rFonts w:hint="cs"/>
          <w:rtl/>
        </w:rPr>
        <w:t xml:space="preserve">בביקורת נמצא כי בכל המחוזות, למעט מחוז תל אביב, חברי ועדת האתיקה הם הממליצים לוועדה כיצד לפעול בנוגע לתלונות. נוהג זה מעוגן גם בנוהל הארצי. לעומת זאת, במחוז תל אביב פרקליטת הוועדה היא הממליצה לוועדה. </w:t>
      </w:r>
    </w:p>
    <w:p w14:paraId="3C2D9EEB" w14:textId="77777777" w:rsidR="00387987" w:rsidRPr="002B1230" w:rsidRDefault="00387987" w:rsidP="00B933BC">
      <w:pPr>
        <w:pStyle w:val="af2"/>
        <w:rPr>
          <w:rtl/>
        </w:rPr>
      </w:pPr>
      <w:r w:rsidRPr="002B1230">
        <w:rPr>
          <w:rFonts w:hint="cs"/>
          <w:rtl/>
        </w:rPr>
        <w:t>הלשכה מסרה בתשובתה כי אינה מוצאת פסול במתן המלצות על ידי חברי ועדת האתיקה עצמה</w:t>
      </w:r>
      <w:r>
        <w:rPr>
          <w:rFonts w:hint="cs"/>
          <w:rtl/>
        </w:rPr>
        <w:t>,</w:t>
      </w:r>
      <w:r w:rsidRPr="002B1230">
        <w:rPr>
          <w:rFonts w:hint="cs"/>
          <w:rtl/>
        </w:rPr>
        <w:t xml:space="preserve"> שכן החוק מסמיך את פרקליט האתיקה להסתייע </w:t>
      </w:r>
      <w:r w:rsidRPr="002B1230">
        <w:rPr>
          <w:rtl/>
        </w:rPr>
        <w:t>לצורך מילוי תפקידו בחבר הלשכה, בין אם הוא עובד הלשכה ובין אם לאו.</w:t>
      </w:r>
      <w:r w:rsidRPr="002B1230">
        <w:rPr>
          <w:rFonts w:hint="cs"/>
          <w:rtl/>
        </w:rPr>
        <w:t xml:space="preserve"> לנוהג זה יתרונות נוספים שכן הוא תורם להתמקצעות של חברי הוועדה וקיצור לוחות הזמנים לטיפול בתלונות.</w:t>
      </w:r>
    </w:p>
    <w:p w14:paraId="6A6EC7FB" w14:textId="77777777" w:rsidR="00387987" w:rsidRDefault="00387987" w:rsidP="00B933BC">
      <w:pPr>
        <w:pStyle w:val="ac"/>
        <w:rPr>
          <w:rtl/>
        </w:rPr>
      </w:pPr>
      <w:r w:rsidRPr="008830C1">
        <w:rPr>
          <w:rtl/>
        </w:rPr>
        <w:lastRenderedPageBreak/>
        <w:t>הגם שהחוק לא שולל מתן המלצות ע"י חברי ועדת האתיקה, יש יתרונות ביצירת הפרדה בין הגורם הממליץ לגורם המכריע, אשר ראויים לבחינה.</w:t>
      </w:r>
      <w:r w:rsidRPr="00554D0D">
        <w:rPr>
          <w:rFonts w:hint="cs"/>
          <w:rtl/>
        </w:rPr>
        <w:t xml:space="preserve"> </w:t>
      </w:r>
      <w:r w:rsidRPr="008830C1">
        <w:rPr>
          <w:rtl/>
        </w:rPr>
        <w:t>ראוי כי ועדות האתיקה יבחנו במשותף את הסוגיה ויקבעו כללים שיחולו בכל הוועדות.</w:t>
      </w:r>
    </w:p>
    <w:p w14:paraId="509B47B1" w14:textId="77777777" w:rsidR="00387987" w:rsidRDefault="00387987" w:rsidP="00AF72F9">
      <w:pPr>
        <w:pStyle w:val="a1"/>
      </w:pPr>
      <w:r>
        <w:rPr>
          <w:rFonts w:hint="cs"/>
          <w:rtl/>
        </w:rPr>
        <w:t>כללי לשכת עורכי הדין (המספר הכולל של חברי ועדת אתיקה), התש"ע-2009, קובעים כי המניין החוקי להצבעה בישיבת ועדת האתיקה הוא שליש מחברי הוועדה או ארבעה חברים, הגבוה מביניהם.</w:t>
      </w:r>
    </w:p>
    <w:p w14:paraId="36C7D7D2" w14:textId="77777777" w:rsidR="00387987" w:rsidRDefault="00387987" w:rsidP="00AF72F9">
      <w:pPr>
        <w:pStyle w:val="af2"/>
      </w:pPr>
      <w:r>
        <w:rPr>
          <w:rFonts w:hint="cs"/>
          <w:rtl/>
        </w:rPr>
        <w:t>מאז שנת 2008 קיימים בו</w:t>
      </w:r>
      <w:r w:rsidRPr="00711739">
        <w:rPr>
          <w:rtl/>
        </w:rPr>
        <w:t xml:space="preserve">ועדת האתיקה </w:t>
      </w:r>
      <w:r>
        <w:rPr>
          <w:rFonts w:hint="cs"/>
          <w:rtl/>
        </w:rPr>
        <w:t xml:space="preserve">במחוז חיפה </w:t>
      </w:r>
      <w:r>
        <w:rPr>
          <w:rtl/>
        </w:rPr>
        <w:t>צוותים מתוך חברי הוועדה,</w:t>
      </w:r>
      <w:r>
        <w:rPr>
          <w:rFonts w:hint="cs"/>
          <w:rtl/>
        </w:rPr>
        <w:t xml:space="preserve"> המורכבים משלושה חברי ועדה לפחות.</w:t>
      </w:r>
      <w:r>
        <w:rPr>
          <w:rtl/>
        </w:rPr>
        <w:t xml:space="preserve"> </w:t>
      </w:r>
      <w:r>
        <w:rPr>
          <w:rFonts w:hint="cs"/>
          <w:rtl/>
        </w:rPr>
        <w:t xml:space="preserve">במועד הביקורת היו בוועדת האתיקה במחוז חיפה 16 חברים. </w:t>
      </w:r>
      <w:r>
        <w:rPr>
          <w:rtl/>
        </w:rPr>
        <w:t xml:space="preserve">לכל </w:t>
      </w:r>
      <w:r>
        <w:rPr>
          <w:rFonts w:hint="cs"/>
          <w:rtl/>
        </w:rPr>
        <w:t>צוות</w:t>
      </w:r>
      <w:r>
        <w:rPr>
          <w:rtl/>
        </w:rPr>
        <w:t xml:space="preserve"> </w:t>
      </w:r>
      <w:r>
        <w:rPr>
          <w:rFonts w:hint="cs"/>
          <w:rtl/>
        </w:rPr>
        <w:t>יש</w:t>
      </w:r>
      <w:r>
        <w:rPr>
          <w:rtl/>
        </w:rPr>
        <w:t xml:space="preserve"> מלוא הסמכויות הנתונות לוועדת האתיקה</w:t>
      </w:r>
      <w:r w:rsidRPr="00711739">
        <w:rPr>
          <w:rtl/>
        </w:rPr>
        <w:t xml:space="preserve"> </w:t>
      </w:r>
      <w:r>
        <w:rPr>
          <w:rFonts w:hint="cs"/>
          <w:rtl/>
        </w:rPr>
        <w:t>-</w:t>
      </w:r>
      <w:r>
        <w:rPr>
          <w:rtl/>
        </w:rPr>
        <w:t xml:space="preserve"> להחליט על גניזה</w:t>
      </w:r>
      <w:r>
        <w:rPr>
          <w:rFonts w:hint="cs"/>
          <w:rtl/>
        </w:rPr>
        <w:t xml:space="preserve">, </w:t>
      </w:r>
      <w:r>
        <w:rPr>
          <w:rtl/>
        </w:rPr>
        <w:t>הגשת קובלנה</w:t>
      </w:r>
      <w:r>
        <w:rPr>
          <w:rFonts w:hint="cs"/>
          <w:rtl/>
        </w:rPr>
        <w:t xml:space="preserve"> או </w:t>
      </w:r>
      <w:r w:rsidRPr="00041C5D">
        <w:rPr>
          <w:rtl/>
        </w:rPr>
        <w:t xml:space="preserve">כל החלטה אחרת הדרושה לבירור התלונה ולקבלת החלטה </w:t>
      </w:r>
      <w:r>
        <w:rPr>
          <w:rFonts w:hint="cs"/>
          <w:rtl/>
        </w:rPr>
        <w:t>בעניינה</w:t>
      </w:r>
      <w:r w:rsidRPr="00041C5D">
        <w:rPr>
          <w:rtl/>
        </w:rPr>
        <w:t xml:space="preserve"> </w:t>
      </w:r>
      <w:r>
        <w:rPr>
          <w:rFonts w:hint="cs"/>
          <w:rtl/>
        </w:rPr>
        <w:t>(</w:t>
      </w:r>
      <w:r>
        <w:rPr>
          <w:rtl/>
        </w:rPr>
        <w:t>למעט נושאים עקרוניים</w:t>
      </w:r>
      <w:r>
        <w:rPr>
          <w:rFonts w:hint="cs"/>
          <w:rtl/>
        </w:rPr>
        <w:t xml:space="preserve"> או </w:t>
      </w:r>
      <w:r w:rsidRPr="00711739">
        <w:rPr>
          <w:rtl/>
        </w:rPr>
        <w:t>כאשר יש מחלוקות בין חברי הצוות שהוקם</w:t>
      </w:r>
      <w:r>
        <w:rPr>
          <w:rFonts w:hint="cs"/>
          <w:rtl/>
        </w:rPr>
        <w:t xml:space="preserve">). </w:t>
      </w:r>
    </w:p>
    <w:p w14:paraId="0250EFCE" w14:textId="77777777" w:rsidR="00387987" w:rsidRDefault="00387987" w:rsidP="00AF72F9">
      <w:pPr>
        <w:pStyle w:val="ac"/>
        <w:rPr>
          <w:rtl/>
        </w:rPr>
      </w:pPr>
      <w:r>
        <w:rPr>
          <w:rFonts w:hint="cs"/>
          <w:rtl/>
        </w:rPr>
        <w:t>נוהג זה,</w:t>
      </w:r>
      <w:r w:rsidRPr="005C38DF">
        <w:rPr>
          <w:rtl/>
        </w:rPr>
        <w:t xml:space="preserve"> </w:t>
      </w:r>
      <w:r>
        <w:rPr>
          <w:rFonts w:hint="cs"/>
          <w:rtl/>
        </w:rPr>
        <w:t>ש</w:t>
      </w:r>
      <w:r w:rsidRPr="005C38DF">
        <w:rPr>
          <w:rFonts w:hint="eastAsia"/>
          <w:rtl/>
        </w:rPr>
        <w:t>אינ</w:t>
      </w:r>
      <w:r>
        <w:rPr>
          <w:rFonts w:hint="cs"/>
          <w:rtl/>
        </w:rPr>
        <w:t>ו</w:t>
      </w:r>
      <w:r w:rsidRPr="005C38DF">
        <w:rPr>
          <w:rtl/>
        </w:rPr>
        <w:t xml:space="preserve"> </w:t>
      </w:r>
      <w:r>
        <w:rPr>
          <w:rFonts w:hint="cs"/>
          <w:rtl/>
        </w:rPr>
        <w:t>מקובל</w:t>
      </w:r>
      <w:r w:rsidRPr="005C38DF">
        <w:rPr>
          <w:rtl/>
        </w:rPr>
        <w:t xml:space="preserve"> </w:t>
      </w:r>
      <w:r w:rsidRPr="005C38DF">
        <w:rPr>
          <w:rFonts w:hint="eastAsia"/>
          <w:rtl/>
        </w:rPr>
        <w:t>במחוזות</w:t>
      </w:r>
      <w:r w:rsidRPr="005C38DF">
        <w:rPr>
          <w:rtl/>
        </w:rPr>
        <w:t xml:space="preserve"> </w:t>
      </w:r>
      <w:r w:rsidRPr="005C38DF">
        <w:rPr>
          <w:rFonts w:hint="eastAsia"/>
          <w:rtl/>
        </w:rPr>
        <w:t>הלשכה</w:t>
      </w:r>
      <w:r w:rsidRPr="005C38DF">
        <w:rPr>
          <w:rtl/>
        </w:rPr>
        <w:t xml:space="preserve"> </w:t>
      </w:r>
      <w:r w:rsidRPr="005C38DF">
        <w:rPr>
          <w:rFonts w:hint="eastAsia"/>
          <w:rtl/>
        </w:rPr>
        <w:t>האחרים</w:t>
      </w:r>
      <w:r>
        <w:rPr>
          <w:rFonts w:hint="cs"/>
          <w:rtl/>
        </w:rPr>
        <w:t>, אינו מתיישב עם לשון הכללים האמורים.</w:t>
      </w:r>
      <w:r w:rsidRPr="005C38DF">
        <w:rPr>
          <w:rtl/>
        </w:rPr>
        <w:t xml:space="preserve"> </w:t>
      </w:r>
    </w:p>
    <w:p w14:paraId="53F0C73D" w14:textId="77777777" w:rsidR="00387987" w:rsidRDefault="00387987" w:rsidP="00AF72F9">
      <w:pPr>
        <w:pStyle w:val="af2"/>
        <w:rPr>
          <w:rtl/>
        </w:rPr>
      </w:pPr>
      <w:r>
        <w:rPr>
          <w:rFonts w:hint="cs"/>
          <w:rtl/>
        </w:rPr>
        <w:t>מחוז חיפה מסר בתשובתו כי אינו רואה פסול בעבודה בצוותים והיא מייעלת את הטיפול בתיקים. כמו כן, כל החלטה שמתקבלת על ידי הצוותים מעוכבת למשך שבעה ימים שבהם יש אפשרות לכלל חברי ועדת האתיקה לעיין בתיקים ולבקש לדון בהם בהרכב מלא של הוועדה. אם לא התקבלו הסתייגויות, ההחלטה מופצת ביום השמיני. מכל מקום סוגיית העבודה בצוותים תיבחן שוב על ידי הוועדה.</w:t>
      </w:r>
    </w:p>
    <w:p w14:paraId="6DB37EAF" w14:textId="77777777" w:rsidR="00387987" w:rsidRPr="00436D17" w:rsidRDefault="00387987" w:rsidP="00BA71ED">
      <w:pPr>
        <w:pStyle w:val="a3"/>
        <w:ind w:left="397" w:hanging="397"/>
        <w:rPr>
          <w:rtl/>
        </w:rPr>
      </w:pPr>
      <w:r>
        <w:rPr>
          <w:rFonts w:hint="cs"/>
          <w:rtl/>
        </w:rPr>
        <w:t>ביוני 2019 פרסמה ועדת האתיקה של מחוז תל אביב נהלים חדשים בכמה נושאים</w:t>
      </w:r>
      <w:r>
        <w:rPr>
          <w:rStyle w:val="FootnoteReference"/>
          <w:b/>
          <w:bCs/>
          <w:rtl/>
        </w:rPr>
        <w:footnoteReference w:id="32"/>
      </w:r>
      <w:r>
        <w:rPr>
          <w:rFonts w:hint="cs"/>
          <w:rtl/>
        </w:rPr>
        <w:t xml:space="preserve"> </w:t>
      </w:r>
      <w:r w:rsidRPr="002846C3">
        <w:rPr>
          <w:rtl/>
        </w:rPr>
        <w:t>ש</w:t>
      </w:r>
      <w:r>
        <w:rPr>
          <w:rFonts w:hint="cs"/>
          <w:rtl/>
        </w:rPr>
        <w:t xml:space="preserve">חלק מהוראותיהם </w:t>
      </w:r>
      <w:r w:rsidRPr="002846C3">
        <w:rPr>
          <w:rtl/>
        </w:rPr>
        <w:t>אינו תואם באופן מלא את הנוהל הארצי</w:t>
      </w:r>
      <w:r>
        <w:rPr>
          <w:rFonts w:hint="cs"/>
          <w:rtl/>
        </w:rPr>
        <w:t>, למשל בעניין תשובה סטטוטורית.</w:t>
      </w:r>
    </w:p>
    <w:p w14:paraId="72196F85" w14:textId="77777777" w:rsidR="00387987" w:rsidRDefault="00387987" w:rsidP="009B75F0">
      <w:pPr>
        <w:pStyle w:val="af3"/>
        <w:rPr>
          <w:rtl/>
        </w:rPr>
      </w:pPr>
      <w:r>
        <w:rPr>
          <w:rFonts w:hint="cs"/>
          <w:rtl/>
        </w:rPr>
        <w:t>עולה אפוא כי קיימים פערים בין האמור בכללי המשמעת לבין הקבוע בנוהל הארצי וכן בין הקבוע בנוהל הארצי לבין אופן פעילות ועדות האתיקה. נוסף על כך יש חוסר אחידות בפעילות ועדות האתיקה השונות בסדרי הטיפול בענייני משמעת, אשר בחלק מהמקרים חורגים מההיבט הפרוצדורלי ועלולים להשפיע על זכויות המתלונן והנילון בהליך. יוער</w:t>
      </w:r>
      <w:r w:rsidRPr="0005680A">
        <w:rPr>
          <w:rFonts w:hint="cs"/>
          <w:rtl/>
        </w:rPr>
        <w:t xml:space="preserve"> כי </w:t>
      </w:r>
      <w:r>
        <w:rPr>
          <w:rFonts w:hint="cs"/>
          <w:rtl/>
        </w:rPr>
        <w:t xml:space="preserve">ככלל, </w:t>
      </w:r>
      <w:r w:rsidRPr="0005680A">
        <w:rPr>
          <w:rFonts w:hint="cs"/>
          <w:rtl/>
        </w:rPr>
        <w:t xml:space="preserve">אין </w:t>
      </w:r>
      <w:r>
        <w:rPr>
          <w:rFonts w:hint="cs"/>
          <w:rtl/>
        </w:rPr>
        <w:t>מקום להבדלים בטיפול בתלונות בין המחוזות, בפרט בהיבטים המוסדרים בכללים ובנוהל הארצי.</w:t>
      </w:r>
      <w:r w:rsidRPr="0005680A">
        <w:rPr>
          <w:rFonts w:hint="cs"/>
          <w:rtl/>
        </w:rPr>
        <w:t xml:space="preserve"> </w:t>
      </w:r>
    </w:p>
    <w:p w14:paraId="0382293E" w14:textId="77777777" w:rsidR="00387987" w:rsidRPr="004551CB" w:rsidRDefault="00387987" w:rsidP="009B75F0">
      <w:pPr>
        <w:pStyle w:val="100"/>
        <w:rPr>
          <w:rtl/>
        </w:rPr>
      </w:pPr>
      <w:r>
        <w:rPr>
          <w:rFonts w:hint="cs"/>
          <w:rtl/>
        </w:rPr>
        <w:t xml:space="preserve">ועדת האתיקה הארצית וועדות האתיקה המחוזיות הן חלק ממוסדות הלשכה. בהתאם לחוק, </w:t>
      </w:r>
      <w:r w:rsidRPr="00394836">
        <w:rPr>
          <w:rtl/>
        </w:rPr>
        <w:t xml:space="preserve">מוסדות הלשכה יקבעו את סדרי עבודתם ודיוניהם </w:t>
      </w:r>
      <w:r>
        <w:rPr>
          <w:rFonts w:hint="cs"/>
          <w:rtl/>
        </w:rPr>
        <w:t xml:space="preserve">אם אלו </w:t>
      </w:r>
      <w:r w:rsidRPr="00394836">
        <w:rPr>
          <w:rtl/>
        </w:rPr>
        <w:t>לא נקבעו בחוק, בתקנות או בכללים.</w:t>
      </w:r>
      <w:r>
        <w:rPr>
          <w:rFonts w:hint="cs"/>
          <w:rtl/>
        </w:rPr>
        <w:t xml:space="preserve"> עם זאת קובע החוק כי </w:t>
      </w:r>
      <w:r>
        <w:rPr>
          <w:rtl/>
        </w:rPr>
        <w:t xml:space="preserve">ועדת אתיקה מחוזית לא תפעל בסתירה להחלטת ועדת האתיקה </w:t>
      </w:r>
      <w:r>
        <w:rPr>
          <w:rtl/>
        </w:rPr>
        <w:lastRenderedPageBreak/>
        <w:t xml:space="preserve">הארצית. </w:t>
      </w:r>
      <w:r>
        <w:rPr>
          <w:rFonts w:hint="cs"/>
          <w:rtl/>
        </w:rPr>
        <w:t>מ</w:t>
      </w:r>
      <w:r>
        <w:rPr>
          <w:rtl/>
        </w:rPr>
        <w:t>דברי ההס</w:t>
      </w:r>
      <w:r>
        <w:rPr>
          <w:rFonts w:hint="cs"/>
          <w:rtl/>
        </w:rPr>
        <w:t>ב</w:t>
      </w:r>
      <w:r>
        <w:rPr>
          <w:rtl/>
        </w:rPr>
        <w:t>ר</w:t>
      </w:r>
      <w:r>
        <w:rPr>
          <w:rFonts w:hint="cs"/>
          <w:rtl/>
        </w:rPr>
        <w:t xml:space="preserve"> לסעיף זה של החוק</w:t>
      </w:r>
      <w:r>
        <w:rPr>
          <w:rStyle w:val="FootnoteReference"/>
          <w:rtl/>
        </w:rPr>
        <w:footnoteReference w:id="33"/>
      </w:r>
      <w:r>
        <w:rPr>
          <w:rFonts w:hint="cs"/>
          <w:rtl/>
        </w:rPr>
        <w:t>, שחוקק בשנת 2008, עולה שאחת ממטרותיו</w:t>
      </w:r>
      <w:r>
        <w:rPr>
          <w:rtl/>
        </w:rPr>
        <w:t xml:space="preserve"> היא "לחזק את האחידות בין חוות הדעת של ועדות האתיקה השונות ואת היחסים ההיררכיים בין ועדות האתיקה המחוזיות לבין ועדת האתיקה הארצית".</w:t>
      </w:r>
      <w:r>
        <w:rPr>
          <w:rFonts w:hint="cs"/>
          <w:rtl/>
        </w:rPr>
        <w:t xml:space="preserve"> </w:t>
      </w:r>
      <w:r w:rsidRPr="002846C3">
        <w:rPr>
          <w:rtl/>
        </w:rPr>
        <w:t xml:space="preserve">כמו כן, </w:t>
      </w:r>
      <w:r>
        <w:rPr>
          <w:rFonts w:hint="cs"/>
          <w:rtl/>
        </w:rPr>
        <w:t>בהתאם לנוהל ועדת האתיקה הארצית</w:t>
      </w:r>
      <w:r>
        <w:rPr>
          <w:rStyle w:val="FootnoteReference"/>
          <w:rtl/>
        </w:rPr>
        <w:footnoteReference w:id="34"/>
      </w:r>
      <w:r>
        <w:rPr>
          <w:rFonts w:hint="cs"/>
          <w:rtl/>
        </w:rPr>
        <w:t xml:space="preserve">, אם </w:t>
      </w:r>
      <w:r w:rsidRPr="002846C3">
        <w:rPr>
          <w:rtl/>
        </w:rPr>
        <w:t>ועדת אתיקה מחוזית גנזה תלונה של מתלונן, אזי</w:t>
      </w:r>
      <w:r>
        <w:rPr>
          <w:rFonts w:hint="cs"/>
          <w:rtl/>
        </w:rPr>
        <w:t xml:space="preserve"> יכולה</w:t>
      </w:r>
      <w:r>
        <w:rPr>
          <w:rtl/>
        </w:rPr>
        <w:t xml:space="preserve"> ו</w:t>
      </w:r>
      <w:r w:rsidRPr="002846C3">
        <w:rPr>
          <w:rtl/>
        </w:rPr>
        <w:t>עדת האתיקה הארצית להגיש את הקובלנה כקובל נוסף.</w:t>
      </w:r>
      <w:r>
        <w:t xml:space="preserve"> </w:t>
      </w:r>
    </w:p>
    <w:p w14:paraId="261B69D6" w14:textId="77777777" w:rsidR="00387987" w:rsidRDefault="00387987" w:rsidP="00B31D3D">
      <w:pPr>
        <w:pStyle w:val="100"/>
        <w:rPr>
          <w:rtl/>
        </w:rPr>
      </w:pPr>
      <w:r>
        <w:rPr>
          <w:rFonts w:hint="cs"/>
          <w:rtl/>
        </w:rPr>
        <w:t>הלשכה מסרה בתשובתה על נושא זה ועל ליקויים נוספים בדוח כי עד אמצע שנת 2019 לא הייתה לוועד המרכזי או למועצה הארצית ס</w:t>
      </w:r>
      <w:r w:rsidRPr="00E41EC3">
        <w:rPr>
          <w:rtl/>
        </w:rPr>
        <w:t xml:space="preserve">מכות של ממש או יכולת אכיפה </w:t>
      </w:r>
      <w:r>
        <w:rPr>
          <w:rFonts w:hint="cs"/>
          <w:rtl/>
        </w:rPr>
        <w:t>כלפי המחוזות וכל מחוז התנהל כראות עיניו. באמצע שנת 2019 נכנס לתוקפו סעיף 13(ז) שתוקן במסגרת תיקון 38 לחוק, ש</w:t>
      </w:r>
      <w:r w:rsidRPr="00E41EC3">
        <w:rPr>
          <w:rtl/>
        </w:rPr>
        <w:t>הסדיר את מערכת היחסים בין המועצה הארצית למחוזות ואת סמכויות האכיפה והפיקוח של המועצה הארצית</w:t>
      </w:r>
      <w:r>
        <w:rPr>
          <w:rFonts w:hint="cs"/>
          <w:rtl/>
        </w:rPr>
        <w:t xml:space="preserve"> </w:t>
      </w:r>
      <w:r w:rsidRPr="00E41EC3">
        <w:rPr>
          <w:rtl/>
        </w:rPr>
        <w:t>על המחוזות</w:t>
      </w:r>
      <w:r>
        <w:rPr>
          <w:rFonts w:hint="cs"/>
          <w:rtl/>
        </w:rPr>
        <w:t>. לכן, לשיטת הלשכה, רק ממועד זה</w:t>
      </w:r>
      <w:r w:rsidRPr="00E41EC3">
        <w:rPr>
          <w:rtl/>
        </w:rPr>
        <w:t xml:space="preserve"> ניתנה היכולת למועצה הארצית להנחות את המחוזות ולפקח על עבודתם.</w:t>
      </w:r>
      <w:r>
        <w:rPr>
          <w:rFonts w:hint="cs"/>
          <w:rtl/>
        </w:rPr>
        <w:t xml:space="preserve"> </w:t>
      </w:r>
    </w:p>
    <w:p w14:paraId="241ED8C7" w14:textId="77777777" w:rsidR="00387987" w:rsidRDefault="00387987" w:rsidP="00E32363">
      <w:pPr>
        <w:pStyle w:val="af3"/>
        <w:rPr>
          <w:rtl/>
        </w:rPr>
      </w:pPr>
      <w:r>
        <w:rPr>
          <w:rFonts w:hint="cs"/>
          <w:rtl/>
        </w:rPr>
        <w:t xml:space="preserve">על המועצה הארצית לפעול להאחדת הנהלים תוך התחשבות בהבדלים בין המחוזות, </w:t>
      </w:r>
      <w:r w:rsidRPr="00E32363">
        <w:rPr>
          <w:rFonts w:hint="cs"/>
          <w:rtl/>
        </w:rPr>
        <w:t>בדרכי</w:t>
      </w:r>
      <w:r>
        <w:rPr>
          <w:rFonts w:hint="cs"/>
          <w:rtl/>
        </w:rPr>
        <w:t xml:space="preserve"> העבודה ובעומסי התלונות.</w:t>
      </w:r>
    </w:p>
    <w:p w14:paraId="15ADC1D9" w14:textId="77777777" w:rsidR="00387987" w:rsidRDefault="00387987" w:rsidP="00B31D3D">
      <w:pPr>
        <w:pStyle w:val="414"/>
        <w:rPr>
          <w:rtl/>
        </w:rPr>
      </w:pPr>
      <w:bookmarkStart w:id="10" w:name="_Toc23155584"/>
      <w:r>
        <w:rPr>
          <w:rFonts w:hint="cs"/>
          <w:rtl/>
        </w:rPr>
        <w:t>כללים להעמדה לדין ולטיעונים לעונש</w:t>
      </w:r>
      <w:bookmarkEnd w:id="10"/>
      <w:r>
        <w:rPr>
          <w:rFonts w:hint="cs"/>
          <w:rtl/>
        </w:rPr>
        <w:t xml:space="preserve"> </w:t>
      </w:r>
    </w:p>
    <w:p w14:paraId="0106B81A" w14:textId="77777777" w:rsidR="00387987" w:rsidRDefault="00387987" w:rsidP="005950C8">
      <w:pPr>
        <w:pStyle w:val="a1"/>
        <w:numPr>
          <w:ilvl w:val="0"/>
          <w:numId w:val="16"/>
        </w:numPr>
        <w:rPr>
          <w:rtl/>
        </w:rPr>
      </w:pPr>
      <w:r w:rsidRPr="00DC40E9">
        <w:rPr>
          <w:rFonts w:hint="cs"/>
          <w:rtl/>
        </w:rPr>
        <w:t>מעקרון החוקיות</w:t>
      </w:r>
      <w:r>
        <w:rPr>
          <w:rStyle w:val="FootnoteReference"/>
          <w:rtl/>
        </w:rPr>
        <w:footnoteReference w:id="35"/>
      </w:r>
      <w:r w:rsidRPr="00DC40E9">
        <w:rPr>
          <w:rFonts w:hint="cs"/>
          <w:rtl/>
        </w:rPr>
        <w:t xml:space="preserve"> עולה כי יש להפעיל ענישה באופן שיטתי ואחיד ככל האפשר</w:t>
      </w:r>
      <w:r>
        <w:rPr>
          <w:rStyle w:val="FootnoteReference"/>
          <w:rtl/>
        </w:rPr>
        <w:footnoteReference w:id="36"/>
      </w:r>
      <w:r>
        <w:rPr>
          <w:rFonts w:hint="cs"/>
          <w:rtl/>
        </w:rPr>
        <w:t xml:space="preserve"> ומכאן נובע הצורך ב</w:t>
      </w:r>
      <w:r w:rsidRPr="00DC40E9">
        <w:rPr>
          <w:rFonts w:hint="cs"/>
          <w:rtl/>
        </w:rPr>
        <w:t xml:space="preserve">קביעת </w:t>
      </w:r>
      <w:r>
        <w:rPr>
          <w:rFonts w:hint="cs"/>
          <w:rtl/>
        </w:rPr>
        <w:t>כללים בקשר להעמדה לדין ולסוג הענישה שפרקליט ועדת האתיקה מבקש מבית הדין להטיל על הנילון</w:t>
      </w:r>
      <w:r w:rsidRPr="00DC40E9">
        <w:rPr>
          <w:rFonts w:hint="cs"/>
          <w:rtl/>
        </w:rPr>
        <w:t xml:space="preserve">. קביעת </w:t>
      </w:r>
      <w:r>
        <w:rPr>
          <w:rFonts w:hint="cs"/>
          <w:rtl/>
        </w:rPr>
        <w:t xml:space="preserve">הכללים </w:t>
      </w:r>
      <w:r w:rsidRPr="00DC40E9">
        <w:rPr>
          <w:rFonts w:hint="cs"/>
          <w:rtl/>
        </w:rPr>
        <w:t>מסייעת להבטיח ודאות ובהירות בקשר לשיקולי ועד</w:t>
      </w:r>
      <w:r>
        <w:rPr>
          <w:rFonts w:hint="cs"/>
          <w:rtl/>
        </w:rPr>
        <w:t>ו</w:t>
      </w:r>
      <w:r w:rsidRPr="00DC40E9">
        <w:rPr>
          <w:rFonts w:hint="cs"/>
          <w:rtl/>
        </w:rPr>
        <w:t xml:space="preserve">ת האתיקה, שוויון בין הנאשמים והפחתת הטענות למדיניות של איפה ואיפה </w:t>
      </w:r>
      <w:r>
        <w:rPr>
          <w:rFonts w:hint="cs"/>
          <w:rtl/>
        </w:rPr>
        <w:t>בהתנהלות</w:t>
      </w:r>
      <w:r w:rsidRPr="00DC40E9">
        <w:rPr>
          <w:rFonts w:hint="cs"/>
          <w:rtl/>
        </w:rPr>
        <w:t xml:space="preserve"> ועד</w:t>
      </w:r>
      <w:r>
        <w:rPr>
          <w:rFonts w:hint="cs"/>
          <w:rtl/>
        </w:rPr>
        <w:t>ו</w:t>
      </w:r>
      <w:r w:rsidRPr="00DC40E9">
        <w:rPr>
          <w:rFonts w:hint="cs"/>
          <w:rtl/>
        </w:rPr>
        <w:t>ת האתיקה ו</w:t>
      </w:r>
      <w:r>
        <w:rPr>
          <w:rFonts w:hint="cs"/>
          <w:rtl/>
        </w:rPr>
        <w:t>כן מ</w:t>
      </w:r>
      <w:r w:rsidRPr="00DC40E9">
        <w:rPr>
          <w:rFonts w:hint="cs"/>
          <w:rtl/>
        </w:rPr>
        <w:t>סייע</w:t>
      </w:r>
      <w:r>
        <w:rPr>
          <w:rFonts w:hint="cs"/>
          <w:rtl/>
        </w:rPr>
        <w:t>ת</w:t>
      </w:r>
      <w:r w:rsidRPr="00DC40E9">
        <w:rPr>
          <w:rFonts w:hint="cs"/>
          <w:rtl/>
        </w:rPr>
        <w:t xml:space="preserve"> לבתי הדין בהכרעה בעניין העונש.</w:t>
      </w:r>
    </w:p>
    <w:p w14:paraId="60C2CDE2" w14:textId="1C3DC742" w:rsidR="00387987" w:rsidRDefault="00387987" w:rsidP="003C0A02">
      <w:pPr>
        <w:pStyle w:val="af2"/>
        <w:rPr>
          <w:rtl/>
        </w:rPr>
      </w:pPr>
      <w:r>
        <w:rPr>
          <w:rFonts w:hint="cs"/>
          <w:rtl/>
        </w:rPr>
        <w:t xml:space="preserve">ניתן ללמוד על הצורך בקביעת כללים אלו מהוראות </w:t>
      </w:r>
      <w:r w:rsidRPr="00C840DF">
        <w:rPr>
          <w:rtl/>
        </w:rPr>
        <w:t xml:space="preserve">חוק סדר הדין הפלילי [נוסח משולב], </w:t>
      </w:r>
      <w:r>
        <w:rPr>
          <w:rFonts w:hint="cs"/>
          <w:rtl/>
        </w:rPr>
        <w:t>ה</w:t>
      </w:r>
      <w:r w:rsidRPr="00C840DF">
        <w:rPr>
          <w:rtl/>
        </w:rPr>
        <w:t>תשמ"ב-1982</w:t>
      </w:r>
      <w:r>
        <w:rPr>
          <w:rStyle w:val="FootnoteReference"/>
          <w:rtl/>
        </w:rPr>
        <w:footnoteReference w:id="37"/>
      </w:r>
      <w:r>
        <w:rPr>
          <w:rFonts w:hint="cs"/>
          <w:rtl/>
        </w:rPr>
        <w:t>, ומהנחיות היועץ המשפטי לממשלה</w:t>
      </w:r>
      <w:r>
        <w:rPr>
          <w:rStyle w:val="FootnoteReference"/>
          <w:rtl/>
        </w:rPr>
        <w:footnoteReference w:id="38"/>
      </w:r>
      <w:r>
        <w:rPr>
          <w:rFonts w:hint="cs"/>
          <w:rtl/>
        </w:rPr>
        <w:t xml:space="preserve"> ופרקליט המדינה</w:t>
      </w:r>
      <w:r>
        <w:rPr>
          <w:rStyle w:val="FootnoteReference"/>
          <w:rtl/>
        </w:rPr>
        <w:footnoteReference w:id="39"/>
      </w:r>
      <w:r>
        <w:rPr>
          <w:rFonts w:hint="cs"/>
          <w:rtl/>
        </w:rPr>
        <w:t>.</w:t>
      </w:r>
    </w:p>
    <w:p w14:paraId="2C613669" w14:textId="23958B27" w:rsidR="003C0A02" w:rsidRDefault="003C0A02">
      <w:pPr>
        <w:bidi w:val="0"/>
        <w:spacing w:after="200" w:line="276" w:lineRule="auto"/>
        <w:rPr>
          <w:rFonts w:ascii="Tahoma" w:hAnsi="Tahoma" w:cs="Tahoma"/>
          <w:szCs w:val="20"/>
          <w:rtl/>
        </w:rPr>
      </w:pPr>
      <w:r>
        <w:rPr>
          <w:rtl/>
        </w:rPr>
        <w:br w:type="page"/>
      </w:r>
    </w:p>
    <w:p w14:paraId="287135C9" w14:textId="77777777" w:rsidR="00387987" w:rsidRDefault="00387987" w:rsidP="003C0A02">
      <w:pPr>
        <w:pStyle w:val="af2"/>
        <w:rPr>
          <w:rtl/>
        </w:rPr>
      </w:pPr>
      <w:r>
        <w:rPr>
          <w:rFonts w:hint="cs"/>
          <w:rtl/>
        </w:rPr>
        <w:lastRenderedPageBreak/>
        <w:t xml:space="preserve">בבית הדין המשמעתי הארצי </w:t>
      </w:r>
      <w:r w:rsidRPr="00DC40E9">
        <w:rPr>
          <w:rFonts w:hint="cs"/>
          <w:rtl/>
        </w:rPr>
        <w:t xml:space="preserve">נדון מקרה </w:t>
      </w:r>
      <w:r>
        <w:rPr>
          <w:rFonts w:hint="cs"/>
          <w:rtl/>
        </w:rPr>
        <w:t>ש</w:t>
      </w:r>
      <w:r w:rsidRPr="00DC40E9">
        <w:rPr>
          <w:rFonts w:hint="cs"/>
          <w:rtl/>
        </w:rPr>
        <w:t xml:space="preserve">בו </w:t>
      </w:r>
      <w:r>
        <w:rPr>
          <w:rFonts w:hint="cs"/>
          <w:rtl/>
        </w:rPr>
        <w:t>עורך דין</w:t>
      </w:r>
      <w:r w:rsidRPr="00DC40E9">
        <w:rPr>
          <w:rFonts w:hint="cs"/>
          <w:rtl/>
        </w:rPr>
        <w:t xml:space="preserve"> הועמד לדין בשל התבטאות בלתי הולמת. </w:t>
      </w:r>
      <w:r>
        <w:rPr>
          <w:rFonts w:hint="cs"/>
          <w:rtl/>
        </w:rPr>
        <w:t>הנקבל</w:t>
      </w:r>
      <w:r w:rsidRPr="00DC40E9">
        <w:rPr>
          <w:rFonts w:hint="cs"/>
          <w:rtl/>
        </w:rPr>
        <w:t xml:space="preserve"> טען כי העמדתו לדין אינה עומדת בקנה אחד עם מדיניות ועדת האתיקה </w:t>
      </w:r>
      <w:r>
        <w:rPr>
          <w:rFonts w:hint="cs"/>
          <w:rtl/>
        </w:rPr>
        <w:t xml:space="preserve">של המחוז </w:t>
      </w:r>
      <w:r w:rsidRPr="00DC40E9">
        <w:rPr>
          <w:rFonts w:hint="cs"/>
          <w:rtl/>
        </w:rPr>
        <w:t xml:space="preserve">במקרים דומים ובית הדין קיבל את הטענה. בשולי פסק הדין ציין בית הדין כי </w:t>
      </w:r>
      <w:r w:rsidRPr="005E51B8">
        <w:rPr>
          <w:rtl/>
        </w:rPr>
        <w:t>"</w:t>
      </w:r>
      <w:r w:rsidRPr="00DC40E9">
        <w:rPr>
          <w:rtl/>
        </w:rPr>
        <w:t>הגוף הקובל צריך לפעול לפי אמות המידה של המשפט המינהלי, לקבוע לעצמו כללים ונהלים על מנת להבטיח שיויון והגינות כלפי הנילונים וכן הבטחת מילוי תפקידה של וועדת האתיקה לאכיפת כללי האתיקה על חברי הלשכה. שזה הבסיס לאמון הציבור בעורכי הדין</w:t>
      </w:r>
      <w:r w:rsidRPr="005E51B8">
        <w:rPr>
          <w:rtl/>
        </w:rPr>
        <w:t>".</w:t>
      </w:r>
    </w:p>
    <w:p w14:paraId="35B5571C" w14:textId="77777777" w:rsidR="00387987" w:rsidRPr="004F7932" w:rsidRDefault="00387987" w:rsidP="003C0A02">
      <w:pPr>
        <w:pStyle w:val="12"/>
      </w:pPr>
      <w:r w:rsidRPr="00931323">
        <w:rPr>
          <w:rtl/>
        </w:rPr>
        <w:t xml:space="preserve">ועדות האתיקה </w:t>
      </w:r>
      <w:r>
        <w:rPr>
          <w:rFonts w:hint="cs"/>
          <w:rtl/>
        </w:rPr>
        <w:t>לא קבעו הוראות בנוגע להעמדה לדין או לסוג העונש שהפרקליטים יבקשו בהתאם לסוג העבירה וחומרתה,</w:t>
      </w:r>
      <w:r w:rsidRPr="00931323">
        <w:rPr>
          <w:rtl/>
        </w:rPr>
        <w:t xml:space="preserve"> וכל תלונה נבחנת לגופה ובמנותק מאחרות. </w:t>
      </w:r>
      <w:r>
        <w:rPr>
          <w:rFonts w:hint="cs"/>
          <w:rtl/>
        </w:rPr>
        <w:t>זאת, אף</w:t>
      </w:r>
      <w:r w:rsidRPr="004F7932">
        <w:rPr>
          <w:rtl/>
        </w:rPr>
        <w:t xml:space="preserve"> </w:t>
      </w:r>
      <w:r>
        <w:rPr>
          <w:rFonts w:hint="cs"/>
          <w:rtl/>
        </w:rPr>
        <w:t>שב</w:t>
      </w:r>
      <w:r w:rsidRPr="004F7932">
        <w:rPr>
          <w:rFonts w:hint="eastAsia"/>
          <w:rtl/>
        </w:rPr>
        <w:t>שנים</w:t>
      </w:r>
      <w:r>
        <w:rPr>
          <w:rFonts w:hint="cs"/>
          <w:rtl/>
        </w:rPr>
        <w:t xml:space="preserve"> 2017 - 2019</w:t>
      </w:r>
      <w:r w:rsidRPr="004F7932">
        <w:rPr>
          <w:rtl/>
        </w:rPr>
        <w:t xml:space="preserve"> </w:t>
      </w:r>
      <w:r w:rsidRPr="004F7932">
        <w:rPr>
          <w:rFonts w:hint="eastAsia"/>
          <w:rtl/>
        </w:rPr>
        <w:t>הצביעו</w:t>
      </w:r>
      <w:r w:rsidRPr="004F7932">
        <w:rPr>
          <w:rtl/>
        </w:rPr>
        <w:t xml:space="preserve"> </w:t>
      </w:r>
      <w:r>
        <w:rPr>
          <w:rFonts w:hint="cs"/>
          <w:rtl/>
        </w:rPr>
        <w:t>כמה</w:t>
      </w:r>
      <w:r w:rsidRPr="004F7932">
        <w:rPr>
          <w:rtl/>
        </w:rPr>
        <w:t xml:space="preserve"> </w:t>
      </w:r>
      <w:r w:rsidRPr="004F7932">
        <w:rPr>
          <w:rFonts w:hint="eastAsia"/>
          <w:rtl/>
        </w:rPr>
        <w:t>גורמים</w:t>
      </w:r>
      <w:r w:rsidRPr="004F7932">
        <w:rPr>
          <w:rtl/>
        </w:rPr>
        <w:t xml:space="preserve"> </w:t>
      </w:r>
      <w:r w:rsidRPr="004F7932">
        <w:rPr>
          <w:rFonts w:hint="eastAsia"/>
          <w:rtl/>
        </w:rPr>
        <w:t>על</w:t>
      </w:r>
      <w:r w:rsidRPr="004F7932">
        <w:rPr>
          <w:rtl/>
        </w:rPr>
        <w:t xml:space="preserve"> </w:t>
      </w:r>
      <w:r w:rsidRPr="004F7932">
        <w:rPr>
          <w:rFonts w:hint="eastAsia"/>
          <w:rtl/>
        </w:rPr>
        <w:t>הצורך</w:t>
      </w:r>
      <w:r w:rsidRPr="004F7932">
        <w:rPr>
          <w:rtl/>
        </w:rPr>
        <w:t xml:space="preserve"> </w:t>
      </w:r>
      <w:r>
        <w:rPr>
          <w:rFonts w:hint="cs"/>
          <w:rtl/>
        </w:rPr>
        <w:t>בהוראות אלו</w:t>
      </w:r>
      <w:r w:rsidRPr="004F7932">
        <w:rPr>
          <w:rtl/>
        </w:rPr>
        <w:t>:</w:t>
      </w:r>
    </w:p>
    <w:p w14:paraId="6D3E5449" w14:textId="77777777" w:rsidR="00387987" w:rsidRDefault="00387987" w:rsidP="003C0A02">
      <w:pPr>
        <w:pStyle w:val="af2"/>
      </w:pPr>
      <w:r w:rsidRPr="00C71C1C">
        <w:rPr>
          <w:rtl/>
        </w:rPr>
        <w:t>במסמך חפיפה של פרקליטת ועדת האתיקה</w:t>
      </w:r>
      <w:r>
        <w:rPr>
          <w:rFonts w:hint="cs"/>
          <w:rtl/>
        </w:rPr>
        <w:t xml:space="preserve"> הארצית</w:t>
      </w:r>
      <w:r w:rsidRPr="00C71C1C">
        <w:rPr>
          <w:rtl/>
        </w:rPr>
        <w:t xml:space="preserve"> היוצאת </w:t>
      </w:r>
      <w:r>
        <w:rPr>
          <w:rFonts w:hint="cs"/>
          <w:rtl/>
        </w:rPr>
        <w:t xml:space="preserve">מאפריל 2017 </w:t>
      </w:r>
      <w:r w:rsidRPr="00C71C1C">
        <w:rPr>
          <w:rtl/>
        </w:rPr>
        <w:t xml:space="preserve">צוין כי לעיתים ניתנות על ידי ועדת האתיקה </w:t>
      </w:r>
      <w:r>
        <w:rPr>
          <w:rFonts w:hint="cs"/>
          <w:rtl/>
        </w:rPr>
        <w:t xml:space="preserve">החלטות </w:t>
      </w:r>
      <w:r w:rsidRPr="00C71C1C">
        <w:rPr>
          <w:rtl/>
        </w:rPr>
        <w:t>שאינן עקביות להחלטות אחרות שניתנו או שלא נומקו כראוי ומוטב שלא לפרסמן.</w:t>
      </w:r>
      <w:r>
        <w:rPr>
          <w:rFonts w:hint="cs"/>
          <w:rtl/>
        </w:rPr>
        <w:t xml:space="preserve"> </w:t>
      </w:r>
    </w:p>
    <w:p w14:paraId="74FBDFB5" w14:textId="77777777" w:rsidR="00387987" w:rsidRDefault="00387987" w:rsidP="003C0A02">
      <w:pPr>
        <w:pStyle w:val="af2"/>
      </w:pPr>
      <w:r w:rsidRPr="00C71C1C">
        <w:rPr>
          <w:rtl/>
        </w:rPr>
        <w:t>בפגיש</w:t>
      </w:r>
      <w:r>
        <w:rPr>
          <w:rFonts w:hint="cs"/>
          <w:rtl/>
        </w:rPr>
        <w:t>ה</w:t>
      </w:r>
      <w:r w:rsidRPr="00C71C1C">
        <w:rPr>
          <w:rtl/>
        </w:rPr>
        <w:t xml:space="preserve"> </w:t>
      </w:r>
      <w:r>
        <w:rPr>
          <w:rFonts w:hint="cs"/>
          <w:rtl/>
        </w:rPr>
        <w:t>ממרץ 2018 הנחה יו"ר ועדת האתיקה הארצית</w:t>
      </w:r>
      <w:r w:rsidRPr="00C71C1C">
        <w:rPr>
          <w:rtl/>
        </w:rPr>
        <w:t xml:space="preserve"> לשקול הפצת ביטאון משותף של </w:t>
      </w:r>
      <w:r>
        <w:rPr>
          <w:rFonts w:hint="cs"/>
          <w:rtl/>
        </w:rPr>
        <w:t>ועדות האתיקה</w:t>
      </w:r>
      <w:r w:rsidRPr="00C71C1C">
        <w:rPr>
          <w:rtl/>
        </w:rPr>
        <w:t xml:space="preserve"> "לצורך יישור קו ומניעת החלטות סותרות".</w:t>
      </w:r>
      <w:r w:rsidRPr="00A946F8">
        <w:rPr>
          <w:rtl/>
        </w:rPr>
        <w:t xml:space="preserve"> </w:t>
      </w:r>
      <w:r>
        <w:rPr>
          <w:rFonts w:hint="cs"/>
          <w:rtl/>
        </w:rPr>
        <w:t xml:space="preserve">גם </w:t>
      </w:r>
      <w:r w:rsidRPr="00A946F8">
        <w:rPr>
          <w:rtl/>
        </w:rPr>
        <w:t>בישיבה</w:t>
      </w:r>
      <w:r>
        <w:rPr>
          <w:rFonts w:hint="cs"/>
          <w:rtl/>
        </w:rPr>
        <w:t xml:space="preserve"> של פורום יושבי ראש ועדות האתיקה</w:t>
      </w:r>
      <w:r w:rsidRPr="00A946F8">
        <w:rPr>
          <w:rtl/>
        </w:rPr>
        <w:t xml:space="preserve"> </w:t>
      </w:r>
      <w:r>
        <w:rPr>
          <w:rFonts w:hint="cs"/>
          <w:rtl/>
        </w:rPr>
        <w:t>ממאי 2018 נדון נושא "מדיניות אחידה של ועדות האתיקה - ענישה". בדיון הועלה</w:t>
      </w:r>
      <w:r w:rsidRPr="00A946F8">
        <w:rPr>
          <w:rtl/>
        </w:rPr>
        <w:t xml:space="preserve"> הצורך לרכז את כל פסקי הדין במחוזות כדי </w:t>
      </w:r>
      <w:r>
        <w:rPr>
          <w:rFonts w:hint="cs"/>
          <w:rtl/>
        </w:rPr>
        <w:t>שתהיה</w:t>
      </w:r>
      <w:r w:rsidRPr="00A946F8">
        <w:rPr>
          <w:rtl/>
        </w:rPr>
        <w:t xml:space="preserve"> אחידות בענישה.</w:t>
      </w:r>
    </w:p>
    <w:p w14:paraId="1CF774FD" w14:textId="77777777" w:rsidR="00387987" w:rsidRPr="00C71C1C" w:rsidRDefault="00387987" w:rsidP="003C0A02">
      <w:pPr>
        <w:pStyle w:val="af2"/>
        <w:rPr>
          <w:rtl/>
        </w:rPr>
      </w:pPr>
      <w:r>
        <w:rPr>
          <w:rtl/>
        </w:rPr>
        <w:t>בפברואר 2019 העבירה פרקליטת ועדת האתיקה של מחוז תל אביב למנכ"לית המחוז נייר עמדה ל"שיפור וייעול מערך המשמעת בלשכת עורכי הדין"</w:t>
      </w:r>
      <w:r>
        <w:rPr>
          <w:rFonts w:hint="cs"/>
          <w:rtl/>
        </w:rPr>
        <w:t xml:space="preserve"> (להלן - נייר העמדה)</w:t>
      </w:r>
      <w:r>
        <w:rPr>
          <w:rtl/>
        </w:rPr>
        <w:t xml:space="preserve">. בנייר העמדה </w:t>
      </w:r>
      <w:r>
        <w:rPr>
          <w:rFonts w:hint="cs"/>
          <w:rtl/>
        </w:rPr>
        <w:t xml:space="preserve">נכתב, בין היתר, </w:t>
      </w:r>
      <w:r>
        <w:rPr>
          <w:rtl/>
        </w:rPr>
        <w:t xml:space="preserve">כי </w:t>
      </w:r>
      <w:r>
        <w:rPr>
          <w:rFonts w:hint="cs"/>
          <w:rtl/>
        </w:rPr>
        <w:t>יש</w:t>
      </w:r>
      <w:r>
        <w:rPr>
          <w:rtl/>
        </w:rPr>
        <w:t xml:space="preserve"> חוסר אחידות בהפעלת הדין המשמעתי במחוזות</w:t>
      </w:r>
      <w:r>
        <w:rPr>
          <w:rFonts w:hint="cs"/>
          <w:rtl/>
        </w:rPr>
        <w:t xml:space="preserve"> על ידי ועדות האתיקה </w:t>
      </w:r>
      <w:r>
        <w:rPr>
          <w:rtl/>
        </w:rPr>
        <w:t>-</w:t>
      </w:r>
      <w:r>
        <w:rPr>
          <w:rFonts w:hint="cs"/>
          <w:rtl/>
        </w:rPr>
        <w:t xml:space="preserve"> </w:t>
      </w:r>
      <w:r>
        <w:rPr>
          <w:rtl/>
        </w:rPr>
        <w:t>אכיפת יתר במחוזות מסוימים ואכיפת חסר באחרים</w:t>
      </w:r>
      <w:r>
        <w:rPr>
          <w:rFonts w:hint="cs"/>
          <w:rtl/>
        </w:rPr>
        <w:t>, מצב</w:t>
      </w:r>
      <w:r>
        <w:rPr>
          <w:rtl/>
        </w:rPr>
        <w:t xml:space="preserve"> שגורם להעלאת טענות הגנה מן הצדק "כדבר שבשגרה" </w:t>
      </w:r>
      <w:r>
        <w:rPr>
          <w:rFonts w:hint="cs"/>
          <w:rtl/>
        </w:rPr>
        <w:t>בבתי הדין</w:t>
      </w:r>
      <w:r>
        <w:rPr>
          <w:rtl/>
        </w:rPr>
        <w:t xml:space="preserve">. </w:t>
      </w:r>
    </w:p>
    <w:p w14:paraId="7FAB8BBB" w14:textId="77777777" w:rsidR="00387987" w:rsidRDefault="00387987" w:rsidP="003C0A02">
      <w:pPr>
        <w:pStyle w:val="af2"/>
        <w:rPr>
          <w:rtl/>
        </w:rPr>
      </w:pPr>
      <w:r w:rsidRPr="00DC40E9">
        <w:rPr>
          <w:rFonts w:hint="cs"/>
          <w:rtl/>
        </w:rPr>
        <w:t>ועדת האתיקה של מחוז</w:t>
      </w:r>
      <w:r>
        <w:rPr>
          <w:rFonts w:hint="cs"/>
          <w:rtl/>
        </w:rPr>
        <w:t xml:space="preserve"> תל אביב מסרה לצוות הביקורת כי היא </w:t>
      </w:r>
      <w:r w:rsidRPr="00D27624">
        <w:rPr>
          <w:rFonts w:hint="cs"/>
          <w:rtl/>
        </w:rPr>
        <w:t>שוקד</w:t>
      </w:r>
      <w:r>
        <w:rPr>
          <w:rFonts w:hint="cs"/>
          <w:rtl/>
        </w:rPr>
        <w:t>ת</w:t>
      </w:r>
      <w:r w:rsidRPr="00D27624">
        <w:rPr>
          <w:rFonts w:hint="cs"/>
          <w:rtl/>
        </w:rPr>
        <w:t xml:space="preserve"> על הכנת כללי</w:t>
      </w:r>
      <w:r>
        <w:rPr>
          <w:rFonts w:hint="cs"/>
          <w:rtl/>
        </w:rPr>
        <w:t xml:space="preserve"> מדיניות העמדה לדין. כמו כן פרסמה הוועדה בשנים 2015 ואילך כמה </w:t>
      </w:r>
      <w:r w:rsidRPr="00D27624">
        <w:rPr>
          <w:rFonts w:hint="cs"/>
          <w:rtl/>
        </w:rPr>
        <w:t>גילויי דעת</w:t>
      </w:r>
      <w:r>
        <w:rPr>
          <w:rStyle w:val="FootnoteReference"/>
          <w:rtl/>
        </w:rPr>
        <w:footnoteReference w:id="40"/>
      </w:r>
      <w:r w:rsidRPr="00D27624">
        <w:rPr>
          <w:rFonts w:hint="cs"/>
          <w:rtl/>
        </w:rPr>
        <w:t xml:space="preserve"> </w:t>
      </w:r>
      <w:r>
        <w:rPr>
          <w:rFonts w:hint="cs"/>
          <w:rtl/>
        </w:rPr>
        <w:t xml:space="preserve">וניירות מדיניות באתר האינטרנט של מחוז תל אביב, </w:t>
      </w:r>
      <w:r w:rsidRPr="00D27624">
        <w:rPr>
          <w:rFonts w:hint="cs"/>
          <w:rtl/>
        </w:rPr>
        <w:t>שיש בהם התייחסות למדיניות העמדה לדין</w:t>
      </w:r>
      <w:r>
        <w:rPr>
          <w:rFonts w:hint="cs"/>
          <w:rtl/>
        </w:rPr>
        <w:t xml:space="preserve"> בעבירות ספציפיות. </w:t>
      </w:r>
      <w:r w:rsidRPr="009E75EC">
        <w:rPr>
          <w:rFonts w:hint="cs"/>
          <w:rtl/>
        </w:rPr>
        <w:t xml:space="preserve">יש לציין לחיוב את </w:t>
      </w:r>
      <w:r>
        <w:rPr>
          <w:rFonts w:hint="cs"/>
          <w:rtl/>
        </w:rPr>
        <w:t>פעולות</w:t>
      </w:r>
      <w:r w:rsidRPr="009E75EC">
        <w:rPr>
          <w:rFonts w:hint="cs"/>
          <w:rtl/>
        </w:rPr>
        <w:t xml:space="preserve"> ועדת האתיקה של מחוז ת</w:t>
      </w:r>
      <w:r>
        <w:rPr>
          <w:rFonts w:hint="cs"/>
          <w:rtl/>
        </w:rPr>
        <w:t>ל אביב ועליה לוודא את השלמת הכללים ויישומם.</w:t>
      </w:r>
    </w:p>
    <w:p w14:paraId="269433D4" w14:textId="77777777" w:rsidR="00387987" w:rsidRDefault="00387987" w:rsidP="003C0A02">
      <w:pPr>
        <w:pStyle w:val="af2"/>
        <w:rPr>
          <w:rtl/>
        </w:rPr>
      </w:pPr>
      <w:r>
        <w:rPr>
          <w:rFonts w:hint="cs"/>
          <w:rtl/>
        </w:rPr>
        <w:t>הלשכה מסרה בתשובתה כי החלטות ועדת האתיקה הארצית בנוגע לתלונות אתיקה מתפרסמות מעת לעת בביטאון "אתיקה מקצועית" והן מחייבות את כלל עורכי הדין ללא קשר למחוז שאליו הם משתייכים. כמו כן ועדות האתיקה אינן מוסמכות לפעול בניגוד להחלטה מנחה של ועדת האתיקה הארצית.</w:t>
      </w:r>
    </w:p>
    <w:p w14:paraId="578CFA40" w14:textId="77777777" w:rsidR="00387987" w:rsidRDefault="00387987" w:rsidP="003C0A02">
      <w:pPr>
        <w:pStyle w:val="12"/>
        <w:rPr>
          <w:rtl/>
        </w:rPr>
      </w:pPr>
      <w:r>
        <w:rPr>
          <w:rFonts w:hint="cs"/>
          <w:rtl/>
        </w:rPr>
        <w:lastRenderedPageBreak/>
        <w:t>הגם שהחלטות ועדת האתיקה הארצית ופסקי הדין של בתי הדין המשמעתיים מפורסמים לציבור ובכך מאפשרים בחלק מהמקרים ללמוד על מדיניות ועדות האתיקה, ראוי שכלל ועדות האתיקה יבחנו את תהליך ה</w:t>
      </w:r>
      <w:r w:rsidRPr="00F617FC">
        <w:rPr>
          <w:rtl/>
        </w:rPr>
        <w:t xml:space="preserve">העמדה לדין </w:t>
      </w:r>
      <w:r>
        <w:rPr>
          <w:rFonts w:hint="cs"/>
          <w:rtl/>
        </w:rPr>
        <w:t xml:space="preserve">בדרך שתיצור אחידות ותמנע טענות שעלו בפני הלשכה בדבר אכיפה בררנית. </w:t>
      </w:r>
    </w:p>
    <w:p w14:paraId="2286F544" w14:textId="77777777" w:rsidR="00387987" w:rsidRPr="00DC2852" w:rsidRDefault="00387987" w:rsidP="003C0A02">
      <w:pPr>
        <w:pStyle w:val="af2"/>
        <w:rPr>
          <w:rtl/>
        </w:rPr>
      </w:pPr>
      <w:r>
        <w:rPr>
          <w:rFonts w:hint="cs"/>
          <w:rtl/>
        </w:rPr>
        <w:t>הלשכה מסרה בתשובתה כי באוגוסט 2019 החלה לפעול</w:t>
      </w:r>
      <w:r w:rsidRPr="00DC2852">
        <w:rPr>
          <w:rtl/>
        </w:rPr>
        <w:t xml:space="preserve"> ל</w:t>
      </w:r>
      <w:r>
        <w:rPr>
          <w:rFonts w:hint="cs"/>
          <w:rtl/>
        </w:rPr>
        <w:t xml:space="preserve">העברת פסקי הדין של בתי הדין המשמעתיים למאגר משפטי על מנת שניתן יהיה לאתרם ולאחזר מהם מידע בקלות. בהמשך בכוונת הלשכה לבחון בניית מערכת </w:t>
      </w:r>
      <w:r w:rsidRPr="00DC2852">
        <w:rPr>
          <w:rtl/>
        </w:rPr>
        <w:t>מתחם ענישה</w:t>
      </w:r>
      <w:r>
        <w:rPr>
          <w:rFonts w:hint="cs"/>
          <w:rtl/>
        </w:rPr>
        <w:t xml:space="preserve"> באותו מאגר, שבה ניתן יהיה לאתר את פסקי הדין והעונשים שנקבעו לסוגי עבירות. המערכת תשמש את ועדות האתיקה, בתי הדין והציבור כולו.</w:t>
      </w:r>
    </w:p>
    <w:p w14:paraId="65A5FE41" w14:textId="77777777" w:rsidR="00387987" w:rsidRDefault="00387987" w:rsidP="003C0A02">
      <w:pPr>
        <w:pStyle w:val="a1"/>
      </w:pPr>
      <w:r>
        <w:rPr>
          <w:rFonts w:hint="cs"/>
          <w:rtl/>
        </w:rPr>
        <w:t>אחד הכלים שיש בהם כדי לסייע בהאחדת הכללים להעמדה לדין ולסוג העונש שיבקש הפרקליט להטיל הוא קיום הכשרות והדרכות לגורמים השונים בוועדות האתיקה.</w:t>
      </w:r>
      <w:r w:rsidRPr="00A946F8">
        <w:rPr>
          <w:rtl/>
        </w:rPr>
        <w:t xml:space="preserve"> בישיבה</w:t>
      </w:r>
      <w:r>
        <w:rPr>
          <w:rFonts w:hint="cs"/>
          <w:rtl/>
        </w:rPr>
        <w:t xml:space="preserve"> האמורה</w:t>
      </w:r>
      <w:r w:rsidRPr="00A946F8">
        <w:rPr>
          <w:rtl/>
        </w:rPr>
        <w:t xml:space="preserve"> </w:t>
      </w:r>
      <w:r>
        <w:rPr>
          <w:rFonts w:hint="cs"/>
          <w:rtl/>
        </w:rPr>
        <w:t>ממאי 2018 ציין יו"</w:t>
      </w:r>
      <w:r w:rsidRPr="00A946F8">
        <w:rPr>
          <w:rtl/>
        </w:rPr>
        <w:t xml:space="preserve">ר ועדת האתיקה הארצית כי קיום השתלמויות </w:t>
      </w:r>
      <w:r>
        <w:rPr>
          <w:rFonts w:hint="cs"/>
          <w:rtl/>
        </w:rPr>
        <w:t>יוכל</w:t>
      </w:r>
      <w:r w:rsidRPr="00A946F8">
        <w:rPr>
          <w:rtl/>
        </w:rPr>
        <w:t xml:space="preserve"> </w:t>
      </w:r>
      <w:r>
        <w:rPr>
          <w:rFonts w:hint="cs"/>
          <w:rtl/>
        </w:rPr>
        <w:t>לסייע לפתור את הקשיים הכרוכים בקביעת מתחם ענישה בעבירות אתיקה</w:t>
      </w:r>
      <w:r w:rsidRPr="00A946F8">
        <w:rPr>
          <w:rtl/>
        </w:rPr>
        <w:t xml:space="preserve">. </w:t>
      </w:r>
      <w:r>
        <w:rPr>
          <w:rFonts w:hint="cs"/>
          <w:rtl/>
        </w:rPr>
        <w:t>עוד</w:t>
      </w:r>
      <w:r w:rsidRPr="006F4EB4">
        <w:rPr>
          <w:rtl/>
        </w:rPr>
        <w:t xml:space="preserve"> </w:t>
      </w:r>
      <w:r>
        <w:rPr>
          <w:rFonts w:hint="cs"/>
          <w:rtl/>
        </w:rPr>
        <w:t>ציין היו"ר כי</w:t>
      </w:r>
      <w:r w:rsidRPr="006F4EB4">
        <w:rPr>
          <w:rtl/>
        </w:rPr>
        <w:t xml:space="preserve"> יש ליצור מערך הדרכה סדיר לב</w:t>
      </w:r>
      <w:r>
        <w:rPr>
          <w:rFonts w:hint="cs"/>
          <w:rtl/>
        </w:rPr>
        <w:t>אי כוח</w:t>
      </w:r>
      <w:r w:rsidRPr="006F4EB4">
        <w:rPr>
          <w:rtl/>
        </w:rPr>
        <w:t xml:space="preserve"> </w:t>
      </w:r>
      <w:r>
        <w:rPr>
          <w:rFonts w:hint="cs"/>
          <w:rtl/>
        </w:rPr>
        <w:t>ה</w:t>
      </w:r>
      <w:r w:rsidRPr="006F4EB4">
        <w:rPr>
          <w:rtl/>
        </w:rPr>
        <w:t xml:space="preserve">קובלים, </w:t>
      </w:r>
      <w:r>
        <w:rPr>
          <w:rFonts w:hint="cs"/>
          <w:rtl/>
        </w:rPr>
        <w:t>ל</w:t>
      </w:r>
      <w:r w:rsidRPr="006F4EB4">
        <w:rPr>
          <w:rtl/>
        </w:rPr>
        <w:t>חברי ועדות אתיקה</w:t>
      </w:r>
      <w:r>
        <w:rPr>
          <w:rFonts w:hint="cs"/>
          <w:rtl/>
        </w:rPr>
        <w:t>,</w:t>
      </w:r>
      <w:r w:rsidRPr="006F4EB4">
        <w:rPr>
          <w:rtl/>
        </w:rPr>
        <w:t xml:space="preserve"> </w:t>
      </w:r>
      <w:r>
        <w:rPr>
          <w:rFonts w:hint="cs"/>
          <w:rtl/>
        </w:rPr>
        <w:t xml:space="preserve">לעובדי </w:t>
      </w:r>
      <w:r w:rsidRPr="006F4EB4">
        <w:rPr>
          <w:rtl/>
        </w:rPr>
        <w:t xml:space="preserve">מנגנוני </w:t>
      </w:r>
      <w:r>
        <w:rPr>
          <w:rtl/>
        </w:rPr>
        <w:t>הוועד</w:t>
      </w:r>
      <w:r w:rsidRPr="006F4EB4">
        <w:rPr>
          <w:rtl/>
        </w:rPr>
        <w:t>ות ו</w:t>
      </w:r>
      <w:r>
        <w:rPr>
          <w:rFonts w:hint="cs"/>
          <w:rtl/>
        </w:rPr>
        <w:t>לדייני</w:t>
      </w:r>
      <w:r w:rsidRPr="006F4EB4">
        <w:rPr>
          <w:rtl/>
        </w:rPr>
        <w:t xml:space="preserve"> בת</w:t>
      </w:r>
      <w:r>
        <w:rPr>
          <w:rFonts w:hint="cs"/>
          <w:rtl/>
        </w:rPr>
        <w:t>י</w:t>
      </w:r>
      <w:r w:rsidRPr="006F4EB4">
        <w:rPr>
          <w:rtl/>
        </w:rPr>
        <w:t xml:space="preserve"> הדין. בדיון </w:t>
      </w:r>
      <w:r>
        <w:rPr>
          <w:rFonts w:hint="cs"/>
          <w:rtl/>
        </w:rPr>
        <w:t>מאוקטובר 2018</w:t>
      </w:r>
      <w:r w:rsidRPr="006F4EB4">
        <w:rPr>
          <w:rtl/>
        </w:rPr>
        <w:t xml:space="preserve"> סוכם כי מנגנון ועדת האתיקה הארצית יבנה ת</w:t>
      </w:r>
      <w:r>
        <w:rPr>
          <w:rFonts w:hint="cs"/>
          <w:rtl/>
        </w:rPr>
        <w:t>ו</w:t>
      </w:r>
      <w:r w:rsidRPr="006F4EB4">
        <w:rPr>
          <w:rtl/>
        </w:rPr>
        <w:t xml:space="preserve">כנית ליום </w:t>
      </w:r>
      <w:r>
        <w:rPr>
          <w:rFonts w:hint="cs"/>
          <w:rtl/>
        </w:rPr>
        <w:t>ה</w:t>
      </w:r>
      <w:r w:rsidRPr="006F4EB4">
        <w:rPr>
          <w:rtl/>
        </w:rPr>
        <w:t>עיון.</w:t>
      </w:r>
    </w:p>
    <w:p w14:paraId="2F5A45FB" w14:textId="77777777" w:rsidR="00387987" w:rsidRDefault="00387987" w:rsidP="003C0A02">
      <w:pPr>
        <w:pStyle w:val="12"/>
        <w:rPr>
          <w:rtl/>
        </w:rPr>
      </w:pPr>
      <w:r w:rsidRPr="00A946F8">
        <w:rPr>
          <w:rFonts w:hint="cs"/>
          <w:rtl/>
        </w:rPr>
        <w:t xml:space="preserve">עד למועד סיום הביקורת לא נערכו הכשרות והדרכות </w:t>
      </w:r>
      <w:r>
        <w:rPr>
          <w:rFonts w:hint="cs"/>
          <w:rtl/>
        </w:rPr>
        <w:t>למערך המשמעת בלשכה, למעט מחוז תל אביב שבו נערכו שלושה ימי עיון לדייני בית הדין בשנים 2016 - 2018</w:t>
      </w:r>
      <w:r w:rsidRPr="00A946F8">
        <w:rPr>
          <w:rFonts w:hint="cs"/>
          <w:rtl/>
        </w:rPr>
        <w:t xml:space="preserve">. </w:t>
      </w:r>
    </w:p>
    <w:p w14:paraId="44A804D7" w14:textId="77777777" w:rsidR="00387987" w:rsidRPr="00E71018" w:rsidRDefault="00387987" w:rsidP="003C0A02">
      <w:pPr>
        <w:pStyle w:val="af2"/>
        <w:rPr>
          <w:rtl/>
        </w:rPr>
      </w:pPr>
      <w:r w:rsidRPr="00E71018">
        <w:rPr>
          <w:rFonts w:hint="cs"/>
          <w:rtl/>
        </w:rPr>
        <w:t>הלשכה מסרה בתשובתה כי נושא ההכשרות תוקצב לשנת 2020 וכי</w:t>
      </w:r>
      <w:r w:rsidRPr="00E71018">
        <w:rPr>
          <w:rtl/>
        </w:rPr>
        <w:t xml:space="preserve"> בכוונתה</w:t>
      </w:r>
      <w:r>
        <w:rPr>
          <w:rFonts w:hint="cs"/>
          <w:rtl/>
        </w:rPr>
        <w:t xml:space="preserve"> </w:t>
      </w:r>
      <w:r w:rsidRPr="00E71018">
        <w:rPr>
          <w:rtl/>
        </w:rPr>
        <w:t>לקיים הכשרות נפרדות לחברי בתי הדין ולחברי ועדות האתיקה וב</w:t>
      </w:r>
      <w:r>
        <w:rPr>
          <w:rFonts w:hint="cs"/>
          <w:rtl/>
        </w:rPr>
        <w:t>אי כוח</w:t>
      </w:r>
      <w:r w:rsidRPr="00E71018">
        <w:rPr>
          <w:rtl/>
        </w:rPr>
        <w:t xml:space="preserve"> הק</w:t>
      </w:r>
      <w:r w:rsidRPr="00E71018">
        <w:rPr>
          <w:rFonts w:hint="cs"/>
          <w:rtl/>
        </w:rPr>
        <w:t>ו</w:t>
      </w:r>
      <w:r w:rsidRPr="00E71018">
        <w:rPr>
          <w:rtl/>
        </w:rPr>
        <w:t>בל</w:t>
      </w:r>
      <w:r w:rsidRPr="00E71018">
        <w:rPr>
          <w:rFonts w:hint="cs"/>
          <w:rtl/>
        </w:rPr>
        <w:t>ים</w:t>
      </w:r>
      <w:r>
        <w:rPr>
          <w:rFonts w:hint="cs"/>
          <w:rtl/>
        </w:rPr>
        <w:t>. נוסף על כך מסרה הלשכה כי בכוונתה</w:t>
      </w:r>
      <w:r w:rsidRPr="00E71018">
        <w:rPr>
          <w:rtl/>
        </w:rPr>
        <w:t xml:space="preserve"> לערוך תיקון חקיקה</w:t>
      </w:r>
      <w:r>
        <w:rPr>
          <w:rFonts w:hint="cs"/>
          <w:rtl/>
        </w:rPr>
        <w:t>,</w:t>
      </w:r>
      <w:r w:rsidRPr="00E71018">
        <w:rPr>
          <w:rtl/>
        </w:rPr>
        <w:t xml:space="preserve"> שיחייב עמידה בקורס אתיקה שתערוך הלשכה כתנאי לכשירות להתמנות לתפקידים אלה.</w:t>
      </w:r>
      <w:r>
        <w:rPr>
          <w:rtl/>
        </w:rPr>
        <w:t xml:space="preserve"> </w:t>
      </w:r>
    </w:p>
    <w:p w14:paraId="184BF9BB" w14:textId="77777777" w:rsidR="00387987" w:rsidRDefault="00387987" w:rsidP="000456D3">
      <w:pPr>
        <w:pStyle w:val="414"/>
        <w:rPr>
          <w:rtl/>
        </w:rPr>
      </w:pPr>
      <w:bookmarkStart w:id="11" w:name="_Toc23155585"/>
      <w:r>
        <w:rPr>
          <w:rFonts w:hint="cs"/>
          <w:rtl/>
        </w:rPr>
        <w:t>קבלת כתבי אישום, הרשעות וחומרי חקירה מגופי תביעה</w:t>
      </w:r>
      <w:bookmarkEnd w:id="11"/>
    </w:p>
    <w:p w14:paraId="75384B0E" w14:textId="77777777" w:rsidR="00387987" w:rsidRDefault="00387987" w:rsidP="005950C8">
      <w:pPr>
        <w:pStyle w:val="a1"/>
        <w:numPr>
          <w:ilvl w:val="0"/>
          <w:numId w:val="17"/>
        </w:numPr>
      </w:pPr>
      <w:r>
        <w:rPr>
          <w:rFonts w:hint="cs"/>
          <w:rtl/>
        </w:rPr>
        <w:t>החוק קובע כי ב</w:t>
      </w:r>
      <w:r w:rsidRPr="00E22C5A">
        <w:rPr>
          <w:rtl/>
        </w:rPr>
        <w:t>ית משפט ובית דין צבאי שהרשיע עורך דין בשל עביר</w:t>
      </w:r>
      <w:r>
        <w:rPr>
          <w:rtl/>
        </w:rPr>
        <w:t>ה פלילית ימציא ללשכה</w:t>
      </w:r>
      <w:r>
        <w:rPr>
          <w:rFonts w:hint="cs"/>
          <w:rtl/>
        </w:rPr>
        <w:t xml:space="preserve"> העתק מפסק הדין</w:t>
      </w:r>
      <w:r>
        <w:rPr>
          <w:rtl/>
        </w:rPr>
        <w:t xml:space="preserve">, באמצעות </w:t>
      </w:r>
      <w:r w:rsidRPr="00E22C5A">
        <w:rPr>
          <w:rtl/>
        </w:rPr>
        <w:t>היוע</w:t>
      </w:r>
      <w:r>
        <w:rPr>
          <w:rtl/>
        </w:rPr>
        <w:t>ץ המשפטי לממשלה</w:t>
      </w:r>
      <w:r>
        <w:rPr>
          <w:rFonts w:hint="cs"/>
          <w:rtl/>
        </w:rPr>
        <w:t>. בהתאם להנחיית פרקליט המדינה</w:t>
      </w:r>
      <w:r>
        <w:rPr>
          <w:rStyle w:val="FootnoteReference"/>
          <w:rtl/>
        </w:rPr>
        <w:footnoteReference w:id="41"/>
      </w:r>
      <w:r>
        <w:rPr>
          <w:rFonts w:hint="cs"/>
          <w:rtl/>
        </w:rPr>
        <w:t>,</w:t>
      </w:r>
      <w:r w:rsidRPr="00E22C5A">
        <w:rPr>
          <w:rtl/>
        </w:rPr>
        <w:t xml:space="preserve"> </w:t>
      </w:r>
      <w:r>
        <w:rPr>
          <w:rFonts w:hint="cs"/>
          <w:rtl/>
        </w:rPr>
        <w:t>כאשר מורשע עורך דין בפלילים, באופן ש</w:t>
      </w:r>
      <w:r w:rsidRPr="0076248B">
        <w:rPr>
          <w:rtl/>
        </w:rPr>
        <w:t xml:space="preserve">על פני הדברים יכול </w:t>
      </w:r>
      <w:r>
        <w:rPr>
          <w:rFonts w:hint="cs"/>
          <w:rtl/>
        </w:rPr>
        <w:t>שהוא</w:t>
      </w:r>
      <w:r w:rsidRPr="0076248B">
        <w:rPr>
          <w:rtl/>
        </w:rPr>
        <w:t xml:space="preserve"> יועמד לדין משמעתי,</w:t>
      </w:r>
      <w:r>
        <w:rPr>
          <w:rFonts w:hint="cs"/>
          <w:rtl/>
        </w:rPr>
        <w:t xml:space="preserve"> יש </w:t>
      </w:r>
      <w:r w:rsidRPr="00E22C5A">
        <w:rPr>
          <w:rtl/>
        </w:rPr>
        <w:t xml:space="preserve">לדווח </w:t>
      </w:r>
      <w:r>
        <w:rPr>
          <w:rtl/>
        </w:rPr>
        <w:t>לוועדת האתיקה הארצית</w:t>
      </w:r>
      <w:r>
        <w:rPr>
          <w:rFonts w:hint="cs"/>
          <w:rtl/>
        </w:rPr>
        <w:t xml:space="preserve"> על ההרשעה </w:t>
      </w:r>
      <w:r w:rsidRPr="00E22C5A">
        <w:rPr>
          <w:rtl/>
        </w:rPr>
        <w:t>מ</w:t>
      </w:r>
      <w:r>
        <w:rPr>
          <w:rFonts w:hint="cs"/>
          <w:rtl/>
        </w:rPr>
        <w:t>יי</w:t>
      </w:r>
      <w:r w:rsidRPr="00E22C5A">
        <w:rPr>
          <w:rtl/>
        </w:rPr>
        <w:t>ד לאחר סיום ההליכים</w:t>
      </w:r>
      <w:r>
        <w:rPr>
          <w:rFonts w:hint="cs"/>
          <w:rtl/>
        </w:rPr>
        <w:t xml:space="preserve">. זאת, על מנת שניתן יהיה לבחון אם יש בעבירה קלון ואם יש להטיל עליו עונש נוסף בדין המשמעתי או להשעותו באופן זמני כאמור בחוק. הנחיה זו חלה על כל גופי התביעה ובכלל זה הפרקליטות, חטיבת התביעות במשטרת ישראל (להלן - התביעה המשטרתית) וגופי תביעה נוספים שפועלים בהם תובעים שהוסמכו על ידי היועץ המשפטי לממשלה, כגון </w:t>
      </w:r>
      <w:r>
        <w:rPr>
          <w:rFonts w:hint="cs"/>
          <w:rtl/>
        </w:rPr>
        <w:lastRenderedPageBreak/>
        <w:t>תובעים במשרד העבודה, הרווחה והשירותים החברתיים, תובעים ברשות המיסים, תובעים עירוניים, תובעים בוועדות לתכנון ובנייה ועוד.</w:t>
      </w:r>
    </w:p>
    <w:p w14:paraId="3AE1A05F" w14:textId="77777777" w:rsidR="00387987" w:rsidRDefault="00387987" w:rsidP="00086738">
      <w:pPr>
        <w:pStyle w:val="af2"/>
        <w:rPr>
          <w:rtl/>
        </w:rPr>
      </w:pPr>
      <w:r>
        <w:rPr>
          <w:rFonts w:hint="cs"/>
          <w:rtl/>
        </w:rPr>
        <w:t>הנחיה נוספת של פרקליט המדינה</w:t>
      </w:r>
      <w:r>
        <w:rPr>
          <w:rStyle w:val="FootnoteReference"/>
          <w:rtl/>
        </w:rPr>
        <w:footnoteReference w:id="42"/>
      </w:r>
      <w:r>
        <w:rPr>
          <w:rFonts w:hint="cs"/>
          <w:rtl/>
        </w:rPr>
        <w:t xml:space="preserve"> קובעת כי כאשר מוגש כתב אישום נגד עורך דין יש להעביר עותק מכתב האישום, בסמוך לאחר הגשתו, לידיעת לשכת עורכי הדין. זאת, על מנת שגורמי האתיקה יחליטו האם יש מקום להשעות את עורך הדין מהלשכה באופן זמני בהתאם לסמכות הקבועה בחוק.</w:t>
      </w:r>
    </w:p>
    <w:p w14:paraId="2739CF58" w14:textId="574D7C1E" w:rsidR="00387987" w:rsidRDefault="00387987" w:rsidP="00086738">
      <w:pPr>
        <w:pStyle w:val="12"/>
        <w:rPr>
          <w:rtl/>
        </w:rPr>
      </w:pPr>
      <w:r w:rsidRPr="00041C5D">
        <w:rPr>
          <w:rFonts w:hint="cs"/>
          <w:rtl/>
        </w:rPr>
        <w:t xml:space="preserve">בביקורת נמצא כי </w:t>
      </w:r>
      <w:r>
        <w:rPr>
          <w:rFonts w:hint="cs"/>
          <w:rtl/>
        </w:rPr>
        <w:t xml:space="preserve">חלק ניכר מהמידע על אודות כתבי אישום והרשעות לא מגיע לוועדות האתיקה. כמו כן </w:t>
      </w:r>
      <w:r w:rsidRPr="00041C5D">
        <w:rPr>
          <w:rFonts w:hint="cs"/>
          <w:rtl/>
        </w:rPr>
        <w:t xml:space="preserve">יש פערים בנוגע להעברות מידע </w:t>
      </w:r>
      <w:r>
        <w:rPr>
          <w:rFonts w:hint="cs"/>
          <w:rtl/>
        </w:rPr>
        <w:t>כאמור ל</w:t>
      </w:r>
      <w:r w:rsidRPr="00041C5D">
        <w:rPr>
          <w:rFonts w:hint="cs"/>
          <w:rtl/>
        </w:rPr>
        <w:t xml:space="preserve">מחוזות השונים. </w:t>
      </w:r>
    </w:p>
    <w:p w14:paraId="7195DEA1" w14:textId="2419A4AF" w:rsidR="00387987" w:rsidRPr="00086738" w:rsidRDefault="008202F5" w:rsidP="008202F5">
      <w:pPr>
        <w:pStyle w:val="12"/>
        <w:ind w:left="1077" w:hanging="397"/>
        <w:rPr>
          <w:rtl/>
        </w:rPr>
      </w:pPr>
      <w:r>
        <w:rPr>
          <w:rFonts w:hint="cs"/>
          <w:rtl/>
        </w:rPr>
        <w:t xml:space="preserve">א.  </w:t>
      </w:r>
      <w:r w:rsidR="00387987" w:rsidRPr="00DD51C2">
        <w:rPr>
          <w:rtl/>
        </w:rPr>
        <w:t xml:space="preserve">הפרקליטות - בביקורת נמצא כי, ככלל, הפרקליטות מעבירה מיוזמתה מידע בדבר </w:t>
      </w:r>
      <w:r w:rsidR="00387987" w:rsidRPr="00086738">
        <w:rPr>
          <w:rtl/>
        </w:rPr>
        <w:t>כתבי אישום והרשעות למחוזות תל אביב, חיפה ודרום אך לא למחוזות ירושלים וצפון.</w:t>
      </w:r>
    </w:p>
    <w:p w14:paraId="6F62AC91" w14:textId="26BB8C39" w:rsidR="00387987" w:rsidRPr="00423F7C" w:rsidRDefault="008202F5" w:rsidP="008202F5">
      <w:pPr>
        <w:pStyle w:val="12"/>
        <w:ind w:left="1077" w:hanging="397"/>
      </w:pPr>
      <w:r>
        <w:rPr>
          <w:rFonts w:hint="cs"/>
          <w:rtl/>
        </w:rPr>
        <w:t xml:space="preserve">ב.    </w:t>
      </w:r>
      <w:r w:rsidR="00387987" w:rsidRPr="00086738">
        <w:rPr>
          <w:rtl/>
        </w:rPr>
        <w:t>התביעה</w:t>
      </w:r>
      <w:r w:rsidR="00387987" w:rsidRPr="00423F7C">
        <w:rPr>
          <w:rtl/>
        </w:rPr>
        <w:t xml:space="preserve"> המשטרתית - בביקורת נמצא כי </w:t>
      </w:r>
      <w:r w:rsidR="00387987">
        <w:rPr>
          <w:rFonts w:hint="cs"/>
          <w:rtl/>
        </w:rPr>
        <w:t>במרבית המקרים התביעה המשטרתית אינה מודעת לכך שהנאשם הינו עורך דין. כך,</w:t>
      </w:r>
      <w:r w:rsidR="00387987" w:rsidRPr="00423F7C">
        <w:rPr>
          <w:rtl/>
        </w:rPr>
        <w:t xml:space="preserve"> מתוך 214 כתבי אישום שהגישה התביעה המשטרתית כנגד עורכי דין בשנים 2017</w:t>
      </w:r>
      <w:r w:rsidR="00387987">
        <w:rPr>
          <w:rFonts w:hint="cs"/>
          <w:rtl/>
        </w:rPr>
        <w:t xml:space="preserve"> </w:t>
      </w:r>
      <w:r w:rsidR="00387987" w:rsidRPr="00423F7C">
        <w:rPr>
          <w:rtl/>
        </w:rPr>
        <w:t xml:space="preserve">-2018, היא דיווחה למחוזות רק על 10 </w:t>
      </w:r>
      <w:r w:rsidR="00387987">
        <w:rPr>
          <w:rFonts w:hint="cs"/>
          <w:rtl/>
        </w:rPr>
        <w:t>כתבי אישום</w:t>
      </w:r>
      <w:r w:rsidR="00387987" w:rsidRPr="00423F7C">
        <w:rPr>
          <w:rtl/>
        </w:rPr>
        <w:t xml:space="preserve">. </w:t>
      </w:r>
    </w:p>
    <w:p w14:paraId="3CCC6ADE" w14:textId="46F8764B" w:rsidR="00086738" w:rsidRDefault="00387987" w:rsidP="00086738">
      <w:pPr>
        <w:pStyle w:val="af2"/>
        <w:rPr>
          <w:rtl/>
        </w:rPr>
      </w:pPr>
      <w:r w:rsidRPr="00975FBA">
        <w:rPr>
          <w:rtl/>
        </w:rPr>
        <w:t xml:space="preserve">להלן בתרשים פירוט אודות מספר כתבי האישום שהגישה התביעה המשטרתית כנגד עורכי דין, ומספר כתבי האישום </w:t>
      </w:r>
      <w:r>
        <w:rPr>
          <w:rFonts w:hint="cs"/>
          <w:rtl/>
        </w:rPr>
        <w:t xml:space="preserve">עליהם </w:t>
      </w:r>
      <w:r w:rsidRPr="00975FBA">
        <w:rPr>
          <w:rtl/>
        </w:rPr>
        <w:t>ה</w:t>
      </w:r>
      <w:r>
        <w:rPr>
          <w:rFonts w:hint="cs"/>
          <w:rtl/>
        </w:rPr>
        <w:t>יא דיווחה ל</w:t>
      </w:r>
      <w:r w:rsidRPr="00975FBA">
        <w:rPr>
          <w:rtl/>
        </w:rPr>
        <w:t>לשכה.</w:t>
      </w:r>
    </w:p>
    <w:p w14:paraId="44DEF4A3" w14:textId="77777777" w:rsidR="00086738" w:rsidRDefault="00086738">
      <w:pPr>
        <w:bidi w:val="0"/>
        <w:spacing w:after="200" w:line="276" w:lineRule="auto"/>
        <w:rPr>
          <w:rFonts w:ascii="Tahoma" w:hAnsi="Tahoma" w:cs="Tahoma"/>
          <w:szCs w:val="20"/>
          <w:rtl/>
        </w:rPr>
      </w:pPr>
      <w:r>
        <w:rPr>
          <w:rtl/>
        </w:rPr>
        <w:br w:type="page"/>
      </w:r>
    </w:p>
    <w:p w14:paraId="0E3B626D" w14:textId="0785A044" w:rsidR="00387987" w:rsidRPr="00086738" w:rsidRDefault="00387987" w:rsidP="00086738">
      <w:pPr>
        <w:pStyle w:val="a8"/>
        <w:rPr>
          <w:b/>
          <w:bCs/>
          <w:rtl/>
        </w:rPr>
      </w:pPr>
      <w:r w:rsidRPr="00EB3784">
        <w:rPr>
          <w:rFonts w:hint="cs"/>
          <w:rtl/>
        </w:rPr>
        <w:lastRenderedPageBreak/>
        <w:t xml:space="preserve">תרשים </w:t>
      </w:r>
      <w:r>
        <w:rPr>
          <w:rFonts w:hint="cs"/>
          <w:rtl/>
        </w:rPr>
        <w:t>8</w:t>
      </w:r>
      <w:r w:rsidRPr="00EB3784">
        <w:rPr>
          <w:rFonts w:hint="cs"/>
          <w:rtl/>
        </w:rPr>
        <w:t xml:space="preserve">: </w:t>
      </w:r>
      <w:r w:rsidRPr="00086738">
        <w:rPr>
          <w:rFonts w:hint="cs"/>
          <w:b/>
          <w:bCs/>
          <w:rtl/>
        </w:rPr>
        <w:t xml:space="preserve">מספר כתבי </w:t>
      </w:r>
      <w:r w:rsidR="00F55892">
        <w:rPr>
          <w:rFonts w:hint="cs"/>
          <w:b/>
          <w:bCs/>
          <w:rtl/>
        </w:rPr>
        <w:t>ה</w:t>
      </w:r>
      <w:r w:rsidRPr="00086738">
        <w:rPr>
          <w:rFonts w:hint="cs"/>
          <w:b/>
          <w:bCs/>
          <w:rtl/>
        </w:rPr>
        <w:t xml:space="preserve">אישום שהגישה התביעה המשטרתית נגד עורכי דין ומספר כתבי </w:t>
      </w:r>
      <w:r w:rsidR="00F55892">
        <w:rPr>
          <w:rFonts w:hint="cs"/>
          <w:b/>
          <w:bCs/>
          <w:rtl/>
        </w:rPr>
        <w:t>ה</w:t>
      </w:r>
      <w:r w:rsidRPr="00086738">
        <w:rPr>
          <w:rFonts w:hint="cs"/>
          <w:b/>
          <w:bCs/>
          <w:rtl/>
        </w:rPr>
        <w:t>אישום עליהם דיווחה ללשכה, בשנים 2017 - 2018</w:t>
      </w:r>
    </w:p>
    <w:p w14:paraId="64455495" w14:textId="77777777" w:rsidR="00387987" w:rsidRPr="00B87843" w:rsidRDefault="00387987" w:rsidP="00387987">
      <w:pPr>
        <w:spacing w:line="269" w:lineRule="auto"/>
      </w:pPr>
      <w:r>
        <w:rPr>
          <w:noProof/>
        </w:rPr>
        <w:drawing>
          <wp:inline distT="0" distB="0" distL="0" distR="0" wp14:anchorId="3334B240" wp14:editId="07A70284">
            <wp:extent cx="5219951" cy="5800725"/>
            <wp:effectExtent l="0" t="0" r="0" b="0"/>
            <wp:docPr id="36" name="תמונה 7" descr="C:\Users\itiel_ma\AppData\Local\Microsoft\Windows\INetCache\Content.Word\תרשים חדש עורכי הדי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tiel_ma\AppData\Local\Microsoft\Windows\INetCache\Content.Word\תרשים חדש עורכי הדין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2594" cy="5803662"/>
                    </a:xfrm>
                    <a:prstGeom prst="rect">
                      <a:avLst/>
                    </a:prstGeom>
                    <a:noFill/>
                    <a:ln>
                      <a:noFill/>
                    </a:ln>
                  </pic:spPr>
                </pic:pic>
              </a:graphicData>
            </a:graphic>
          </wp:inline>
        </w:drawing>
      </w:r>
    </w:p>
    <w:p w14:paraId="52CACFDD" w14:textId="1767EBC1" w:rsidR="00387987" w:rsidRPr="00086738" w:rsidRDefault="00387987" w:rsidP="00086738">
      <w:pPr>
        <w:pStyle w:val="aa"/>
        <w:rPr>
          <w:rtl/>
        </w:rPr>
      </w:pPr>
      <w:r w:rsidRPr="00086738">
        <w:rPr>
          <w:rFonts w:hint="cs"/>
          <w:rtl/>
        </w:rPr>
        <w:t xml:space="preserve">המקור: נתוני המשטרה </w:t>
      </w:r>
      <w:r w:rsidR="00824AF9">
        <w:rPr>
          <w:rFonts w:hint="cs"/>
          <w:rtl/>
        </w:rPr>
        <w:t xml:space="preserve">ולשכת עורכי הדין </w:t>
      </w:r>
      <w:r w:rsidRPr="00086738">
        <w:rPr>
          <w:rFonts w:hint="cs"/>
          <w:rtl/>
        </w:rPr>
        <w:t>בעיבוד משרד מבקר המדינה</w:t>
      </w:r>
      <w:r w:rsidR="00793046">
        <w:rPr>
          <w:rFonts w:hint="cs"/>
          <w:rtl/>
        </w:rPr>
        <w:t>.</w:t>
      </w:r>
    </w:p>
    <w:p w14:paraId="4995352A" w14:textId="77777777" w:rsidR="00387987" w:rsidRPr="00086738" w:rsidRDefault="00387987" w:rsidP="00086738">
      <w:pPr>
        <w:pStyle w:val="aa"/>
        <w:rPr>
          <w:rtl/>
        </w:rPr>
      </w:pPr>
      <w:r w:rsidRPr="00086738">
        <w:rPr>
          <w:rFonts w:hint="cs"/>
          <w:rtl/>
        </w:rPr>
        <w:t>* הנתונים לגבי מחוז תל אביב הם מיוני 2017.</w:t>
      </w:r>
    </w:p>
    <w:p w14:paraId="7E8AD883" w14:textId="77777777" w:rsidR="0019399F" w:rsidRDefault="0019399F" w:rsidP="0019399F">
      <w:pPr>
        <w:pStyle w:val="af2"/>
        <w:rPr>
          <w:rtl/>
        </w:rPr>
      </w:pPr>
    </w:p>
    <w:p w14:paraId="42857659" w14:textId="2CD4E611" w:rsidR="00387987" w:rsidRDefault="00387987" w:rsidP="0019399F">
      <w:pPr>
        <w:pStyle w:val="af2"/>
        <w:rPr>
          <w:rtl/>
        </w:rPr>
      </w:pPr>
      <w:r w:rsidRPr="00134C8A">
        <w:rPr>
          <w:rtl/>
        </w:rPr>
        <w:t>הפרקלי</w:t>
      </w:r>
      <w:r>
        <w:rPr>
          <w:rtl/>
        </w:rPr>
        <w:t xml:space="preserve">טות מסרה בתשובתה כי היא מגבשת פתרון מחשובי אשר יתריע </w:t>
      </w:r>
      <w:r>
        <w:rPr>
          <w:rFonts w:hint="cs"/>
          <w:rtl/>
        </w:rPr>
        <w:t>ב</w:t>
      </w:r>
      <w:r w:rsidRPr="00134C8A">
        <w:rPr>
          <w:rtl/>
        </w:rPr>
        <w:t>פני הפרקליט על הצורך בקיום הנחיות שונות של פרקליט המדינה בשלבים השונים של ההליך הפלילי, ובכלל זה התרעה בעת הגשת כתב אישום נגד עורך דין בדבר הצורך להעביר העתק מכתב האישום ללשכה.</w:t>
      </w:r>
      <w:r>
        <w:rPr>
          <w:rFonts w:hint="cs"/>
          <w:rtl/>
        </w:rPr>
        <w:t xml:space="preserve"> משרד המשפטים הוסי</w:t>
      </w:r>
      <w:r w:rsidRPr="008F1512">
        <w:rPr>
          <w:rtl/>
        </w:rPr>
        <w:t xml:space="preserve">ף </w:t>
      </w:r>
      <w:r>
        <w:rPr>
          <w:rFonts w:hint="cs"/>
          <w:rtl/>
        </w:rPr>
        <w:t>בתשובתו</w:t>
      </w:r>
      <w:r w:rsidRPr="008F1512">
        <w:rPr>
          <w:rtl/>
        </w:rPr>
        <w:t xml:space="preserve"> כי חוק המידע הפלילי ותקנת השבים</w:t>
      </w:r>
      <w:r>
        <w:rPr>
          <w:rFonts w:hint="cs"/>
          <w:rtl/>
        </w:rPr>
        <w:t xml:space="preserve">, </w:t>
      </w:r>
      <w:r>
        <w:rPr>
          <w:rFonts w:hint="cs"/>
          <w:rtl/>
        </w:rPr>
        <w:lastRenderedPageBreak/>
        <w:t>התשע"ט-2019</w:t>
      </w:r>
      <w:r w:rsidRPr="008F1512">
        <w:rPr>
          <w:rtl/>
        </w:rPr>
        <w:t>, שעתיד להיכנס לתוקפו בשנת 2021, יוצר סטנדרטים חדשים של דיווח שמחייבים את כלל גופי האכיפה בכל שלבי ההליך הפלילי, ו</w:t>
      </w:r>
      <w:r>
        <w:rPr>
          <w:rFonts w:hint="cs"/>
          <w:rtl/>
        </w:rPr>
        <w:t xml:space="preserve">הוא </w:t>
      </w:r>
      <w:r w:rsidRPr="008F1512">
        <w:rPr>
          <w:rtl/>
        </w:rPr>
        <w:t xml:space="preserve">סבור כי </w:t>
      </w:r>
      <w:r>
        <w:rPr>
          <w:rFonts w:hint="cs"/>
          <w:rtl/>
        </w:rPr>
        <w:t>החוק</w:t>
      </w:r>
      <w:r w:rsidRPr="008F1512">
        <w:rPr>
          <w:rtl/>
        </w:rPr>
        <w:t xml:space="preserve"> יאפשר גם שיפור ממשקי העברת המידע עם גופי</w:t>
      </w:r>
      <w:r>
        <w:rPr>
          <w:rFonts w:hint="cs"/>
          <w:rtl/>
        </w:rPr>
        <w:t>ם</w:t>
      </w:r>
      <w:r w:rsidRPr="008F1512">
        <w:rPr>
          <w:rtl/>
        </w:rPr>
        <w:t xml:space="preserve"> שונים הזכאים לקבלת מידע מהמרשם הפלילי, דוגמת </w:t>
      </w:r>
      <w:r>
        <w:rPr>
          <w:rFonts w:hint="cs"/>
          <w:rtl/>
        </w:rPr>
        <w:t>ה</w:t>
      </w:r>
      <w:r w:rsidRPr="008F1512">
        <w:rPr>
          <w:rtl/>
        </w:rPr>
        <w:t>לשכ</w:t>
      </w:r>
      <w:r>
        <w:rPr>
          <w:rFonts w:hint="cs"/>
          <w:rtl/>
        </w:rPr>
        <w:t>ה. בהקשר זה ציינה הפרקליטות כי לאור תיקון זה מתקיימת עבודת מטה במחלקת ייעוץ וחקיקה במשרד המשפטים</w:t>
      </w:r>
      <w:r w:rsidRPr="008F1512">
        <w:rPr>
          <w:rFonts w:hint="cs"/>
          <w:rtl/>
        </w:rPr>
        <w:t xml:space="preserve"> </w:t>
      </w:r>
      <w:r>
        <w:rPr>
          <w:rFonts w:hint="cs"/>
          <w:rtl/>
        </w:rPr>
        <w:t>וכי היא ממתינה לקבלת תוצרי הליך זה.</w:t>
      </w:r>
    </w:p>
    <w:p w14:paraId="23A9FF24" w14:textId="77777777" w:rsidR="00387987" w:rsidRDefault="00387987" w:rsidP="0019399F">
      <w:pPr>
        <w:pStyle w:val="af2"/>
      </w:pPr>
      <w:r>
        <w:rPr>
          <w:rFonts w:hint="cs"/>
          <w:rtl/>
        </w:rPr>
        <w:t>התביעה המשטרתית</w:t>
      </w:r>
      <w:r w:rsidRPr="00296E35">
        <w:rPr>
          <w:rtl/>
        </w:rPr>
        <w:t xml:space="preserve"> </w:t>
      </w:r>
      <w:r w:rsidRPr="00296E35">
        <w:rPr>
          <w:rFonts w:hint="eastAsia"/>
          <w:rtl/>
        </w:rPr>
        <w:t>מסרה</w:t>
      </w:r>
      <w:r w:rsidRPr="00296E35">
        <w:rPr>
          <w:rtl/>
        </w:rPr>
        <w:t xml:space="preserve"> </w:t>
      </w:r>
      <w:r w:rsidRPr="00296E35">
        <w:rPr>
          <w:rFonts w:hint="eastAsia"/>
          <w:rtl/>
        </w:rPr>
        <w:t>בתשובתה</w:t>
      </w:r>
      <w:r w:rsidRPr="00296E35">
        <w:rPr>
          <w:rFonts w:hint="cs"/>
          <w:rtl/>
        </w:rPr>
        <w:t xml:space="preserve"> </w:t>
      </w:r>
      <w:r>
        <w:rPr>
          <w:rFonts w:hint="cs"/>
          <w:rtl/>
        </w:rPr>
        <w:t xml:space="preserve">מינואר 2020 </w:t>
      </w:r>
      <w:r w:rsidRPr="00296E35">
        <w:rPr>
          <w:rFonts w:hint="cs"/>
          <w:rtl/>
        </w:rPr>
        <w:t xml:space="preserve">כי </w:t>
      </w:r>
      <w:r>
        <w:rPr>
          <w:rFonts w:hint="cs"/>
          <w:rtl/>
        </w:rPr>
        <w:t xml:space="preserve">ככלל </w:t>
      </w:r>
      <w:r w:rsidRPr="00296E35">
        <w:rPr>
          <w:rFonts w:hint="cs"/>
          <w:rtl/>
        </w:rPr>
        <w:t>כל יחידות</w:t>
      </w:r>
      <w:r>
        <w:rPr>
          <w:rFonts w:hint="cs"/>
          <w:rtl/>
        </w:rPr>
        <w:t xml:space="preserve"> התביעה פועלות בהתאם להנחיות פרקליט המדינה. הנחיית פרקליט המדינה המעודכנת בנוגע להרשעות הועברה לכל התובעים במשטרה ביוני 2019 ופעם נוספת באוקטובר 2019. יחד עם זאת, הוסיפה התביעה המשטרתית כי היא מדווחת ללשכת עורכי הדין על כתבי אישום כנגד עורכי דין רק כאשר היא מודעת להיותם עורכי דין בהתאם לתשתית הראייתית הקיימת בתיק החקירה. </w:t>
      </w:r>
    </w:p>
    <w:p w14:paraId="66372345" w14:textId="423E54C0" w:rsidR="00387987" w:rsidRDefault="00387987" w:rsidP="00CD467E">
      <w:pPr>
        <w:pStyle w:val="12"/>
        <w:rPr>
          <w:rtl/>
        </w:rPr>
      </w:pPr>
      <w:r>
        <w:rPr>
          <w:rFonts w:hint="cs"/>
          <w:rtl/>
        </w:rPr>
        <w:t xml:space="preserve">החובה להעביר מידע בדבר כתבי אישום והרשעות של עורכי דין נקבעה בחוק ובהנחיות פרקליט המדינה. האחוז </w:t>
      </w:r>
      <w:r w:rsidRPr="008D14D0">
        <w:rPr>
          <w:rFonts w:hint="eastAsia"/>
          <w:rtl/>
        </w:rPr>
        <w:t>הנמוך</w:t>
      </w:r>
      <w:r>
        <w:rPr>
          <w:rFonts w:hint="cs"/>
          <w:rtl/>
        </w:rPr>
        <w:t xml:space="preserve"> של כתבי אישום שהמשטרה דיווחה ללשכה עליהם (כ-5%) </w:t>
      </w:r>
      <w:r w:rsidRPr="00EB5C21">
        <w:rPr>
          <w:rtl/>
        </w:rPr>
        <w:t xml:space="preserve">ותשובת </w:t>
      </w:r>
      <w:r>
        <w:rPr>
          <w:rFonts w:hint="cs"/>
          <w:rtl/>
        </w:rPr>
        <w:t xml:space="preserve">התביעה המשטרתית </w:t>
      </w:r>
      <w:r w:rsidRPr="00EB5C21">
        <w:rPr>
          <w:rtl/>
        </w:rPr>
        <w:t>מלמדים על הצורך של הגורמים הרלבנטיים במשטרה להקפיד על בירור ורישום משלח היד של החשוד כבר בשלב החקירה</w:t>
      </w:r>
      <w:r>
        <w:rPr>
          <w:rFonts w:hint="cs"/>
          <w:rtl/>
        </w:rPr>
        <w:t xml:space="preserve"> </w:t>
      </w:r>
      <w:r w:rsidRPr="00423F7C">
        <w:rPr>
          <w:rtl/>
        </w:rPr>
        <w:t xml:space="preserve">על מנת </w:t>
      </w:r>
      <w:r>
        <w:rPr>
          <w:rFonts w:hint="cs"/>
          <w:rtl/>
        </w:rPr>
        <w:t xml:space="preserve">שגורמי התביעה יהיו מודעים לכך שהחשוד </w:t>
      </w:r>
      <w:r w:rsidR="00EB5869">
        <w:rPr>
          <w:rFonts w:hint="cs"/>
          <w:rtl/>
        </w:rPr>
        <w:t>הוא</w:t>
      </w:r>
      <w:r>
        <w:rPr>
          <w:rFonts w:hint="cs"/>
          <w:rtl/>
        </w:rPr>
        <w:t xml:space="preserve"> עורך דין ויוכלו ל</w:t>
      </w:r>
      <w:r w:rsidRPr="00423F7C">
        <w:rPr>
          <w:rtl/>
        </w:rPr>
        <w:t>דווח על כך בעת הגשת כתב אישום</w:t>
      </w:r>
      <w:r>
        <w:rPr>
          <w:rFonts w:hint="cs"/>
          <w:rtl/>
        </w:rPr>
        <w:t xml:space="preserve">. כתוצאה מאי-העברת מידע ללשכה עלולים עורכי דין שאינם ראויים לכך להמשיך לעסוק במקצוע ולגרום נזק ללקוחותיהם. כמו כן, אי-העברת המידע פוגעת בהרתעת עורכי </w:t>
      </w:r>
      <w:r w:rsidRPr="008D14D0">
        <w:rPr>
          <w:rFonts w:hint="cs"/>
          <w:rtl/>
        </w:rPr>
        <w:t xml:space="preserve">דין </w:t>
      </w:r>
      <w:r w:rsidRPr="008D14D0">
        <w:rPr>
          <w:rFonts w:hint="eastAsia"/>
          <w:rtl/>
        </w:rPr>
        <w:t>שמוגש</w:t>
      </w:r>
      <w:r w:rsidRPr="008D14D0">
        <w:rPr>
          <w:rtl/>
        </w:rPr>
        <w:t xml:space="preserve"> נגד</w:t>
      </w:r>
      <w:r w:rsidRPr="008D14D0">
        <w:rPr>
          <w:rFonts w:hint="cs"/>
          <w:rtl/>
        </w:rPr>
        <w:t>ם</w:t>
      </w:r>
      <w:r w:rsidRPr="008D14D0">
        <w:rPr>
          <w:rtl/>
        </w:rPr>
        <w:t xml:space="preserve"> כתב אישום ברם הם </w:t>
      </w:r>
      <w:r w:rsidRPr="008D14D0">
        <w:rPr>
          <w:rFonts w:hint="eastAsia"/>
          <w:rtl/>
        </w:rPr>
        <w:t>ממשיכים</w:t>
      </w:r>
      <w:r>
        <w:rPr>
          <w:rFonts w:hint="cs"/>
          <w:rtl/>
        </w:rPr>
        <w:t xml:space="preserve"> לעסוק במקצוע. </w:t>
      </w:r>
      <w:r w:rsidRPr="00EB5C21">
        <w:rPr>
          <w:rtl/>
        </w:rPr>
        <w:t>להקפדה על רישום משלח היד חשיבות גם בקשר לבעלי מקצועות אחרים הכפופ</w:t>
      </w:r>
      <w:r>
        <w:rPr>
          <w:rtl/>
        </w:rPr>
        <w:t xml:space="preserve">ים לדין משמעתי כגון </w:t>
      </w:r>
      <w:r>
        <w:rPr>
          <w:rFonts w:hint="cs"/>
          <w:rtl/>
        </w:rPr>
        <w:t>עובדי מדינה ו</w:t>
      </w:r>
      <w:r w:rsidRPr="00EB5C21">
        <w:rPr>
          <w:rtl/>
        </w:rPr>
        <w:t>רופאים</w:t>
      </w:r>
      <w:r>
        <w:rPr>
          <w:rFonts w:hint="cs"/>
          <w:rtl/>
        </w:rPr>
        <w:t xml:space="preserve"> שיש חובות דיווח גם בעניינם.</w:t>
      </w:r>
    </w:p>
    <w:p w14:paraId="78646F5D" w14:textId="77777777" w:rsidR="00387987" w:rsidRDefault="00387987" w:rsidP="00CD467E">
      <w:pPr>
        <w:pStyle w:val="a1"/>
      </w:pPr>
      <w:r w:rsidRPr="00041C5D">
        <w:rPr>
          <w:rtl/>
        </w:rPr>
        <w:t>בהנח</w:t>
      </w:r>
      <w:r>
        <w:rPr>
          <w:rFonts w:hint="cs"/>
          <w:rtl/>
        </w:rPr>
        <w:t>י</w:t>
      </w:r>
      <w:r w:rsidRPr="00041C5D">
        <w:rPr>
          <w:rtl/>
        </w:rPr>
        <w:t xml:space="preserve">ית </w:t>
      </w:r>
      <w:r>
        <w:rPr>
          <w:rFonts w:hint="cs"/>
          <w:rtl/>
        </w:rPr>
        <w:t>פרקליט המדינה</w:t>
      </w:r>
      <w:r>
        <w:rPr>
          <w:rStyle w:val="FootnoteReference"/>
          <w:rtl/>
        </w:rPr>
        <w:footnoteReference w:id="43"/>
      </w:r>
      <w:r w:rsidRPr="00041C5D">
        <w:rPr>
          <w:rtl/>
        </w:rPr>
        <w:t xml:space="preserve"> נקבעו הכללים להעברת חומרי חקירה בהליך פלילי לגורמים שונים ובכלל זה לגופים ציבוריים שלהם סמכויות לנקוט הליכים נגד אדם שנפתחה נגדו חקירה פלילית או שהוגש נגדו כתב אישום. לשם מימוש הסמכויות האמורות נזקק לעיתים הגוף הציבורי לחומרי החקירה. להנחיה נגיעה לסמכות לשכת עורכי הדין להשעות עורך דין עם הגשת כתב אישום נגדו במקרה </w:t>
      </w:r>
      <w:r>
        <w:rPr>
          <w:rFonts w:hint="cs"/>
          <w:rtl/>
        </w:rPr>
        <w:t>ש</w:t>
      </w:r>
      <w:r w:rsidRPr="00041C5D">
        <w:rPr>
          <w:rtl/>
        </w:rPr>
        <w:t xml:space="preserve">היה בעבירה המיוחסת לעורך </w:t>
      </w:r>
      <w:r>
        <w:rPr>
          <w:rFonts w:hint="cs"/>
          <w:rtl/>
        </w:rPr>
        <w:t>ה</w:t>
      </w:r>
      <w:r w:rsidRPr="00041C5D">
        <w:rPr>
          <w:rtl/>
        </w:rPr>
        <w:t>דין משום קלון</w:t>
      </w:r>
      <w:r>
        <w:rPr>
          <w:rFonts w:hint="cs"/>
          <w:rtl/>
        </w:rPr>
        <w:t>.</w:t>
      </w:r>
      <w:r w:rsidRPr="00041C5D">
        <w:rPr>
          <w:rtl/>
        </w:rPr>
        <w:t xml:space="preserve"> בנסיבות אלה עשוי ל</w:t>
      </w:r>
      <w:r>
        <w:rPr>
          <w:rFonts w:hint="cs"/>
          <w:rtl/>
        </w:rPr>
        <w:t>התעורר</w:t>
      </w:r>
      <w:r w:rsidRPr="00041C5D">
        <w:rPr>
          <w:rtl/>
        </w:rPr>
        <w:t xml:space="preserve"> </w:t>
      </w:r>
      <w:r>
        <w:rPr>
          <w:rFonts w:hint="cs"/>
          <w:rtl/>
        </w:rPr>
        <w:t>צורך בוועדות האתיקה ל</w:t>
      </w:r>
      <w:r w:rsidRPr="00041C5D">
        <w:rPr>
          <w:rtl/>
        </w:rPr>
        <w:t xml:space="preserve">עיין בחומרי החקירה. </w:t>
      </w:r>
    </w:p>
    <w:p w14:paraId="6DB75E85" w14:textId="77777777" w:rsidR="00387987" w:rsidRDefault="00387987" w:rsidP="00CD467E">
      <w:pPr>
        <w:pStyle w:val="af2"/>
        <w:rPr>
          <w:rtl/>
        </w:rPr>
      </w:pPr>
      <w:r>
        <w:rPr>
          <w:rFonts w:hint="cs"/>
          <w:rtl/>
        </w:rPr>
        <w:t xml:space="preserve">במשך השנים התקיים דין ודברים בין לשכת עורכי הדין לבין הפרקליטות בנוגע לקבלת חומרי חקירה. במכתב של המשנה לפרקליט המדינה מספטמבר 2014 ליו"ר ועדת האתיקה הארצית נכתב כי לכתב האישום עצמו יש משקל כראיה מינהלית וככלל די בו כדי להשעות עורך דין באופן זמני. המשנה הציע כי אם הנילון יעלה טענה "קונקרטית וממוקדת" בנוגע לעובדות כתב האישום, יתקיים שיח בין הפרקליט המטפל לבא כוח הקובל, ובמידת הצורך יתאפשר עיון בחומרי חקירה נדרשים ככל שאין מגבלה מיוחדת על העיון מטעמים הקשורים </w:t>
      </w:r>
      <w:r>
        <w:rPr>
          <w:rFonts w:hint="cs"/>
          <w:rtl/>
        </w:rPr>
        <w:lastRenderedPageBreak/>
        <w:t>בתיק. לעומת זאת, עמדת ועדות האתיקה היא שעליהן להתרשם מחומר הראיות בטרם ישקלו השעיה זמנית לפי סמכותן בחוק.</w:t>
      </w:r>
    </w:p>
    <w:p w14:paraId="01739C83" w14:textId="77777777" w:rsidR="00387987" w:rsidRDefault="00387987" w:rsidP="00CD467E">
      <w:pPr>
        <w:pStyle w:val="af2"/>
        <w:rPr>
          <w:b/>
          <w:bCs/>
          <w:rtl/>
        </w:rPr>
      </w:pPr>
      <w:r w:rsidRPr="000B4043">
        <w:rPr>
          <w:rFonts w:hint="cs"/>
          <w:rtl/>
        </w:rPr>
        <w:t xml:space="preserve">על פי הנחיית </w:t>
      </w:r>
      <w:r>
        <w:rPr>
          <w:rFonts w:hint="cs"/>
          <w:rtl/>
        </w:rPr>
        <w:t>פרקליט המדינה</w:t>
      </w:r>
      <w:r w:rsidRPr="000B4043">
        <w:rPr>
          <w:rFonts w:hint="cs"/>
          <w:rtl/>
        </w:rPr>
        <w:t xml:space="preserve">, עיתוי העברת חומר החקירה </w:t>
      </w:r>
      <w:r>
        <w:rPr>
          <w:rFonts w:hint="cs"/>
          <w:rtl/>
        </w:rPr>
        <w:t>הוא</w:t>
      </w:r>
      <w:r w:rsidRPr="000B4043">
        <w:rPr>
          <w:rFonts w:hint="cs"/>
          <w:rtl/>
        </w:rPr>
        <w:t xml:space="preserve"> שיקול מרכזי בהכרעה בקשר להעברת חומרי חקירה. הלשכה זקוקה לחומר החקירה לאחר</w:t>
      </w:r>
      <w:r w:rsidRPr="000B4043">
        <w:rPr>
          <w:rtl/>
        </w:rPr>
        <w:t xml:space="preserve"> הגשת כתב האישום </w:t>
      </w:r>
      <w:r w:rsidRPr="000B4043">
        <w:rPr>
          <w:rFonts w:hint="cs"/>
          <w:rtl/>
        </w:rPr>
        <w:t>והעברת</w:t>
      </w:r>
      <w:r w:rsidRPr="000B4043">
        <w:rPr>
          <w:rtl/>
        </w:rPr>
        <w:t xml:space="preserve"> חומר החקירה לסנגורים</w:t>
      </w:r>
      <w:r w:rsidRPr="000B4043">
        <w:rPr>
          <w:rFonts w:hint="cs"/>
          <w:rtl/>
        </w:rPr>
        <w:t xml:space="preserve">. במצב דברים זה מצטמצם </w:t>
      </w:r>
      <w:r w:rsidRPr="000B4043">
        <w:rPr>
          <w:rtl/>
        </w:rPr>
        <w:t>החשש מהשלכות שליליות שע</w:t>
      </w:r>
      <w:r>
        <w:rPr>
          <w:rFonts w:hint="cs"/>
          <w:rtl/>
        </w:rPr>
        <w:t>לולות</w:t>
      </w:r>
      <w:r w:rsidRPr="000B4043">
        <w:rPr>
          <w:rtl/>
        </w:rPr>
        <w:t xml:space="preserve"> להיות להעברת חומר החקירה.</w:t>
      </w:r>
      <w:r>
        <w:rPr>
          <w:rFonts w:hint="cs"/>
          <w:b/>
          <w:bCs/>
          <w:rtl/>
        </w:rPr>
        <w:t xml:space="preserve"> </w:t>
      </w:r>
    </w:p>
    <w:p w14:paraId="2471D9F2" w14:textId="77777777" w:rsidR="00387987" w:rsidRDefault="00387987" w:rsidP="00CD467E">
      <w:pPr>
        <w:pStyle w:val="12"/>
        <w:rPr>
          <w:rtl/>
        </w:rPr>
      </w:pPr>
      <w:r w:rsidRPr="002014BE">
        <w:rPr>
          <w:rFonts w:hint="cs"/>
          <w:rtl/>
        </w:rPr>
        <w:t xml:space="preserve">בביקורת נמצא כי </w:t>
      </w:r>
      <w:r>
        <w:rPr>
          <w:rFonts w:hint="cs"/>
          <w:rtl/>
        </w:rPr>
        <w:t xml:space="preserve">במחוז חיפה יש </w:t>
      </w:r>
      <w:r w:rsidRPr="002014BE">
        <w:rPr>
          <w:rFonts w:hint="cs"/>
          <w:rtl/>
        </w:rPr>
        <w:t xml:space="preserve">קשיים </w:t>
      </w:r>
      <w:r>
        <w:rPr>
          <w:rFonts w:hint="cs"/>
          <w:rtl/>
        </w:rPr>
        <w:t>בקבלת חומרי חקירה מן הפרקליטות ובמחוז צפון מהמשטרה</w:t>
      </w:r>
      <w:r w:rsidRPr="002014BE">
        <w:rPr>
          <w:rFonts w:hint="cs"/>
          <w:rtl/>
        </w:rPr>
        <w:t>.</w:t>
      </w:r>
      <w:r>
        <w:rPr>
          <w:rFonts w:hint="cs"/>
          <w:rtl/>
        </w:rPr>
        <w:t xml:space="preserve"> </w:t>
      </w:r>
    </w:p>
    <w:p w14:paraId="553B8690" w14:textId="77777777" w:rsidR="00387987" w:rsidRDefault="00387987" w:rsidP="00CD467E">
      <w:pPr>
        <w:pStyle w:val="12"/>
        <w:rPr>
          <w:rtl/>
        </w:rPr>
      </w:pPr>
      <w:r>
        <w:rPr>
          <w:rFonts w:hint="cs"/>
          <w:rtl/>
        </w:rPr>
        <w:t>על הפרקליטות, בהתייעצות עם לשכת עורכי הדין ומחלקת ייעוץ וחקיקה במשרד המשפטים, לגבש עמדה סדורה בשאלת העברת חומרי חקירה לשם שימוש בדין המשמעתי וליישמה בכלל גופי התביעה הרלוונטיים.</w:t>
      </w:r>
    </w:p>
    <w:p w14:paraId="6DC3311C" w14:textId="77777777" w:rsidR="00387987" w:rsidRDefault="00387987" w:rsidP="001A40B6">
      <w:pPr>
        <w:pStyle w:val="316"/>
        <w:rPr>
          <w:rtl/>
        </w:rPr>
      </w:pPr>
      <w:bookmarkStart w:id="12" w:name="_Toc23155586"/>
      <w:bookmarkStart w:id="13" w:name="_Toc23159782"/>
      <w:r>
        <w:rPr>
          <w:rFonts w:hint="cs"/>
          <w:rtl/>
        </w:rPr>
        <w:t>הטיפול בתלונות במחוז תל אביב</w:t>
      </w:r>
      <w:bookmarkEnd w:id="12"/>
      <w:bookmarkEnd w:id="13"/>
    </w:p>
    <w:p w14:paraId="53383A06" w14:textId="77777777" w:rsidR="00387987" w:rsidRDefault="00387987" w:rsidP="001A40B6">
      <w:pPr>
        <w:pStyle w:val="100"/>
        <w:rPr>
          <w:rtl/>
        </w:rPr>
      </w:pPr>
      <w:r>
        <w:rPr>
          <w:rFonts w:hint="cs"/>
          <w:rtl/>
        </w:rPr>
        <w:t>בשנים 2016 - 2018 נפתחו 9,941 תיקי תלונות אתיקה בכל ועדות האתיקה המחוזיות והארצית. 5,068 מהתיקים, שהם כ-51% מכלל התיקים, נפתחו במחוז תל אביב</w:t>
      </w:r>
      <w:r w:rsidRPr="000B33C2">
        <w:rPr>
          <w:rFonts w:hint="cs"/>
          <w:rtl/>
        </w:rPr>
        <w:t xml:space="preserve">. </w:t>
      </w:r>
      <w:r>
        <w:rPr>
          <w:rFonts w:hint="cs"/>
          <w:rtl/>
        </w:rPr>
        <w:t xml:space="preserve">בתרשים שלהלן מובאים </w:t>
      </w:r>
      <w:r w:rsidRPr="000B33C2">
        <w:rPr>
          <w:rFonts w:hint="cs"/>
          <w:rtl/>
        </w:rPr>
        <w:t>מספר</w:t>
      </w:r>
      <w:r>
        <w:rPr>
          <w:rFonts w:hint="cs"/>
          <w:rtl/>
        </w:rPr>
        <w:t>י</w:t>
      </w:r>
      <w:r w:rsidRPr="000B33C2">
        <w:rPr>
          <w:rFonts w:hint="cs"/>
          <w:rtl/>
        </w:rPr>
        <w:t xml:space="preserve"> התלונות שהוגשו בשנים </w:t>
      </w:r>
      <w:r>
        <w:rPr>
          <w:rFonts w:hint="cs"/>
          <w:rtl/>
        </w:rPr>
        <w:t>2016 - 2018</w:t>
      </w:r>
      <w:r w:rsidRPr="000B33C2">
        <w:rPr>
          <w:rFonts w:hint="cs"/>
          <w:rtl/>
        </w:rPr>
        <w:t>:</w:t>
      </w:r>
    </w:p>
    <w:p w14:paraId="180E2C4E" w14:textId="5A7CB84D" w:rsidR="00387987" w:rsidRPr="001A40B6" w:rsidRDefault="00387987" w:rsidP="001A40B6">
      <w:pPr>
        <w:pStyle w:val="a8"/>
        <w:rPr>
          <w:b/>
          <w:bCs/>
          <w:rtl/>
        </w:rPr>
      </w:pPr>
      <w:r w:rsidRPr="00FA2B57">
        <w:rPr>
          <w:rFonts w:hint="eastAsia"/>
          <w:rtl/>
        </w:rPr>
        <w:t>תרשים</w:t>
      </w:r>
      <w:r w:rsidRPr="00FA2B57">
        <w:rPr>
          <w:rtl/>
        </w:rPr>
        <w:t xml:space="preserve"> </w:t>
      </w:r>
      <w:r>
        <w:rPr>
          <w:rFonts w:hint="cs"/>
          <w:rtl/>
        </w:rPr>
        <w:t>9</w:t>
      </w:r>
      <w:r w:rsidRPr="00FA2B57">
        <w:rPr>
          <w:rtl/>
        </w:rPr>
        <w:t xml:space="preserve">: </w:t>
      </w:r>
      <w:r w:rsidR="004F32E3">
        <w:rPr>
          <w:rFonts w:hint="cs"/>
          <w:b/>
          <w:bCs/>
          <w:rtl/>
        </w:rPr>
        <w:t>מספר</w:t>
      </w:r>
      <w:r w:rsidRPr="001A40B6">
        <w:rPr>
          <w:rFonts w:hint="cs"/>
          <w:b/>
          <w:bCs/>
          <w:rtl/>
        </w:rPr>
        <w:t xml:space="preserve"> </w:t>
      </w:r>
      <w:r w:rsidRPr="001A40B6">
        <w:rPr>
          <w:b/>
          <w:bCs/>
          <w:rtl/>
        </w:rPr>
        <w:t xml:space="preserve">התלונות שהוגשו </w:t>
      </w:r>
      <w:r w:rsidRPr="001A40B6">
        <w:rPr>
          <w:rFonts w:hint="eastAsia"/>
          <w:b/>
          <w:bCs/>
          <w:rtl/>
        </w:rPr>
        <w:t>בשנים</w:t>
      </w:r>
      <w:r w:rsidRPr="001A40B6">
        <w:rPr>
          <w:rFonts w:hint="cs"/>
          <w:b/>
          <w:bCs/>
          <w:rtl/>
        </w:rPr>
        <w:t xml:space="preserve"> 2016 - 2018, </w:t>
      </w:r>
      <w:r w:rsidR="00D90D28">
        <w:rPr>
          <w:rFonts w:hint="cs"/>
          <w:b/>
          <w:bCs/>
          <w:rtl/>
        </w:rPr>
        <w:t>בכל המחוזות ושיעור</w:t>
      </w:r>
      <w:r w:rsidR="00454092">
        <w:rPr>
          <w:rFonts w:hint="cs"/>
          <w:b/>
          <w:bCs/>
          <w:rtl/>
        </w:rPr>
        <w:t>ן</w:t>
      </w:r>
      <w:r w:rsidR="001A40B6">
        <w:rPr>
          <w:b/>
          <w:bCs/>
          <w:rtl/>
        </w:rPr>
        <w:br/>
      </w:r>
      <w:r w:rsidR="00AD7236">
        <w:rPr>
          <w:rFonts w:hint="cs"/>
          <w:b/>
          <w:bCs/>
          <w:rtl/>
        </w:rPr>
        <w:t>מכלל התלונות שהוגשו</w:t>
      </w:r>
      <w:r w:rsidRPr="001A40B6">
        <w:rPr>
          <w:rFonts w:hint="cs"/>
          <w:b/>
          <w:bCs/>
          <w:rtl/>
        </w:rPr>
        <w:t xml:space="preserve"> </w:t>
      </w:r>
    </w:p>
    <w:p w14:paraId="72C65E03" w14:textId="77777777" w:rsidR="00387987" w:rsidRDefault="00387987" w:rsidP="001A40B6">
      <w:pPr>
        <w:pStyle w:val="a8"/>
        <w:rPr>
          <w:noProof/>
          <w:rtl/>
        </w:rPr>
      </w:pPr>
      <w:r>
        <w:rPr>
          <w:noProof/>
        </w:rPr>
        <w:drawing>
          <wp:inline distT="0" distB="0" distL="0" distR="0" wp14:anchorId="2D183D73" wp14:editId="15FA20CC">
            <wp:extent cx="5236845" cy="2749550"/>
            <wp:effectExtent l="0" t="0" r="1905" b="0"/>
            <wp:docPr id="3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6845" cy="2749550"/>
                    </a:xfrm>
                    <a:prstGeom prst="rect">
                      <a:avLst/>
                    </a:prstGeom>
                    <a:noFill/>
                  </pic:spPr>
                </pic:pic>
              </a:graphicData>
            </a:graphic>
          </wp:inline>
        </w:drawing>
      </w:r>
    </w:p>
    <w:p w14:paraId="1DE869F6" w14:textId="77777777" w:rsidR="00387987" w:rsidRDefault="00387987" w:rsidP="001A40B6">
      <w:pPr>
        <w:pStyle w:val="aa"/>
        <w:rPr>
          <w:rtl/>
        </w:rPr>
      </w:pPr>
      <w:r>
        <w:rPr>
          <w:rFonts w:hint="cs"/>
          <w:rtl/>
        </w:rPr>
        <w:t xml:space="preserve">על פי </w:t>
      </w:r>
      <w:r w:rsidRPr="00480D3F">
        <w:rPr>
          <w:rFonts w:hint="eastAsia"/>
          <w:rtl/>
        </w:rPr>
        <w:t>נתוני</w:t>
      </w:r>
      <w:r w:rsidRPr="00480D3F">
        <w:rPr>
          <w:rtl/>
        </w:rPr>
        <w:t xml:space="preserve"> </w:t>
      </w:r>
      <w:r w:rsidRPr="00480D3F">
        <w:rPr>
          <w:rFonts w:hint="eastAsia"/>
          <w:rtl/>
        </w:rPr>
        <w:t>ועדות</w:t>
      </w:r>
      <w:r w:rsidRPr="00480D3F">
        <w:rPr>
          <w:rtl/>
        </w:rPr>
        <w:t xml:space="preserve"> </w:t>
      </w:r>
      <w:r w:rsidRPr="00480D3F">
        <w:rPr>
          <w:rFonts w:hint="eastAsia"/>
          <w:rtl/>
        </w:rPr>
        <w:t>האתיקה</w:t>
      </w:r>
      <w:r>
        <w:rPr>
          <w:rFonts w:hint="cs"/>
          <w:rtl/>
        </w:rPr>
        <w:t>, בעיבוד משרד מבקר המדינה.</w:t>
      </w:r>
    </w:p>
    <w:p w14:paraId="7835D589" w14:textId="643113AA" w:rsidR="001A40B6" w:rsidRDefault="001A40B6">
      <w:pPr>
        <w:bidi w:val="0"/>
        <w:spacing w:after="200" w:line="276" w:lineRule="auto"/>
        <w:rPr>
          <w:rtl/>
        </w:rPr>
      </w:pPr>
      <w:r>
        <w:rPr>
          <w:rtl/>
        </w:rPr>
        <w:br w:type="page"/>
      </w:r>
    </w:p>
    <w:p w14:paraId="444DDA70" w14:textId="77777777" w:rsidR="00387987" w:rsidRDefault="00387987" w:rsidP="001A40B6">
      <w:pPr>
        <w:pStyle w:val="100"/>
        <w:rPr>
          <w:rtl/>
        </w:rPr>
      </w:pPr>
      <w:r>
        <w:rPr>
          <w:rFonts w:hint="cs"/>
          <w:rtl/>
        </w:rPr>
        <w:lastRenderedPageBreak/>
        <w:t>כמו כן, בשנים 2016 - 2018 הגישו ועדות האתיקה 826 קובלנות לבתי הדין. אומנם, אין מדובר בקובלנות שהוגשו בקשר לאותם 9,941 תיקים שנפתחו בשנים אלה, אך ניתן להעריך כי בכ-8% עד 9% מן התלונות מוגשות</w:t>
      </w:r>
      <w:r w:rsidRPr="002462B4">
        <w:rPr>
          <w:rFonts w:hint="cs"/>
          <w:rtl/>
        </w:rPr>
        <w:t xml:space="preserve"> </w:t>
      </w:r>
      <w:r>
        <w:rPr>
          <w:rFonts w:hint="cs"/>
          <w:rtl/>
        </w:rPr>
        <w:t xml:space="preserve">לבסוף קובלנות. </w:t>
      </w:r>
    </w:p>
    <w:p w14:paraId="196DEE76" w14:textId="77777777" w:rsidR="00387987" w:rsidRDefault="00387987" w:rsidP="001A40B6">
      <w:pPr>
        <w:pStyle w:val="100"/>
        <w:rPr>
          <w:rtl/>
        </w:rPr>
      </w:pPr>
      <w:r>
        <w:rPr>
          <w:rFonts w:hint="cs"/>
          <w:rtl/>
        </w:rPr>
        <w:t xml:space="preserve">לוועדות האתיקה אין מסד נתונים בדבר משך הטיפול בתלונות. מוועדת האתיקה במחוז ירושלים נמסר כי </w:t>
      </w:r>
      <w:r w:rsidRPr="00C27FC8">
        <w:rPr>
          <w:rtl/>
        </w:rPr>
        <w:t>אי</w:t>
      </w:r>
      <w:r>
        <w:rPr>
          <w:rFonts w:hint="cs"/>
          <w:rtl/>
        </w:rPr>
        <w:t xml:space="preserve">ן להם מידע בדבר משך הטיפול וכי הוועדה משתדלת לעמוד </w:t>
      </w:r>
      <w:r>
        <w:rPr>
          <w:rtl/>
        </w:rPr>
        <w:t>בזמנים הקבועים בכללי</w:t>
      </w:r>
      <w:r>
        <w:rPr>
          <w:rFonts w:hint="cs"/>
          <w:rtl/>
        </w:rPr>
        <w:t xml:space="preserve"> המשמעת</w:t>
      </w:r>
      <w:r>
        <w:rPr>
          <w:rStyle w:val="FootnoteReference"/>
          <w:rtl/>
        </w:rPr>
        <w:footnoteReference w:id="44"/>
      </w:r>
      <w:r w:rsidRPr="00C27FC8">
        <w:rPr>
          <w:rtl/>
        </w:rPr>
        <w:t>.</w:t>
      </w:r>
      <w:r>
        <w:rPr>
          <w:rFonts w:hint="cs"/>
          <w:rtl/>
        </w:rPr>
        <w:t xml:space="preserve"> ועדת האתיקה במחוז חיפה העריכה את משך הטיפול בשלושה עד חמישה חודשים עד להחלטה על גניזה או הגשת קובלנה. במחוז צפון העריכו כי זמן הטיפול בתלונת אתיקה עד לגניזתה או להגשת קובלנה הוא שלושה עד שישה חודשים. במחוז דרום העריכו כי זמן הטיפול הוא כשלושה חודשים עד לגניזה, אך במקרה של העמדה לדין זמן הטיפול מתארך ואין באפשרותם להעריך את משכו. </w:t>
      </w:r>
    </w:p>
    <w:p w14:paraId="1CC2BD82" w14:textId="77777777" w:rsidR="00387987" w:rsidRDefault="00387987" w:rsidP="001A40B6">
      <w:pPr>
        <w:pStyle w:val="100"/>
        <w:rPr>
          <w:rtl/>
        </w:rPr>
      </w:pPr>
      <w:r>
        <w:rPr>
          <w:rFonts w:hint="cs"/>
          <w:rtl/>
        </w:rPr>
        <w:t>בשל עומס התלונות במחוז תל אביב, פנה המחוז לקבלת ייעוץ ארגוני לקיצור זמני הטיפול בתלונות. בעקבות הייעוץ פתח המחוז בפרויקט להשלמת הטיפול בתיקי עבר - במסגרתו נוספו תקנים זמניים ותקנים חדשים לוועדת האתיקה. במסגרת הפרויקט צומצמו פערים מעשר השנים שקדמו לו, אך עדיין נותרו פערים משמעותיים שטרם טופלו.</w:t>
      </w:r>
    </w:p>
    <w:p w14:paraId="19D6E92B" w14:textId="5C78FB38" w:rsidR="00387987" w:rsidRDefault="00387987" w:rsidP="001A40B6">
      <w:pPr>
        <w:pStyle w:val="af3"/>
        <w:rPr>
          <w:rtl/>
        </w:rPr>
      </w:pPr>
      <w:r w:rsidRPr="00BA1EC0">
        <w:rPr>
          <w:rFonts w:hint="cs"/>
          <w:rtl/>
        </w:rPr>
        <w:t>בביקורת נמצא כי בשנים</w:t>
      </w:r>
      <w:r>
        <w:rPr>
          <w:rFonts w:hint="cs"/>
          <w:rtl/>
        </w:rPr>
        <w:t xml:space="preserve"> 2014 - 2018</w:t>
      </w:r>
      <w:r w:rsidRPr="00BA1EC0">
        <w:rPr>
          <w:rFonts w:hint="cs"/>
          <w:rtl/>
        </w:rPr>
        <w:t xml:space="preserve"> הוגשו לו</w:t>
      </w:r>
      <w:r>
        <w:rPr>
          <w:rFonts w:hint="cs"/>
          <w:rtl/>
        </w:rPr>
        <w:t>ו</w:t>
      </w:r>
      <w:r w:rsidRPr="00BA1EC0">
        <w:rPr>
          <w:rFonts w:hint="cs"/>
          <w:rtl/>
        </w:rPr>
        <w:t xml:space="preserve">עדת האתיקה במחוז תל אביב 8,950 </w:t>
      </w:r>
      <w:r>
        <w:rPr>
          <w:rFonts w:hint="cs"/>
          <w:rtl/>
        </w:rPr>
        <w:t>תלונות אתיקה</w:t>
      </w:r>
      <w:r>
        <w:rPr>
          <w:rStyle w:val="FootnoteReference"/>
          <w:b/>
          <w:bCs/>
          <w:rtl/>
        </w:rPr>
        <w:footnoteReference w:id="45"/>
      </w:r>
      <w:r>
        <w:rPr>
          <w:rFonts w:hint="cs"/>
          <w:rtl/>
        </w:rPr>
        <w:t>.</w:t>
      </w:r>
      <w:r w:rsidRPr="00BA1EC0">
        <w:rPr>
          <w:rFonts w:hint="cs"/>
          <w:rtl/>
        </w:rPr>
        <w:t xml:space="preserve"> 3,244</w:t>
      </w:r>
      <w:r>
        <w:rPr>
          <w:rFonts w:hint="cs"/>
          <w:rtl/>
        </w:rPr>
        <w:t xml:space="preserve"> מהן, יותר משליש,</w:t>
      </w:r>
      <w:r w:rsidRPr="00BA1EC0">
        <w:rPr>
          <w:rFonts w:hint="cs"/>
          <w:rtl/>
        </w:rPr>
        <w:t xml:space="preserve"> עדיין בטיפול וטרם הוכרע אם לגונזן או להגיש קובלנה בעניינן. להלן בתרשים</w:t>
      </w:r>
      <w:r>
        <w:rPr>
          <w:rFonts w:hint="cs"/>
          <w:rtl/>
        </w:rPr>
        <w:t xml:space="preserve"> </w:t>
      </w:r>
      <w:r w:rsidRPr="00BA1EC0">
        <w:rPr>
          <w:rFonts w:hint="cs"/>
          <w:rtl/>
        </w:rPr>
        <w:t xml:space="preserve">פירוט </w:t>
      </w:r>
      <w:r>
        <w:rPr>
          <w:rFonts w:hint="cs"/>
          <w:rtl/>
        </w:rPr>
        <w:t xml:space="preserve">מספר </w:t>
      </w:r>
      <w:r w:rsidRPr="00BA1EC0">
        <w:rPr>
          <w:rFonts w:hint="cs"/>
          <w:rtl/>
        </w:rPr>
        <w:t>התלונות שהוגשו</w:t>
      </w:r>
      <w:r>
        <w:rPr>
          <w:rFonts w:hint="cs"/>
          <w:rtl/>
        </w:rPr>
        <w:t xml:space="preserve"> בכל שנה במחוז תל אביב</w:t>
      </w:r>
      <w:r w:rsidRPr="00BA1EC0">
        <w:rPr>
          <w:rFonts w:hint="cs"/>
          <w:rtl/>
        </w:rPr>
        <w:t xml:space="preserve"> ו</w:t>
      </w:r>
      <w:r>
        <w:rPr>
          <w:rFonts w:hint="cs"/>
          <w:rtl/>
        </w:rPr>
        <w:t xml:space="preserve">מספר התלונות מהן </w:t>
      </w:r>
      <w:r w:rsidR="00946B46">
        <w:rPr>
          <w:rFonts w:hint="cs"/>
          <w:rtl/>
        </w:rPr>
        <w:t>שנותרו</w:t>
      </w:r>
      <w:r>
        <w:rPr>
          <w:rFonts w:hint="cs"/>
          <w:rtl/>
        </w:rPr>
        <w:t xml:space="preserve"> בטיפול במועד סיום הביקורת:</w:t>
      </w:r>
    </w:p>
    <w:p w14:paraId="168C4CFE" w14:textId="4B5C8578" w:rsidR="00387987" w:rsidRPr="001A40B6" w:rsidRDefault="00387987" w:rsidP="001A40B6">
      <w:pPr>
        <w:pStyle w:val="a8"/>
        <w:rPr>
          <w:b/>
          <w:bCs/>
          <w:rtl/>
        </w:rPr>
      </w:pPr>
      <w:r w:rsidRPr="00D63D65">
        <w:rPr>
          <w:rFonts w:hint="eastAsia"/>
          <w:rtl/>
        </w:rPr>
        <w:lastRenderedPageBreak/>
        <w:t>תרשים</w:t>
      </w:r>
      <w:r w:rsidRPr="00D63D65">
        <w:rPr>
          <w:rtl/>
        </w:rPr>
        <w:t xml:space="preserve"> </w:t>
      </w:r>
      <w:r>
        <w:rPr>
          <w:rFonts w:hint="cs"/>
          <w:rtl/>
        </w:rPr>
        <w:t>10</w:t>
      </w:r>
      <w:r w:rsidRPr="00D63D65">
        <w:rPr>
          <w:rtl/>
        </w:rPr>
        <w:t xml:space="preserve">: </w:t>
      </w:r>
      <w:r w:rsidRPr="001A40B6">
        <w:rPr>
          <w:b/>
          <w:bCs/>
          <w:rtl/>
        </w:rPr>
        <w:t xml:space="preserve">תלונות </w:t>
      </w:r>
      <w:r w:rsidRPr="001A40B6">
        <w:rPr>
          <w:rFonts w:hint="cs"/>
          <w:b/>
          <w:bCs/>
          <w:rtl/>
        </w:rPr>
        <w:t>ה</w:t>
      </w:r>
      <w:r w:rsidRPr="001A40B6">
        <w:rPr>
          <w:b/>
          <w:bCs/>
          <w:rtl/>
        </w:rPr>
        <w:t xml:space="preserve">אתיקה שהוגשו </w:t>
      </w:r>
      <w:r w:rsidRPr="001A40B6">
        <w:rPr>
          <w:rFonts w:hint="eastAsia"/>
          <w:b/>
          <w:bCs/>
          <w:rtl/>
        </w:rPr>
        <w:t>במחוז</w:t>
      </w:r>
      <w:r w:rsidRPr="001A40B6">
        <w:rPr>
          <w:b/>
          <w:bCs/>
          <w:rtl/>
        </w:rPr>
        <w:t xml:space="preserve"> תל אביב</w:t>
      </w:r>
      <w:r w:rsidR="0072406B">
        <w:rPr>
          <w:rFonts w:hint="cs"/>
          <w:b/>
          <w:bCs/>
          <w:rtl/>
        </w:rPr>
        <w:t xml:space="preserve"> בשנים </w:t>
      </w:r>
      <w:r w:rsidR="0072406B" w:rsidRPr="001A40B6">
        <w:rPr>
          <w:rFonts w:hint="cs"/>
          <w:b/>
          <w:bCs/>
          <w:rtl/>
        </w:rPr>
        <w:t xml:space="preserve">2014 </w:t>
      </w:r>
      <w:r w:rsidR="0072406B">
        <w:rPr>
          <w:b/>
          <w:bCs/>
          <w:rtl/>
        </w:rPr>
        <w:t>–</w:t>
      </w:r>
      <w:r w:rsidR="0072406B" w:rsidRPr="001A40B6">
        <w:rPr>
          <w:rFonts w:hint="cs"/>
          <w:b/>
          <w:bCs/>
          <w:rtl/>
        </w:rPr>
        <w:t xml:space="preserve"> 2018</w:t>
      </w:r>
      <w:r w:rsidR="0072406B">
        <w:rPr>
          <w:b/>
          <w:bCs/>
          <w:rtl/>
        </w:rPr>
        <w:br/>
      </w:r>
      <w:r w:rsidRPr="001A40B6">
        <w:rPr>
          <w:rFonts w:hint="cs"/>
          <w:b/>
          <w:bCs/>
          <w:rtl/>
        </w:rPr>
        <w:t>ו</w:t>
      </w:r>
      <w:r w:rsidRPr="001A40B6">
        <w:rPr>
          <w:b/>
          <w:bCs/>
          <w:rtl/>
        </w:rPr>
        <w:t xml:space="preserve">התלונות </w:t>
      </w:r>
      <w:r w:rsidR="006777AF">
        <w:rPr>
          <w:rFonts w:hint="cs"/>
          <w:b/>
          <w:bCs/>
          <w:rtl/>
        </w:rPr>
        <w:t>שנותרו</w:t>
      </w:r>
      <w:r w:rsidRPr="001A40B6">
        <w:rPr>
          <w:b/>
          <w:bCs/>
          <w:rtl/>
        </w:rPr>
        <w:t xml:space="preserve"> בטיפול</w:t>
      </w:r>
      <w:r w:rsidRPr="001A40B6">
        <w:rPr>
          <w:rFonts w:hint="cs"/>
          <w:b/>
          <w:bCs/>
          <w:rtl/>
        </w:rPr>
        <w:t>,</w:t>
      </w:r>
      <w:r w:rsidR="0072406B">
        <w:rPr>
          <w:rFonts w:hint="cs"/>
          <w:b/>
          <w:bCs/>
          <w:rtl/>
        </w:rPr>
        <w:t xml:space="preserve"> במועד סיום הביקורת</w:t>
      </w:r>
      <w:r w:rsidRPr="001A40B6">
        <w:rPr>
          <w:rFonts w:hint="cs"/>
          <w:b/>
          <w:bCs/>
          <w:rtl/>
        </w:rPr>
        <w:t xml:space="preserve"> </w:t>
      </w:r>
    </w:p>
    <w:p w14:paraId="1F727794" w14:textId="77777777" w:rsidR="00387987" w:rsidRDefault="00387987" w:rsidP="00387987">
      <w:pPr>
        <w:tabs>
          <w:tab w:val="left" w:pos="3601"/>
        </w:tabs>
        <w:spacing w:line="269" w:lineRule="auto"/>
        <w:jc w:val="center"/>
        <w:rPr>
          <w:rtl/>
        </w:rPr>
      </w:pPr>
      <w:r>
        <w:rPr>
          <w:noProof/>
        </w:rPr>
        <w:drawing>
          <wp:inline distT="0" distB="0" distL="0" distR="0" wp14:anchorId="37C8F88B" wp14:editId="33F3BC72">
            <wp:extent cx="4584700" cy="2755900"/>
            <wp:effectExtent l="0" t="0" r="6350" b="6350"/>
            <wp:docPr id="38"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562314D" w14:textId="25A3E221" w:rsidR="00387987" w:rsidRPr="006B608D" w:rsidRDefault="00387987" w:rsidP="00561471">
      <w:pPr>
        <w:pStyle w:val="aa"/>
        <w:rPr>
          <w:rtl/>
        </w:rPr>
      </w:pPr>
      <w:r w:rsidRPr="006B608D">
        <w:rPr>
          <w:rFonts w:hint="cs"/>
          <w:rtl/>
        </w:rPr>
        <w:t>על פי</w:t>
      </w:r>
      <w:r w:rsidRPr="006B608D">
        <w:rPr>
          <w:rtl/>
        </w:rPr>
        <w:t xml:space="preserve"> </w:t>
      </w:r>
      <w:r w:rsidRPr="006B608D">
        <w:rPr>
          <w:rFonts w:hint="eastAsia"/>
          <w:rtl/>
        </w:rPr>
        <w:t>נתוני</w:t>
      </w:r>
      <w:r w:rsidRPr="006B608D">
        <w:rPr>
          <w:rtl/>
        </w:rPr>
        <w:t xml:space="preserve"> </w:t>
      </w:r>
      <w:r w:rsidRPr="006B608D">
        <w:rPr>
          <w:rFonts w:hint="eastAsia"/>
          <w:rtl/>
        </w:rPr>
        <w:t>ועדת</w:t>
      </w:r>
      <w:r w:rsidRPr="006B608D">
        <w:rPr>
          <w:rtl/>
        </w:rPr>
        <w:t xml:space="preserve"> </w:t>
      </w:r>
      <w:r w:rsidRPr="006B608D">
        <w:rPr>
          <w:rFonts w:hint="eastAsia"/>
          <w:rtl/>
        </w:rPr>
        <w:t>האתיקה</w:t>
      </w:r>
      <w:r w:rsidRPr="006B608D">
        <w:rPr>
          <w:rtl/>
        </w:rPr>
        <w:t xml:space="preserve"> </w:t>
      </w:r>
      <w:r w:rsidR="00773568">
        <w:rPr>
          <w:rFonts w:hint="cs"/>
          <w:rtl/>
        </w:rPr>
        <w:t>ב</w:t>
      </w:r>
      <w:r w:rsidRPr="006B608D">
        <w:rPr>
          <w:rFonts w:hint="eastAsia"/>
          <w:rtl/>
        </w:rPr>
        <w:t>מחוז</w:t>
      </w:r>
      <w:r w:rsidRPr="006B608D">
        <w:rPr>
          <w:rtl/>
        </w:rPr>
        <w:t xml:space="preserve"> </w:t>
      </w:r>
      <w:r w:rsidRPr="006B608D">
        <w:rPr>
          <w:rFonts w:hint="eastAsia"/>
          <w:rtl/>
        </w:rPr>
        <w:t>תל</w:t>
      </w:r>
      <w:r w:rsidRPr="006B608D">
        <w:rPr>
          <w:rtl/>
        </w:rPr>
        <w:t xml:space="preserve"> </w:t>
      </w:r>
      <w:r w:rsidRPr="006B608D">
        <w:rPr>
          <w:rFonts w:hint="eastAsia"/>
          <w:rtl/>
        </w:rPr>
        <w:t>אביב</w:t>
      </w:r>
      <w:r w:rsidRPr="006B608D">
        <w:rPr>
          <w:rFonts w:hint="cs"/>
          <w:rtl/>
        </w:rPr>
        <w:t>, בעיבוד משרד מבקר המדינה</w:t>
      </w:r>
      <w:r w:rsidRPr="006B608D">
        <w:rPr>
          <w:rtl/>
        </w:rPr>
        <w:t>.</w:t>
      </w:r>
    </w:p>
    <w:p w14:paraId="230A03DB" w14:textId="79A4F422" w:rsidR="00387987" w:rsidRDefault="00387987" w:rsidP="00561471">
      <w:pPr>
        <w:pStyle w:val="100"/>
        <w:rPr>
          <w:rtl/>
        </w:rPr>
      </w:pPr>
    </w:p>
    <w:p w14:paraId="5242BAD4" w14:textId="77777777" w:rsidR="00387987" w:rsidRDefault="00387987" w:rsidP="00561471">
      <w:pPr>
        <w:pStyle w:val="af3"/>
        <w:rPr>
          <w:rtl/>
        </w:rPr>
      </w:pPr>
      <w:r w:rsidRPr="008B498E">
        <w:rPr>
          <w:rtl/>
        </w:rPr>
        <w:t>מ</w:t>
      </w:r>
      <w:r>
        <w:rPr>
          <w:rFonts w:hint="cs"/>
          <w:rtl/>
        </w:rPr>
        <w:t xml:space="preserve">נתוני </w:t>
      </w:r>
      <w:r w:rsidRPr="008B498E">
        <w:rPr>
          <w:rtl/>
        </w:rPr>
        <w:t xml:space="preserve">מחוז תל אביב </w:t>
      </w:r>
      <w:r>
        <w:rPr>
          <w:rFonts w:hint="cs"/>
          <w:rtl/>
        </w:rPr>
        <w:t>עולה כי מתוך 3,244 התיקים שהטיפול בהם טרם הסתיים, יש יותר מ-1,500</w:t>
      </w:r>
      <w:r w:rsidRPr="008B498E">
        <w:rPr>
          <w:rtl/>
        </w:rPr>
        <w:t xml:space="preserve"> תיקים </w:t>
      </w:r>
      <w:r>
        <w:rPr>
          <w:rFonts w:hint="cs"/>
          <w:rtl/>
        </w:rPr>
        <w:t>ש</w:t>
      </w:r>
      <w:r w:rsidRPr="008B498E">
        <w:rPr>
          <w:rtl/>
        </w:rPr>
        <w:t xml:space="preserve">בהם </w:t>
      </w:r>
      <w:r>
        <w:rPr>
          <w:rFonts w:hint="cs"/>
          <w:rtl/>
        </w:rPr>
        <w:t xml:space="preserve">כבר </w:t>
      </w:r>
      <w:r w:rsidRPr="008B498E">
        <w:rPr>
          <w:rtl/>
        </w:rPr>
        <w:t>ניתנה המלצה של פרקליט ה</w:t>
      </w:r>
      <w:r>
        <w:rPr>
          <w:rFonts w:hint="cs"/>
          <w:rtl/>
        </w:rPr>
        <w:t>ו</w:t>
      </w:r>
      <w:r w:rsidRPr="008B498E">
        <w:rPr>
          <w:rtl/>
        </w:rPr>
        <w:t xml:space="preserve">ועדה בדבר גניזה או העמדה לדין </w:t>
      </w:r>
      <w:r>
        <w:rPr>
          <w:rFonts w:hint="cs"/>
          <w:rtl/>
        </w:rPr>
        <w:t xml:space="preserve">במסגרת המאמץ להשלמת הטיפול בתיקי העבר, אך תיקים אלו טרם הובאו לדיון בוועדת האתיקה. </w:t>
      </w:r>
    </w:p>
    <w:p w14:paraId="3C16B601" w14:textId="77777777" w:rsidR="00387987" w:rsidRDefault="00387987" w:rsidP="00561471">
      <w:pPr>
        <w:pStyle w:val="af3"/>
        <w:rPr>
          <w:rtl/>
        </w:rPr>
      </w:pPr>
      <w:r w:rsidRPr="008B498E">
        <w:rPr>
          <w:rtl/>
        </w:rPr>
        <w:t>עוד נמסר מן הו</w:t>
      </w:r>
      <w:r>
        <w:rPr>
          <w:rFonts w:hint="cs"/>
          <w:rtl/>
        </w:rPr>
        <w:t>ו</w:t>
      </w:r>
      <w:r w:rsidRPr="008B498E">
        <w:rPr>
          <w:rtl/>
        </w:rPr>
        <w:t xml:space="preserve">עדה כי קיימים </w:t>
      </w:r>
      <w:r>
        <w:rPr>
          <w:rFonts w:hint="cs"/>
          <w:rtl/>
        </w:rPr>
        <w:t>49</w:t>
      </w:r>
      <w:r w:rsidRPr="008B498E">
        <w:rPr>
          <w:rtl/>
        </w:rPr>
        <w:t xml:space="preserve"> תיקים </w:t>
      </w:r>
      <w:r>
        <w:rPr>
          <w:rFonts w:hint="cs"/>
          <w:rtl/>
        </w:rPr>
        <w:t>נוספים ש</w:t>
      </w:r>
      <w:r w:rsidRPr="008B498E">
        <w:rPr>
          <w:rtl/>
        </w:rPr>
        <w:t>בהם החליטה ועדת האתיקה על העמדה לדין</w:t>
      </w:r>
      <w:r>
        <w:rPr>
          <w:rFonts w:hint="cs"/>
          <w:rtl/>
        </w:rPr>
        <w:t>,</w:t>
      </w:r>
      <w:r w:rsidRPr="008B498E">
        <w:rPr>
          <w:rtl/>
        </w:rPr>
        <w:t xml:space="preserve"> אך </w:t>
      </w:r>
      <w:r>
        <w:rPr>
          <w:rFonts w:hint="cs"/>
          <w:rtl/>
        </w:rPr>
        <w:t>בהמשך הוחלט לגונזם עקב</w:t>
      </w:r>
      <w:r w:rsidRPr="008B498E">
        <w:rPr>
          <w:rtl/>
        </w:rPr>
        <w:t xml:space="preserve"> חלוף הזמן, </w:t>
      </w:r>
      <w:r>
        <w:rPr>
          <w:rFonts w:hint="cs"/>
          <w:rtl/>
        </w:rPr>
        <w:t>נזקים ראייתיים שנגרמו בשל כך</w:t>
      </w:r>
      <w:r w:rsidRPr="008B498E">
        <w:rPr>
          <w:rtl/>
        </w:rPr>
        <w:t xml:space="preserve"> וסיבות נוספות.</w:t>
      </w:r>
      <w:r>
        <w:rPr>
          <w:rFonts w:hint="cs"/>
          <w:rtl/>
        </w:rPr>
        <w:t xml:space="preserve"> </w:t>
      </w:r>
    </w:p>
    <w:p w14:paraId="175715B5" w14:textId="77777777" w:rsidR="00387987" w:rsidRDefault="00387987" w:rsidP="00561471">
      <w:pPr>
        <w:pStyle w:val="af3"/>
        <w:rPr>
          <w:rtl/>
        </w:rPr>
      </w:pPr>
      <w:r>
        <w:rPr>
          <w:rFonts w:hint="cs"/>
          <w:rtl/>
        </w:rPr>
        <w:t xml:space="preserve">כתוצאה מהעיכובים בטיפול בתלונות עד להגשת הקובלנה נוצר מצב שבו מספר הקובלנות שמגישה ועדת האתיקה מדי שנה במחוז תל אביב נמוך מאוד לעומת מספר התלונות המוגשות לוועדה ושיעורן כ-4%. להלן בתרשים </w:t>
      </w:r>
      <w:r w:rsidRPr="00F15A73">
        <w:rPr>
          <w:rtl/>
        </w:rPr>
        <w:t xml:space="preserve">מספר </w:t>
      </w:r>
      <w:r>
        <w:rPr>
          <w:rFonts w:hint="cs"/>
          <w:rtl/>
        </w:rPr>
        <w:t>התלונות המוגשות למחוזות ומספר ה</w:t>
      </w:r>
      <w:r w:rsidRPr="00F15A73">
        <w:rPr>
          <w:rtl/>
        </w:rPr>
        <w:t>קובלנות</w:t>
      </w:r>
      <w:r>
        <w:rPr>
          <w:rFonts w:hint="cs"/>
          <w:rtl/>
        </w:rPr>
        <w:t xml:space="preserve"> שמגישות ועדות האתיקה המחוזיות</w:t>
      </w:r>
      <w:r w:rsidRPr="00F15A73">
        <w:rPr>
          <w:rtl/>
        </w:rPr>
        <w:t xml:space="preserve"> לפי מחוזות בשנים</w:t>
      </w:r>
      <w:r>
        <w:rPr>
          <w:rFonts w:hint="cs"/>
          <w:rtl/>
        </w:rPr>
        <w:t xml:space="preserve"> 2016 - 2018:</w:t>
      </w:r>
    </w:p>
    <w:p w14:paraId="02E86FE3" w14:textId="77777777" w:rsidR="00387987" w:rsidRDefault="00387987" w:rsidP="00387987">
      <w:pPr>
        <w:bidi w:val="0"/>
        <w:spacing w:after="200" w:line="276" w:lineRule="auto"/>
        <w:rPr>
          <w:szCs w:val="20"/>
          <w:rtl/>
        </w:rPr>
      </w:pPr>
      <w:r>
        <w:rPr>
          <w:rtl/>
        </w:rPr>
        <w:br w:type="page"/>
      </w:r>
    </w:p>
    <w:p w14:paraId="1F38608B" w14:textId="524B0F11" w:rsidR="00387987" w:rsidRPr="00561471" w:rsidRDefault="00387987" w:rsidP="00561471">
      <w:pPr>
        <w:pStyle w:val="a8"/>
        <w:rPr>
          <w:b/>
          <w:bCs/>
          <w:rtl/>
        </w:rPr>
      </w:pPr>
      <w:r w:rsidRPr="00D63D65">
        <w:rPr>
          <w:rFonts w:hint="eastAsia"/>
          <w:rtl/>
        </w:rPr>
        <w:lastRenderedPageBreak/>
        <w:t>תרשים</w:t>
      </w:r>
      <w:r w:rsidRPr="00D63D65">
        <w:rPr>
          <w:rtl/>
        </w:rPr>
        <w:t xml:space="preserve"> </w:t>
      </w:r>
      <w:r>
        <w:rPr>
          <w:rFonts w:hint="cs"/>
          <w:rtl/>
        </w:rPr>
        <w:t>11</w:t>
      </w:r>
      <w:r w:rsidRPr="00D63D65">
        <w:rPr>
          <w:rtl/>
        </w:rPr>
        <w:t xml:space="preserve">: </w:t>
      </w:r>
      <w:r w:rsidRPr="00561471">
        <w:rPr>
          <w:b/>
          <w:bCs/>
          <w:rtl/>
        </w:rPr>
        <w:t xml:space="preserve">מספר </w:t>
      </w:r>
      <w:r w:rsidRPr="00561471">
        <w:rPr>
          <w:rFonts w:hint="eastAsia"/>
          <w:b/>
          <w:bCs/>
          <w:rtl/>
        </w:rPr>
        <w:t>התלונות</w:t>
      </w:r>
      <w:r w:rsidRPr="00561471">
        <w:rPr>
          <w:b/>
          <w:bCs/>
          <w:rtl/>
        </w:rPr>
        <w:t xml:space="preserve"> ומספר </w:t>
      </w:r>
      <w:r w:rsidRPr="00561471">
        <w:rPr>
          <w:rFonts w:hint="cs"/>
          <w:b/>
          <w:bCs/>
          <w:rtl/>
        </w:rPr>
        <w:t>ה</w:t>
      </w:r>
      <w:r w:rsidRPr="00561471">
        <w:rPr>
          <w:rFonts w:hint="eastAsia"/>
          <w:b/>
          <w:bCs/>
          <w:rtl/>
        </w:rPr>
        <w:t>קובלנות</w:t>
      </w:r>
      <w:r w:rsidRPr="00561471">
        <w:rPr>
          <w:b/>
          <w:bCs/>
          <w:rtl/>
        </w:rPr>
        <w:t xml:space="preserve"> </w:t>
      </w:r>
      <w:r w:rsidRPr="00561471">
        <w:rPr>
          <w:rFonts w:hint="cs"/>
          <w:b/>
          <w:bCs/>
          <w:rtl/>
        </w:rPr>
        <w:t>ה</w:t>
      </w:r>
      <w:r w:rsidRPr="00561471">
        <w:rPr>
          <w:rFonts w:hint="eastAsia"/>
          <w:b/>
          <w:bCs/>
          <w:rtl/>
        </w:rPr>
        <w:t>ממוצע</w:t>
      </w:r>
      <w:r w:rsidRPr="00561471">
        <w:rPr>
          <w:b/>
          <w:bCs/>
          <w:rtl/>
        </w:rPr>
        <w:t xml:space="preserve"> </w:t>
      </w:r>
      <w:r w:rsidRPr="00561471">
        <w:rPr>
          <w:rFonts w:hint="eastAsia"/>
          <w:b/>
          <w:bCs/>
          <w:rtl/>
        </w:rPr>
        <w:t>לשנה</w:t>
      </w:r>
      <w:r w:rsidRPr="00561471">
        <w:rPr>
          <w:rFonts w:hint="cs"/>
          <w:b/>
          <w:bCs/>
          <w:rtl/>
        </w:rPr>
        <w:t>,</w:t>
      </w:r>
      <w:r w:rsidRPr="00561471">
        <w:rPr>
          <w:b/>
          <w:bCs/>
          <w:rtl/>
        </w:rPr>
        <w:t xml:space="preserve"> </w:t>
      </w:r>
      <w:r w:rsidRPr="00561471">
        <w:rPr>
          <w:rFonts w:hint="eastAsia"/>
          <w:b/>
          <w:bCs/>
          <w:rtl/>
        </w:rPr>
        <w:t>לפי</w:t>
      </w:r>
      <w:r w:rsidRPr="00561471">
        <w:rPr>
          <w:b/>
          <w:bCs/>
          <w:rtl/>
        </w:rPr>
        <w:t xml:space="preserve"> </w:t>
      </w:r>
      <w:r w:rsidRPr="00561471">
        <w:rPr>
          <w:rFonts w:hint="eastAsia"/>
          <w:b/>
          <w:bCs/>
          <w:rtl/>
        </w:rPr>
        <w:t>מחוזות</w:t>
      </w:r>
      <w:r w:rsidRPr="00561471">
        <w:rPr>
          <w:rFonts w:hint="cs"/>
          <w:b/>
          <w:bCs/>
          <w:rtl/>
        </w:rPr>
        <w:t>,</w:t>
      </w:r>
      <w:r w:rsidR="00561471">
        <w:rPr>
          <w:b/>
          <w:bCs/>
          <w:rtl/>
        </w:rPr>
        <w:br/>
      </w:r>
      <w:r w:rsidRPr="00561471">
        <w:rPr>
          <w:rFonts w:hint="cs"/>
          <w:b/>
          <w:bCs/>
          <w:rtl/>
        </w:rPr>
        <w:t>2016 - 2018 (במספרים ובאחוזים)</w:t>
      </w:r>
    </w:p>
    <w:p w14:paraId="50DC83FF" w14:textId="77777777" w:rsidR="00387987" w:rsidRDefault="00387987" w:rsidP="00561471">
      <w:pPr>
        <w:pStyle w:val="a8"/>
        <w:rPr>
          <w:rtl/>
        </w:rPr>
      </w:pPr>
      <w:r>
        <w:rPr>
          <w:noProof/>
        </w:rPr>
        <w:drawing>
          <wp:inline distT="0" distB="0" distL="0" distR="0" wp14:anchorId="289133FD" wp14:editId="65842AD4">
            <wp:extent cx="4572635" cy="2719070"/>
            <wp:effectExtent l="0" t="0" r="0" b="5080"/>
            <wp:docPr id="39"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19070"/>
                    </a:xfrm>
                    <a:prstGeom prst="rect">
                      <a:avLst/>
                    </a:prstGeom>
                    <a:noFill/>
                  </pic:spPr>
                </pic:pic>
              </a:graphicData>
            </a:graphic>
          </wp:inline>
        </w:drawing>
      </w:r>
    </w:p>
    <w:p w14:paraId="36C09CC3" w14:textId="77777777" w:rsidR="00387987" w:rsidRPr="006B608D" w:rsidRDefault="00387987" w:rsidP="00561471">
      <w:pPr>
        <w:pStyle w:val="aa"/>
        <w:rPr>
          <w:rtl/>
        </w:rPr>
      </w:pPr>
      <w:r w:rsidRPr="006B608D">
        <w:rPr>
          <w:rFonts w:hint="cs"/>
          <w:rtl/>
        </w:rPr>
        <w:t xml:space="preserve"> על פי </w:t>
      </w:r>
      <w:r w:rsidRPr="006B608D">
        <w:rPr>
          <w:rFonts w:hint="eastAsia"/>
          <w:rtl/>
        </w:rPr>
        <w:t>נתוני</w:t>
      </w:r>
      <w:r w:rsidRPr="006B608D">
        <w:rPr>
          <w:rtl/>
        </w:rPr>
        <w:t xml:space="preserve"> </w:t>
      </w:r>
      <w:r w:rsidRPr="006B608D">
        <w:rPr>
          <w:rFonts w:hint="eastAsia"/>
          <w:rtl/>
        </w:rPr>
        <w:t>ועדות</w:t>
      </w:r>
      <w:r w:rsidRPr="006B608D">
        <w:rPr>
          <w:rtl/>
        </w:rPr>
        <w:t xml:space="preserve"> </w:t>
      </w:r>
      <w:r w:rsidRPr="006B608D">
        <w:rPr>
          <w:rFonts w:hint="eastAsia"/>
          <w:rtl/>
        </w:rPr>
        <w:t>האתיקה</w:t>
      </w:r>
      <w:r w:rsidRPr="006B608D">
        <w:rPr>
          <w:rFonts w:hint="cs"/>
          <w:rtl/>
        </w:rPr>
        <w:t>, בעיבוד משרד מבקר המדינה</w:t>
      </w:r>
      <w:r w:rsidRPr="006B608D">
        <w:rPr>
          <w:rtl/>
        </w:rPr>
        <w:t>.</w:t>
      </w:r>
    </w:p>
    <w:p w14:paraId="611DB89F" w14:textId="77777777" w:rsidR="005A20C9" w:rsidRDefault="005A20C9" w:rsidP="005A20C9">
      <w:pPr>
        <w:pStyle w:val="100"/>
        <w:rPr>
          <w:rtl/>
        </w:rPr>
      </w:pPr>
    </w:p>
    <w:p w14:paraId="4B6DF74C" w14:textId="67B9E1F1" w:rsidR="00387987" w:rsidRDefault="00387987" w:rsidP="005A20C9">
      <w:pPr>
        <w:pStyle w:val="100"/>
        <w:rPr>
          <w:rtl/>
        </w:rPr>
      </w:pPr>
      <w:r>
        <w:rPr>
          <w:rFonts w:hint="cs"/>
          <w:rtl/>
        </w:rPr>
        <w:t>במסגרת הביקורת נבדק היקף כוח האדם בוועדות האתיקה. להלן בלוח מספר העובדים בוועדות האתיקה לפי מחוזות ומספר תיקי האתיקה המטופלים בכל ועדה:</w:t>
      </w:r>
    </w:p>
    <w:p w14:paraId="3F66D189" w14:textId="77777777" w:rsidR="00387987" w:rsidRPr="005A20C9" w:rsidRDefault="00387987" w:rsidP="005A20C9">
      <w:pPr>
        <w:pStyle w:val="a8"/>
        <w:rPr>
          <w:b/>
          <w:bCs/>
          <w:rtl/>
        </w:rPr>
      </w:pPr>
      <w:r>
        <w:rPr>
          <w:rFonts w:hint="cs"/>
          <w:rtl/>
        </w:rPr>
        <w:t>לוח</w:t>
      </w:r>
      <w:r w:rsidRPr="001E09A0">
        <w:rPr>
          <w:rtl/>
        </w:rPr>
        <w:t xml:space="preserve"> </w:t>
      </w:r>
      <w:r>
        <w:rPr>
          <w:rFonts w:hint="cs"/>
          <w:rtl/>
        </w:rPr>
        <w:t>3</w:t>
      </w:r>
      <w:r w:rsidRPr="001E09A0">
        <w:rPr>
          <w:rtl/>
        </w:rPr>
        <w:t xml:space="preserve">: </w:t>
      </w:r>
      <w:r w:rsidRPr="005A20C9">
        <w:rPr>
          <w:rFonts w:hint="eastAsia"/>
          <w:b/>
          <w:bCs/>
          <w:rtl/>
        </w:rPr>
        <w:t>מספר</w:t>
      </w:r>
      <w:r w:rsidRPr="005A20C9">
        <w:rPr>
          <w:b/>
          <w:bCs/>
          <w:rtl/>
        </w:rPr>
        <w:t xml:space="preserve"> </w:t>
      </w:r>
      <w:r w:rsidRPr="005A20C9">
        <w:rPr>
          <w:rFonts w:hint="eastAsia"/>
          <w:b/>
          <w:bCs/>
          <w:rtl/>
        </w:rPr>
        <w:t>העובדים</w:t>
      </w:r>
      <w:r w:rsidRPr="005A20C9">
        <w:rPr>
          <w:b/>
          <w:bCs/>
          <w:rtl/>
        </w:rPr>
        <w:t xml:space="preserve"> </w:t>
      </w:r>
      <w:r w:rsidRPr="005A20C9">
        <w:rPr>
          <w:rFonts w:hint="eastAsia"/>
          <w:b/>
          <w:bCs/>
          <w:rtl/>
        </w:rPr>
        <w:t>בוועדות</w:t>
      </w:r>
      <w:r w:rsidRPr="005A20C9">
        <w:rPr>
          <w:b/>
          <w:bCs/>
          <w:rtl/>
        </w:rPr>
        <w:t xml:space="preserve"> </w:t>
      </w:r>
      <w:r w:rsidRPr="005A20C9">
        <w:rPr>
          <w:rFonts w:hint="eastAsia"/>
          <w:b/>
          <w:bCs/>
          <w:rtl/>
        </w:rPr>
        <w:t>האתיקה</w:t>
      </w:r>
      <w:r w:rsidRPr="005A20C9">
        <w:rPr>
          <w:b/>
          <w:bCs/>
          <w:rtl/>
        </w:rPr>
        <w:t xml:space="preserve"> </w:t>
      </w:r>
      <w:r w:rsidRPr="005A20C9">
        <w:rPr>
          <w:rFonts w:hint="eastAsia"/>
          <w:b/>
          <w:bCs/>
          <w:rtl/>
        </w:rPr>
        <w:t>לפי</w:t>
      </w:r>
      <w:r w:rsidRPr="005A20C9">
        <w:rPr>
          <w:b/>
          <w:bCs/>
          <w:rtl/>
        </w:rPr>
        <w:t xml:space="preserve"> </w:t>
      </w:r>
      <w:r w:rsidRPr="005A20C9">
        <w:rPr>
          <w:rFonts w:hint="eastAsia"/>
          <w:b/>
          <w:bCs/>
          <w:rtl/>
        </w:rPr>
        <w:t>מחוזות</w:t>
      </w:r>
      <w:r w:rsidRPr="005A20C9">
        <w:rPr>
          <w:b/>
          <w:bCs/>
          <w:rtl/>
        </w:rPr>
        <w:t xml:space="preserve"> </w:t>
      </w:r>
      <w:r w:rsidRPr="005A20C9">
        <w:rPr>
          <w:rFonts w:hint="eastAsia"/>
          <w:b/>
          <w:bCs/>
          <w:rtl/>
        </w:rPr>
        <w:t>ומספר</w:t>
      </w:r>
      <w:r w:rsidRPr="005A20C9">
        <w:rPr>
          <w:b/>
          <w:bCs/>
          <w:rtl/>
        </w:rPr>
        <w:t xml:space="preserve"> </w:t>
      </w:r>
      <w:r w:rsidRPr="005A20C9">
        <w:rPr>
          <w:rFonts w:hint="eastAsia"/>
          <w:b/>
          <w:bCs/>
          <w:rtl/>
        </w:rPr>
        <w:t>התיקים</w:t>
      </w:r>
      <w:r w:rsidRPr="005A20C9">
        <w:rPr>
          <w:b/>
          <w:bCs/>
          <w:rtl/>
        </w:rPr>
        <w:t xml:space="preserve"> </w:t>
      </w:r>
      <w:r w:rsidRPr="005A20C9">
        <w:rPr>
          <w:rFonts w:hint="eastAsia"/>
          <w:b/>
          <w:bCs/>
          <w:rtl/>
        </w:rPr>
        <w:t>המטופלים</w:t>
      </w:r>
      <w:r w:rsidRPr="005A20C9">
        <w:rPr>
          <w:b/>
          <w:bCs/>
          <w:rtl/>
        </w:rPr>
        <w:t xml:space="preserve"> </w:t>
      </w:r>
      <w:r w:rsidRPr="005A20C9">
        <w:rPr>
          <w:rFonts w:hint="eastAsia"/>
          <w:b/>
          <w:bCs/>
          <w:rtl/>
        </w:rPr>
        <w:t>בכל</w:t>
      </w:r>
      <w:r w:rsidRPr="005A20C9">
        <w:rPr>
          <w:b/>
          <w:bCs/>
          <w:rtl/>
        </w:rPr>
        <w:t xml:space="preserve"> </w:t>
      </w:r>
      <w:r w:rsidRPr="005A20C9">
        <w:rPr>
          <w:rFonts w:hint="eastAsia"/>
          <w:b/>
          <w:bCs/>
          <w:rtl/>
        </w:rPr>
        <w:t>ועדה</w:t>
      </w:r>
      <w:r w:rsidRPr="005A20C9">
        <w:rPr>
          <w:rFonts w:hint="cs"/>
          <w:b/>
          <w:bCs/>
          <w:rtl/>
        </w:rPr>
        <w:t xml:space="preserve">, 2016 - 2018 </w:t>
      </w:r>
    </w:p>
    <w:tbl>
      <w:tblPr>
        <w:tblStyle w:val="4-41"/>
        <w:bidiVisual/>
        <w:tblW w:w="8198" w:type="dxa"/>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108"/>
        <w:gridCol w:w="1108"/>
        <w:gridCol w:w="1108"/>
        <w:gridCol w:w="1108"/>
        <w:gridCol w:w="1108"/>
        <w:gridCol w:w="1108"/>
      </w:tblGrid>
      <w:tr w:rsidR="00387987" w:rsidRPr="003F0956" w14:paraId="2E69EE1E" w14:textId="77777777" w:rsidTr="00094D5D">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none" w:sz="0" w:space="0" w:color="auto"/>
              <w:right w:val="none" w:sz="0" w:space="0" w:color="auto"/>
            </w:tcBorders>
            <w:shd w:val="clear" w:color="auto" w:fill="C6D9F1"/>
            <w:vAlign w:val="bottom"/>
          </w:tcPr>
          <w:p w14:paraId="66813954" w14:textId="77777777" w:rsidR="00387987" w:rsidRPr="00DF3044" w:rsidRDefault="00387987" w:rsidP="00B0644E">
            <w:pPr>
              <w:pStyle w:val="af"/>
              <w:rPr>
                <w:b/>
                <w:bCs/>
                <w:rtl/>
              </w:rPr>
            </w:pPr>
            <w:r w:rsidRPr="00DF3044">
              <w:rPr>
                <w:rFonts w:hint="cs"/>
                <w:b/>
                <w:bCs/>
                <w:rtl/>
              </w:rPr>
              <w:t>המחוז</w:t>
            </w:r>
          </w:p>
        </w:tc>
        <w:tc>
          <w:tcPr>
            <w:tcW w:w="1108" w:type="dxa"/>
            <w:tcBorders>
              <w:top w:val="none" w:sz="0" w:space="0" w:color="auto"/>
              <w:left w:val="none" w:sz="0" w:space="0" w:color="auto"/>
              <w:bottom w:val="none" w:sz="0" w:space="0" w:color="auto"/>
              <w:right w:val="none" w:sz="0" w:space="0" w:color="auto"/>
            </w:tcBorders>
            <w:shd w:val="clear" w:color="auto" w:fill="C6D9F1"/>
            <w:vAlign w:val="bottom"/>
          </w:tcPr>
          <w:p w14:paraId="06812D13" w14:textId="77777777" w:rsidR="00387987" w:rsidRPr="00DF3044" w:rsidRDefault="00387987" w:rsidP="00B0644E">
            <w:pPr>
              <w:pStyle w:val="af"/>
              <w:cnfStyle w:val="100000000000" w:firstRow="1" w:lastRow="0" w:firstColumn="0" w:lastColumn="0" w:oddVBand="0" w:evenVBand="0" w:oddHBand="0" w:evenHBand="0" w:firstRowFirstColumn="0" w:firstRowLastColumn="0" w:lastRowFirstColumn="0" w:lastRowLastColumn="0"/>
              <w:rPr>
                <w:b/>
                <w:bCs/>
                <w:rtl/>
              </w:rPr>
            </w:pPr>
            <w:r w:rsidRPr="00DF3044">
              <w:rPr>
                <w:rFonts w:hint="cs"/>
                <w:b/>
                <w:bCs/>
                <w:rtl/>
              </w:rPr>
              <w:t>תל אביב</w:t>
            </w:r>
          </w:p>
        </w:tc>
        <w:tc>
          <w:tcPr>
            <w:tcW w:w="1108" w:type="dxa"/>
            <w:tcBorders>
              <w:top w:val="none" w:sz="0" w:space="0" w:color="auto"/>
              <w:left w:val="none" w:sz="0" w:space="0" w:color="auto"/>
              <w:bottom w:val="none" w:sz="0" w:space="0" w:color="auto"/>
              <w:right w:val="none" w:sz="0" w:space="0" w:color="auto"/>
            </w:tcBorders>
            <w:shd w:val="clear" w:color="auto" w:fill="C6D9F1"/>
            <w:vAlign w:val="bottom"/>
          </w:tcPr>
          <w:p w14:paraId="24AAF869" w14:textId="77777777" w:rsidR="00387987" w:rsidRPr="00DF3044" w:rsidRDefault="00387987" w:rsidP="00B0644E">
            <w:pPr>
              <w:pStyle w:val="af"/>
              <w:cnfStyle w:val="100000000000" w:firstRow="1" w:lastRow="0" w:firstColumn="0" w:lastColumn="0" w:oddVBand="0" w:evenVBand="0" w:oddHBand="0" w:evenHBand="0" w:firstRowFirstColumn="0" w:firstRowLastColumn="0" w:lastRowFirstColumn="0" w:lastRowLastColumn="0"/>
              <w:rPr>
                <w:b/>
                <w:bCs/>
                <w:rtl/>
              </w:rPr>
            </w:pPr>
            <w:r w:rsidRPr="00DF3044">
              <w:rPr>
                <w:rFonts w:hint="cs"/>
                <w:b/>
                <w:bCs/>
                <w:rtl/>
              </w:rPr>
              <w:t>ירושלים</w:t>
            </w:r>
          </w:p>
        </w:tc>
        <w:tc>
          <w:tcPr>
            <w:tcW w:w="1108" w:type="dxa"/>
            <w:tcBorders>
              <w:top w:val="none" w:sz="0" w:space="0" w:color="auto"/>
              <w:left w:val="none" w:sz="0" w:space="0" w:color="auto"/>
              <w:bottom w:val="none" w:sz="0" w:space="0" w:color="auto"/>
              <w:right w:val="none" w:sz="0" w:space="0" w:color="auto"/>
            </w:tcBorders>
            <w:shd w:val="clear" w:color="auto" w:fill="C6D9F1"/>
            <w:vAlign w:val="bottom"/>
          </w:tcPr>
          <w:p w14:paraId="4E08AB10" w14:textId="77777777" w:rsidR="00387987" w:rsidRPr="00DF3044" w:rsidRDefault="00387987" w:rsidP="00B0644E">
            <w:pPr>
              <w:pStyle w:val="af"/>
              <w:cnfStyle w:val="100000000000" w:firstRow="1" w:lastRow="0" w:firstColumn="0" w:lastColumn="0" w:oddVBand="0" w:evenVBand="0" w:oddHBand="0" w:evenHBand="0" w:firstRowFirstColumn="0" w:firstRowLastColumn="0" w:lastRowFirstColumn="0" w:lastRowLastColumn="0"/>
              <w:rPr>
                <w:b/>
                <w:bCs/>
                <w:rtl/>
              </w:rPr>
            </w:pPr>
            <w:r w:rsidRPr="00DF3044">
              <w:rPr>
                <w:rFonts w:hint="cs"/>
                <w:b/>
                <w:bCs/>
                <w:rtl/>
              </w:rPr>
              <w:t>חיפה</w:t>
            </w:r>
          </w:p>
        </w:tc>
        <w:tc>
          <w:tcPr>
            <w:tcW w:w="1108" w:type="dxa"/>
            <w:tcBorders>
              <w:top w:val="none" w:sz="0" w:space="0" w:color="auto"/>
              <w:left w:val="none" w:sz="0" w:space="0" w:color="auto"/>
              <w:bottom w:val="none" w:sz="0" w:space="0" w:color="auto"/>
              <w:right w:val="none" w:sz="0" w:space="0" w:color="auto"/>
            </w:tcBorders>
            <w:shd w:val="clear" w:color="auto" w:fill="C6D9F1"/>
            <w:vAlign w:val="bottom"/>
          </w:tcPr>
          <w:p w14:paraId="3D975343" w14:textId="77777777" w:rsidR="00387987" w:rsidRPr="00DF3044" w:rsidRDefault="00387987" w:rsidP="00B0644E">
            <w:pPr>
              <w:pStyle w:val="af"/>
              <w:cnfStyle w:val="100000000000" w:firstRow="1" w:lastRow="0" w:firstColumn="0" w:lastColumn="0" w:oddVBand="0" w:evenVBand="0" w:oddHBand="0" w:evenHBand="0" w:firstRowFirstColumn="0" w:firstRowLastColumn="0" w:lastRowFirstColumn="0" w:lastRowLastColumn="0"/>
              <w:rPr>
                <w:b/>
                <w:bCs/>
                <w:rtl/>
              </w:rPr>
            </w:pPr>
            <w:r w:rsidRPr="00DF3044">
              <w:rPr>
                <w:rFonts w:hint="cs"/>
                <w:b/>
                <w:bCs/>
                <w:rtl/>
              </w:rPr>
              <w:t>צפון</w:t>
            </w:r>
          </w:p>
        </w:tc>
        <w:tc>
          <w:tcPr>
            <w:tcW w:w="1108" w:type="dxa"/>
            <w:tcBorders>
              <w:top w:val="none" w:sz="0" w:space="0" w:color="auto"/>
              <w:left w:val="none" w:sz="0" w:space="0" w:color="auto"/>
              <w:bottom w:val="none" w:sz="0" w:space="0" w:color="auto"/>
              <w:right w:val="none" w:sz="0" w:space="0" w:color="auto"/>
            </w:tcBorders>
            <w:shd w:val="clear" w:color="auto" w:fill="C6D9F1"/>
            <w:vAlign w:val="bottom"/>
          </w:tcPr>
          <w:p w14:paraId="716211FF" w14:textId="77777777" w:rsidR="00387987" w:rsidRPr="00DF3044" w:rsidRDefault="00387987" w:rsidP="00B0644E">
            <w:pPr>
              <w:pStyle w:val="af"/>
              <w:cnfStyle w:val="100000000000" w:firstRow="1" w:lastRow="0" w:firstColumn="0" w:lastColumn="0" w:oddVBand="0" w:evenVBand="0" w:oddHBand="0" w:evenHBand="0" w:firstRowFirstColumn="0" w:firstRowLastColumn="0" w:lastRowFirstColumn="0" w:lastRowLastColumn="0"/>
              <w:rPr>
                <w:b/>
                <w:bCs/>
                <w:rtl/>
              </w:rPr>
            </w:pPr>
            <w:r w:rsidRPr="00DF3044">
              <w:rPr>
                <w:rFonts w:hint="cs"/>
                <w:b/>
                <w:bCs/>
                <w:rtl/>
              </w:rPr>
              <w:t>דרום</w:t>
            </w:r>
          </w:p>
        </w:tc>
        <w:tc>
          <w:tcPr>
            <w:tcW w:w="1108" w:type="dxa"/>
            <w:tcBorders>
              <w:top w:val="none" w:sz="0" w:space="0" w:color="auto"/>
              <w:left w:val="none" w:sz="0" w:space="0" w:color="auto"/>
              <w:bottom w:val="none" w:sz="0" w:space="0" w:color="auto"/>
              <w:right w:val="none" w:sz="0" w:space="0" w:color="auto"/>
            </w:tcBorders>
            <w:shd w:val="clear" w:color="auto" w:fill="C6D9F1"/>
            <w:vAlign w:val="bottom"/>
          </w:tcPr>
          <w:p w14:paraId="5A59499D" w14:textId="77777777" w:rsidR="00387987" w:rsidRPr="00DF3044" w:rsidRDefault="00387987" w:rsidP="00B0644E">
            <w:pPr>
              <w:pStyle w:val="af"/>
              <w:cnfStyle w:val="100000000000" w:firstRow="1" w:lastRow="0" w:firstColumn="0" w:lastColumn="0" w:oddVBand="0" w:evenVBand="0" w:oddHBand="0" w:evenHBand="0" w:firstRowFirstColumn="0" w:firstRowLastColumn="0" w:lastRowFirstColumn="0" w:lastRowLastColumn="0"/>
              <w:rPr>
                <w:b/>
                <w:bCs/>
                <w:rtl/>
              </w:rPr>
            </w:pPr>
            <w:r w:rsidRPr="00DF3044">
              <w:rPr>
                <w:rFonts w:hint="cs"/>
                <w:b/>
                <w:bCs/>
                <w:rtl/>
              </w:rPr>
              <w:t>ארצי</w:t>
            </w:r>
          </w:p>
        </w:tc>
      </w:tr>
      <w:tr w:rsidR="00387987" w:rsidRPr="003F0956" w14:paraId="7B64140F" w14:textId="77777777" w:rsidTr="00094D5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50" w:type="dxa"/>
            <w:shd w:val="clear" w:color="auto" w:fill="auto"/>
            <w:vAlign w:val="bottom"/>
          </w:tcPr>
          <w:p w14:paraId="30E0C5D2" w14:textId="77777777" w:rsidR="00387987" w:rsidRPr="0017265F" w:rsidRDefault="00387987" w:rsidP="0017265F">
            <w:pPr>
              <w:pStyle w:val="R"/>
              <w:rPr>
                <w:rtl/>
              </w:rPr>
            </w:pPr>
            <w:r w:rsidRPr="0017265F">
              <w:rPr>
                <w:rFonts w:hint="cs"/>
                <w:rtl/>
              </w:rPr>
              <w:t>פרקליטים</w:t>
            </w:r>
          </w:p>
        </w:tc>
        <w:tc>
          <w:tcPr>
            <w:tcW w:w="1108" w:type="dxa"/>
            <w:shd w:val="clear" w:color="auto" w:fill="auto"/>
            <w:vAlign w:val="bottom"/>
          </w:tcPr>
          <w:p w14:paraId="3A11E9B9"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w:t>
            </w:r>
          </w:p>
        </w:tc>
        <w:tc>
          <w:tcPr>
            <w:tcW w:w="1108" w:type="dxa"/>
            <w:shd w:val="clear" w:color="auto" w:fill="auto"/>
            <w:vAlign w:val="bottom"/>
          </w:tcPr>
          <w:p w14:paraId="5C402F47"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w:t>
            </w:r>
          </w:p>
        </w:tc>
        <w:tc>
          <w:tcPr>
            <w:tcW w:w="1108" w:type="dxa"/>
            <w:shd w:val="clear" w:color="auto" w:fill="auto"/>
            <w:vAlign w:val="bottom"/>
          </w:tcPr>
          <w:p w14:paraId="2562A52A"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w:t>
            </w:r>
          </w:p>
        </w:tc>
        <w:tc>
          <w:tcPr>
            <w:tcW w:w="1108" w:type="dxa"/>
            <w:shd w:val="clear" w:color="auto" w:fill="auto"/>
            <w:vAlign w:val="bottom"/>
          </w:tcPr>
          <w:p w14:paraId="54670516"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 בחצי משרה</w:t>
            </w:r>
          </w:p>
        </w:tc>
        <w:tc>
          <w:tcPr>
            <w:tcW w:w="1108" w:type="dxa"/>
            <w:shd w:val="clear" w:color="auto" w:fill="auto"/>
            <w:vAlign w:val="bottom"/>
          </w:tcPr>
          <w:p w14:paraId="0F3B0C1D"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 בחצי משרה</w:t>
            </w:r>
          </w:p>
        </w:tc>
        <w:tc>
          <w:tcPr>
            <w:tcW w:w="1108" w:type="dxa"/>
            <w:shd w:val="clear" w:color="auto" w:fill="auto"/>
            <w:vAlign w:val="bottom"/>
          </w:tcPr>
          <w:p w14:paraId="674C7652"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w:t>
            </w:r>
          </w:p>
        </w:tc>
      </w:tr>
      <w:tr w:rsidR="00387987" w:rsidRPr="003F0956" w14:paraId="65D9C525" w14:textId="77777777" w:rsidTr="00094D5D">
        <w:trPr>
          <w:trHeight w:val="429"/>
        </w:trPr>
        <w:tc>
          <w:tcPr>
            <w:cnfStyle w:val="001000000000" w:firstRow="0" w:lastRow="0" w:firstColumn="1" w:lastColumn="0" w:oddVBand="0" w:evenVBand="0" w:oddHBand="0" w:evenHBand="0" w:firstRowFirstColumn="0" w:firstRowLastColumn="0" w:lastRowFirstColumn="0" w:lastRowLastColumn="0"/>
            <w:tcW w:w="1550" w:type="dxa"/>
            <w:shd w:val="clear" w:color="auto" w:fill="auto"/>
            <w:vAlign w:val="bottom"/>
          </w:tcPr>
          <w:p w14:paraId="49626F59" w14:textId="77777777" w:rsidR="00387987" w:rsidRPr="0017265F" w:rsidRDefault="00387987" w:rsidP="0017265F">
            <w:pPr>
              <w:pStyle w:val="R"/>
              <w:rPr>
                <w:rtl/>
              </w:rPr>
            </w:pPr>
            <w:r w:rsidRPr="0017265F">
              <w:rPr>
                <w:rFonts w:hint="cs"/>
                <w:rtl/>
              </w:rPr>
              <w:t>רכז או ממונה</w:t>
            </w:r>
          </w:p>
        </w:tc>
        <w:tc>
          <w:tcPr>
            <w:tcW w:w="1108" w:type="dxa"/>
            <w:shd w:val="clear" w:color="auto" w:fill="auto"/>
            <w:vAlign w:val="bottom"/>
          </w:tcPr>
          <w:p w14:paraId="60567263"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r w:rsidRPr="0017265F">
              <w:rPr>
                <w:rFonts w:hint="cs"/>
                <w:rtl/>
              </w:rPr>
              <w:t>1 (עורך דין)</w:t>
            </w:r>
          </w:p>
        </w:tc>
        <w:tc>
          <w:tcPr>
            <w:tcW w:w="1108" w:type="dxa"/>
            <w:shd w:val="clear" w:color="auto" w:fill="auto"/>
            <w:vAlign w:val="bottom"/>
          </w:tcPr>
          <w:p w14:paraId="6F6F1D9F"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p>
        </w:tc>
        <w:tc>
          <w:tcPr>
            <w:tcW w:w="1108" w:type="dxa"/>
            <w:shd w:val="clear" w:color="auto" w:fill="auto"/>
            <w:vAlign w:val="bottom"/>
          </w:tcPr>
          <w:p w14:paraId="14D05EEA"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r w:rsidRPr="0017265F">
              <w:rPr>
                <w:rFonts w:hint="cs"/>
                <w:rtl/>
              </w:rPr>
              <w:t>1 (עורך דין)</w:t>
            </w:r>
          </w:p>
        </w:tc>
        <w:tc>
          <w:tcPr>
            <w:tcW w:w="1108" w:type="dxa"/>
            <w:shd w:val="clear" w:color="auto" w:fill="auto"/>
            <w:vAlign w:val="bottom"/>
          </w:tcPr>
          <w:p w14:paraId="18D5FE1E"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p>
        </w:tc>
        <w:tc>
          <w:tcPr>
            <w:tcW w:w="1108" w:type="dxa"/>
            <w:shd w:val="clear" w:color="auto" w:fill="auto"/>
            <w:vAlign w:val="bottom"/>
          </w:tcPr>
          <w:p w14:paraId="648286D5" w14:textId="5F69167A"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r w:rsidRPr="0017265F">
              <w:rPr>
                <w:rFonts w:hint="cs"/>
                <w:rtl/>
              </w:rPr>
              <w:t>1</w:t>
            </w:r>
            <w:r w:rsidR="007C4108">
              <w:rPr>
                <w:rFonts w:hint="cs"/>
                <w:rtl/>
              </w:rPr>
              <w:t xml:space="preserve"> </w:t>
            </w:r>
            <w:r w:rsidRPr="0017265F">
              <w:rPr>
                <w:rFonts w:hint="cs"/>
                <w:rtl/>
              </w:rPr>
              <w:t>(עורך דין)</w:t>
            </w:r>
          </w:p>
        </w:tc>
        <w:tc>
          <w:tcPr>
            <w:tcW w:w="1108" w:type="dxa"/>
            <w:shd w:val="clear" w:color="auto" w:fill="auto"/>
            <w:vAlign w:val="bottom"/>
          </w:tcPr>
          <w:p w14:paraId="7E7B9395" w14:textId="72330078"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r w:rsidRPr="0017265F">
              <w:rPr>
                <w:rFonts w:hint="cs"/>
                <w:rtl/>
              </w:rPr>
              <w:t>1</w:t>
            </w:r>
            <w:r w:rsidR="007C4108">
              <w:rPr>
                <w:rFonts w:hint="cs"/>
                <w:rtl/>
              </w:rPr>
              <w:t xml:space="preserve"> </w:t>
            </w:r>
            <w:r w:rsidRPr="0017265F">
              <w:rPr>
                <w:rFonts w:hint="cs"/>
                <w:rtl/>
              </w:rPr>
              <w:t>(עורך דין)</w:t>
            </w:r>
          </w:p>
        </w:tc>
      </w:tr>
      <w:tr w:rsidR="00387987" w:rsidRPr="003F0956" w14:paraId="3C0BC40E" w14:textId="77777777" w:rsidTr="00094D5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550" w:type="dxa"/>
            <w:shd w:val="clear" w:color="auto" w:fill="auto"/>
            <w:vAlign w:val="bottom"/>
          </w:tcPr>
          <w:p w14:paraId="6E6D0CC2" w14:textId="77777777" w:rsidR="00387987" w:rsidRPr="0017265F" w:rsidRDefault="00387987" w:rsidP="0017265F">
            <w:pPr>
              <w:pStyle w:val="R"/>
              <w:rPr>
                <w:rtl/>
              </w:rPr>
            </w:pPr>
            <w:r w:rsidRPr="0017265F">
              <w:rPr>
                <w:rFonts w:hint="cs"/>
                <w:rtl/>
              </w:rPr>
              <w:t>עורכי דין נוספים</w:t>
            </w:r>
            <w:r w:rsidRPr="0017513A">
              <w:rPr>
                <w:rStyle w:val="FootnoteReference"/>
                <w:rtl/>
              </w:rPr>
              <w:footnoteReference w:id="46"/>
            </w:r>
          </w:p>
        </w:tc>
        <w:tc>
          <w:tcPr>
            <w:tcW w:w="1108" w:type="dxa"/>
            <w:shd w:val="clear" w:color="auto" w:fill="auto"/>
            <w:vAlign w:val="bottom"/>
          </w:tcPr>
          <w:p w14:paraId="688F5307"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 xml:space="preserve">2 </w:t>
            </w:r>
          </w:p>
        </w:tc>
        <w:tc>
          <w:tcPr>
            <w:tcW w:w="1108" w:type="dxa"/>
            <w:shd w:val="clear" w:color="auto" w:fill="auto"/>
            <w:vAlign w:val="bottom"/>
          </w:tcPr>
          <w:p w14:paraId="5D712AC1"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p>
        </w:tc>
        <w:tc>
          <w:tcPr>
            <w:tcW w:w="1108" w:type="dxa"/>
            <w:shd w:val="clear" w:color="auto" w:fill="auto"/>
            <w:vAlign w:val="bottom"/>
          </w:tcPr>
          <w:p w14:paraId="59820794"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p>
        </w:tc>
        <w:tc>
          <w:tcPr>
            <w:tcW w:w="1108" w:type="dxa"/>
            <w:shd w:val="clear" w:color="auto" w:fill="auto"/>
            <w:vAlign w:val="bottom"/>
          </w:tcPr>
          <w:p w14:paraId="6C698DF5"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p>
        </w:tc>
        <w:tc>
          <w:tcPr>
            <w:tcW w:w="1108" w:type="dxa"/>
            <w:shd w:val="clear" w:color="auto" w:fill="auto"/>
            <w:vAlign w:val="bottom"/>
          </w:tcPr>
          <w:p w14:paraId="2877DE00"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p>
        </w:tc>
        <w:tc>
          <w:tcPr>
            <w:tcW w:w="1108" w:type="dxa"/>
            <w:shd w:val="clear" w:color="auto" w:fill="auto"/>
            <w:vAlign w:val="bottom"/>
          </w:tcPr>
          <w:p w14:paraId="198C725B"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p>
        </w:tc>
      </w:tr>
      <w:tr w:rsidR="00387987" w:rsidRPr="003F0956" w14:paraId="1B91A316" w14:textId="77777777" w:rsidTr="00094D5D">
        <w:trPr>
          <w:trHeight w:val="649"/>
        </w:trPr>
        <w:tc>
          <w:tcPr>
            <w:cnfStyle w:val="001000000000" w:firstRow="0" w:lastRow="0" w:firstColumn="1" w:lastColumn="0" w:oddVBand="0" w:evenVBand="0" w:oddHBand="0" w:evenHBand="0" w:firstRowFirstColumn="0" w:firstRowLastColumn="0" w:lastRowFirstColumn="0" w:lastRowLastColumn="0"/>
            <w:tcW w:w="1550" w:type="dxa"/>
            <w:shd w:val="clear" w:color="auto" w:fill="auto"/>
            <w:vAlign w:val="bottom"/>
          </w:tcPr>
          <w:p w14:paraId="2A6D335D" w14:textId="77777777" w:rsidR="00387987" w:rsidRPr="0017265F" w:rsidRDefault="00387987" w:rsidP="0017265F">
            <w:pPr>
              <w:pStyle w:val="R"/>
              <w:rPr>
                <w:rtl/>
              </w:rPr>
            </w:pPr>
            <w:r w:rsidRPr="0017265F">
              <w:rPr>
                <w:rFonts w:hint="cs"/>
                <w:rtl/>
              </w:rPr>
              <w:t>מזכירות</w:t>
            </w:r>
          </w:p>
        </w:tc>
        <w:tc>
          <w:tcPr>
            <w:tcW w:w="1108" w:type="dxa"/>
            <w:shd w:val="clear" w:color="auto" w:fill="auto"/>
            <w:vAlign w:val="bottom"/>
          </w:tcPr>
          <w:p w14:paraId="3A584E4D"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r w:rsidRPr="0017265F">
              <w:rPr>
                <w:rFonts w:hint="cs"/>
                <w:rtl/>
              </w:rPr>
              <w:t>4</w:t>
            </w:r>
          </w:p>
        </w:tc>
        <w:tc>
          <w:tcPr>
            <w:tcW w:w="1108" w:type="dxa"/>
            <w:shd w:val="clear" w:color="auto" w:fill="auto"/>
            <w:vAlign w:val="bottom"/>
          </w:tcPr>
          <w:p w14:paraId="68C0BFCE"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r w:rsidRPr="0017265F">
              <w:rPr>
                <w:rFonts w:hint="cs"/>
                <w:rtl/>
              </w:rPr>
              <w:t>1</w:t>
            </w:r>
          </w:p>
        </w:tc>
        <w:tc>
          <w:tcPr>
            <w:tcW w:w="1108" w:type="dxa"/>
            <w:shd w:val="clear" w:color="auto" w:fill="auto"/>
            <w:vAlign w:val="bottom"/>
          </w:tcPr>
          <w:p w14:paraId="458B27E3"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r w:rsidRPr="0017265F">
              <w:rPr>
                <w:rFonts w:hint="cs"/>
                <w:rtl/>
              </w:rPr>
              <w:t xml:space="preserve">2 </w:t>
            </w:r>
          </w:p>
        </w:tc>
        <w:tc>
          <w:tcPr>
            <w:tcW w:w="1108" w:type="dxa"/>
            <w:shd w:val="clear" w:color="auto" w:fill="auto"/>
            <w:vAlign w:val="bottom"/>
          </w:tcPr>
          <w:p w14:paraId="06861871"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r w:rsidRPr="0017265F">
              <w:rPr>
                <w:rFonts w:hint="cs"/>
                <w:rtl/>
              </w:rPr>
              <w:t>1 בחצי משרה</w:t>
            </w:r>
          </w:p>
        </w:tc>
        <w:tc>
          <w:tcPr>
            <w:tcW w:w="1108" w:type="dxa"/>
            <w:shd w:val="clear" w:color="auto" w:fill="auto"/>
            <w:vAlign w:val="bottom"/>
          </w:tcPr>
          <w:p w14:paraId="61646CE2"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p>
        </w:tc>
        <w:tc>
          <w:tcPr>
            <w:tcW w:w="1108" w:type="dxa"/>
            <w:shd w:val="clear" w:color="auto" w:fill="auto"/>
            <w:vAlign w:val="bottom"/>
          </w:tcPr>
          <w:p w14:paraId="64B1FF07" w14:textId="77777777" w:rsidR="00387987" w:rsidRPr="0017265F" w:rsidRDefault="00387987" w:rsidP="0017265F">
            <w:pPr>
              <w:pStyle w:val="R"/>
              <w:cnfStyle w:val="000000000000" w:firstRow="0" w:lastRow="0" w:firstColumn="0" w:lastColumn="0" w:oddVBand="0" w:evenVBand="0" w:oddHBand="0" w:evenHBand="0" w:firstRowFirstColumn="0" w:firstRowLastColumn="0" w:lastRowFirstColumn="0" w:lastRowLastColumn="0"/>
              <w:rPr>
                <w:rtl/>
              </w:rPr>
            </w:pPr>
            <w:r w:rsidRPr="0017265F">
              <w:rPr>
                <w:rFonts w:hint="cs"/>
                <w:rtl/>
              </w:rPr>
              <w:t xml:space="preserve">2 </w:t>
            </w:r>
          </w:p>
        </w:tc>
      </w:tr>
      <w:tr w:rsidR="00387987" w:rsidRPr="003F0956" w14:paraId="208F093B" w14:textId="77777777" w:rsidTr="00094D5D">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1550" w:type="dxa"/>
            <w:shd w:val="clear" w:color="auto" w:fill="auto"/>
            <w:vAlign w:val="bottom"/>
          </w:tcPr>
          <w:p w14:paraId="3D2A39EA" w14:textId="77777777" w:rsidR="00387987" w:rsidRPr="0017265F" w:rsidRDefault="00387987" w:rsidP="0017265F">
            <w:pPr>
              <w:pStyle w:val="R"/>
              <w:rPr>
                <w:rtl/>
              </w:rPr>
            </w:pPr>
            <w:r w:rsidRPr="0017265F">
              <w:rPr>
                <w:rFonts w:hint="cs"/>
                <w:rtl/>
              </w:rPr>
              <w:lastRenderedPageBreak/>
              <w:t>מספר התיקים בטיפול המחוז מתוך כלל תיקי האתיקה של הלשכה</w:t>
            </w:r>
          </w:p>
        </w:tc>
        <w:tc>
          <w:tcPr>
            <w:tcW w:w="1108" w:type="dxa"/>
            <w:shd w:val="clear" w:color="auto" w:fill="auto"/>
            <w:vAlign w:val="bottom"/>
          </w:tcPr>
          <w:p w14:paraId="17FCA552"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5,068 (51%)</w:t>
            </w:r>
          </w:p>
        </w:tc>
        <w:tc>
          <w:tcPr>
            <w:tcW w:w="1108" w:type="dxa"/>
            <w:shd w:val="clear" w:color="auto" w:fill="auto"/>
            <w:vAlign w:val="bottom"/>
          </w:tcPr>
          <w:p w14:paraId="525EF010"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1,057</w:t>
            </w:r>
          </w:p>
          <w:p w14:paraId="079BC1A5" w14:textId="56FA96D0" w:rsidR="00387987" w:rsidRPr="0017265F" w:rsidRDefault="00387987" w:rsidP="0055439E">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(11%)</w:t>
            </w:r>
          </w:p>
        </w:tc>
        <w:tc>
          <w:tcPr>
            <w:tcW w:w="1108" w:type="dxa"/>
            <w:shd w:val="clear" w:color="auto" w:fill="auto"/>
            <w:vAlign w:val="bottom"/>
          </w:tcPr>
          <w:p w14:paraId="7D6087CB"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1,659</w:t>
            </w:r>
          </w:p>
          <w:p w14:paraId="5606BFC9" w14:textId="3C98DDC6" w:rsidR="00387987" w:rsidRPr="0017265F" w:rsidRDefault="00387987" w:rsidP="0055439E">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(17%)</w:t>
            </w:r>
          </w:p>
        </w:tc>
        <w:tc>
          <w:tcPr>
            <w:tcW w:w="1108" w:type="dxa"/>
            <w:shd w:val="clear" w:color="auto" w:fill="auto"/>
            <w:vAlign w:val="bottom"/>
          </w:tcPr>
          <w:p w14:paraId="5BF8708A"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604</w:t>
            </w:r>
          </w:p>
          <w:p w14:paraId="650234E6"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 xml:space="preserve">(6%) </w:t>
            </w:r>
          </w:p>
        </w:tc>
        <w:tc>
          <w:tcPr>
            <w:tcW w:w="1108" w:type="dxa"/>
            <w:shd w:val="clear" w:color="auto" w:fill="auto"/>
            <w:vAlign w:val="bottom"/>
          </w:tcPr>
          <w:p w14:paraId="20B4426F"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803</w:t>
            </w:r>
          </w:p>
          <w:p w14:paraId="51F50326" w14:textId="4225BB8D" w:rsidR="00387987" w:rsidRPr="0017265F" w:rsidRDefault="00387987" w:rsidP="0055439E">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(8%)</w:t>
            </w:r>
          </w:p>
        </w:tc>
        <w:tc>
          <w:tcPr>
            <w:tcW w:w="1108" w:type="dxa"/>
            <w:shd w:val="clear" w:color="auto" w:fill="auto"/>
            <w:vAlign w:val="bottom"/>
          </w:tcPr>
          <w:p w14:paraId="3F86B1DB"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750</w:t>
            </w:r>
          </w:p>
          <w:p w14:paraId="2D61EB5D" w14:textId="77777777" w:rsidR="00387987" w:rsidRPr="0017265F" w:rsidRDefault="00387987" w:rsidP="0017265F">
            <w:pPr>
              <w:pStyle w:val="R"/>
              <w:cnfStyle w:val="000000100000" w:firstRow="0" w:lastRow="0" w:firstColumn="0" w:lastColumn="0" w:oddVBand="0" w:evenVBand="0" w:oddHBand="1" w:evenHBand="0" w:firstRowFirstColumn="0" w:firstRowLastColumn="0" w:lastRowFirstColumn="0" w:lastRowLastColumn="0"/>
              <w:rPr>
                <w:rtl/>
              </w:rPr>
            </w:pPr>
            <w:r w:rsidRPr="0017265F">
              <w:rPr>
                <w:rFonts w:hint="cs"/>
                <w:rtl/>
              </w:rPr>
              <w:t>(7%)</w:t>
            </w:r>
          </w:p>
        </w:tc>
      </w:tr>
    </w:tbl>
    <w:p w14:paraId="2A61E9FC" w14:textId="77777777" w:rsidR="00387987" w:rsidRPr="006B608D" w:rsidRDefault="00387987" w:rsidP="00625B32">
      <w:pPr>
        <w:pStyle w:val="aa"/>
        <w:rPr>
          <w:rtl/>
        </w:rPr>
      </w:pPr>
      <w:r w:rsidRPr="006B608D">
        <w:rPr>
          <w:rFonts w:hint="cs"/>
          <w:rtl/>
        </w:rPr>
        <w:t xml:space="preserve">על פי </w:t>
      </w:r>
      <w:r w:rsidRPr="006B608D">
        <w:rPr>
          <w:rFonts w:hint="eastAsia"/>
          <w:rtl/>
        </w:rPr>
        <w:t>נתוני</w:t>
      </w:r>
      <w:r w:rsidRPr="006B608D">
        <w:rPr>
          <w:rtl/>
        </w:rPr>
        <w:t xml:space="preserve"> </w:t>
      </w:r>
      <w:r w:rsidRPr="006B608D">
        <w:rPr>
          <w:rFonts w:hint="eastAsia"/>
          <w:rtl/>
        </w:rPr>
        <w:t>ועדות</w:t>
      </w:r>
      <w:r w:rsidRPr="006B608D">
        <w:rPr>
          <w:rtl/>
        </w:rPr>
        <w:t xml:space="preserve"> </w:t>
      </w:r>
      <w:r w:rsidRPr="006B608D">
        <w:rPr>
          <w:rFonts w:hint="eastAsia"/>
          <w:rtl/>
        </w:rPr>
        <w:t>האתיקה</w:t>
      </w:r>
      <w:r w:rsidRPr="006B608D">
        <w:rPr>
          <w:rFonts w:hint="cs"/>
          <w:rtl/>
        </w:rPr>
        <w:t>, בעיבוד משרד מבקר המדינה</w:t>
      </w:r>
      <w:r w:rsidRPr="006B608D">
        <w:rPr>
          <w:rtl/>
        </w:rPr>
        <w:t>.</w:t>
      </w:r>
    </w:p>
    <w:p w14:paraId="095A4251" w14:textId="30B829DB" w:rsidR="00387987" w:rsidRDefault="00387987" w:rsidP="00913C62">
      <w:pPr>
        <w:pStyle w:val="100"/>
        <w:rPr>
          <w:rtl/>
        </w:rPr>
      </w:pPr>
    </w:p>
    <w:p w14:paraId="66AEC1C4" w14:textId="77777777" w:rsidR="00387987" w:rsidRPr="00494887" w:rsidRDefault="00387987" w:rsidP="00913C62">
      <w:pPr>
        <w:pStyle w:val="af3"/>
        <w:rPr>
          <w:rtl/>
        </w:rPr>
      </w:pPr>
      <w:r w:rsidRPr="00494887">
        <w:rPr>
          <w:rFonts w:hint="eastAsia"/>
          <w:rtl/>
        </w:rPr>
        <w:t>מהלוח</w:t>
      </w:r>
      <w:r w:rsidRPr="00494887">
        <w:rPr>
          <w:rtl/>
        </w:rPr>
        <w:t xml:space="preserve"> </w:t>
      </w:r>
      <w:r w:rsidRPr="00494887">
        <w:rPr>
          <w:rFonts w:hint="eastAsia"/>
          <w:rtl/>
        </w:rPr>
        <w:t>עולה</w:t>
      </w:r>
      <w:r w:rsidRPr="00494887">
        <w:rPr>
          <w:rtl/>
        </w:rPr>
        <w:t xml:space="preserve"> כי היקף </w:t>
      </w:r>
      <w:r w:rsidRPr="00494887">
        <w:rPr>
          <w:rFonts w:hint="eastAsia"/>
          <w:rtl/>
        </w:rPr>
        <w:t>כוח</w:t>
      </w:r>
      <w:r w:rsidRPr="00494887">
        <w:rPr>
          <w:rtl/>
        </w:rPr>
        <w:t xml:space="preserve"> האדם </w:t>
      </w:r>
      <w:r w:rsidRPr="00494887">
        <w:rPr>
          <w:rFonts w:hint="eastAsia"/>
          <w:rtl/>
        </w:rPr>
        <w:t>של</w:t>
      </w:r>
      <w:r w:rsidRPr="00494887">
        <w:rPr>
          <w:rtl/>
        </w:rPr>
        <w:t xml:space="preserve"> </w:t>
      </w:r>
      <w:r w:rsidRPr="00494887">
        <w:rPr>
          <w:rFonts w:hint="eastAsia"/>
          <w:rtl/>
        </w:rPr>
        <w:t>מנגנון</w:t>
      </w:r>
      <w:r w:rsidRPr="00494887">
        <w:rPr>
          <w:rtl/>
        </w:rPr>
        <w:t xml:space="preserve"> </w:t>
      </w:r>
      <w:r w:rsidRPr="00494887">
        <w:rPr>
          <w:rFonts w:hint="eastAsia"/>
          <w:rtl/>
        </w:rPr>
        <w:t>ועדת</w:t>
      </w:r>
      <w:r w:rsidRPr="00494887">
        <w:rPr>
          <w:rtl/>
        </w:rPr>
        <w:t xml:space="preserve"> </w:t>
      </w:r>
      <w:r w:rsidRPr="00494887">
        <w:rPr>
          <w:rFonts w:hint="eastAsia"/>
          <w:rtl/>
        </w:rPr>
        <w:t>האתיקה</w:t>
      </w:r>
      <w:r w:rsidRPr="00494887">
        <w:rPr>
          <w:rtl/>
        </w:rPr>
        <w:t xml:space="preserve"> במחוז תל אביב המטפל בתלונות אתיקה קטן באופן </w:t>
      </w:r>
      <w:r w:rsidRPr="00494887">
        <w:rPr>
          <w:rFonts w:hint="eastAsia"/>
          <w:rtl/>
        </w:rPr>
        <w:t>ניכר</w:t>
      </w:r>
      <w:r w:rsidRPr="00494887">
        <w:rPr>
          <w:rtl/>
        </w:rPr>
        <w:t xml:space="preserve"> מהיק</w:t>
      </w:r>
      <w:r w:rsidRPr="00494887">
        <w:rPr>
          <w:rFonts w:hint="eastAsia"/>
          <w:rtl/>
        </w:rPr>
        <w:t>פו</w:t>
      </w:r>
      <w:r w:rsidRPr="00494887">
        <w:rPr>
          <w:rtl/>
        </w:rPr>
        <w:t xml:space="preserve"> במחוזות אחרים ב</w:t>
      </w:r>
      <w:r w:rsidRPr="00494887">
        <w:rPr>
          <w:rFonts w:hint="eastAsia"/>
          <w:rtl/>
        </w:rPr>
        <w:t>אופן</w:t>
      </w:r>
      <w:r w:rsidRPr="00494887">
        <w:rPr>
          <w:rtl/>
        </w:rPr>
        <w:t xml:space="preserve"> יחסי </w:t>
      </w:r>
      <w:r w:rsidRPr="00494887">
        <w:rPr>
          <w:rFonts w:hint="eastAsia"/>
          <w:rtl/>
        </w:rPr>
        <w:t>למספר</w:t>
      </w:r>
      <w:r w:rsidRPr="00494887">
        <w:rPr>
          <w:rtl/>
        </w:rPr>
        <w:t xml:space="preserve"> </w:t>
      </w:r>
      <w:r w:rsidRPr="00494887">
        <w:rPr>
          <w:rFonts w:hint="eastAsia"/>
          <w:rtl/>
        </w:rPr>
        <w:t>התלונות</w:t>
      </w:r>
      <w:r w:rsidRPr="00494887">
        <w:rPr>
          <w:rtl/>
        </w:rPr>
        <w:t>.</w:t>
      </w:r>
    </w:p>
    <w:p w14:paraId="611A8F54" w14:textId="77777777" w:rsidR="00387987" w:rsidRDefault="00387987" w:rsidP="00913C62">
      <w:pPr>
        <w:pStyle w:val="100"/>
      </w:pPr>
      <w:r w:rsidRPr="004E1C1B">
        <w:rPr>
          <w:rtl/>
        </w:rPr>
        <w:t>יכולתה של ועדת האתיקה לטפל בתלונות נפגעה עוד יותר בשלהי 2019.</w:t>
      </w:r>
      <w:r>
        <w:rPr>
          <w:rFonts w:hint="cs"/>
          <w:rtl/>
        </w:rPr>
        <w:t xml:space="preserve"> </w:t>
      </w:r>
      <w:r w:rsidRPr="000E6425">
        <w:rPr>
          <w:rFonts w:hint="cs"/>
          <w:rtl/>
        </w:rPr>
        <w:t xml:space="preserve">בחודשים נובמבר ודצמבר 2019 </w:t>
      </w:r>
      <w:r>
        <w:rPr>
          <w:rFonts w:hint="cs"/>
          <w:rtl/>
        </w:rPr>
        <w:t>סיימו את תפקידם כמה עובדי הוועדה. נכון לינואר 2020</w:t>
      </w:r>
      <w:r w:rsidRPr="000E6425">
        <w:rPr>
          <w:rFonts w:hint="cs"/>
          <w:rtl/>
        </w:rPr>
        <w:t xml:space="preserve">, נותרו בוועדת האתיקה של מחוז תל אביב פרקליטת </w:t>
      </w:r>
      <w:r>
        <w:rPr>
          <w:rFonts w:hint="cs"/>
          <w:rtl/>
        </w:rPr>
        <w:t>ה</w:t>
      </w:r>
      <w:r w:rsidRPr="000E6425">
        <w:rPr>
          <w:rFonts w:hint="cs"/>
          <w:rtl/>
        </w:rPr>
        <w:t>ו</w:t>
      </w:r>
      <w:r>
        <w:rPr>
          <w:rFonts w:hint="cs"/>
          <w:rtl/>
        </w:rPr>
        <w:t>ו</w:t>
      </w:r>
      <w:r w:rsidRPr="000E6425">
        <w:rPr>
          <w:rFonts w:hint="cs"/>
          <w:rtl/>
        </w:rPr>
        <w:t>עד</w:t>
      </w:r>
      <w:r>
        <w:rPr>
          <w:rFonts w:hint="cs"/>
          <w:rtl/>
        </w:rPr>
        <w:t>ה, שני עורכי דין</w:t>
      </w:r>
      <w:r w:rsidRPr="000E6425">
        <w:rPr>
          <w:rFonts w:hint="cs"/>
          <w:rtl/>
        </w:rPr>
        <w:t xml:space="preserve"> </w:t>
      </w:r>
      <w:r>
        <w:rPr>
          <w:rFonts w:hint="cs"/>
          <w:rtl/>
        </w:rPr>
        <w:t>ושלוש מזכירות</w:t>
      </w:r>
      <w:r w:rsidRPr="000E6425">
        <w:rPr>
          <w:rFonts w:hint="cs"/>
          <w:rtl/>
        </w:rPr>
        <w:t xml:space="preserve">. בעקבות זאת פנה יו"ר ועדת האתיקה בתל אביב ליו"ר </w:t>
      </w:r>
      <w:r>
        <w:rPr>
          <w:rFonts w:hint="cs"/>
          <w:rtl/>
        </w:rPr>
        <w:t>ועד המחוז</w:t>
      </w:r>
      <w:r w:rsidRPr="000E6425">
        <w:rPr>
          <w:rFonts w:hint="cs"/>
          <w:rtl/>
        </w:rPr>
        <w:t xml:space="preserve"> בדרישה לטפל בדחיפות בנושא. </w:t>
      </w:r>
    </w:p>
    <w:p w14:paraId="488FDBC0" w14:textId="77777777" w:rsidR="00387987" w:rsidRPr="000E6425" w:rsidRDefault="00387987" w:rsidP="00913C62">
      <w:pPr>
        <w:pStyle w:val="100"/>
        <w:rPr>
          <w:b/>
          <w:bCs/>
          <w:rtl/>
        </w:rPr>
      </w:pPr>
      <w:r>
        <w:rPr>
          <w:rFonts w:hint="cs"/>
          <w:rtl/>
        </w:rPr>
        <w:t xml:space="preserve">עקב האמור, </w:t>
      </w:r>
      <w:r w:rsidRPr="000E6425">
        <w:rPr>
          <w:rFonts w:hint="cs"/>
          <w:rtl/>
        </w:rPr>
        <w:t>החליט יו"ר הלשכה להעביר תלונות אתיקה שנפתחו מינואר 2017</w:t>
      </w:r>
      <w:r>
        <w:rPr>
          <w:rFonts w:hint="cs"/>
          <w:rtl/>
        </w:rPr>
        <w:t xml:space="preserve"> במחוז תל אביב,</w:t>
      </w:r>
      <w:r w:rsidRPr="000E6425">
        <w:rPr>
          <w:rFonts w:hint="cs"/>
          <w:rtl/>
        </w:rPr>
        <w:t xml:space="preserve"> </w:t>
      </w:r>
      <w:r>
        <w:rPr>
          <w:rFonts w:hint="cs"/>
          <w:rtl/>
        </w:rPr>
        <w:t>ו</w:t>
      </w:r>
      <w:r w:rsidRPr="000E6425">
        <w:rPr>
          <w:rFonts w:hint="cs"/>
          <w:rtl/>
        </w:rPr>
        <w:t>המיועדות לטיפול במחוז מרכז</w:t>
      </w:r>
      <w:r>
        <w:rPr>
          <w:rFonts w:hint="cs"/>
          <w:rtl/>
        </w:rPr>
        <w:t>,</w:t>
      </w:r>
      <w:r w:rsidRPr="000E6425">
        <w:rPr>
          <w:rFonts w:hint="cs"/>
          <w:rtl/>
        </w:rPr>
        <w:t xml:space="preserve"> לטיפול ועדת האתיקה הארצית. </w:t>
      </w:r>
    </w:p>
    <w:p w14:paraId="3A447F9B" w14:textId="77777777" w:rsidR="00387987" w:rsidRDefault="00387987" w:rsidP="00A339FB">
      <w:pPr>
        <w:pStyle w:val="af3"/>
        <w:rPr>
          <w:rtl/>
        </w:rPr>
      </w:pPr>
      <w:r>
        <w:rPr>
          <w:rFonts w:hint="cs"/>
          <w:rtl/>
        </w:rPr>
        <w:t xml:space="preserve">אף שהחובה להקים </w:t>
      </w:r>
      <w:r w:rsidRPr="000E6425">
        <w:rPr>
          <w:rtl/>
        </w:rPr>
        <w:t>ועדת אתיקה במחוז מרכז</w:t>
      </w:r>
      <w:r>
        <w:rPr>
          <w:rFonts w:hint="eastAsia"/>
          <w:rtl/>
        </w:rPr>
        <w:t xml:space="preserve"> </w:t>
      </w:r>
      <w:r w:rsidRPr="000E6425">
        <w:rPr>
          <w:rtl/>
        </w:rPr>
        <w:t>קמה מיוני 2019 ו</w:t>
      </w:r>
      <w:r>
        <w:rPr>
          <w:rFonts w:hint="cs"/>
          <w:rtl/>
        </w:rPr>
        <w:t xml:space="preserve">אף </w:t>
      </w:r>
      <w:r w:rsidRPr="000E6425">
        <w:rPr>
          <w:rtl/>
        </w:rPr>
        <w:t xml:space="preserve">שהמחוז </w:t>
      </w:r>
      <w:r w:rsidRPr="000E6425">
        <w:rPr>
          <w:rFonts w:hint="eastAsia"/>
          <w:rtl/>
        </w:rPr>
        <w:t>פעיל</w:t>
      </w:r>
      <w:r w:rsidRPr="000E6425">
        <w:rPr>
          <w:rtl/>
        </w:rPr>
        <w:t xml:space="preserve"> </w:t>
      </w:r>
      <w:r w:rsidRPr="000E6425">
        <w:rPr>
          <w:rFonts w:hint="eastAsia"/>
          <w:rtl/>
        </w:rPr>
        <w:t>זה</w:t>
      </w:r>
      <w:r>
        <w:rPr>
          <w:rtl/>
        </w:rPr>
        <w:t xml:space="preserve"> </w:t>
      </w:r>
      <w:r w:rsidRPr="000E6425">
        <w:rPr>
          <w:rFonts w:hint="cs"/>
          <w:rtl/>
        </w:rPr>
        <w:t xml:space="preserve">כארבע </w:t>
      </w:r>
      <w:r w:rsidRPr="000E6425">
        <w:rPr>
          <w:rtl/>
        </w:rPr>
        <w:t xml:space="preserve">שנים, </w:t>
      </w:r>
      <w:r>
        <w:rPr>
          <w:rFonts w:hint="cs"/>
          <w:rtl/>
        </w:rPr>
        <w:t>הוועדה</w:t>
      </w:r>
      <w:r w:rsidRPr="00E34F9A">
        <w:rPr>
          <w:rtl/>
        </w:rPr>
        <w:t xml:space="preserve"> </w:t>
      </w:r>
      <w:r>
        <w:rPr>
          <w:rFonts w:hint="cs"/>
          <w:rtl/>
        </w:rPr>
        <w:t>הוקמה בתחילת שנת 2020 בלבד</w:t>
      </w:r>
      <w:r w:rsidRPr="000E6425">
        <w:rPr>
          <w:rtl/>
        </w:rPr>
        <w:t xml:space="preserve">. העברת התיקים לוועדת האתיקה הארצית מסרבלת את </w:t>
      </w:r>
      <w:r w:rsidRPr="000E6425">
        <w:rPr>
          <w:rFonts w:hint="cs"/>
          <w:rtl/>
        </w:rPr>
        <w:t>הטיפול</w:t>
      </w:r>
      <w:r w:rsidRPr="000E6425">
        <w:rPr>
          <w:rtl/>
        </w:rPr>
        <w:t xml:space="preserve"> בתיקים ש</w:t>
      </w:r>
      <w:r w:rsidRPr="000E6425">
        <w:rPr>
          <w:rFonts w:hint="eastAsia"/>
          <w:rtl/>
        </w:rPr>
        <w:t>חלקם</w:t>
      </w:r>
      <w:r w:rsidRPr="000E6425">
        <w:rPr>
          <w:rtl/>
        </w:rPr>
        <w:t xml:space="preserve"> </w:t>
      </w:r>
      <w:r w:rsidRPr="000E6425">
        <w:rPr>
          <w:rFonts w:hint="eastAsia"/>
          <w:rtl/>
        </w:rPr>
        <w:t>נפתחו</w:t>
      </w:r>
      <w:r w:rsidRPr="000E6425">
        <w:rPr>
          <w:rtl/>
        </w:rPr>
        <w:t xml:space="preserve"> זה מכבר </w:t>
      </w:r>
      <w:r w:rsidRPr="000E6425">
        <w:rPr>
          <w:rFonts w:hint="eastAsia"/>
          <w:rtl/>
        </w:rPr>
        <w:t>ומובילה</w:t>
      </w:r>
      <w:r w:rsidRPr="000E6425">
        <w:rPr>
          <w:rtl/>
        </w:rPr>
        <w:t xml:space="preserve"> </w:t>
      </w:r>
      <w:r w:rsidRPr="000E6425">
        <w:rPr>
          <w:rFonts w:hint="eastAsia"/>
          <w:rtl/>
        </w:rPr>
        <w:t>לעומסים</w:t>
      </w:r>
      <w:r w:rsidRPr="000E6425">
        <w:rPr>
          <w:rtl/>
        </w:rPr>
        <w:t xml:space="preserve"> </w:t>
      </w:r>
      <w:r w:rsidRPr="000E6425">
        <w:rPr>
          <w:rFonts w:hint="eastAsia"/>
          <w:rtl/>
        </w:rPr>
        <w:t>בלתי</w:t>
      </w:r>
      <w:r w:rsidRPr="000E6425">
        <w:rPr>
          <w:rtl/>
        </w:rPr>
        <w:t xml:space="preserve"> </w:t>
      </w:r>
      <w:r w:rsidRPr="000E6425">
        <w:rPr>
          <w:rFonts w:hint="eastAsia"/>
          <w:rtl/>
        </w:rPr>
        <w:t>סבירים</w:t>
      </w:r>
      <w:r w:rsidRPr="000E6425">
        <w:rPr>
          <w:rFonts w:hint="cs"/>
          <w:rtl/>
        </w:rPr>
        <w:t xml:space="preserve"> על הוועדה</w:t>
      </w:r>
      <w:r w:rsidRPr="000E6425">
        <w:rPr>
          <w:rtl/>
        </w:rPr>
        <w:t>.</w:t>
      </w:r>
      <w:r w:rsidRPr="000E6425">
        <w:rPr>
          <w:rFonts w:hint="cs"/>
          <w:rtl/>
        </w:rPr>
        <w:t xml:space="preserve"> על מחוז מרכז לזרז </w:t>
      </w:r>
      <w:r>
        <w:rPr>
          <w:rFonts w:hint="cs"/>
          <w:rtl/>
        </w:rPr>
        <w:t>את הפעלת</w:t>
      </w:r>
      <w:r w:rsidRPr="000E6425">
        <w:rPr>
          <w:rFonts w:hint="cs"/>
          <w:rtl/>
        </w:rPr>
        <w:t xml:space="preserve"> ועדת </w:t>
      </w:r>
      <w:r>
        <w:rPr>
          <w:rFonts w:hint="cs"/>
          <w:rtl/>
        </w:rPr>
        <w:t>ה</w:t>
      </w:r>
      <w:r w:rsidRPr="000E6425">
        <w:rPr>
          <w:rFonts w:hint="cs"/>
          <w:rtl/>
        </w:rPr>
        <w:t>אתיקה כנדרש בחוק ובכך להביא לשיפור זמני הטיפול בתלונות.</w:t>
      </w:r>
    </w:p>
    <w:p w14:paraId="6240BA8A" w14:textId="77777777" w:rsidR="00387987" w:rsidRPr="00E8305D" w:rsidRDefault="00387987" w:rsidP="00A36254">
      <w:pPr>
        <w:pStyle w:val="100"/>
        <w:rPr>
          <w:b/>
          <w:bCs/>
          <w:rtl/>
        </w:rPr>
      </w:pPr>
      <w:r w:rsidRPr="00494887">
        <w:rPr>
          <w:rFonts w:hint="eastAsia"/>
          <w:rtl/>
        </w:rPr>
        <w:t>בתרשים</w:t>
      </w:r>
      <w:r w:rsidRPr="00494887">
        <w:rPr>
          <w:rtl/>
        </w:rPr>
        <w:t xml:space="preserve"> </w:t>
      </w:r>
      <w:r w:rsidRPr="00494887">
        <w:rPr>
          <w:rFonts w:hint="eastAsia"/>
          <w:rtl/>
        </w:rPr>
        <w:t>שלהלן</w:t>
      </w:r>
      <w:r w:rsidRPr="00494887">
        <w:rPr>
          <w:rtl/>
        </w:rPr>
        <w:t xml:space="preserve"> </w:t>
      </w:r>
      <w:r w:rsidRPr="00494887">
        <w:rPr>
          <w:rFonts w:hint="eastAsia"/>
          <w:rtl/>
        </w:rPr>
        <w:t>השוואה</w:t>
      </w:r>
      <w:r w:rsidRPr="00494887">
        <w:rPr>
          <w:rtl/>
        </w:rPr>
        <w:t xml:space="preserve"> </w:t>
      </w:r>
      <w:r w:rsidRPr="00494887">
        <w:rPr>
          <w:rFonts w:hint="eastAsia"/>
          <w:rtl/>
        </w:rPr>
        <w:t>בין</w:t>
      </w:r>
      <w:r w:rsidRPr="00494887">
        <w:rPr>
          <w:rtl/>
        </w:rPr>
        <w:t xml:space="preserve"> </w:t>
      </w:r>
      <w:r w:rsidRPr="00494887">
        <w:rPr>
          <w:rFonts w:hint="eastAsia"/>
          <w:rtl/>
        </w:rPr>
        <w:t>הוצאות</w:t>
      </w:r>
      <w:r w:rsidRPr="00494887">
        <w:rPr>
          <w:rtl/>
        </w:rPr>
        <w:t xml:space="preserve"> מחוזות הלשכה בגין מערכי האתיקה </w:t>
      </w:r>
      <w:r w:rsidRPr="00494887">
        <w:rPr>
          <w:rFonts w:hint="eastAsia"/>
          <w:rtl/>
        </w:rPr>
        <w:t>והדין</w:t>
      </w:r>
      <w:r w:rsidRPr="00494887">
        <w:rPr>
          <w:rtl/>
        </w:rPr>
        <w:t xml:space="preserve"> המשמעתי </w:t>
      </w:r>
      <w:r w:rsidRPr="00494887">
        <w:rPr>
          <w:rFonts w:hint="eastAsia"/>
          <w:rtl/>
        </w:rPr>
        <w:t>לעומת</w:t>
      </w:r>
      <w:r w:rsidRPr="00494887">
        <w:rPr>
          <w:rtl/>
        </w:rPr>
        <w:t xml:space="preserve"> </w:t>
      </w:r>
      <w:r w:rsidRPr="00494887">
        <w:rPr>
          <w:rFonts w:hint="eastAsia"/>
          <w:rtl/>
        </w:rPr>
        <w:t>כלל</w:t>
      </w:r>
      <w:r w:rsidRPr="00494887">
        <w:rPr>
          <w:rtl/>
        </w:rPr>
        <w:t xml:space="preserve"> </w:t>
      </w:r>
      <w:r w:rsidRPr="00494887">
        <w:rPr>
          <w:rFonts w:hint="eastAsia"/>
          <w:rtl/>
        </w:rPr>
        <w:t>הוצאותיהם</w:t>
      </w:r>
      <w:r w:rsidRPr="00494887">
        <w:rPr>
          <w:rtl/>
        </w:rPr>
        <w:t>:</w:t>
      </w:r>
    </w:p>
    <w:p w14:paraId="68412582" w14:textId="6CCA3734" w:rsidR="00A36254" w:rsidRDefault="00A36254">
      <w:pPr>
        <w:bidi w:val="0"/>
        <w:spacing w:after="200" w:line="276" w:lineRule="auto"/>
        <w:rPr>
          <w:rtl/>
        </w:rPr>
      </w:pPr>
      <w:r>
        <w:rPr>
          <w:rtl/>
        </w:rPr>
        <w:br w:type="page"/>
      </w:r>
    </w:p>
    <w:p w14:paraId="2648E337" w14:textId="77777777" w:rsidR="00387987" w:rsidRPr="008E76F8" w:rsidRDefault="00387987" w:rsidP="008E76F8">
      <w:pPr>
        <w:pStyle w:val="a8"/>
        <w:rPr>
          <w:b/>
          <w:bCs/>
          <w:rtl/>
        </w:rPr>
      </w:pPr>
      <w:r>
        <w:rPr>
          <w:rFonts w:hint="cs"/>
          <w:rtl/>
        </w:rPr>
        <w:lastRenderedPageBreak/>
        <w:t>תרשים 12</w:t>
      </w:r>
      <w:r w:rsidRPr="00E8305D">
        <w:rPr>
          <w:rtl/>
        </w:rPr>
        <w:t xml:space="preserve">: </w:t>
      </w:r>
      <w:r w:rsidRPr="008E76F8">
        <w:rPr>
          <w:rFonts w:hint="cs"/>
          <w:b/>
          <w:bCs/>
          <w:rtl/>
        </w:rPr>
        <w:t>הוצאות</w:t>
      </w:r>
      <w:r w:rsidRPr="008E76F8">
        <w:rPr>
          <w:b/>
          <w:bCs/>
          <w:rtl/>
        </w:rPr>
        <w:t xml:space="preserve"> </w:t>
      </w:r>
      <w:r w:rsidRPr="008E76F8">
        <w:rPr>
          <w:rFonts w:hint="cs"/>
          <w:b/>
          <w:bCs/>
          <w:rtl/>
        </w:rPr>
        <w:t>בגין מערכי האתיקה והדין המשמעתי לעומת כלל ההוצאות, לפי מחוזות בשנת 2018</w:t>
      </w:r>
      <w:r w:rsidRPr="008E76F8">
        <w:rPr>
          <w:b/>
          <w:bCs/>
          <w:rtl/>
        </w:rPr>
        <w:t xml:space="preserve"> </w:t>
      </w:r>
      <w:r w:rsidRPr="008E76F8">
        <w:rPr>
          <w:rFonts w:hint="cs"/>
          <w:b/>
          <w:bCs/>
          <w:rtl/>
        </w:rPr>
        <w:t>(באלפי ש"ח)</w:t>
      </w:r>
    </w:p>
    <w:p w14:paraId="5541798A" w14:textId="77777777" w:rsidR="00387987" w:rsidRPr="00E8305D" w:rsidRDefault="00387987" w:rsidP="008E76F8">
      <w:pPr>
        <w:pStyle w:val="a8"/>
        <w:rPr>
          <w:rtl/>
        </w:rPr>
      </w:pPr>
      <w:r>
        <w:rPr>
          <w:noProof/>
        </w:rPr>
        <w:drawing>
          <wp:inline distT="0" distB="0" distL="0" distR="0" wp14:anchorId="1A6BF084" wp14:editId="39F6C834">
            <wp:extent cx="4572000" cy="2743200"/>
            <wp:effectExtent l="0" t="0" r="0" b="0"/>
            <wp:docPr id="40"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E084B0" w14:textId="77777777" w:rsidR="00387987" w:rsidRPr="00825593" w:rsidRDefault="00387987" w:rsidP="008E76F8">
      <w:pPr>
        <w:pStyle w:val="aa"/>
        <w:rPr>
          <w:rtl/>
        </w:rPr>
      </w:pPr>
      <w:r w:rsidRPr="00825593">
        <w:rPr>
          <w:rFonts w:hint="cs"/>
          <w:rtl/>
        </w:rPr>
        <w:t>על פי נתוני מחוזות הלשכה, בעיבוד משרד מבקר המדינה.</w:t>
      </w:r>
    </w:p>
    <w:p w14:paraId="7F4F40CE" w14:textId="77777777" w:rsidR="00387987" w:rsidRDefault="00387987" w:rsidP="008E76F8">
      <w:pPr>
        <w:pStyle w:val="aa"/>
        <w:rPr>
          <w:rtl/>
        </w:rPr>
      </w:pPr>
      <w:r>
        <w:rPr>
          <w:rFonts w:hint="cs"/>
          <w:rtl/>
        </w:rPr>
        <w:t>*</w:t>
      </w:r>
      <w:r w:rsidRPr="00E8305D">
        <w:rPr>
          <w:rFonts w:hint="cs"/>
          <w:rtl/>
        </w:rPr>
        <w:t>הוצאות המחוזות נטו בניכוי הכנסות הנובעות מהפעילויות.</w:t>
      </w:r>
      <w:r>
        <w:rPr>
          <w:rFonts w:hint="cs"/>
          <w:rtl/>
        </w:rPr>
        <w:t xml:space="preserve"> נתוני מחוז תל אביב כוללים גם שכר של חמישה עורכי דין ושתי מזכירות שנשכרו אד הוק בתקופה זו במסגרת הפרויקט להשלמת הטיפול בתיקי עבר ואינם חלק מהמערך הקבוע.</w:t>
      </w:r>
    </w:p>
    <w:p w14:paraId="1E761C1E" w14:textId="555CD8DC" w:rsidR="00387987" w:rsidRDefault="00387987" w:rsidP="008E76F8">
      <w:pPr>
        <w:pStyle w:val="100"/>
        <w:rPr>
          <w:rtl/>
        </w:rPr>
      </w:pPr>
    </w:p>
    <w:p w14:paraId="34217959" w14:textId="77777777" w:rsidR="00387987" w:rsidRDefault="00387987" w:rsidP="008E76F8">
      <w:pPr>
        <w:pStyle w:val="100"/>
        <w:rPr>
          <w:rtl/>
        </w:rPr>
      </w:pPr>
      <w:r>
        <w:rPr>
          <w:rFonts w:hint="cs"/>
          <w:rtl/>
        </w:rPr>
        <w:t xml:space="preserve">באוגוסט 2019, עם סיום פעולות הביקורת, </w:t>
      </w:r>
      <w:r w:rsidRPr="0086233E">
        <w:rPr>
          <w:rFonts w:hint="cs"/>
          <w:rtl/>
        </w:rPr>
        <w:t>פנה יו"ר ועדת האתיקה במחוז תל אביב ליו"ר ועד המחוז הנכנס על מ</w:t>
      </w:r>
      <w:r>
        <w:rPr>
          <w:rFonts w:hint="cs"/>
          <w:rtl/>
        </w:rPr>
        <w:t>נ</w:t>
      </w:r>
      <w:r w:rsidRPr="0086233E">
        <w:rPr>
          <w:rFonts w:hint="cs"/>
          <w:rtl/>
        </w:rPr>
        <w:t>ת להביא לידיעתו את "תמונת המצב העגומה" בנוגע למשאבים המוקצים לפעילות ועדת האתיקה המחוזית.</w:t>
      </w:r>
      <w:r>
        <w:rPr>
          <w:rFonts w:hint="cs"/>
          <w:rtl/>
        </w:rPr>
        <w:t xml:space="preserve"> בין היתר ציין היו"ר כי המערך סובל מהשבתת שירותים בשל אי-תשלום הוצאות שוטפות על ידי המחוז - הפסקת שירותי ארכיב, שירותי שליחות משפטית ועוד. היו"ר ביקש לקדם את הטיפול במערך בהקדם.</w:t>
      </w:r>
    </w:p>
    <w:p w14:paraId="43596EE3" w14:textId="2D81BFA2" w:rsidR="00387987" w:rsidRPr="00B36967" w:rsidRDefault="00387987" w:rsidP="008E76F8">
      <w:pPr>
        <w:pStyle w:val="af3"/>
        <w:rPr>
          <w:rtl/>
        </w:rPr>
      </w:pPr>
      <w:r>
        <w:rPr>
          <w:rFonts w:hint="cs"/>
          <w:rtl/>
        </w:rPr>
        <w:t xml:space="preserve">תמונת </w:t>
      </w:r>
      <w:r w:rsidRPr="004E1C1B">
        <w:rPr>
          <w:rFonts w:hint="cs"/>
          <w:rtl/>
        </w:rPr>
        <w:t xml:space="preserve">המצב בנוגע לזמני הטיפול בתיקי אתיקה במחוז תל אביב </w:t>
      </w:r>
      <w:r>
        <w:rPr>
          <w:rFonts w:hint="cs"/>
          <w:rtl/>
        </w:rPr>
        <w:t>עגומה</w:t>
      </w:r>
      <w:r w:rsidRPr="004E1C1B">
        <w:rPr>
          <w:rFonts w:hint="cs"/>
          <w:rtl/>
        </w:rPr>
        <w:t xml:space="preserve"> ו</w:t>
      </w:r>
      <w:r>
        <w:rPr>
          <w:rFonts w:hint="cs"/>
          <w:rtl/>
        </w:rPr>
        <w:t xml:space="preserve">היא </w:t>
      </w:r>
      <w:r w:rsidRPr="004E1C1B">
        <w:rPr>
          <w:rFonts w:hint="cs"/>
          <w:rtl/>
        </w:rPr>
        <w:t>נמשכת זה שנים רבות. הטיפול בתלונות אתיקה הוא מתפקידי החובה של הלשכה</w:t>
      </w:r>
      <w:r>
        <w:rPr>
          <w:rFonts w:hint="cs"/>
          <w:rtl/>
        </w:rPr>
        <w:t>,</w:t>
      </w:r>
      <w:r w:rsidRPr="004E1C1B">
        <w:rPr>
          <w:rFonts w:hint="cs"/>
          <w:rtl/>
        </w:rPr>
        <w:t xml:space="preserve"> ועליה לוודא כי המחוז ממלא תפקידים אלו. על המחוז לפעול בדחיפות לפתרון </w:t>
      </w:r>
      <w:r>
        <w:rPr>
          <w:rFonts w:hint="cs"/>
          <w:rtl/>
        </w:rPr>
        <w:t xml:space="preserve">מצוקת כוח האדם </w:t>
      </w:r>
      <w:r w:rsidRPr="004E1C1B">
        <w:rPr>
          <w:rFonts w:hint="cs"/>
          <w:rtl/>
        </w:rPr>
        <w:t>שנוצר</w:t>
      </w:r>
      <w:r>
        <w:rPr>
          <w:rFonts w:hint="cs"/>
          <w:rtl/>
        </w:rPr>
        <w:t>ה</w:t>
      </w:r>
      <w:r w:rsidRPr="004E1C1B">
        <w:rPr>
          <w:rFonts w:hint="cs"/>
          <w:rtl/>
        </w:rPr>
        <w:t xml:space="preserve"> בוועדת האתיקה ולהביא לכך שהתלונות יטופלו בפרק זמן סביר ובהתאם לקבוע בכללים</w:t>
      </w:r>
      <w:r w:rsidR="00A22A23">
        <w:rPr>
          <w:rFonts w:hint="cs"/>
          <w:rtl/>
        </w:rPr>
        <w:t xml:space="preserve"> </w:t>
      </w:r>
      <w:r w:rsidRPr="004E1C1B">
        <w:rPr>
          <w:rFonts w:hint="cs"/>
          <w:rtl/>
        </w:rPr>
        <w:t>ו</w:t>
      </w:r>
      <w:r>
        <w:rPr>
          <w:rFonts w:hint="cs"/>
          <w:rtl/>
        </w:rPr>
        <w:t>ש</w:t>
      </w:r>
      <w:r w:rsidRPr="004E1C1B">
        <w:rPr>
          <w:rFonts w:hint="cs"/>
          <w:rtl/>
        </w:rPr>
        <w:t>הטיפול בתיקי העבר יושלם. בהמשך</w:t>
      </w:r>
      <w:r>
        <w:rPr>
          <w:rFonts w:hint="cs"/>
          <w:rtl/>
        </w:rPr>
        <w:t>, על המחוז לבחון את השפעת העברת הטיפול בחלק מהתיקים למחוז מרכז, ובהתאם - את הקצאת המשאבים הכספיים ותקני כוח האדם לוועדת האתיקה</w:t>
      </w:r>
      <w:r w:rsidRPr="00B36967">
        <w:rPr>
          <w:rFonts w:hint="cs"/>
          <w:rtl/>
        </w:rPr>
        <w:t xml:space="preserve">. </w:t>
      </w:r>
    </w:p>
    <w:p w14:paraId="3A88B374" w14:textId="77777777" w:rsidR="008E76F8" w:rsidRDefault="008E76F8">
      <w:pPr>
        <w:bidi w:val="0"/>
        <w:spacing w:after="200" w:line="276" w:lineRule="auto"/>
        <w:rPr>
          <w:rFonts w:ascii="Tahoma" w:hAnsi="Tahoma" w:cs="Tahoma"/>
          <w:szCs w:val="20"/>
          <w:rtl/>
        </w:rPr>
      </w:pPr>
      <w:r>
        <w:rPr>
          <w:rtl/>
        </w:rPr>
        <w:br w:type="page"/>
      </w:r>
    </w:p>
    <w:p w14:paraId="7A0F627E" w14:textId="7B88649C" w:rsidR="00387987" w:rsidRDefault="00387987" w:rsidP="008E76F8">
      <w:pPr>
        <w:pStyle w:val="100"/>
        <w:rPr>
          <w:rtl/>
        </w:rPr>
      </w:pPr>
      <w:r>
        <w:rPr>
          <w:rtl/>
        </w:rPr>
        <w:lastRenderedPageBreak/>
        <w:t>באמצע 2019, לאחר הבחירות למוסדות הלשכה, נכנס לתוקפו הנוסח החדש של סעיף 13 שתוקן במסגרת תיקון 38 לחוק. הסעיף קובע כי אלה בלבד יהיו סמכויות המחוז: הקמת ועדות מקצועיות מחוזיות, קיום השתלמויות וימי עיון, קשר עם רשויות שלטוניות במחוז בקשר לענייני חברי המחוז וקיום פעילויות תרבות ופנאי לחברי המחוז. מטרת הסעיף לפתור את אי הבהירות שהיתה קיימת בנוגע לסמכויות המחוז.</w:t>
      </w:r>
    </w:p>
    <w:p w14:paraId="7F5BE5D8" w14:textId="77777777" w:rsidR="00387987" w:rsidRDefault="00387987" w:rsidP="008E76F8">
      <w:pPr>
        <w:pStyle w:val="100"/>
        <w:rPr>
          <w:rtl/>
        </w:rPr>
      </w:pPr>
      <w:r>
        <w:rPr>
          <w:rtl/>
        </w:rPr>
        <w:t>הסעיף אינו מונה בין סמכויות המחוז את הסמכות לעסוק בנושא האתיקה. בדיון של המועצה הארצית מדצמבר 2019 עלה כי יו"ר הלשכה וכן חלק מיושבי ראש ועדי המחוזות סבורים כי על מערך האתיקה והדין המשמעתי להיות מופעל על ידי הלשכה ולא על ידי המחוזות.</w:t>
      </w:r>
    </w:p>
    <w:p w14:paraId="684C3120" w14:textId="77777777" w:rsidR="00387987" w:rsidRDefault="00387987" w:rsidP="008E76F8">
      <w:pPr>
        <w:pStyle w:val="af3"/>
        <w:rPr>
          <w:rtl/>
        </w:rPr>
      </w:pPr>
      <w:r w:rsidRPr="0031241E">
        <w:rPr>
          <w:rtl/>
        </w:rPr>
        <w:t>על הלשכה לבחון את סמכות המחוזות לעסוק בנושא האתיקה בעקבות תיקון 38 ולהכריע בדבר האופן הראוי לניהול מערך האתיקה והדין המשמעתי - מחוזי או ארצי</w:t>
      </w:r>
      <w:r>
        <w:rPr>
          <w:rtl/>
        </w:rPr>
        <w:t>.</w:t>
      </w:r>
    </w:p>
    <w:p w14:paraId="4316249E" w14:textId="0076CEAE" w:rsidR="00387987" w:rsidRPr="00AD33FF" w:rsidRDefault="00387987" w:rsidP="008E76F8">
      <w:pPr>
        <w:pStyle w:val="414"/>
        <w:rPr>
          <w:rtl/>
        </w:rPr>
      </w:pPr>
      <w:bookmarkStart w:id="14" w:name="_Toc23155587"/>
      <w:r>
        <w:rPr>
          <w:rFonts w:hint="cs"/>
          <w:rtl/>
        </w:rPr>
        <w:t xml:space="preserve">הטיפול בקובלנות </w:t>
      </w:r>
      <w:r w:rsidRPr="00AD33FF">
        <w:rPr>
          <w:rtl/>
        </w:rPr>
        <w:t>בבית הדין המשמעתי</w:t>
      </w:r>
      <w:bookmarkEnd w:id="14"/>
      <w:r w:rsidR="0049442A">
        <w:rPr>
          <w:rFonts w:hint="cs"/>
          <w:rtl/>
        </w:rPr>
        <w:t xml:space="preserve"> בתל אביב</w:t>
      </w:r>
    </w:p>
    <w:p w14:paraId="431C3330" w14:textId="77777777" w:rsidR="00387987" w:rsidRDefault="00387987" w:rsidP="008E76F8">
      <w:pPr>
        <w:pStyle w:val="100"/>
        <w:rPr>
          <w:rtl/>
        </w:rPr>
      </w:pPr>
      <w:r w:rsidRPr="00282D81">
        <w:rPr>
          <w:rtl/>
        </w:rPr>
        <w:t xml:space="preserve">בבית הדין המשמעתי במחוז תל אביב מכהנים 150 דיינים לעומת 45 דיינים בבית הדין בירושלים ובבית הדין בחיפה. כאמור לעיל, מספר הקובלנות הממוצע לשנה </w:t>
      </w:r>
      <w:r>
        <w:rPr>
          <w:rFonts w:hint="cs"/>
          <w:rtl/>
        </w:rPr>
        <w:t>שמגישה ועדת האתיקה בתל אביב ל</w:t>
      </w:r>
      <w:r w:rsidRPr="00282D81">
        <w:rPr>
          <w:rtl/>
        </w:rPr>
        <w:t xml:space="preserve">בית הדין </w:t>
      </w:r>
      <w:r>
        <w:rPr>
          <w:rFonts w:hint="cs"/>
          <w:rtl/>
        </w:rPr>
        <w:t>במחוז</w:t>
      </w:r>
      <w:r w:rsidRPr="00282D81">
        <w:rPr>
          <w:rtl/>
        </w:rPr>
        <w:t xml:space="preserve"> עומד על</w:t>
      </w:r>
      <w:r>
        <w:rPr>
          <w:rtl/>
        </w:rPr>
        <w:t xml:space="preserve"> </w:t>
      </w:r>
      <w:r w:rsidRPr="00282D81">
        <w:rPr>
          <w:rtl/>
        </w:rPr>
        <w:t>64</w:t>
      </w:r>
      <w:r>
        <w:rPr>
          <w:rStyle w:val="FootnoteReference"/>
          <w:rtl/>
        </w:rPr>
        <w:footnoteReference w:id="47"/>
      </w:r>
      <w:r w:rsidRPr="00282D81">
        <w:rPr>
          <w:rtl/>
        </w:rPr>
        <w:t xml:space="preserve"> לעומת 50 בירושלים ו-79 בחיפה. </w:t>
      </w:r>
      <w:r>
        <w:rPr>
          <w:rFonts w:hint="cs"/>
          <w:rtl/>
        </w:rPr>
        <w:t>בדומה לוועדות האתיקה, גם לבית הדין המשמעתי במחוז תל אביב אין נתונים בדבר משך הטיפול בקובלנות מעת הגשתן ועד למתן פסק דין.</w:t>
      </w:r>
      <w:r w:rsidRPr="00DD24E4">
        <w:rPr>
          <w:rFonts w:hint="cs"/>
          <w:rtl/>
        </w:rPr>
        <w:t xml:space="preserve"> </w:t>
      </w:r>
      <w:r>
        <w:rPr>
          <w:rFonts w:hint="cs"/>
          <w:rtl/>
        </w:rPr>
        <w:t>להלן בתרשים, מספר הקובלנות שהוגשו לבית הדין המשמעתי במחוז תל אביב:</w:t>
      </w:r>
    </w:p>
    <w:p w14:paraId="7A4B2548" w14:textId="14853D19" w:rsidR="00387987" w:rsidRPr="007F572D" w:rsidRDefault="00387987" w:rsidP="007F572D">
      <w:pPr>
        <w:pStyle w:val="a8"/>
        <w:rPr>
          <w:b/>
          <w:bCs/>
          <w:rtl/>
        </w:rPr>
      </w:pPr>
      <w:r w:rsidRPr="00D63D65">
        <w:rPr>
          <w:rFonts w:hint="eastAsia"/>
          <w:rtl/>
        </w:rPr>
        <w:t>תרשים</w:t>
      </w:r>
      <w:r w:rsidRPr="00D63D65">
        <w:rPr>
          <w:rtl/>
        </w:rPr>
        <w:t xml:space="preserve"> </w:t>
      </w:r>
      <w:r>
        <w:rPr>
          <w:rFonts w:hint="cs"/>
          <w:rtl/>
        </w:rPr>
        <w:t>13</w:t>
      </w:r>
      <w:r w:rsidRPr="00D63D65">
        <w:rPr>
          <w:rtl/>
        </w:rPr>
        <w:t xml:space="preserve">: </w:t>
      </w:r>
      <w:r w:rsidRPr="007F572D">
        <w:rPr>
          <w:b/>
          <w:bCs/>
          <w:rtl/>
        </w:rPr>
        <w:t xml:space="preserve">מספר הקובלנות שהוגשו </w:t>
      </w:r>
      <w:r w:rsidRPr="007F572D">
        <w:rPr>
          <w:rFonts w:hint="eastAsia"/>
          <w:b/>
          <w:bCs/>
          <w:rtl/>
        </w:rPr>
        <w:t>לבית</w:t>
      </w:r>
      <w:r w:rsidRPr="007F572D">
        <w:rPr>
          <w:b/>
          <w:bCs/>
          <w:rtl/>
        </w:rPr>
        <w:t xml:space="preserve"> הדין במחוז תל אביב</w:t>
      </w:r>
      <w:r w:rsidR="00866AA2">
        <w:rPr>
          <w:rFonts w:hint="cs"/>
          <w:b/>
          <w:bCs/>
          <w:rtl/>
        </w:rPr>
        <w:t xml:space="preserve"> בשנים</w:t>
      </w:r>
      <w:r w:rsidR="00406131">
        <w:rPr>
          <w:rFonts w:hint="cs"/>
          <w:b/>
          <w:bCs/>
          <w:rtl/>
        </w:rPr>
        <w:t xml:space="preserve"> 2016 - 2018</w:t>
      </w:r>
      <w:r w:rsidRPr="007F572D">
        <w:rPr>
          <w:b/>
          <w:bCs/>
          <w:rtl/>
        </w:rPr>
        <w:t xml:space="preserve"> </w:t>
      </w:r>
      <w:r w:rsidR="00406131">
        <w:rPr>
          <w:rFonts w:hint="cs"/>
          <w:b/>
          <w:bCs/>
          <w:rtl/>
        </w:rPr>
        <w:t xml:space="preserve">ומספר הקובלנות </w:t>
      </w:r>
      <w:r w:rsidRPr="007F572D">
        <w:rPr>
          <w:b/>
          <w:bCs/>
          <w:rtl/>
        </w:rPr>
        <w:t xml:space="preserve">שטרם </w:t>
      </w:r>
      <w:r w:rsidRPr="007F572D">
        <w:rPr>
          <w:rFonts w:hint="cs"/>
          <w:b/>
          <w:bCs/>
          <w:rtl/>
        </w:rPr>
        <w:t xml:space="preserve">ניתן </w:t>
      </w:r>
      <w:r w:rsidRPr="007F572D">
        <w:rPr>
          <w:b/>
          <w:bCs/>
          <w:rtl/>
        </w:rPr>
        <w:t>פסק דין</w:t>
      </w:r>
      <w:r w:rsidR="006757CE">
        <w:rPr>
          <w:rFonts w:hint="cs"/>
          <w:b/>
          <w:bCs/>
          <w:rtl/>
        </w:rPr>
        <w:t xml:space="preserve"> </w:t>
      </w:r>
      <w:r w:rsidR="00866AA2">
        <w:rPr>
          <w:rFonts w:hint="cs"/>
          <w:b/>
          <w:bCs/>
          <w:rtl/>
        </w:rPr>
        <w:t>בעניינן</w:t>
      </w:r>
      <w:r w:rsidR="002D6161">
        <w:rPr>
          <w:rFonts w:hint="cs"/>
          <w:b/>
          <w:bCs/>
          <w:rtl/>
        </w:rPr>
        <w:t xml:space="preserve"> </w:t>
      </w:r>
      <w:r w:rsidR="006757CE">
        <w:rPr>
          <w:rFonts w:hint="cs"/>
          <w:b/>
          <w:bCs/>
          <w:rtl/>
        </w:rPr>
        <w:t>במועד סיום הביקורת</w:t>
      </w:r>
    </w:p>
    <w:p w14:paraId="2FE2348B" w14:textId="77777777" w:rsidR="00387987" w:rsidRDefault="00387987" w:rsidP="007F572D">
      <w:pPr>
        <w:pStyle w:val="a8"/>
        <w:rPr>
          <w:rtl/>
        </w:rPr>
      </w:pPr>
      <w:r>
        <w:rPr>
          <w:noProof/>
        </w:rPr>
        <w:drawing>
          <wp:inline distT="0" distB="0" distL="0" distR="0" wp14:anchorId="4B6B3AF9" wp14:editId="6BC23241">
            <wp:extent cx="3956364" cy="2091055"/>
            <wp:effectExtent l="0" t="0" r="6350" b="4445"/>
            <wp:docPr id="41"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86793"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80445" cy="2103782"/>
                    </a:xfrm>
                    <a:prstGeom prst="rect">
                      <a:avLst/>
                    </a:prstGeom>
                    <a:noFill/>
                  </pic:spPr>
                </pic:pic>
              </a:graphicData>
            </a:graphic>
          </wp:inline>
        </w:drawing>
      </w:r>
    </w:p>
    <w:p w14:paraId="140675DE" w14:textId="77777777" w:rsidR="00387987" w:rsidRDefault="00387987" w:rsidP="007F572D">
      <w:pPr>
        <w:pStyle w:val="aa"/>
        <w:rPr>
          <w:rtl/>
        </w:rPr>
      </w:pPr>
      <w:r>
        <w:rPr>
          <w:rFonts w:hint="cs"/>
          <w:rtl/>
        </w:rPr>
        <w:t>על פי</w:t>
      </w:r>
      <w:r w:rsidRPr="001E09A0">
        <w:rPr>
          <w:rtl/>
        </w:rPr>
        <w:t xml:space="preserve"> </w:t>
      </w:r>
      <w:r w:rsidRPr="001E09A0">
        <w:rPr>
          <w:rFonts w:hint="eastAsia"/>
          <w:rtl/>
        </w:rPr>
        <w:t>נתוני</w:t>
      </w:r>
      <w:r w:rsidRPr="001E09A0">
        <w:rPr>
          <w:rtl/>
        </w:rPr>
        <w:t xml:space="preserve"> </w:t>
      </w:r>
      <w:r w:rsidRPr="001E09A0">
        <w:rPr>
          <w:rFonts w:hint="eastAsia"/>
          <w:rtl/>
        </w:rPr>
        <w:t>בית</w:t>
      </w:r>
      <w:r w:rsidRPr="001E09A0">
        <w:rPr>
          <w:rtl/>
        </w:rPr>
        <w:t xml:space="preserve"> </w:t>
      </w:r>
      <w:r w:rsidRPr="001E09A0">
        <w:rPr>
          <w:rFonts w:hint="eastAsia"/>
          <w:rtl/>
        </w:rPr>
        <w:t>הדין</w:t>
      </w:r>
      <w:r w:rsidRPr="001E09A0">
        <w:rPr>
          <w:rtl/>
        </w:rPr>
        <w:t xml:space="preserve"> </w:t>
      </w:r>
      <w:r w:rsidRPr="001E09A0">
        <w:rPr>
          <w:rFonts w:hint="eastAsia"/>
          <w:rtl/>
        </w:rPr>
        <w:t>המשמעתי</w:t>
      </w:r>
      <w:r w:rsidRPr="001E09A0">
        <w:rPr>
          <w:rtl/>
        </w:rPr>
        <w:t xml:space="preserve"> </w:t>
      </w:r>
      <w:r w:rsidRPr="001E09A0">
        <w:rPr>
          <w:rFonts w:hint="eastAsia"/>
          <w:rtl/>
        </w:rPr>
        <w:t>במחוז</w:t>
      </w:r>
      <w:r w:rsidRPr="001E09A0">
        <w:rPr>
          <w:rtl/>
        </w:rPr>
        <w:t xml:space="preserve"> </w:t>
      </w:r>
      <w:r w:rsidRPr="001E09A0">
        <w:rPr>
          <w:rFonts w:hint="eastAsia"/>
          <w:rtl/>
        </w:rPr>
        <w:t>תל</w:t>
      </w:r>
      <w:r w:rsidRPr="001E09A0">
        <w:rPr>
          <w:rtl/>
        </w:rPr>
        <w:t xml:space="preserve"> </w:t>
      </w:r>
      <w:r w:rsidRPr="001E09A0">
        <w:rPr>
          <w:rFonts w:hint="eastAsia"/>
          <w:rtl/>
        </w:rPr>
        <w:t>אביב</w:t>
      </w:r>
      <w:r>
        <w:rPr>
          <w:rFonts w:hint="cs"/>
          <w:rtl/>
        </w:rPr>
        <w:t xml:space="preserve"> מדצמבר 2019, בעיבוד משרד מבקר המדינה</w:t>
      </w:r>
      <w:r w:rsidRPr="001E09A0">
        <w:rPr>
          <w:rtl/>
        </w:rPr>
        <w:t>.</w:t>
      </w:r>
    </w:p>
    <w:p w14:paraId="14ABC1F3" w14:textId="77777777" w:rsidR="00387987" w:rsidRDefault="00387987" w:rsidP="008166A5">
      <w:pPr>
        <w:pStyle w:val="af3"/>
        <w:rPr>
          <w:rtl/>
        </w:rPr>
      </w:pPr>
      <w:r>
        <w:rPr>
          <w:rFonts w:hint="cs"/>
          <w:rtl/>
        </w:rPr>
        <w:lastRenderedPageBreak/>
        <w:t>נמצא כי במועד סיום הביקורת 17 תיקים שנפתחו לפני 2016 עדיין מתנהלים בבית הדין</w:t>
      </w:r>
      <w:r w:rsidRPr="003D49C7">
        <w:rPr>
          <w:rStyle w:val="FootnoteReference"/>
          <w:rtl/>
        </w:rPr>
        <w:footnoteReference w:id="48"/>
      </w:r>
      <w:r w:rsidRPr="003D49C7">
        <w:rPr>
          <w:rFonts w:hint="cs"/>
          <w:rtl/>
        </w:rPr>
        <w:t xml:space="preserve">. </w:t>
      </w:r>
      <w:r>
        <w:rPr>
          <w:rFonts w:hint="cs"/>
          <w:rtl/>
        </w:rPr>
        <w:t xml:space="preserve">עוד נמצא כי ב-7 תיקים חלף </w:t>
      </w:r>
      <w:r w:rsidRPr="004B0648">
        <w:rPr>
          <w:rtl/>
        </w:rPr>
        <w:t xml:space="preserve">זמן רב ממועד הטיעונים לעונש </w:t>
      </w:r>
      <w:r>
        <w:rPr>
          <w:rFonts w:hint="cs"/>
          <w:rtl/>
        </w:rPr>
        <w:t xml:space="preserve">עד </w:t>
      </w:r>
      <w:r w:rsidRPr="004B0648">
        <w:rPr>
          <w:rtl/>
        </w:rPr>
        <w:t>ל</w:t>
      </w:r>
      <w:r>
        <w:rPr>
          <w:rFonts w:hint="cs"/>
          <w:rtl/>
        </w:rPr>
        <w:t xml:space="preserve">מועד </w:t>
      </w:r>
      <w:r w:rsidRPr="004B0648">
        <w:rPr>
          <w:rtl/>
        </w:rPr>
        <w:t>מתן פסק דין</w:t>
      </w:r>
      <w:r>
        <w:rPr>
          <w:rFonts w:hint="cs"/>
          <w:rtl/>
        </w:rPr>
        <w:t xml:space="preserve"> או גזר דין</w:t>
      </w:r>
      <w:r w:rsidRPr="00654207">
        <w:rPr>
          <w:rFonts w:hint="cs"/>
          <w:rtl/>
        </w:rPr>
        <w:t>.</w:t>
      </w:r>
      <w:r>
        <w:rPr>
          <w:rFonts w:hint="cs"/>
          <w:rtl/>
        </w:rPr>
        <w:t xml:space="preserve"> ב</w:t>
      </w:r>
      <w:r w:rsidRPr="004B0648">
        <w:rPr>
          <w:rFonts w:hint="cs"/>
          <w:rtl/>
        </w:rPr>
        <w:t xml:space="preserve">חלק </w:t>
      </w:r>
      <w:r>
        <w:rPr>
          <w:rFonts w:hint="cs"/>
          <w:rtl/>
        </w:rPr>
        <w:t xml:space="preserve">מתיקים אלה מדובר בעיכוב של </w:t>
      </w:r>
      <w:r w:rsidRPr="004B0648">
        <w:rPr>
          <w:rFonts w:hint="cs"/>
          <w:rtl/>
        </w:rPr>
        <w:t>יותר משנה</w:t>
      </w:r>
      <w:r>
        <w:rPr>
          <w:rFonts w:hint="cs"/>
          <w:rtl/>
        </w:rPr>
        <w:t xml:space="preserve"> עד לכתיבת פסק הדין, ובאחדים אף </w:t>
      </w:r>
      <w:r w:rsidRPr="004B0648">
        <w:rPr>
          <w:rFonts w:hint="cs"/>
          <w:rtl/>
        </w:rPr>
        <w:t>שנתי</w:t>
      </w:r>
      <w:r>
        <w:rPr>
          <w:rFonts w:hint="cs"/>
          <w:rtl/>
        </w:rPr>
        <w:t>י</w:t>
      </w:r>
      <w:r w:rsidRPr="004B0648">
        <w:rPr>
          <w:rFonts w:hint="cs"/>
          <w:rtl/>
        </w:rPr>
        <w:t>ם ושלוש</w:t>
      </w:r>
      <w:r>
        <w:rPr>
          <w:rFonts w:hint="cs"/>
          <w:rtl/>
        </w:rPr>
        <w:t>. הטיפול בארבעה מן התיקים טרם הסתיים.</w:t>
      </w:r>
      <w:r w:rsidRPr="004B0648">
        <w:rPr>
          <w:rtl/>
        </w:rPr>
        <w:t xml:space="preserve"> </w:t>
      </w:r>
      <w:r>
        <w:rPr>
          <w:rFonts w:hint="cs"/>
          <w:rtl/>
        </w:rPr>
        <w:t>זאת אף שמספר הדיינים בבית הדין הוא 150 ומספר הקובלנות המוגשות אליו נמוך.</w:t>
      </w:r>
    </w:p>
    <w:p w14:paraId="0F91462D" w14:textId="77777777" w:rsidR="00387987" w:rsidRPr="00D42586" w:rsidRDefault="00387987" w:rsidP="008166A5">
      <w:pPr>
        <w:pStyle w:val="100"/>
        <w:rPr>
          <w:rtl/>
        </w:rPr>
      </w:pPr>
      <w:r w:rsidRPr="00D42586">
        <w:rPr>
          <w:rFonts w:hint="cs"/>
          <w:rtl/>
        </w:rPr>
        <w:t>בית הדין המשמעתי של מחוז תל אביב מסר בתשובתו כי ארבע</w:t>
      </w:r>
      <w:r>
        <w:rPr>
          <w:rFonts w:hint="cs"/>
          <w:rtl/>
        </w:rPr>
        <w:t>ת התיקים</w:t>
      </w:r>
      <w:r w:rsidRPr="00D42586">
        <w:rPr>
          <w:rFonts w:hint="cs"/>
          <w:rtl/>
        </w:rPr>
        <w:t xml:space="preserve"> מתוך </w:t>
      </w:r>
      <w:r>
        <w:rPr>
          <w:rFonts w:hint="cs"/>
          <w:rtl/>
        </w:rPr>
        <w:t>שבעת</w:t>
      </w:r>
      <w:r w:rsidRPr="00D42586">
        <w:rPr>
          <w:rFonts w:hint="cs"/>
          <w:rtl/>
        </w:rPr>
        <w:t xml:space="preserve"> התיקים מעוכבים בשל </w:t>
      </w:r>
      <w:r>
        <w:rPr>
          <w:rFonts w:hint="cs"/>
          <w:rtl/>
        </w:rPr>
        <w:t>חילופי גברי בבית הדין</w:t>
      </w:r>
      <w:r w:rsidRPr="00D42586">
        <w:rPr>
          <w:rFonts w:hint="cs"/>
          <w:rtl/>
        </w:rPr>
        <w:t xml:space="preserve">. בית </w:t>
      </w:r>
      <w:r>
        <w:rPr>
          <w:rFonts w:hint="cs"/>
          <w:rtl/>
        </w:rPr>
        <w:t xml:space="preserve">הדין בחן דרכים </w:t>
      </w:r>
      <w:r w:rsidRPr="00D42586">
        <w:rPr>
          <w:rFonts w:hint="cs"/>
          <w:rtl/>
        </w:rPr>
        <w:t>לסיים את ה</w:t>
      </w:r>
      <w:r>
        <w:rPr>
          <w:rFonts w:hint="cs"/>
          <w:rtl/>
        </w:rPr>
        <w:t>טיפול ב</w:t>
      </w:r>
      <w:r w:rsidRPr="00D42586">
        <w:rPr>
          <w:rFonts w:hint="cs"/>
          <w:rtl/>
        </w:rPr>
        <w:t>תיקים</w:t>
      </w:r>
      <w:r>
        <w:rPr>
          <w:rFonts w:hint="cs"/>
          <w:rtl/>
        </w:rPr>
        <w:t xml:space="preserve"> אלה</w:t>
      </w:r>
      <w:r w:rsidRPr="00D42586">
        <w:rPr>
          <w:rFonts w:hint="cs"/>
          <w:rtl/>
        </w:rPr>
        <w:t xml:space="preserve"> ולאחרונה </w:t>
      </w:r>
      <w:r>
        <w:rPr>
          <w:rFonts w:hint="cs"/>
          <w:rtl/>
        </w:rPr>
        <w:t>החלו מאמצים אלה לשאת פירות</w:t>
      </w:r>
      <w:r w:rsidRPr="00D42586">
        <w:rPr>
          <w:rFonts w:hint="cs"/>
          <w:rtl/>
        </w:rPr>
        <w:t xml:space="preserve">. </w:t>
      </w:r>
    </w:p>
    <w:p w14:paraId="0B5E09AF" w14:textId="77777777" w:rsidR="00387987" w:rsidRDefault="00387987" w:rsidP="008166A5">
      <w:pPr>
        <w:pStyle w:val="af3"/>
        <w:rPr>
          <w:rtl/>
        </w:rPr>
      </w:pPr>
      <w:r>
        <w:rPr>
          <w:rFonts w:hint="cs"/>
          <w:rtl/>
        </w:rPr>
        <w:t>על בית הדין</w:t>
      </w:r>
      <w:r w:rsidRPr="00654207">
        <w:rPr>
          <w:rFonts w:hint="cs"/>
          <w:rtl/>
        </w:rPr>
        <w:t xml:space="preserve"> לפעול </w:t>
      </w:r>
      <w:r>
        <w:rPr>
          <w:rFonts w:hint="cs"/>
          <w:rtl/>
        </w:rPr>
        <w:t>ל</w:t>
      </w:r>
      <w:r w:rsidRPr="00654207">
        <w:rPr>
          <w:rFonts w:hint="cs"/>
          <w:rtl/>
        </w:rPr>
        <w:t xml:space="preserve">צמצום הפערים ולסיים את הדיון בתיקים </w:t>
      </w:r>
      <w:r>
        <w:rPr>
          <w:rFonts w:hint="cs"/>
          <w:rtl/>
        </w:rPr>
        <w:t>משנים קודמות ובאלה שממתינים זמן רב לפסק דין</w:t>
      </w:r>
      <w:r w:rsidRPr="00654207">
        <w:rPr>
          <w:rFonts w:hint="cs"/>
          <w:rtl/>
        </w:rPr>
        <w:t>.</w:t>
      </w:r>
      <w:r>
        <w:rPr>
          <w:rFonts w:hint="cs"/>
          <w:rtl/>
        </w:rPr>
        <w:t xml:space="preserve"> </w:t>
      </w:r>
    </w:p>
    <w:p w14:paraId="52255403" w14:textId="77777777" w:rsidR="00387987" w:rsidRDefault="00387987" w:rsidP="008166A5">
      <w:pPr>
        <w:pStyle w:val="316"/>
        <w:rPr>
          <w:rtl/>
        </w:rPr>
      </w:pPr>
      <w:bookmarkStart w:id="15" w:name="_Toc23155588"/>
      <w:bookmarkStart w:id="16" w:name="_Toc23159783"/>
      <w:r>
        <w:rPr>
          <w:rFonts w:hint="cs"/>
          <w:rtl/>
        </w:rPr>
        <w:t>מערכות המחשוב של מערך האתיקה והדין המשמעת</w:t>
      </w:r>
      <w:bookmarkEnd w:id="15"/>
      <w:bookmarkEnd w:id="16"/>
      <w:r>
        <w:rPr>
          <w:rFonts w:hint="cs"/>
          <w:rtl/>
        </w:rPr>
        <w:t>י</w:t>
      </w:r>
    </w:p>
    <w:p w14:paraId="230D4738" w14:textId="77777777" w:rsidR="00387987" w:rsidRDefault="00387987" w:rsidP="005950C8">
      <w:pPr>
        <w:pStyle w:val="a1"/>
        <w:numPr>
          <w:ilvl w:val="0"/>
          <w:numId w:val="18"/>
        </w:numPr>
      </w:pPr>
      <w:r>
        <w:rPr>
          <w:rFonts w:hint="cs"/>
          <w:rtl/>
        </w:rPr>
        <w:t xml:space="preserve">לקיומו של מאגר מידע שלם ומאוחד בדבר העבר המשמעתי של עורכי הדין נודעת חשיבות לשם בדיקתו בטרם העמדה לדין ולקראת הצגת הטיעונים לעונש. </w:t>
      </w:r>
    </w:p>
    <w:p w14:paraId="644D27F4" w14:textId="77777777" w:rsidR="00387987" w:rsidRDefault="00387987" w:rsidP="00D678F8">
      <w:pPr>
        <w:pStyle w:val="af2"/>
      </w:pPr>
      <w:r>
        <w:rPr>
          <w:rFonts w:hint="cs"/>
          <w:rtl/>
        </w:rPr>
        <w:t xml:space="preserve">כאשר בית דין משמעתי נותן פסק דין בתיק, תוצאת ההליך מועברת לידיעת הוועד המרכזי והוא מעדכן אותה במערכות המחשוב שלו. </w:t>
      </w:r>
    </w:p>
    <w:p w14:paraId="220217CA" w14:textId="77777777" w:rsidR="00387987" w:rsidRPr="001535B9" w:rsidRDefault="00387987" w:rsidP="00D678F8">
      <w:pPr>
        <w:pStyle w:val="12"/>
        <w:rPr>
          <w:rtl/>
        </w:rPr>
      </w:pPr>
      <w:r>
        <w:rPr>
          <w:rFonts w:hint="cs"/>
          <w:rtl/>
        </w:rPr>
        <w:t>ואולם</w:t>
      </w:r>
      <w:r w:rsidRPr="001535B9">
        <w:rPr>
          <w:rFonts w:hint="cs"/>
          <w:rtl/>
        </w:rPr>
        <w:t xml:space="preserve"> </w:t>
      </w:r>
      <w:r>
        <w:rPr>
          <w:rFonts w:hint="cs"/>
          <w:rtl/>
        </w:rPr>
        <w:t>ה</w:t>
      </w:r>
      <w:r w:rsidRPr="001535B9">
        <w:rPr>
          <w:rFonts w:hint="cs"/>
          <w:rtl/>
        </w:rPr>
        <w:t>וועד המרכזי</w:t>
      </w:r>
      <w:r>
        <w:rPr>
          <w:rFonts w:hint="cs"/>
          <w:rtl/>
        </w:rPr>
        <w:t xml:space="preserve"> אינו פועל לריכוז מידע על </w:t>
      </w:r>
      <w:r w:rsidRPr="001535B9">
        <w:rPr>
          <w:rFonts w:hint="cs"/>
          <w:rtl/>
        </w:rPr>
        <w:t>אודות תלונות שהוגשו לו</w:t>
      </w:r>
      <w:r>
        <w:rPr>
          <w:rFonts w:hint="cs"/>
          <w:rtl/>
        </w:rPr>
        <w:t>ו</w:t>
      </w:r>
      <w:r w:rsidRPr="001535B9">
        <w:rPr>
          <w:rFonts w:hint="cs"/>
          <w:rtl/>
        </w:rPr>
        <w:t>עדות האתיקה המחוזיות</w:t>
      </w:r>
      <w:r>
        <w:rPr>
          <w:rFonts w:hint="cs"/>
          <w:rtl/>
        </w:rPr>
        <w:t xml:space="preserve"> או על קובלנות שהוגשו לבית הדין</w:t>
      </w:r>
      <w:r w:rsidRPr="001535B9">
        <w:rPr>
          <w:rFonts w:hint="cs"/>
          <w:rtl/>
        </w:rPr>
        <w:t xml:space="preserve">. כאשר </w:t>
      </w:r>
      <w:r>
        <w:rPr>
          <w:rFonts w:hint="cs"/>
          <w:rtl/>
        </w:rPr>
        <w:t>הוועד</w:t>
      </w:r>
      <w:r w:rsidRPr="001535B9">
        <w:rPr>
          <w:rFonts w:hint="cs"/>
          <w:rtl/>
        </w:rPr>
        <w:t xml:space="preserve"> המרכזי מעוניין </w:t>
      </w:r>
      <w:r>
        <w:rPr>
          <w:rFonts w:hint="cs"/>
          <w:rtl/>
        </w:rPr>
        <w:t>ב</w:t>
      </w:r>
      <w:r w:rsidRPr="001535B9">
        <w:rPr>
          <w:rFonts w:hint="cs"/>
          <w:rtl/>
        </w:rPr>
        <w:t>מידע כזה</w:t>
      </w:r>
      <w:r>
        <w:rPr>
          <w:rFonts w:hint="cs"/>
          <w:rtl/>
        </w:rPr>
        <w:t>, כגון לצורך מתן אישור לעורך דין על היעדר תלונות,</w:t>
      </w:r>
      <w:r w:rsidRPr="001535B9">
        <w:rPr>
          <w:rFonts w:hint="cs"/>
          <w:rtl/>
        </w:rPr>
        <w:t xml:space="preserve"> </w:t>
      </w:r>
      <w:r>
        <w:rPr>
          <w:rFonts w:hint="cs"/>
          <w:rtl/>
        </w:rPr>
        <w:t xml:space="preserve">הוא פונה </w:t>
      </w:r>
      <w:r w:rsidRPr="001535B9">
        <w:rPr>
          <w:rFonts w:hint="cs"/>
          <w:rtl/>
        </w:rPr>
        <w:t xml:space="preserve">לכל מחוזות הלשכה ומבקש </w:t>
      </w:r>
      <w:r>
        <w:rPr>
          <w:rFonts w:hint="cs"/>
          <w:rtl/>
        </w:rPr>
        <w:t xml:space="preserve">אותו </w:t>
      </w:r>
      <w:r w:rsidRPr="001535B9">
        <w:rPr>
          <w:rFonts w:hint="cs"/>
          <w:rtl/>
        </w:rPr>
        <w:t>מהם.</w:t>
      </w:r>
    </w:p>
    <w:p w14:paraId="42726E02" w14:textId="77777777" w:rsidR="00387987" w:rsidRPr="001535B9" w:rsidRDefault="00387987" w:rsidP="00D678F8">
      <w:pPr>
        <w:pStyle w:val="12"/>
        <w:rPr>
          <w:rtl/>
        </w:rPr>
      </w:pPr>
      <w:r>
        <w:rPr>
          <w:rFonts w:hint="cs"/>
          <w:rtl/>
        </w:rPr>
        <w:t xml:space="preserve">כמו כן </w:t>
      </w:r>
      <w:r w:rsidRPr="001535B9">
        <w:rPr>
          <w:rFonts w:hint="cs"/>
          <w:rtl/>
        </w:rPr>
        <w:t>בביקורת נמצא כי למעט מחוז צפון, מחוזות הלשכה אינם מחוברים למערכת המ</w:t>
      </w:r>
      <w:r>
        <w:rPr>
          <w:rFonts w:hint="cs"/>
          <w:rtl/>
        </w:rPr>
        <w:t>מו</w:t>
      </w:r>
      <w:r w:rsidRPr="001535B9">
        <w:rPr>
          <w:rFonts w:hint="cs"/>
          <w:rtl/>
        </w:rPr>
        <w:t>חשב</w:t>
      </w:r>
      <w:r>
        <w:rPr>
          <w:rFonts w:hint="cs"/>
          <w:rtl/>
        </w:rPr>
        <w:t>ת</w:t>
      </w:r>
      <w:r w:rsidRPr="001535B9">
        <w:rPr>
          <w:rFonts w:hint="cs"/>
          <w:rtl/>
        </w:rPr>
        <w:t xml:space="preserve"> של הלשכה הארצית ואין </w:t>
      </w:r>
      <w:r>
        <w:rPr>
          <w:rFonts w:hint="cs"/>
          <w:rtl/>
        </w:rPr>
        <w:t>לוועדות האתיקה המחוזיות</w:t>
      </w:r>
      <w:r w:rsidRPr="001535B9">
        <w:rPr>
          <w:rFonts w:hint="cs"/>
          <w:rtl/>
        </w:rPr>
        <w:t xml:space="preserve"> מידע </w:t>
      </w:r>
      <w:r>
        <w:rPr>
          <w:rFonts w:hint="cs"/>
          <w:rtl/>
        </w:rPr>
        <w:t xml:space="preserve">זמין </w:t>
      </w:r>
      <w:r w:rsidRPr="001535B9">
        <w:rPr>
          <w:rFonts w:hint="cs"/>
          <w:rtl/>
        </w:rPr>
        <w:t xml:space="preserve">על עבר משמעתי </w:t>
      </w:r>
      <w:r>
        <w:rPr>
          <w:rFonts w:hint="cs"/>
          <w:rtl/>
        </w:rPr>
        <w:t xml:space="preserve">של עורך דין </w:t>
      </w:r>
      <w:r w:rsidRPr="001535B9">
        <w:rPr>
          <w:rFonts w:hint="cs"/>
          <w:rtl/>
        </w:rPr>
        <w:t>במחוזות אחרים</w:t>
      </w:r>
      <w:r>
        <w:rPr>
          <w:rFonts w:hint="cs"/>
          <w:rtl/>
        </w:rPr>
        <w:t>, אם זה השתייך בעבר למחוז אחר</w:t>
      </w:r>
      <w:r w:rsidRPr="00255877">
        <w:rPr>
          <w:rStyle w:val="FootnoteReference"/>
          <w:rtl/>
        </w:rPr>
        <w:footnoteReference w:id="49"/>
      </w:r>
      <w:r w:rsidRPr="001535B9">
        <w:rPr>
          <w:rFonts w:hint="cs"/>
          <w:rtl/>
        </w:rPr>
        <w:t>.</w:t>
      </w:r>
      <w:r>
        <w:rPr>
          <w:rFonts w:hint="cs"/>
          <w:rtl/>
        </w:rPr>
        <w:t xml:space="preserve"> </w:t>
      </w:r>
    </w:p>
    <w:p w14:paraId="1AB002F4" w14:textId="77777777" w:rsidR="00387987" w:rsidRDefault="00387987" w:rsidP="00D678F8">
      <w:pPr>
        <w:pStyle w:val="af2"/>
        <w:rPr>
          <w:rtl/>
        </w:rPr>
      </w:pPr>
      <w:r>
        <w:rPr>
          <w:rFonts w:hint="cs"/>
          <w:rtl/>
        </w:rPr>
        <w:t xml:space="preserve">כבר בדצמבר 2016 פנה יו"ר ועדת האתיקה הארצית למנכ"ל הלשכה בבקשה ליצור מאגר הרשעות משמעת ארצי של כל עורכי הדין שתהיה אליו גישה מכל מחוז. במכתב הבהיר יו"ר ועדת האתיקה את הקושי בקבלת מידע על אודות עבר משמעתי במקרה שעורך הדין עבר ממחוז למחוז. כדוגמה להשלכות קושי זה הסביר כי במקרה שנגזרה בעבר על עורך דין השעיה על תנאי, אם יעבור עבירה משמעתית נוספת והמידע על עברו המשמעתי לא </w:t>
      </w:r>
      <w:r>
        <w:rPr>
          <w:rFonts w:hint="cs"/>
          <w:rtl/>
        </w:rPr>
        <w:lastRenderedPageBreak/>
        <w:t>יהיה נגיש למחוז שאליו עבר - התנאי לא יופעל.</w:t>
      </w:r>
      <w:r w:rsidRPr="00310CD4">
        <w:rPr>
          <w:rtl/>
        </w:rPr>
        <w:t xml:space="preserve"> </w:t>
      </w:r>
      <w:r>
        <w:rPr>
          <w:rFonts w:hint="cs"/>
          <w:rtl/>
        </w:rPr>
        <w:t>גם בנייר העמדה של פרקליטת ועדת האתיקה במחוז תל אביב נכתב כי לא ניתן לשתף</w:t>
      </w:r>
      <w:r w:rsidRPr="00310CD4">
        <w:rPr>
          <w:rtl/>
        </w:rPr>
        <w:t xml:space="preserve"> מידע ממוחשב בין המחוזות ו</w:t>
      </w:r>
      <w:r>
        <w:rPr>
          <w:rtl/>
        </w:rPr>
        <w:t>הוועד</w:t>
      </w:r>
      <w:r w:rsidRPr="00310CD4">
        <w:rPr>
          <w:rtl/>
        </w:rPr>
        <w:t xml:space="preserve"> המרכזי ו</w:t>
      </w:r>
      <w:r>
        <w:rPr>
          <w:rFonts w:hint="cs"/>
          <w:rtl/>
        </w:rPr>
        <w:t xml:space="preserve">כי קיימים </w:t>
      </w:r>
      <w:r w:rsidRPr="00310CD4">
        <w:rPr>
          <w:rtl/>
        </w:rPr>
        <w:t>פערי מידע בנוגע לעבר המשמעתי של הנילונים, לה</w:t>
      </w:r>
      <w:r>
        <w:rPr>
          <w:rFonts w:hint="cs"/>
          <w:rtl/>
        </w:rPr>
        <w:t>י</w:t>
      </w:r>
      <w:r w:rsidRPr="00310CD4">
        <w:rPr>
          <w:rtl/>
        </w:rPr>
        <w:t>סטוריית תלונות של מתלוננים ולהחלטות של בתי הדין השונים.</w:t>
      </w:r>
    </w:p>
    <w:p w14:paraId="344F61CE" w14:textId="77777777" w:rsidR="00387987" w:rsidRDefault="00387987" w:rsidP="00F8260F">
      <w:pPr>
        <w:pStyle w:val="af2"/>
      </w:pPr>
      <w:r>
        <w:rPr>
          <w:rFonts w:hint="cs"/>
          <w:rtl/>
        </w:rPr>
        <w:t xml:space="preserve">בדיונים של פורום יושבי ראש ועדות האתיקה ממאי 2018 ומאוקטובר 2018 קיבל הפורום החלטה חשובה לפעול להטמעת המערכת הממוחשבת של הוועד המרכזי במחוזות. </w:t>
      </w:r>
    </w:p>
    <w:p w14:paraId="043A34A9" w14:textId="77777777" w:rsidR="00387987" w:rsidRPr="00E34F9A" w:rsidRDefault="00387987" w:rsidP="00F8260F">
      <w:pPr>
        <w:pStyle w:val="ac"/>
        <w:rPr>
          <w:rtl/>
        </w:rPr>
      </w:pPr>
      <w:r>
        <w:rPr>
          <w:rFonts w:hint="cs"/>
          <w:rtl/>
        </w:rPr>
        <w:t xml:space="preserve">ואולם </w:t>
      </w:r>
      <w:r w:rsidRPr="00817A85">
        <w:rPr>
          <w:rFonts w:hint="cs"/>
          <w:rtl/>
        </w:rPr>
        <w:t>נכון למועד סיום הביקורת</w:t>
      </w:r>
      <w:r>
        <w:rPr>
          <w:rFonts w:hint="cs"/>
          <w:rtl/>
        </w:rPr>
        <w:t>, בחלוף כשלוש שנים ממועד הפנייה הראשונה של יו"ר ועדת האתיקה הארצית,</w:t>
      </w:r>
      <w:r w:rsidRPr="00817A85">
        <w:rPr>
          <w:rFonts w:hint="cs"/>
          <w:rtl/>
        </w:rPr>
        <w:t xml:space="preserve"> </w:t>
      </w:r>
      <w:r w:rsidRPr="0035199C">
        <w:rPr>
          <w:rFonts w:hint="eastAsia"/>
          <w:rtl/>
        </w:rPr>
        <w:t>לא</w:t>
      </w:r>
      <w:r w:rsidRPr="0035199C">
        <w:rPr>
          <w:rtl/>
        </w:rPr>
        <w:t xml:space="preserve"> </w:t>
      </w:r>
      <w:r>
        <w:rPr>
          <w:rFonts w:hint="cs"/>
          <w:rtl/>
        </w:rPr>
        <w:t>קודם הנושא.</w:t>
      </w:r>
      <w:r w:rsidRPr="00817A85">
        <w:rPr>
          <w:rFonts w:hint="cs"/>
          <w:rtl/>
        </w:rPr>
        <w:t xml:space="preserve"> </w:t>
      </w:r>
      <w:r w:rsidRPr="00E34F9A">
        <w:rPr>
          <w:rFonts w:hint="cs"/>
          <w:rtl/>
        </w:rPr>
        <w:t>משרד מבקר המדינה ממליץ כי הלשכה תפעל</w:t>
      </w:r>
      <w:r w:rsidRPr="00E34F9A">
        <w:rPr>
          <w:rtl/>
        </w:rPr>
        <w:t xml:space="preserve"> </w:t>
      </w:r>
      <w:r>
        <w:rPr>
          <w:rFonts w:hint="cs"/>
          <w:rtl/>
        </w:rPr>
        <w:t>להטמעת</w:t>
      </w:r>
      <w:r w:rsidRPr="00E34F9A">
        <w:rPr>
          <w:rtl/>
        </w:rPr>
        <w:t xml:space="preserve"> </w:t>
      </w:r>
      <w:r w:rsidRPr="00E34F9A">
        <w:rPr>
          <w:rFonts w:hint="eastAsia"/>
          <w:rtl/>
        </w:rPr>
        <w:t>המערכת</w:t>
      </w:r>
      <w:r w:rsidRPr="00E34F9A">
        <w:rPr>
          <w:rtl/>
        </w:rPr>
        <w:t xml:space="preserve"> </w:t>
      </w:r>
      <w:r w:rsidRPr="00E34F9A">
        <w:rPr>
          <w:rFonts w:hint="eastAsia"/>
          <w:rtl/>
        </w:rPr>
        <w:t>הממוחשבת</w:t>
      </w:r>
      <w:r w:rsidRPr="00E34F9A">
        <w:rPr>
          <w:rtl/>
        </w:rPr>
        <w:t xml:space="preserve"> </w:t>
      </w:r>
      <w:r w:rsidRPr="00E34F9A">
        <w:rPr>
          <w:rFonts w:hint="eastAsia"/>
          <w:rtl/>
        </w:rPr>
        <w:t>באופן</w:t>
      </w:r>
      <w:r w:rsidRPr="00E34F9A">
        <w:rPr>
          <w:rtl/>
        </w:rPr>
        <w:t xml:space="preserve"> </w:t>
      </w:r>
      <w:r w:rsidRPr="00E34F9A">
        <w:rPr>
          <w:rFonts w:hint="eastAsia"/>
          <w:rtl/>
        </w:rPr>
        <w:t>שיתאפשר</w:t>
      </w:r>
      <w:r w:rsidRPr="00E34F9A">
        <w:rPr>
          <w:rtl/>
        </w:rPr>
        <w:t xml:space="preserve"> </w:t>
      </w:r>
      <w:r w:rsidRPr="00E34F9A">
        <w:rPr>
          <w:rFonts w:hint="eastAsia"/>
          <w:rtl/>
        </w:rPr>
        <w:t>עיון</w:t>
      </w:r>
      <w:r w:rsidRPr="00E34F9A">
        <w:rPr>
          <w:rtl/>
        </w:rPr>
        <w:t xml:space="preserve"> </w:t>
      </w:r>
      <w:r w:rsidRPr="00E34F9A">
        <w:rPr>
          <w:rFonts w:hint="eastAsia"/>
          <w:rtl/>
        </w:rPr>
        <w:t>בהרשעות</w:t>
      </w:r>
      <w:r w:rsidRPr="00E34F9A">
        <w:rPr>
          <w:rtl/>
        </w:rPr>
        <w:t xml:space="preserve"> </w:t>
      </w:r>
      <w:r w:rsidRPr="00E34F9A">
        <w:rPr>
          <w:rFonts w:hint="eastAsia"/>
          <w:rtl/>
        </w:rPr>
        <w:t>לגורמים</w:t>
      </w:r>
      <w:r w:rsidRPr="00E34F9A">
        <w:rPr>
          <w:rtl/>
        </w:rPr>
        <w:t xml:space="preserve"> </w:t>
      </w:r>
      <w:r w:rsidRPr="00E34F9A">
        <w:rPr>
          <w:rFonts w:hint="eastAsia"/>
          <w:rtl/>
        </w:rPr>
        <w:t>המתאימים</w:t>
      </w:r>
      <w:r w:rsidRPr="00E34F9A">
        <w:rPr>
          <w:rtl/>
        </w:rPr>
        <w:t xml:space="preserve"> </w:t>
      </w:r>
      <w:r w:rsidRPr="00E34F9A">
        <w:rPr>
          <w:rFonts w:hint="eastAsia"/>
          <w:rtl/>
        </w:rPr>
        <w:t>ולפי</w:t>
      </w:r>
      <w:r w:rsidRPr="00E34F9A">
        <w:rPr>
          <w:rtl/>
        </w:rPr>
        <w:t xml:space="preserve"> </w:t>
      </w:r>
      <w:r w:rsidRPr="00E34F9A">
        <w:rPr>
          <w:rFonts w:hint="eastAsia"/>
          <w:rtl/>
        </w:rPr>
        <w:t>הצורך</w:t>
      </w:r>
      <w:r w:rsidRPr="00E34F9A">
        <w:rPr>
          <w:rtl/>
        </w:rPr>
        <w:t>.</w:t>
      </w:r>
    </w:p>
    <w:p w14:paraId="32C58103" w14:textId="77777777" w:rsidR="00387987" w:rsidRDefault="00387987" w:rsidP="00F8260F">
      <w:pPr>
        <w:pStyle w:val="af2"/>
        <w:rPr>
          <w:rtl/>
        </w:rPr>
      </w:pPr>
      <w:r>
        <w:rPr>
          <w:rFonts w:hint="cs"/>
          <w:rtl/>
        </w:rPr>
        <w:t xml:space="preserve">הלשכה מסרה בתשובתה כי היא בוחנת את </w:t>
      </w:r>
      <w:r w:rsidRPr="00823D4A">
        <w:rPr>
          <w:rtl/>
        </w:rPr>
        <w:t>האפשרות להקמת מערכת ממוחשבת שתייעל את הגישה למאגר ההרשעות.</w:t>
      </w:r>
    </w:p>
    <w:p w14:paraId="5429664E" w14:textId="77777777" w:rsidR="00387987" w:rsidRDefault="00387987" w:rsidP="00C256E7">
      <w:pPr>
        <w:pStyle w:val="a1"/>
      </w:pPr>
      <w:r w:rsidRPr="00181F35">
        <w:rPr>
          <w:rFonts w:hint="cs"/>
          <w:rtl/>
        </w:rPr>
        <w:t xml:space="preserve">למידע </w:t>
      </w:r>
      <w:r>
        <w:rPr>
          <w:rFonts w:hint="cs"/>
          <w:rtl/>
        </w:rPr>
        <w:t xml:space="preserve">על </w:t>
      </w:r>
      <w:r w:rsidRPr="00181F35">
        <w:rPr>
          <w:rFonts w:hint="cs"/>
          <w:rtl/>
        </w:rPr>
        <w:t xml:space="preserve">אודות העבר המשמעתי של עורך דין עשויות להיות משמעויות נוספות. כך למשל, </w:t>
      </w:r>
      <w:r w:rsidRPr="00A261E9">
        <w:rPr>
          <w:rFonts w:hint="cs"/>
          <w:rtl/>
        </w:rPr>
        <w:t>במקרים של בדיקת בקשות לאמן מתמחה ובקשת עורך דין ל</w:t>
      </w:r>
      <w:r>
        <w:rPr>
          <w:rFonts w:hint="cs"/>
          <w:rtl/>
        </w:rPr>
        <w:t xml:space="preserve">קבלת </w:t>
      </w:r>
      <w:r w:rsidRPr="00A261E9">
        <w:rPr>
          <w:rFonts w:hint="cs"/>
          <w:rtl/>
        </w:rPr>
        <w:t xml:space="preserve">אישור </w:t>
      </w:r>
      <w:r>
        <w:rPr>
          <w:rFonts w:hint="cs"/>
          <w:rtl/>
        </w:rPr>
        <w:t xml:space="preserve">מן הלשכה </w:t>
      </w:r>
      <w:r w:rsidRPr="00A261E9">
        <w:rPr>
          <w:rFonts w:hint="cs"/>
          <w:rtl/>
        </w:rPr>
        <w:t>על ה</w:t>
      </w:r>
      <w:r>
        <w:rPr>
          <w:rFonts w:hint="cs"/>
          <w:rtl/>
        </w:rPr>
        <w:t>י</w:t>
      </w:r>
      <w:r w:rsidRPr="00A261E9">
        <w:rPr>
          <w:rFonts w:hint="cs"/>
          <w:rtl/>
        </w:rPr>
        <w:t>עדר עבר משמעתי.</w:t>
      </w:r>
      <w:r>
        <w:rPr>
          <w:rFonts w:hint="cs"/>
        </w:rPr>
        <w:t xml:space="preserve"> </w:t>
      </w:r>
      <w:r>
        <w:rPr>
          <w:rFonts w:hint="cs"/>
          <w:rtl/>
        </w:rPr>
        <w:t xml:space="preserve">בהקשר זה יצוין כי בלשכת עורכי הדין 149 ועדות מקצועיות (חלקן לא פעילות) ורשומים בהן כ-5,500 חברים (חלקם לא נוטלים חלק פעיל בעבודתן). </w:t>
      </w:r>
      <w:r w:rsidRPr="00181F35">
        <w:rPr>
          <w:rFonts w:hint="cs"/>
          <w:rtl/>
        </w:rPr>
        <w:t xml:space="preserve">במסגרת מינוי </w:t>
      </w:r>
      <w:r>
        <w:rPr>
          <w:rFonts w:hint="cs"/>
          <w:rtl/>
        </w:rPr>
        <w:t>לו</w:t>
      </w:r>
      <w:r w:rsidRPr="00181F35">
        <w:rPr>
          <w:rFonts w:hint="cs"/>
          <w:rtl/>
        </w:rPr>
        <w:t>ועדות הלשכה לא נבח</w:t>
      </w:r>
      <w:r>
        <w:rPr>
          <w:rFonts w:hint="cs"/>
          <w:rtl/>
        </w:rPr>
        <w:t>ן עברו המשמעתי של המועמד</w:t>
      </w:r>
      <w:r w:rsidRPr="00181F35">
        <w:rPr>
          <w:rFonts w:hint="cs"/>
          <w:rtl/>
        </w:rPr>
        <w:t xml:space="preserve">. </w:t>
      </w:r>
    </w:p>
    <w:p w14:paraId="57EC7523" w14:textId="77777777" w:rsidR="00387987" w:rsidRDefault="00387987" w:rsidP="00F8260F">
      <w:pPr>
        <w:pStyle w:val="ac"/>
        <w:rPr>
          <w:rtl/>
        </w:rPr>
      </w:pPr>
      <w:r>
        <w:rPr>
          <w:rFonts w:hint="cs"/>
          <w:rtl/>
        </w:rPr>
        <w:t>בביקורת נמצאו</w:t>
      </w:r>
      <w:r w:rsidRPr="00181F35">
        <w:rPr>
          <w:rFonts w:hint="cs"/>
          <w:rtl/>
        </w:rPr>
        <w:t xml:space="preserve"> </w:t>
      </w:r>
      <w:r>
        <w:rPr>
          <w:rFonts w:hint="cs"/>
          <w:rtl/>
        </w:rPr>
        <w:t>59</w:t>
      </w:r>
      <w:r w:rsidRPr="00181F35">
        <w:rPr>
          <w:rFonts w:hint="cs"/>
          <w:rtl/>
        </w:rPr>
        <w:t xml:space="preserve"> </w:t>
      </w:r>
      <w:r>
        <w:rPr>
          <w:rFonts w:hint="cs"/>
          <w:rtl/>
        </w:rPr>
        <w:t>מקרים של חברי ועדה שהורשעו בבית דין משמעתי (בשיעור של אחוז אחד מחברי הוועדות הרשומים בלשכה), כמחציתם הושעו על תנאי או בפועל, והם מכהנים נכון למועד סיום הביקורת כחברי ועדות</w:t>
      </w:r>
      <w:r>
        <w:rPr>
          <w:rStyle w:val="FootnoteReference"/>
          <w:b/>
          <w:bCs/>
          <w:rtl/>
        </w:rPr>
        <w:footnoteReference w:id="50"/>
      </w:r>
      <w:r w:rsidRPr="00181F35">
        <w:rPr>
          <w:rFonts w:hint="cs"/>
          <w:rtl/>
        </w:rPr>
        <w:t>.</w:t>
      </w:r>
      <w:r w:rsidRPr="00666728">
        <w:rPr>
          <w:rFonts w:hint="cs"/>
          <w:rtl/>
        </w:rPr>
        <w:t xml:space="preserve"> </w:t>
      </w:r>
      <w:r>
        <w:rPr>
          <w:rFonts w:hint="cs"/>
          <w:rtl/>
        </w:rPr>
        <w:t xml:space="preserve">מוצע </w:t>
      </w:r>
      <w:r w:rsidRPr="00666728">
        <w:rPr>
          <w:rFonts w:hint="cs"/>
          <w:rtl/>
        </w:rPr>
        <w:t xml:space="preserve">כי הלשכה </w:t>
      </w:r>
      <w:r w:rsidRPr="00666728">
        <w:rPr>
          <w:rFonts w:hint="eastAsia"/>
          <w:rtl/>
        </w:rPr>
        <w:t>תשקול</w:t>
      </w:r>
      <w:r w:rsidRPr="00666728">
        <w:rPr>
          <w:rtl/>
        </w:rPr>
        <w:t xml:space="preserve"> </w:t>
      </w:r>
      <w:r>
        <w:rPr>
          <w:rFonts w:hint="cs"/>
          <w:rtl/>
        </w:rPr>
        <w:t>לבחון את ה</w:t>
      </w:r>
      <w:r w:rsidRPr="00666728">
        <w:rPr>
          <w:rFonts w:hint="cs"/>
          <w:rtl/>
        </w:rPr>
        <w:t>עבר</w:t>
      </w:r>
      <w:r w:rsidRPr="00181F35">
        <w:rPr>
          <w:rFonts w:hint="cs"/>
          <w:rtl/>
        </w:rPr>
        <w:t xml:space="preserve"> </w:t>
      </w:r>
      <w:r>
        <w:rPr>
          <w:rFonts w:hint="cs"/>
          <w:rtl/>
        </w:rPr>
        <w:t>ה</w:t>
      </w:r>
      <w:r w:rsidRPr="00181F35">
        <w:rPr>
          <w:rFonts w:hint="cs"/>
          <w:rtl/>
        </w:rPr>
        <w:t>משמעתי של מועמדים לו</w:t>
      </w:r>
      <w:r>
        <w:rPr>
          <w:rFonts w:hint="cs"/>
          <w:rtl/>
        </w:rPr>
        <w:t>ו</w:t>
      </w:r>
      <w:r w:rsidRPr="00181F35">
        <w:rPr>
          <w:rFonts w:hint="cs"/>
          <w:rtl/>
        </w:rPr>
        <w:t>עדות הלשכה</w:t>
      </w:r>
      <w:r>
        <w:rPr>
          <w:rFonts w:hint="cs"/>
          <w:rtl/>
        </w:rPr>
        <w:t>, בטרם ימונו לתפקיד שיש בו כדי לייצג את הלשכה ואת ציבור עורכי הדין</w:t>
      </w:r>
      <w:r w:rsidRPr="00181F35">
        <w:rPr>
          <w:rFonts w:hint="cs"/>
          <w:rtl/>
        </w:rPr>
        <w:t>.</w:t>
      </w:r>
    </w:p>
    <w:p w14:paraId="080E1A16" w14:textId="09487718" w:rsidR="00F8260F" w:rsidRDefault="00387987" w:rsidP="00F8260F">
      <w:pPr>
        <w:pStyle w:val="af2"/>
        <w:rPr>
          <w:rtl/>
        </w:rPr>
      </w:pPr>
      <w:r>
        <w:rPr>
          <w:rFonts w:hint="cs"/>
          <w:rtl/>
        </w:rPr>
        <w:t>הלשכה מסרה בתשובתה כי עורך דין</w:t>
      </w:r>
      <w:r w:rsidRPr="00823D4A">
        <w:rPr>
          <w:rtl/>
        </w:rPr>
        <w:t xml:space="preserve"> שהושעה מהלשכה </w:t>
      </w:r>
      <w:r>
        <w:rPr>
          <w:rFonts w:hint="cs"/>
          <w:rtl/>
        </w:rPr>
        <w:t>מ</w:t>
      </w:r>
      <w:r w:rsidRPr="00823D4A">
        <w:rPr>
          <w:rtl/>
        </w:rPr>
        <w:t>וצא מרשימת התפוצה</w:t>
      </w:r>
      <w:r>
        <w:rPr>
          <w:rFonts w:hint="cs"/>
          <w:rtl/>
        </w:rPr>
        <w:t xml:space="preserve"> והעדכונים של הוועדה</w:t>
      </w:r>
      <w:r w:rsidRPr="00823D4A">
        <w:rPr>
          <w:rtl/>
        </w:rPr>
        <w:t xml:space="preserve"> </w:t>
      </w:r>
      <w:r>
        <w:rPr>
          <w:rFonts w:hint="cs"/>
          <w:rtl/>
        </w:rPr>
        <w:t>שבה היה חבר, אף</w:t>
      </w:r>
      <w:r w:rsidRPr="00823D4A">
        <w:rPr>
          <w:rtl/>
        </w:rPr>
        <w:t xml:space="preserve"> אם לא קיבל הודעה רשמית על הפסקת חברותו בוועדה</w:t>
      </w:r>
      <w:r>
        <w:rPr>
          <w:rFonts w:hint="cs"/>
          <w:rtl/>
        </w:rPr>
        <w:t xml:space="preserve">. כמו כן, עם כינון המועצה הארצית החדשה בשנת 2019 </w:t>
      </w:r>
      <w:r w:rsidRPr="00FF241F">
        <w:rPr>
          <w:rtl/>
        </w:rPr>
        <w:t>ו</w:t>
      </w:r>
      <w:r>
        <w:rPr>
          <w:rFonts w:hint="cs"/>
          <w:rtl/>
        </w:rPr>
        <w:t>בשל</w:t>
      </w:r>
      <w:r w:rsidRPr="00FF241F">
        <w:rPr>
          <w:rtl/>
        </w:rPr>
        <w:t xml:space="preserve"> לקחי העבר </w:t>
      </w:r>
      <w:r>
        <w:rPr>
          <w:rFonts w:hint="cs"/>
          <w:rtl/>
        </w:rPr>
        <w:t xml:space="preserve">נקבע כי מכאן ולהבא, </w:t>
      </w:r>
      <w:r w:rsidRPr="00FF241F">
        <w:rPr>
          <w:rtl/>
        </w:rPr>
        <w:t xml:space="preserve">כל חבר ועדה </w:t>
      </w:r>
      <w:r>
        <w:rPr>
          <w:rFonts w:hint="cs"/>
          <w:rtl/>
        </w:rPr>
        <w:t>שיקבל</w:t>
      </w:r>
      <w:r w:rsidRPr="00FF241F">
        <w:rPr>
          <w:rtl/>
        </w:rPr>
        <w:t xml:space="preserve"> מינוי </w:t>
      </w:r>
      <w:r>
        <w:rPr>
          <w:rFonts w:hint="cs"/>
          <w:rtl/>
        </w:rPr>
        <w:t xml:space="preserve">יידרש </w:t>
      </w:r>
      <w:r w:rsidRPr="00FF241F">
        <w:rPr>
          <w:rtl/>
        </w:rPr>
        <w:t>לחתום על הצהרה בדבר העדר הרשעות בעבירות פליליות</w:t>
      </w:r>
      <w:r>
        <w:rPr>
          <w:rtl/>
        </w:rPr>
        <w:t xml:space="preserve"> שאינן חטא והרשעות בדין המשמעתי</w:t>
      </w:r>
      <w:r>
        <w:rPr>
          <w:rFonts w:hint="cs"/>
          <w:rtl/>
        </w:rPr>
        <w:t>. הלשכה הוסיפה כי בשל</w:t>
      </w:r>
      <w:r w:rsidRPr="00FF241F">
        <w:rPr>
          <w:rtl/>
        </w:rPr>
        <w:t xml:space="preserve"> הערת </w:t>
      </w:r>
      <w:r>
        <w:rPr>
          <w:rFonts w:hint="cs"/>
          <w:rtl/>
        </w:rPr>
        <w:t>הביקורת</w:t>
      </w:r>
      <w:r w:rsidRPr="00FF241F">
        <w:rPr>
          <w:rtl/>
        </w:rPr>
        <w:t xml:space="preserve"> </w:t>
      </w:r>
      <w:r>
        <w:rPr>
          <w:rFonts w:hint="cs"/>
          <w:rtl/>
        </w:rPr>
        <w:t>היא בוחנת</w:t>
      </w:r>
      <w:r w:rsidRPr="00FF241F">
        <w:rPr>
          <w:rtl/>
        </w:rPr>
        <w:t xml:space="preserve"> הטמעת מנגנון התראה במערכת הממוחשבת על עו</w:t>
      </w:r>
      <w:r>
        <w:rPr>
          <w:rFonts w:hint="cs"/>
          <w:rtl/>
        </w:rPr>
        <w:t xml:space="preserve">רך </w:t>
      </w:r>
      <w:r w:rsidRPr="00FF241F">
        <w:rPr>
          <w:rtl/>
        </w:rPr>
        <w:t>ד</w:t>
      </w:r>
      <w:r>
        <w:rPr>
          <w:rFonts w:hint="cs"/>
          <w:rtl/>
        </w:rPr>
        <w:t>ין</w:t>
      </w:r>
      <w:r w:rsidRPr="00FF241F">
        <w:rPr>
          <w:rtl/>
        </w:rPr>
        <w:t xml:space="preserve"> שהורשע בדין המשמעתי, ע</w:t>
      </w:r>
      <w:r>
        <w:rPr>
          <w:rFonts w:hint="cs"/>
          <w:rtl/>
        </w:rPr>
        <w:t xml:space="preserve">ל מנת </w:t>
      </w:r>
      <w:r w:rsidRPr="00FF241F">
        <w:rPr>
          <w:rtl/>
        </w:rPr>
        <w:t>שהגוף הממנה י</w:t>
      </w:r>
      <w:r>
        <w:rPr>
          <w:rFonts w:hint="cs"/>
          <w:rtl/>
        </w:rPr>
        <w:t>י</w:t>
      </w:r>
      <w:r w:rsidRPr="00FF241F">
        <w:rPr>
          <w:rtl/>
        </w:rPr>
        <w:t>תן דעתו על ההרשעה והאם יש לה השלכות על המשך חברותו בוועדה.</w:t>
      </w:r>
    </w:p>
    <w:p w14:paraId="3C0D870C" w14:textId="77777777" w:rsidR="00F8260F" w:rsidRDefault="00F8260F">
      <w:pPr>
        <w:bidi w:val="0"/>
        <w:spacing w:after="200" w:line="276" w:lineRule="auto"/>
        <w:rPr>
          <w:rFonts w:ascii="Tahoma" w:hAnsi="Tahoma" w:cs="Tahoma"/>
          <w:szCs w:val="20"/>
          <w:rtl/>
        </w:rPr>
      </w:pPr>
      <w:r>
        <w:rPr>
          <w:rtl/>
        </w:rPr>
        <w:br w:type="page"/>
      </w:r>
    </w:p>
    <w:p w14:paraId="73600B01" w14:textId="77777777" w:rsidR="00387987" w:rsidRDefault="00387987" w:rsidP="006750F1">
      <w:pPr>
        <w:pStyle w:val="316"/>
        <w:rPr>
          <w:rtl/>
        </w:rPr>
      </w:pPr>
      <w:bookmarkStart w:id="17" w:name="_Toc23155589"/>
      <w:bookmarkStart w:id="18" w:name="_Toc23159784"/>
      <w:r>
        <w:rPr>
          <w:rFonts w:hint="cs"/>
          <w:rtl/>
        </w:rPr>
        <w:lastRenderedPageBreak/>
        <w:t>הטיפול בעורכי דין מושעים</w:t>
      </w:r>
      <w:bookmarkEnd w:id="17"/>
      <w:bookmarkEnd w:id="18"/>
    </w:p>
    <w:p w14:paraId="12212AF3" w14:textId="77777777" w:rsidR="00387987" w:rsidRDefault="00387987" w:rsidP="006750F1">
      <w:pPr>
        <w:pStyle w:val="100"/>
        <w:rPr>
          <w:rtl/>
        </w:rPr>
      </w:pPr>
      <w:r>
        <w:rPr>
          <w:rFonts w:hint="cs"/>
          <w:rtl/>
        </w:rPr>
        <w:t>בית הדין המשמעתי מוסמך להורות על השעיה של עורך דין מלעסוק בעריכת דין לתקופה קצובה ואף להוציאו מן הלשכה. עורך דין שהושעה אינו רשאי להציג עצמו כעורך דין ולבצע פעולות שיוחדו לעורך דין, כגון הגשת כתבי בית דין, ייצוג בבתי משפט ומתן ייעוץ משפטי ללקוחות. במועד הביקורת היו כ-300 עורכי דין מושעים.</w:t>
      </w:r>
    </w:p>
    <w:p w14:paraId="544161F3" w14:textId="77777777" w:rsidR="00387987" w:rsidRDefault="00387987" w:rsidP="005950C8">
      <w:pPr>
        <w:pStyle w:val="a1"/>
        <w:numPr>
          <w:ilvl w:val="0"/>
          <w:numId w:val="19"/>
        </w:numPr>
        <w:rPr>
          <w:rtl/>
        </w:rPr>
      </w:pPr>
      <w:r>
        <w:rPr>
          <w:rFonts w:hint="cs"/>
          <w:rtl/>
        </w:rPr>
        <w:t>בדיון של הוועד המרכזי מינואר 2017 הביע יו"ר ועדת האתיקה הארצית את עמדתו כי בתי הדין מטילים על המורשעים עונשים קלים. הוא ציין כי רק במקרים החמורים ביותר מטילים בתי הדין המשמעתיים עונש של השעיה מן הלשכה. רבים מעורכי הדין המושעים, בעיקר כאלה שקיבלו יותר מעונש השעיה אחד, ממשיכים לעבוד במקצוע על אף ההשעיה.</w:t>
      </w:r>
    </w:p>
    <w:p w14:paraId="16BF108C" w14:textId="77777777" w:rsidR="00387987" w:rsidRDefault="00387987" w:rsidP="001C5A02">
      <w:pPr>
        <w:pStyle w:val="af2"/>
        <w:rPr>
          <w:rtl/>
        </w:rPr>
      </w:pPr>
      <w:r>
        <w:rPr>
          <w:rFonts w:hint="cs"/>
          <w:rtl/>
        </w:rPr>
        <w:t>יו"ר הוועדה ציין כי במהלך חצי שנה בלבד הובאו לידיעת הוועדה תשעה מקרים של מושעים שהמשיכו לייצג. שמונה מעורכי הדין הועמדו לדין משמעתי בגין הפרת האיסור לעסוק במקצוע במהלך השעיה, אך בחלק מהמקרים הדבר אינו מרתיע אותם, שכן הם כבר הפרו את פסק הדין המשעה של בית הדין. יו"ר ועדת האתיקה ביקש כי הלשכה תפנה למשטרה בבקשה לפתוח בחקירה פלילית במקרים אלה על מנת להגביר את ההרתעה.</w:t>
      </w:r>
      <w:r w:rsidRPr="00F4665B">
        <w:rPr>
          <w:rtl/>
        </w:rPr>
        <w:t xml:space="preserve"> </w:t>
      </w:r>
    </w:p>
    <w:p w14:paraId="53A3DC64" w14:textId="77777777" w:rsidR="00387987" w:rsidRDefault="00387987" w:rsidP="001C5A02">
      <w:pPr>
        <w:pStyle w:val="12"/>
        <w:rPr>
          <w:rtl/>
        </w:rPr>
      </w:pPr>
      <w:r>
        <w:rPr>
          <w:rFonts w:hint="cs"/>
          <w:rtl/>
        </w:rPr>
        <w:t>הביקורת העלתה שבעה</w:t>
      </w:r>
      <w:r w:rsidRPr="00CF32EF">
        <w:rPr>
          <w:rFonts w:hint="cs"/>
          <w:rtl/>
        </w:rPr>
        <w:t xml:space="preserve"> מקרים נוספים</w:t>
      </w:r>
      <w:r>
        <w:rPr>
          <w:rFonts w:hint="cs"/>
          <w:rtl/>
        </w:rPr>
        <w:t xml:space="preserve"> שב</w:t>
      </w:r>
      <w:r w:rsidRPr="00CF32EF">
        <w:rPr>
          <w:rFonts w:hint="cs"/>
          <w:rtl/>
        </w:rPr>
        <w:t>הם עורכי דין שהושעו המשיכו לייצג בתקופת השעייתם</w:t>
      </w:r>
      <w:r>
        <w:rPr>
          <w:rFonts w:hint="cs"/>
          <w:rtl/>
        </w:rPr>
        <w:t xml:space="preserve"> בשנים 2014 - 2017</w:t>
      </w:r>
      <w:r w:rsidRPr="00CF32EF">
        <w:rPr>
          <w:rFonts w:hint="cs"/>
          <w:rtl/>
        </w:rPr>
        <w:t>.</w:t>
      </w:r>
    </w:p>
    <w:p w14:paraId="62B0D322" w14:textId="77777777" w:rsidR="00387987" w:rsidRDefault="00387987" w:rsidP="00C256E7">
      <w:pPr>
        <w:pStyle w:val="a1"/>
      </w:pPr>
      <w:r>
        <w:rPr>
          <w:rFonts w:hint="cs"/>
          <w:rtl/>
        </w:rPr>
        <w:t>מרבית פסקי הדין של בתי הדין המשמעתיים ניתנים בהיעדר הצדדים. בדיון הוועד המרכזי עלה כי יש עורכי דין מושעים שטענו שכלל לא ידעו על ההשעיה. יו"ר הוועדה הציע לבצע מסירה אישית של ההודעה על ההשעיה. עוד הוצע בדיון כי במסגרת ההודעה ייכתב שהפרה של ההשעיה ועיסוק במקצוע עריכת הדין בזמן ההשעיה הם עבירה פלילית לפי החוק שעונשה מאסר שנה אחת או קנס כקבוע בחוק העונשין.</w:t>
      </w:r>
    </w:p>
    <w:p w14:paraId="0FF3C08C" w14:textId="77777777" w:rsidR="00387987" w:rsidRPr="00657B19" w:rsidRDefault="00387987" w:rsidP="001C5A02">
      <w:pPr>
        <w:pStyle w:val="12"/>
        <w:rPr>
          <w:rtl/>
        </w:rPr>
      </w:pPr>
      <w:r>
        <w:rPr>
          <w:rFonts w:hint="cs"/>
          <w:rtl/>
        </w:rPr>
        <w:t xml:space="preserve">ההצעות האמורות לא יושמו, למעט במחוז תל אביב שבו מבוצעת מסירה אישית בתיקים שבהם מוטל עונש של השעיה או הוצאה מן הלשכה. </w:t>
      </w:r>
      <w:r w:rsidRPr="00873CBE">
        <w:rPr>
          <w:rFonts w:hint="cs"/>
          <w:rtl/>
        </w:rPr>
        <w:t xml:space="preserve">משרד מבקר המדינה </w:t>
      </w:r>
      <w:r>
        <w:rPr>
          <w:rFonts w:hint="cs"/>
          <w:rtl/>
        </w:rPr>
        <w:t>ממליץ ל</w:t>
      </w:r>
      <w:r w:rsidRPr="00873CBE">
        <w:rPr>
          <w:rFonts w:hint="cs"/>
          <w:rtl/>
        </w:rPr>
        <w:t xml:space="preserve">לשכה לבחון את </w:t>
      </w:r>
      <w:r>
        <w:rPr>
          <w:rFonts w:hint="cs"/>
          <w:rtl/>
        </w:rPr>
        <w:t xml:space="preserve">יישום </w:t>
      </w:r>
      <w:r w:rsidRPr="00873CBE">
        <w:rPr>
          <w:rFonts w:hint="cs"/>
          <w:rtl/>
        </w:rPr>
        <w:t>ההצעות</w:t>
      </w:r>
      <w:r>
        <w:rPr>
          <w:rFonts w:hint="cs"/>
          <w:rtl/>
        </w:rPr>
        <w:t xml:space="preserve"> האמורות או הצעות אחרות ש</w:t>
      </w:r>
      <w:r w:rsidRPr="00873CBE">
        <w:rPr>
          <w:rFonts w:hint="cs"/>
          <w:rtl/>
        </w:rPr>
        <w:t>יימצא כי יש בהן כדי לצמצם את התופעה</w:t>
      </w:r>
      <w:r>
        <w:rPr>
          <w:rFonts w:hint="cs"/>
          <w:rtl/>
        </w:rPr>
        <w:t xml:space="preserve"> ולפעול להטמעתן</w:t>
      </w:r>
      <w:r w:rsidRPr="00873CBE">
        <w:rPr>
          <w:rFonts w:hint="cs"/>
          <w:rtl/>
        </w:rPr>
        <w:t>.</w:t>
      </w:r>
      <w:r>
        <w:rPr>
          <w:rFonts w:hint="cs"/>
          <w:rtl/>
        </w:rPr>
        <w:t xml:space="preserve"> </w:t>
      </w:r>
    </w:p>
    <w:p w14:paraId="2F9C7E50" w14:textId="77777777" w:rsidR="00387987" w:rsidRDefault="00387987" w:rsidP="006D795F">
      <w:pPr>
        <w:pStyle w:val="a1"/>
      </w:pPr>
      <w:r>
        <w:rPr>
          <w:rtl/>
        </w:rPr>
        <w:t>כאשר מקבל בית דין משמעתי החלטה על השעיית עורך דין מועברת ההחלטה לידיעת ה</w:t>
      </w:r>
      <w:r>
        <w:rPr>
          <w:rFonts w:hint="cs"/>
          <w:rtl/>
        </w:rPr>
        <w:t>ו</w:t>
      </w:r>
      <w:r>
        <w:rPr>
          <w:rtl/>
        </w:rPr>
        <w:t>ועד המרכזי אשר מפרס</w:t>
      </w:r>
      <w:r>
        <w:rPr>
          <w:rFonts w:hint="cs"/>
          <w:rtl/>
        </w:rPr>
        <w:t>ם באתר הלשכה את דבר ההשעיה תוך ציון שם המושעה, מספר רישיון, משך תקופת ההשעיה ומספר תיק בית הדין בעניינו</w:t>
      </w:r>
      <w:r>
        <w:rPr>
          <w:rtl/>
        </w:rPr>
        <w:t xml:space="preserve">. כמו כן מעביר הוועד המרכזי את ההחלטה לפרסום בילקוט הפרסומים ומפיץ את ההחלטה </w:t>
      </w:r>
      <w:r>
        <w:rPr>
          <w:rFonts w:hint="cs"/>
          <w:rtl/>
        </w:rPr>
        <w:t xml:space="preserve">באמצעות דואר אלקטרוני </w:t>
      </w:r>
      <w:r>
        <w:rPr>
          <w:rtl/>
        </w:rPr>
        <w:t xml:space="preserve">לרשימה של </w:t>
      </w:r>
      <w:r>
        <w:rPr>
          <w:rFonts w:hint="cs"/>
          <w:rtl/>
        </w:rPr>
        <w:t>ארבעה</w:t>
      </w:r>
      <w:r>
        <w:rPr>
          <w:rtl/>
        </w:rPr>
        <w:t xml:space="preserve"> עשר גורמים שביקשו לקבל את המידע</w:t>
      </w:r>
      <w:r>
        <w:rPr>
          <w:rFonts w:hint="cs"/>
          <w:rtl/>
        </w:rPr>
        <w:t>,</w:t>
      </w:r>
      <w:r>
        <w:rPr>
          <w:rtl/>
        </w:rPr>
        <w:t xml:space="preserve"> ובהם הנהלת בתי המשפט, מזכירות בית המשפט העליון, רשות האכיפה והגב</w:t>
      </w:r>
      <w:r>
        <w:rPr>
          <w:rFonts w:hint="cs"/>
          <w:rtl/>
        </w:rPr>
        <w:t>י</w:t>
      </w:r>
      <w:r>
        <w:rPr>
          <w:rtl/>
        </w:rPr>
        <w:t>יה</w:t>
      </w:r>
      <w:r>
        <w:rPr>
          <w:rFonts w:hint="cs"/>
          <w:rtl/>
        </w:rPr>
        <w:t xml:space="preserve"> ו</w:t>
      </w:r>
      <w:r>
        <w:rPr>
          <w:rtl/>
        </w:rPr>
        <w:t>האפוטרופוס הכללי.</w:t>
      </w:r>
    </w:p>
    <w:p w14:paraId="107394DE" w14:textId="77777777" w:rsidR="00387987" w:rsidRPr="006B513D" w:rsidRDefault="00387987" w:rsidP="001C5A02">
      <w:pPr>
        <w:pStyle w:val="12"/>
      </w:pPr>
      <w:r w:rsidRPr="006B513D">
        <w:rPr>
          <w:rFonts w:hint="eastAsia"/>
          <w:rtl/>
        </w:rPr>
        <w:t>הלשכה</w:t>
      </w:r>
      <w:r w:rsidRPr="006B513D">
        <w:rPr>
          <w:rtl/>
        </w:rPr>
        <w:t xml:space="preserve"> לא יזמה מיפוי של הגופים שעורכי הדין מייצגים בפניהם </w:t>
      </w:r>
      <w:r w:rsidRPr="002D6FD8">
        <w:rPr>
          <w:rFonts w:hint="cs"/>
          <w:rtl/>
        </w:rPr>
        <w:t>ו</w:t>
      </w:r>
      <w:r w:rsidRPr="006B513D">
        <w:rPr>
          <w:rFonts w:hint="eastAsia"/>
          <w:rtl/>
        </w:rPr>
        <w:t>לא</w:t>
      </w:r>
      <w:r w:rsidRPr="006B513D">
        <w:rPr>
          <w:rtl/>
        </w:rPr>
        <w:t xml:space="preserve"> בחנה את הצורך </w:t>
      </w:r>
      <w:r w:rsidRPr="006B513D">
        <w:rPr>
          <w:rFonts w:hint="eastAsia"/>
          <w:rtl/>
        </w:rPr>
        <w:t>להעביר</w:t>
      </w:r>
      <w:r w:rsidRPr="006B513D">
        <w:rPr>
          <w:rtl/>
        </w:rPr>
        <w:t xml:space="preserve"> </w:t>
      </w:r>
      <w:r w:rsidRPr="006B513D">
        <w:rPr>
          <w:rFonts w:hint="eastAsia"/>
          <w:rtl/>
        </w:rPr>
        <w:t>את</w:t>
      </w:r>
      <w:r w:rsidRPr="006B513D">
        <w:rPr>
          <w:rtl/>
        </w:rPr>
        <w:t xml:space="preserve"> </w:t>
      </w:r>
      <w:r w:rsidRPr="006B513D">
        <w:rPr>
          <w:rFonts w:hint="eastAsia"/>
          <w:rtl/>
        </w:rPr>
        <w:t>המידע</w:t>
      </w:r>
      <w:r w:rsidRPr="006B513D">
        <w:rPr>
          <w:rtl/>
        </w:rPr>
        <w:t xml:space="preserve"> </w:t>
      </w:r>
      <w:r w:rsidRPr="006B513D">
        <w:rPr>
          <w:rFonts w:hint="eastAsia"/>
          <w:rtl/>
        </w:rPr>
        <w:t>לגופים</w:t>
      </w:r>
      <w:r w:rsidRPr="006B513D">
        <w:rPr>
          <w:rtl/>
        </w:rPr>
        <w:t xml:space="preserve"> </w:t>
      </w:r>
      <w:r w:rsidRPr="006B513D">
        <w:rPr>
          <w:rFonts w:hint="eastAsia"/>
          <w:rtl/>
        </w:rPr>
        <w:t>נוספים</w:t>
      </w:r>
      <w:r w:rsidRPr="006B513D">
        <w:rPr>
          <w:rtl/>
        </w:rPr>
        <w:t>.</w:t>
      </w:r>
    </w:p>
    <w:p w14:paraId="7AE80EA7" w14:textId="77777777" w:rsidR="00387987" w:rsidRPr="00F2759C" w:rsidRDefault="00387987" w:rsidP="00493AE1">
      <w:pPr>
        <w:pStyle w:val="af2"/>
        <w:rPr>
          <w:rtl/>
        </w:rPr>
      </w:pPr>
      <w:r>
        <w:rPr>
          <w:rFonts w:hint="cs"/>
          <w:rtl/>
        </w:rPr>
        <w:lastRenderedPageBreak/>
        <w:t xml:space="preserve">הלשכה מסרה בתשובתה כי </w:t>
      </w:r>
      <w:r w:rsidRPr="00F2759C">
        <w:rPr>
          <w:rtl/>
        </w:rPr>
        <w:t xml:space="preserve">רשות האכיפה והגבייה מעדכנת במערכת הממוחשבת שלה את דבר ההשעיה של עורך הדין, דבר אשר מונע מעורך הדין המושעה לייצג בתיק. </w:t>
      </w:r>
      <w:r>
        <w:rPr>
          <w:rFonts w:hint="cs"/>
          <w:rtl/>
        </w:rPr>
        <w:t>הלשכה הציעה</w:t>
      </w:r>
      <w:r w:rsidRPr="00F2759C">
        <w:rPr>
          <w:rtl/>
        </w:rPr>
        <w:t xml:space="preserve"> כי הגורמים הנוספים יפעלו באופן דומה לצורך שימוש יעיל במידע ש</w:t>
      </w:r>
      <w:r>
        <w:rPr>
          <w:rFonts w:hint="cs"/>
          <w:rtl/>
        </w:rPr>
        <w:t>היא מוסרת להם</w:t>
      </w:r>
      <w:r w:rsidRPr="00F2759C">
        <w:rPr>
          <w:rtl/>
        </w:rPr>
        <w:t>.</w:t>
      </w:r>
    </w:p>
    <w:p w14:paraId="609C7211" w14:textId="77777777" w:rsidR="00387987" w:rsidRDefault="00387987" w:rsidP="00493AE1">
      <w:pPr>
        <w:pStyle w:val="12"/>
        <w:rPr>
          <w:rtl/>
        </w:rPr>
      </w:pPr>
      <w:r w:rsidRPr="00B8476F">
        <w:rPr>
          <w:rtl/>
        </w:rPr>
        <w:t>האינטרס להפצת המידע על השעיה הוא של הלשכה</w:t>
      </w:r>
      <w:r>
        <w:rPr>
          <w:rFonts w:hint="cs"/>
          <w:rtl/>
        </w:rPr>
        <w:t>,</w:t>
      </w:r>
      <w:r w:rsidRPr="00B8476F">
        <w:rPr>
          <w:rtl/>
        </w:rPr>
        <w:t xml:space="preserve"> </w:t>
      </w:r>
      <w:r>
        <w:rPr>
          <w:rFonts w:hint="cs"/>
          <w:rtl/>
        </w:rPr>
        <w:t>בפרט נוכח המקרים של עורכי דין מושעים הממשיכים לייצג.</w:t>
      </w:r>
      <w:r w:rsidRPr="00B8476F">
        <w:rPr>
          <w:rtl/>
        </w:rPr>
        <w:t xml:space="preserve"> </w:t>
      </w:r>
      <w:r>
        <w:rPr>
          <w:rFonts w:hint="cs"/>
          <w:rtl/>
        </w:rPr>
        <w:t>מוצע ש</w:t>
      </w:r>
      <w:r w:rsidRPr="00B8476F">
        <w:rPr>
          <w:rtl/>
        </w:rPr>
        <w:t xml:space="preserve">הלשכה </w:t>
      </w:r>
      <w:r>
        <w:rPr>
          <w:rFonts w:hint="cs"/>
          <w:rtl/>
        </w:rPr>
        <w:t>תמפה</w:t>
      </w:r>
      <w:r w:rsidRPr="00B8476F">
        <w:rPr>
          <w:rtl/>
        </w:rPr>
        <w:t xml:space="preserve"> </w:t>
      </w:r>
      <w:r>
        <w:rPr>
          <w:rFonts w:hint="cs"/>
          <w:rtl/>
        </w:rPr>
        <w:t>את ה</w:t>
      </w:r>
      <w:r w:rsidRPr="00B8476F">
        <w:rPr>
          <w:rtl/>
        </w:rPr>
        <w:t xml:space="preserve">גופים </w:t>
      </w:r>
      <w:r>
        <w:rPr>
          <w:rFonts w:hint="cs"/>
          <w:rtl/>
        </w:rPr>
        <w:t>הנוספים שעורכי דין מייצגים בפניהם</w:t>
      </w:r>
      <w:r w:rsidRPr="00B8476F">
        <w:rPr>
          <w:rtl/>
        </w:rPr>
        <w:t xml:space="preserve"> </w:t>
      </w:r>
      <w:r>
        <w:rPr>
          <w:rFonts w:hint="cs"/>
          <w:rtl/>
        </w:rPr>
        <w:t>ותבחן את הצורך להפיץ</w:t>
      </w:r>
      <w:r w:rsidRPr="00B8476F">
        <w:rPr>
          <w:rtl/>
        </w:rPr>
        <w:t xml:space="preserve"> </w:t>
      </w:r>
      <w:r>
        <w:rPr>
          <w:rFonts w:hint="cs"/>
          <w:rtl/>
        </w:rPr>
        <w:t>למי מהם</w:t>
      </w:r>
      <w:r w:rsidRPr="00B8476F">
        <w:rPr>
          <w:rtl/>
        </w:rPr>
        <w:t xml:space="preserve"> את המידע</w:t>
      </w:r>
      <w:r w:rsidRPr="007B62F1">
        <w:rPr>
          <w:rFonts w:hint="cs"/>
          <w:rtl/>
        </w:rPr>
        <w:t xml:space="preserve"> </w:t>
      </w:r>
      <w:r>
        <w:rPr>
          <w:rFonts w:hint="cs"/>
          <w:rtl/>
        </w:rPr>
        <w:t>או לחלופין לעדכנם בדבר הקישור הרלוונטי לרשימת המושעים המתפרסמת באתר הלשכה. כמו כן מוצע כי היא תפנה למקבלי המידע ותסב את תשומת ליבם לעשות שימוש יעיל במידע המועבר אליהם. זאת,</w:t>
      </w:r>
      <w:r w:rsidRPr="00B8476F">
        <w:rPr>
          <w:rtl/>
        </w:rPr>
        <w:t xml:space="preserve"> על מנת </w:t>
      </w:r>
      <w:r>
        <w:rPr>
          <w:rFonts w:hint="cs"/>
          <w:rtl/>
        </w:rPr>
        <w:t>שעורכי הדין המושעים לא ייצגו גם בפניהם</w:t>
      </w:r>
      <w:r w:rsidRPr="00B8476F">
        <w:rPr>
          <w:rtl/>
        </w:rPr>
        <w:t>.</w:t>
      </w:r>
      <w:r>
        <w:rPr>
          <w:rFonts w:hint="cs"/>
          <w:rtl/>
        </w:rPr>
        <w:t xml:space="preserve"> </w:t>
      </w:r>
    </w:p>
    <w:p w14:paraId="26FBDF40" w14:textId="77777777" w:rsidR="00387987" w:rsidRDefault="00387987" w:rsidP="00493AE1">
      <w:pPr>
        <w:pStyle w:val="218"/>
        <w:rPr>
          <w:rtl/>
        </w:rPr>
      </w:pPr>
      <w:bookmarkStart w:id="19" w:name="_Toc23155590"/>
      <w:bookmarkStart w:id="20" w:name="_Toc23159785"/>
      <w:r>
        <w:rPr>
          <w:rFonts w:hint="cs"/>
          <w:rtl/>
        </w:rPr>
        <w:t>מערך הפיקוח על ההתמחות</w:t>
      </w:r>
      <w:bookmarkEnd w:id="19"/>
      <w:bookmarkEnd w:id="20"/>
    </w:p>
    <w:p w14:paraId="3318596E" w14:textId="77777777" w:rsidR="00387987" w:rsidRDefault="00387987" w:rsidP="00493AE1">
      <w:pPr>
        <w:pStyle w:val="100"/>
        <w:rPr>
          <w:rtl/>
        </w:rPr>
      </w:pPr>
      <w:r>
        <w:rPr>
          <w:rFonts w:hint="cs"/>
          <w:rtl/>
        </w:rPr>
        <w:t>בהתאם לתיקון לחוק, אדם כשיר להיות עורך דין רק לאחר שסיים תואר בוגר במשפטים, סיים את תקופת ההתמחות שמשכה שנה וחצי</w:t>
      </w:r>
      <w:r>
        <w:rPr>
          <w:rStyle w:val="FootnoteReference"/>
          <w:rtl/>
        </w:rPr>
        <w:footnoteReference w:id="51"/>
      </w:r>
      <w:r>
        <w:rPr>
          <w:rFonts w:hint="cs"/>
          <w:rtl/>
        </w:rPr>
        <w:t xml:space="preserve"> ועבר את בחינות ההסמכה של לשכת עורכי הדין. </w:t>
      </w:r>
    </w:p>
    <w:p w14:paraId="4E66CA98" w14:textId="77777777" w:rsidR="00387987" w:rsidRDefault="00387987" w:rsidP="00493AE1">
      <w:pPr>
        <w:pStyle w:val="100"/>
        <w:rPr>
          <w:rtl/>
        </w:rPr>
      </w:pPr>
      <w:r>
        <w:rPr>
          <w:rFonts w:hint="cs"/>
          <w:rtl/>
        </w:rPr>
        <w:t>אחת מסמכויות החובה של הלשכה היא לרשום</w:t>
      </w:r>
      <w:r>
        <w:rPr>
          <w:rtl/>
        </w:rPr>
        <w:t xml:space="preserve"> מתמחים,</w:t>
      </w:r>
      <w:r>
        <w:rPr>
          <w:rFonts w:hint="cs"/>
          <w:rtl/>
        </w:rPr>
        <w:t xml:space="preserve"> ל</w:t>
      </w:r>
      <w:r w:rsidRPr="00240922">
        <w:rPr>
          <w:rtl/>
        </w:rPr>
        <w:t xml:space="preserve">פקח על התמחותם </w:t>
      </w:r>
      <w:r>
        <w:rPr>
          <w:rFonts w:hint="cs"/>
          <w:rtl/>
        </w:rPr>
        <w:t xml:space="preserve">ולבוחנם. </w:t>
      </w:r>
      <w:r>
        <w:rPr>
          <w:rtl/>
        </w:rPr>
        <w:t>הלשכה רשאית</w:t>
      </w:r>
      <w:r>
        <w:rPr>
          <w:rFonts w:hint="cs"/>
          <w:rtl/>
        </w:rPr>
        <w:t xml:space="preserve"> שלא לרשום מועמד לביצוע התמחות </w:t>
      </w:r>
      <w:r w:rsidRPr="00240922">
        <w:rPr>
          <w:rtl/>
        </w:rPr>
        <w:t xml:space="preserve">אם </w:t>
      </w:r>
      <w:r>
        <w:rPr>
          <w:rFonts w:hint="cs"/>
          <w:rtl/>
        </w:rPr>
        <w:t>ה</w:t>
      </w:r>
      <w:r w:rsidRPr="00240922">
        <w:rPr>
          <w:rtl/>
        </w:rPr>
        <w:t xml:space="preserve">תגלו עובדות </w:t>
      </w:r>
      <w:r>
        <w:rPr>
          <w:rFonts w:hint="cs"/>
          <w:rtl/>
        </w:rPr>
        <w:t>שבשלן היא</w:t>
      </w:r>
      <w:r w:rsidRPr="00240922">
        <w:rPr>
          <w:rtl/>
        </w:rPr>
        <w:t xml:space="preserve"> סבורה שהמועמד אינו ראוי לשמש עורך דין. </w:t>
      </w:r>
      <w:r>
        <w:rPr>
          <w:rFonts w:hint="cs"/>
          <w:rtl/>
        </w:rPr>
        <w:t>גם בתום תקופת ההתמחות רשאית הלשכה שלא לקבל מי שסיים את התמחותו</w:t>
      </w:r>
      <w:r>
        <w:rPr>
          <w:rtl/>
        </w:rPr>
        <w:t xml:space="preserve"> כחבר הלשכה, על אף כשירותו</w:t>
      </w:r>
      <w:r>
        <w:rPr>
          <w:rFonts w:hint="cs"/>
          <w:rtl/>
        </w:rPr>
        <w:t>,</w:t>
      </w:r>
      <w:r>
        <w:rPr>
          <w:rtl/>
        </w:rPr>
        <w:t xml:space="preserve"> אם </w:t>
      </w:r>
      <w:r>
        <w:rPr>
          <w:rFonts w:hint="cs"/>
          <w:rtl/>
        </w:rPr>
        <w:t>הוא</w:t>
      </w:r>
      <w:r>
        <w:rPr>
          <w:rtl/>
        </w:rPr>
        <w:t xml:space="preserve"> הורשע בעבירה שיש בה</w:t>
      </w:r>
      <w:r>
        <w:rPr>
          <w:rFonts w:hint="cs"/>
          <w:rtl/>
        </w:rPr>
        <w:t xml:space="preserve"> </w:t>
      </w:r>
      <w:r>
        <w:rPr>
          <w:rtl/>
        </w:rPr>
        <w:t>משום קלון, והלשכה סבורה שלאור הרשעה זו אין הוא ראוי לשמש עורך דין</w:t>
      </w:r>
      <w:r>
        <w:rPr>
          <w:rFonts w:hint="cs"/>
          <w:rtl/>
        </w:rPr>
        <w:t xml:space="preserve"> או </w:t>
      </w:r>
      <w:r>
        <w:rPr>
          <w:rtl/>
        </w:rPr>
        <w:t xml:space="preserve">אם </w:t>
      </w:r>
      <w:r>
        <w:rPr>
          <w:rFonts w:hint="cs"/>
          <w:rtl/>
        </w:rPr>
        <w:t>ה</w:t>
      </w:r>
      <w:r>
        <w:rPr>
          <w:rtl/>
        </w:rPr>
        <w:t xml:space="preserve">תגלו עובדות אחרות </w:t>
      </w:r>
      <w:r>
        <w:rPr>
          <w:rFonts w:hint="cs"/>
          <w:rtl/>
        </w:rPr>
        <w:t xml:space="preserve">שבעטיין </w:t>
      </w:r>
      <w:r>
        <w:rPr>
          <w:rtl/>
        </w:rPr>
        <w:t xml:space="preserve">הלשכה סבורה </w:t>
      </w:r>
      <w:r>
        <w:rPr>
          <w:rFonts w:hint="cs"/>
          <w:rtl/>
        </w:rPr>
        <w:t>שהמועמד אינו</w:t>
      </w:r>
      <w:r>
        <w:rPr>
          <w:rtl/>
        </w:rPr>
        <w:t xml:space="preserve"> ראוי לשמש עורך דין</w:t>
      </w:r>
      <w:r>
        <w:rPr>
          <w:rFonts w:hint="cs"/>
          <w:rtl/>
        </w:rPr>
        <w:t>.</w:t>
      </w:r>
    </w:p>
    <w:p w14:paraId="67027C09" w14:textId="77777777" w:rsidR="00387987" w:rsidRDefault="00387987" w:rsidP="00493AE1">
      <w:pPr>
        <w:pStyle w:val="100"/>
        <w:rPr>
          <w:rtl/>
        </w:rPr>
      </w:pPr>
      <w:r w:rsidRPr="00FF411B">
        <w:rPr>
          <w:rtl/>
        </w:rPr>
        <w:t xml:space="preserve">בתקופת התמחותו נתון </w:t>
      </w:r>
      <w:r>
        <w:rPr>
          <w:rFonts w:hint="cs"/>
          <w:rtl/>
        </w:rPr>
        <w:t>המתמחה</w:t>
      </w:r>
      <w:r w:rsidRPr="00FF411B">
        <w:rPr>
          <w:rtl/>
        </w:rPr>
        <w:t xml:space="preserve"> למרותה של הלשכה ולשיפוטה המשמעתי, והלכות האתיקה המקצועית חלו</w:t>
      </w:r>
      <w:r>
        <w:rPr>
          <w:rtl/>
        </w:rPr>
        <w:t>ת, בשינויים המחויבים, גם עליו</w:t>
      </w:r>
      <w:r>
        <w:rPr>
          <w:rFonts w:hint="cs"/>
          <w:rtl/>
        </w:rPr>
        <w:t>.</w:t>
      </w:r>
      <w:r w:rsidRPr="00241E5E">
        <w:rPr>
          <w:rFonts w:hint="cs"/>
          <w:rtl/>
        </w:rPr>
        <w:t xml:space="preserve"> </w:t>
      </w:r>
      <w:r>
        <w:rPr>
          <w:rFonts w:hint="cs"/>
          <w:rtl/>
        </w:rPr>
        <w:t>כללי לשכת עורכי הדין (רישום מתמחים ופיקוח על התמחות), התשכ"ב-1962 (להלן - כללי ההתמחות), קובעים הוראות בנוגע להגשת הבקשות להתמחות, כללים לביצוע ההתמחות, תנאים להתמחות תקינה ועוד.</w:t>
      </w:r>
    </w:p>
    <w:p w14:paraId="4858C3AB" w14:textId="77777777" w:rsidR="00387987" w:rsidRDefault="00387987" w:rsidP="00493AE1">
      <w:pPr>
        <w:pStyle w:val="100"/>
        <w:rPr>
          <w:rtl/>
        </w:rPr>
      </w:pPr>
      <w:r w:rsidRPr="004F61E3">
        <w:rPr>
          <w:rtl/>
        </w:rPr>
        <w:t xml:space="preserve">עד יוני 2019 היו </w:t>
      </w:r>
      <w:r>
        <w:rPr>
          <w:rFonts w:hint="cs"/>
          <w:rtl/>
        </w:rPr>
        <w:t>סמכויות ה</w:t>
      </w:r>
      <w:r w:rsidRPr="004F61E3">
        <w:rPr>
          <w:rtl/>
        </w:rPr>
        <w:t xml:space="preserve">לשכה בקשר להתמחות נתונות לוועד המרכזי מכוח סמכותו השיורית. על מנת להפחית </w:t>
      </w:r>
      <w:r>
        <w:rPr>
          <w:rFonts w:hint="cs"/>
          <w:rtl/>
        </w:rPr>
        <w:t xml:space="preserve">ממנו </w:t>
      </w:r>
      <w:r w:rsidRPr="004F61E3">
        <w:rPr>
          <w:rtl/>
        </w:rPr>
        <w:t>את העומס, מינה</w:t>
      </w:r>
      <w:r>
        <w:rPr>
          <w:rFonts w:hint="cs"/>
          <w:rtl/>
        </w:rPr>
        <w:t xml:space="preserve"> הוועד המרכזי</w:t>
      </w:r>
      <w:r w:rsidRPr="004F61E3">
        <w:rPr>
          <w:rtl/>
        </w:rPr>
        <w:t xml:space="preserve"> ועדת התמחות</w:t>
      </w:r>
      <w:r>
        <w:rPr>
          <w:rFonts w:hint="cs"/>
          <w:rtl/>
        </w:rPr>
        <w:t xml:space="preserve"> ארצית</w:t>
      </w:r>
      <w:r w:rsidRPr="004F61E3">
        <w:rPr>
          <w:rtl/>
        </w:rPr>
        <w:t xml:space="preserve"> אשר </w:t>
      </w:r>
      <w:r>
        <w:rPr>
          <w:rFonts w:hint="cs"/>
          <w:rtl/>
        </w:rPr>
        <w:t xml:space="preserve">תבחן את הסוגיות בנושא התמחות שבסמכות הוועד המרכזי ותביא בפניו את </w:t>
      </w:r>
      <w:r w:rsidRPr="004F61E3">
        <w:rPr>
          <w:rtl/>
        </w:rPr>
        <w:t xml:space="preserve">המלצותיה. </w:t>
      </w:r>
      <w:r>
        <w:rPr>
          <w:rFonts w:hint="cs"/>
          <w:rtl/>
        </w:rPr>
        <w:t xml:space="preserve">כאמור, בעקבות </w:t>
      </w:r>
      <w:r w:rsidRPr="004F61E3">
        <w:rPr>
          <w:rtl/>
        </w:rPr>
        <w:t>תיקון 38 לחוק</w:t>
      </w:r>
      <w:r>
        <w:rPr>
          <w:rFonts w:hint="cs"/>
          <w:rtl/>
        </w:rPr>
        <w:t xml:space="preserve"> בוטל הוועד המרכזי ואמורה לקום </w:t>
      </w:r>
      <w:r>
        <w:rPr>
          <w:rtl/>
        </w:rPr>
        <w:t xml:space="preserve">ועדת התמחות סטטוטורית </w:t>
      </w:r>
      <w:r>
        <w:rPr>
          <w:rFonts w:hint="cs"/>
          <w:rtl/>
        </w:rPr>
        <w:t xml:space="preserve">אשר </w:t>
      </w:r>
      <w:r w:rsidRPr="004F61E3">
        <w:rPr>
          <w:rtl/>
        </w:rPr>
        <w:t>יהיו לה הסמכויות שהיו נתונות לו</w:t>
      </w:r>
      <w:r>
        <w:rPr>
          <w:rFonts w:hint="cs"/>
          <w:rtl/>
        </w:rPr>
        <w:t>ו</w:t>
      </w:r>
      <w:r w:rsidRPr="004F61E3">
        <w:rPr>
          <w:rtl/>
        </w:rPr>
        <w:t>עד המרכזי</w:t>
      </w:r>
      <w:r>
        <w:rPr>
          <w:rFonts w:hint="cs"/>
          <w:rtl/>
        </w:rPr>
        <w:t xml:space="preserve"> בנושא התמחות</w:t>
      </w:r>
      <w:r w:rsidRPr="004F61E3">
        <w:rPr>
          <w:rtl/>
        </w:rPr>
        <w:t xml:space="preserve">. </w:t>
      </w:r>
      <w:r>
        <w:rPr>
          <w:rFonts w:hint="cs"/>
          <w:rtl/>
        </w:rPr>
        <w:t>המועצה הארצית הנכנסת מינתה בישיבתה הראשונה ביולי 2019 ועדת התמחות זמנית שתפעל עד לקביעת כללים בהתאם לתיקון לחוק.</w:t>
      </w:r>
    </w:p>
    <w:p w14:paraId="34CFFBDE" w14:textId="77777777" w:rsidR="00387987" w:rsidRPr="007A4892" w:rsidRDefault="00387987" w:rsidP="00493AE1">
      <w:pPr>
        <w:pStyle w:val="100"/>
        <w:rPr>
          <w:rtl/>
        </w:rPr>
      </w:pPr>
      <w:r>
        <w:rPr>
          <w:rFonts w:hint="cs"/>
          <w:rtl/>
        </w:rPr>
        <w:lastRenderedPageBreak/>
        <w:t xml:space="preserve">בלשכה פועל מערך התמחות והסמכה שתפקידיו העיקריים הם לרשום מתמחים ולפקח על התמחותם, לבחון מתמחים בבחינות הלשכה ולהסמיכם </w:t>
      </w:r>
      <w:r w:rsidRPr="001F7C31">
        <w:rPr>
          <w:rFonts w:hint="cs"/>
          <w:rtl/>
        </w:rPr>
        <w:t>כעורכי דין. במערך פועלים עשרה עובדים</w:t>
      </w:r>
      <w:r>
        <w:rPr>
          <w:rFonts w:hint="cs"/>
          <w:rtl/>
        </w:rPr>
        <w:t xml:space="preserve"> והם כפופים למנכ"ל הלשכה המשמש גם כמנהל המערך. </w:t>
      </w:r>
    </w:p>
    <w:p w14:paraId="191E068C" w14:textId="77777777" w:rsidR="00387987" w:rsidRDefault="00387987" w:rsidP="00493AE1">
      <w:pPr>
        <w:pStyle w:val="100"/>
        <w:rPr>
          <w:rtl/>
        </w:rPr>
      </w:pPr>
      <w:r>
        <w:rPr>
          <w:rFonts w:hint="cs"/>
          <w:rtl/>
        </w:rPr>
        <w:t>צוות המערך מקבל את הבקשות להתמחות ועורך בדיקות שונות ובהן בדיקת עברו הפלילי והמשמעתי של המועמד, בדיקה אם עורך הדין שהמתמחה מבקש לבצע את ההתמחות אצלו (להלן - המאמן) אכן רשאי לאמן ועוד. אם הבקשה שהוגשה תקינה ואין למועמד נתון המצריך בדיקה נוספת, מונפק למתמחה אישור לביצוע ההתמחות.</w:t>
      </w:r>
    </w:p>
    <w:p w14:paraId="52E2C425" w14:textId="77777777" w:rsidR="00387987" w:rsidRDefault="00387987" w:rsidP="00493AE1">
      <w:pPr>
        <w:pStyle w:val="100"/>
        <w:rPr>
          <w:rtl/>
        </w:rPr>
      </w:pPr>
      <w:r>
        <w:rPr>
          <w:rFonts w:hint="cs"/>
          <w:rtl/>
        </w:rPr>
        <w:t>כאשר המערך מאתר חריגה מהתנאים הנהוגים בבקשה שהוגשה, כגון עבר פלילי של המועמד להתמחות; מאמן שבקשתו לאמן נדחתה; מתמחה המגיש בקשה לאשר לו לעבוד בעבודה נוספת בתקופת ההתמחות</w:t>
      </w:r>
      <w:r>
        <w:rPr>
          <w:rStyle w:val="FootnoteReference"/>
          <w:rtl/>
        </w:rPr>
        <w:footnoteReference w:id="52"/>
      </w:r>
      <w:r>
        <w:rPr>
          <w:rFonts w:hint="cs"/>
          <w:rtl/>
        </w:rPr>
        <w:t xml:space="preserve"> ועוד, הבקשה מועברת לוועדת ההתמחות הארצית על מנת שזו תיתן המלצתה לוועד המרכזי כיצד לנהוג באותו מקרה. כאשר נמצא שלמתמחה הרשעה פלילית שהתיישנה אך טרם נמחקה מן המרשם הפלילי</w:t>
      </w:r>
      <w:r>
        <w:rPr>
          <w:rStyle w:val="FootnoteReference"/>
          <w:rtl/>
        </w:rPr>
        <w:footnoteReference w:id="53"/>
      </w:r>
      <w:r>
        <w:rPr>
          <w:rFonts w:hint="cs"/>
          <w:rtl/>
        </w:rPr>
        <w:t xml:space="preserve"> הבירור נעשה על ידי יו"ר ועדת ההתמחות עצמו (הליך המכונה "ועדת ממונה") והוא מעביר את המלצתו לוועד המרכזי המכריע בנושא. כאמור, עם הקמת ועדת ההתמחות הסטטוטורית, כלל הסמכויות יהיו בידה.</w:t>
      </w:r>
    </w:p>
    <w:p w14:paraId="6A63E435" w14:textId="77777777" w:rsidR="00387987" w:rsidRDefault="00387987" w:rsidP="00493AE1">
      <w:pPr>
        <w:pStyle w:val="100"/>
        <w:rPr>
          <w:rtl/>
        </w:rPr>
      </w:pPr>
      <w:r>
        <w:rPr>
          <w:rFonts w:hint="cs"/>
          <w:rtl/>
        </w:rPr>
        <w:t xml:space="preserve">על פי </w:t>
      </w:r>
      <w:r w:rsidRPr="00A63ACD">
        <w:rPr>
          <w:rtl/>
        </w:rPr>
        <w:t>נתוני הלשכה, מתחילת ספטמבר 2015 ועד סוף אוגוסט 2016 הוגשו 3,695 בקשות ל</w:t>
      </w:r>
      <w:r>
        <w:rPr>
          <w:rFonts w:hint="cs"/>
          <w:rtl/>
        </w:rPr>
        <w:t xml:space="preserve">בצע </w:t>
      </w:r>
      <w:r w:rsidRPr="00A63ACD">
        <w:rPr>
          <w:rtl/>
        </w:rPr>
        <w:t>התמחות, מתחילת ספטמבר 2016 ועד סוף אוגוסט 2017 - 3,626 בקשות</w:t>
      </w:r>
      <w:r>
        <w:rPr>
          <w:rFonts w:hint="cs"/>
          <w:rtl/>
        </w:rPr>
        <w:t>,</w:t>
      </w:r>
      <w:r w:rsidRPr="00A63ACD">
        <w:rPr>
          <w:rtl/>
        </w:rPr>
        <w:t xml:space="preserve"> ומתחילת ספטמבר 2017 ועד סוף אוגוסט 2018</w:t>
      </w:r>
      <w:r>
        <w:rPr>
          <w:rFonts w:hint="cs"/>
          <w:rtl/>
        </w:rPr>
        <w:t xml:space="preserve"> -</w:t>
      </w:r>
      <w:r w:rsidRPr="00A63ACD">
        <w:rPr>
          <w:rtl/>
        </w:rPr>
        <w:t xml:space="preserve"> 3,531 בקשות. </w:t>
      </w:r>
    </w:p>
    <w:p w14:paraId="70D78FF5" w14:textId="77777777" w:rsidR="00387987" w:rsidRDefault="00387987" w:rsidP="00493AE1">
      <w:pPr>
        <w:pStyle w:val="af3"/>
        <w:rPr>
          <w:rtl/>
        </w:rPr>
      </w:pPr>
      <w:r w:rsidRPr="00BE6AD0">
        <w:rPr>
          <w:rFonts w:hint="cs"/>
          <w:rtl/>
        </w:rPr>
        <w:t xml:space="preserve">הבקשות להתמחות על נספחיהן מוגשות במסירה אישית במשרדי הלשכה או בדואר. את האגרה בגין הבקשה יש לשלם באמצעות שובר תשלום בבנק הדואר. משרד מבקר המדינה ממליץ ללשכה לפעול </w:t>
      </w:r>
      <w:r>
        <w:rPr>
          <w:rFonts w:hint="cs"/>
          <w:rtl/>
        </w:rPr>
        <w:t xml:space="preserve">כדי </w:t>
      </w:r>
      <w:r w:rsidRPr="00BE6AD0">
        <w:rPr>
          <w:rFonts w:hint="cs"/>
          <w:rtl/>
        </w:rPr>
        <w:t>לאפשר הגש</w:t>
      </w:r>
      <w:r>
        <w:rPr>
          <w:rFonts w:hint="cs"/>
          <w:rtl/>
        </w:rPr>
        <w:t>ה</w:t>
      </w:r>
      <w:r w:rsidRPr="00BE6AD0">
        <w:rPr>
          <w:rFonts w:hint="cs"/>
          <w:rtl/>
        </w:rPr>
        <w:t xml:space="preserve"> </w:t>
      </w:r>
      <w:r>
        <w:rPr>
          <w:rFonts w:hint="cs"/>
          <w:rtl/>
        </w:rPr>
        <w:t>מקוונת של ה</w:t>
      </w:r>
      <w:r w:rsidRPr="00BE6AD0">
        <w:rPr>
          <w:rFonts w:hint="cs"/>
          <w:rtl/>
        </w:rPr>
        <w:t>בקשות להתמחות ותשלום אגרה בגין</w:t>
      </w:r>
      <w:r>
        <w:rPr>
          <w:rFonts w:hint="cs"/>
          <w:rtl/>
        </w:rPr>
        <w:t xml:space="preserve"> הבקשה</w:t>
      </w:r>
      <w:r w:rsidRPr="00BE6AD0">
        <w:rPr>
          <w:rFonts w:hint="cs"/>
          <w:rtl/>
        </w:rPr>
        <w:t xml:space="preserve"> באופן מקוון</w:t>
      </w:r>
      <w:r>
        <w:rPr>
          <w:rFonts w:hint="cs"/>
          <w:rtl/>
        </w:rPr>
        <w:t xml:space="preserve">. </w:t>
      </w:r>
    </w:p>
    <w:p w14:paraId="4BE9E762" w14:textId="77777777" w:rsidR="00387987" w:rsidRDefault="00387987" w:rsidP="00493AE1">
      <w:pPr>
        <w:pStyle w:val="100"/>
        <w:rPr>
          <w:rtl/>
        </w:rPr>
      </w:pPr>
      <w:r>
        <w:rPr>
          <w:rFonts w:hint="cs"/>
          <w:rtl/>
        </w:rPr>
        <w:t>הלשכה מסרה בתשובתה כי באמצע 2019 החליט מנכ"ל הלשכה</w:t>
      </w:r>
      <w:r w:rsidRPr="003D1085">
        <w:rPr>
          <w:rtl/>
        </w:rPr>
        <w:t xml:space="preserve"> </w:t>
      </w:r>
      <w:r>
        <w:rPr>
          <w:rFonts w:hint="cs"/>
          <w:rtl/>
        </w:rPr>
        <w:t>לפתח</w:t>
      </w:r>
      <w:r w:rsidRPr="003D1085">
        <w:rPr>
          <w:rtl/>
        </w:rPr>
        <w:t xml:space="preserve"> מערכת חדשה שתאפשר הגש</w:t>
      </w:r>
      <w:r>
        <w:rPr>
          <w:rFonts w:hint="cs"/>
          <w:rtl/>
        </w:rPr>
        <w:t>ה של</w:t>
      </w:r>
      <w:r w:rsidRPr="003D1085">
        <w:rPr>
          <w:rtl/>
        </w:rPr>
        <w:t xml:space="preserve"> כל סוגי הבקשות ללשכה באופן מקוון, ובמסגרת זו יטופל גם נושא הגשת הבקשות להירשם להתמחות. עם בניית הפתרון הטכנולוגי, יוסדר במסגרתו נושא תשלום האגרה.</w:t>
      </w:r>
    </w:p>
    <w:p w14:paraId="2B2729BC" w14:textId="77777777" w:rsidR="00493AE1" w:rsidRDefault="00493AE1">
      <w:pPr>
        <w:bidi w:val="0"/>
        <w:spacing w:after="200" w:line="276" w:lineRule="auto"/>
        <w:rPr>
          <w:rFonts w:eastAsiaTheme="majorEastAsia"/>
          <w:bCs/>
          <w:szCs w:val="28"/>
          <w:u w:val="single"/>
          <w:rtl/>
        </w:rPr>
      </w:pPr>
      <w:bookmarkStart w:id="21" w:name="_Toc23155591"/>
      <w:bookmarkStart w:id="22" w:name="_Toc23159786"/>
      <w:r>
        <w:rPr>
          <w:rtl/>
        </w:rPr>
        <w:br w:type="page"/>
      </w:r>
    </w:p>
    <w:p w14:paraId="2DD102C9" w14:textId="2CAAAFCE" w:rsidR="00387987" w:rsidRPr="00A55132" w:rsidRDefault="00387987" w:rsidP="00493AE1">
      <w:pPr>
        <w:pStyle w:val="316"/>
        <w:rPr>
          <w:rtl/>
        </w:rPr>
      </w:pPr>
      <w:r w:rsidRPr="00A55132">
        <w:rPr>
          <w:rFonts w:hint="cs"/>
          <w:rtl/>
        </w:rPr>
        <w:lastRenderedPageBreak/>
        <w:t>הפיקוח על מתמחים</w:t>
      </w:r>
      <w:bookmarkEnd w:id="21"/>
      <w:bookmarkEnd w:id="22"/>
    </w:p>
    <w:p w14:paraId="1C997CDA" w14:textId="77777777" w:rsidR="00387987" w:rsidRDefault="00387987" w:rsidP="00493AE1">
      <w:pPr>
        <w:pStyle w:val="100"/>
        <w:rPr>
          <w:rtl/>
        </w:rPr>
      </w:pPr>
      <w:r>
        <w:rPr>
          <w:rFonts w:hint="cs"/>
          <w:rtl/>
        </w:rPr>
        <w:t xml:space="preserve">בפרסומיה מציינת הלשכה כי </w:t>
      </w:r>
      <w:r w:rsidRPr="004A4BD8">
        <w:rPr>
          <w:rtl/>
        </w:rPr>
        <w:t xml:space="preserve">"פיקוח על ההתמחות, הינו אחד הכלים המשמעותיים בשמירה על טיב ההתמחות, הלשכה רואה בכלי זה ביצוע הוראות המחוקק, ומכאן דורג בסדרי העדיפויות </w:t>
      </w:r>
      <w:r>
        <w:rPr>
          <w:rtl/>
        </w:rPr>
        <w:t>העיקריות שלה</w:t>
      </w:r>
      <w:r>
        <w:rPr>
          <w:rFonts w:hint="cs"/>
          <w:rtl/>
        </w:rPr>
        <w:t>"</w:t>
      </w:r>
      <w:r>
        <w:rPr>
          <w:rtl/>
        </w:rPr>
        <w:t>.</w:t>
      </w:r>
      <w:r w:rsidRPr="004A4BD8">
        <w:rPr>
          <w:rtl/>
        </w:rPr>
        <w:t xml:space="preserve"> עוד נכתב כי "ביצוע פיקוח בצורה שיטתית ומקיפה הוא כלי חשוב לשמירה על איכות ההתמחות ושמירה על זכויותיו הסוציאליות והמקצועיות של המתמחה"</w:t>
      </w:r>
      <w:r>
        <w:rPr>
          <w:rStyle w:val="FootnoteReference"/>
          <w:rtl/>
        </w:rPr>
        <w:footnoteReference w:id="54"/>
      </w:r>
      <w:r w:rsidRPr="004A4BD8">
        <w:rPr>
          <w:rtl/>
        </w:rPr>
        <w:t>.</w:t>
      </w:r>
    </w:p>
    <w:p w14:paraId="011CA938" w14:textId="77777777" w:rsidR="00387987" w:rsidRDefault="00387987" w:rsidP="00493AE1">
      <w:pPr>
        <w:pStyle w:val="100"/>
        <w:rPr>
          <w:rtl/>
        </w:rPr>
      </w:pPr>
      <w:r>
        <w:rPr>
          <w:rFonts w:hint="cs"/>
          <w:rtl/>
        </w:rPr>
        <w:t>שני כלים מרכזיים עומדים לרשות הלשכה לשם פיקוח על ההתמחות:</w:t>
      </w:r>
      <w:r w:rsidRPr="00764396">
        <w:rPr>
          <w:rtl/>
        </w:rPr>
        <w:t xml:space="preserve"> דוחות </w:t>
      </w:r>
      <w:r>
        <w:rPr>
          <w:rFonts w:hint="cs"/>
          <w:rtl/>
        </w:rPr>
        <w:t xml:space="preserve">תקופתיים </w:t>
      </w:r>
      <w:r w:rsidRPr="00764396">
        <w:rPr>
          <w:rtl/>
        </w:rPr>
        <w:t>שממלא המאמן וקיום פיקוח באמצעות מפקחים</w:t>
      </w:r>
      <w:r>
        <w:rPr>
          <w:rFonts w:hint="cs"/>
          <w:rtl/>
        </w:rPr>
        <w:t xml:space="preserve">. בהתאם לכללי ההתמחות, על המאמן להגיש ללשכה בתום כל שישה חודשי התמחות דוח ובו פרטים על התחומים שבהם עסק המתמחה, סוגי הפעולות שבהן היה מועסק ותיאור כללי של היקף העיסוקים האמורים (להלן - דוח חצי-שנתי ודוח שנתי). </w:t>
      </w:r>
    </w:p>
    <w:p w14:paraId="3A6BD9EC" w14:textId="77777777" w:rsidR="00387987" w:rsidRDefault="00387987" w:rsidP="00493AE1">
      <w:pPr>
        <w:pStyle w:val="100"/>
        <w:rPr>
          <w:rtl/>
        </w:rPr>
      </w:pPr>
      <w:r>
        <w:rPr>
          <w:rFonts w:hint="cs"/>
          <w:rtl/>
        </w:rPr>
        <w:t>בכללי ההתמחות נקבע כי הלשכה רשאית למנות מפקח על מתמחים שיחווה דעה בפני הלשכה על טיב ההתמחות על פי הדוחות שהוגשו ועל פי בירור בעל פה עם המאמנים והמתמחים ובאפשרותו להמליץ ללשכה על הפסקת התמחות.</w:t>
      </w:r>
    </w:p>
    <w:p w14:paraId="0917D08D" w14:textId="77777777" w:rsidR="00387987" w:rsidRDefault="00387987" w:rsidP="00493AE1">
      <w:pPr>
        <w:pStyle w:val="100"/>
        <w:rPr>
          <w:rtl/>
        </w:rPr>
      </w:pPr>
      <w:r>
        <w:rPr>
          <w:rFonts w:hint="cs"/>
          <w:rtl/>
        </w:rPr>
        <w:t>ממערך ההתמחות נמסר כי</w:t>
      </w:r>
      <w:r w:rsidRPr="00D33FE8">
        <w:rPr>
          <w:rFonts w:hint="cs"/>
          <w:rtl/>
        </w:rPr>
        <w:t xml:space="preserve"> </w:t>
      </w:r>
      <w:r>
        <w:rPr>
          <w:rFonts w:hint="cs"/>
          <w:rtl/>
        </w:rPr>
        <w:t xml:space="preserve">ככלל, כל המאמנים מעבירים את </w:t>
      </w:r>
      <w:r w:rsidRPr="00D33FE8">
        <w:rPr>
          <w:rFonts w:hint="cs"/>
          <w:rtl/>
        </w:rPr>
        <w:t>הדוחות השנתיים והחצי</w:t>
      </w:r>
      <w:r>
        <w:rPr>
          <w:rFonts w:hint="cs"/>
          <w:rtl/>
        </w:rPr>
        <w:t>-</w:t>
      </w:r>
      <w:r w:rsidRPr="00D33FE8">
        <w:rPr>
          <w:rFonts w:hint="cs"/>
          <w:rtl/>
        </w:rPr>
        <w:t xml:space="preserve">שנתיים </w:t>
      </w:r>
      <w:r>
        <w:rPr>
          <w:rFonts w:hint="cs"/>
          <w:rtl/>
        </w:rPr>
        <w:t>ללשכה</w:t>
      </w:r>
      <w:r w:rsidRPr="00D33FE8">
        <w:rPr>
          <w:rFonts w:hint="cs"/>
          <w:rtl/>
        </w:rPr>
        <w:t xml:space="preserve">, שכן הם תנאי לסיום ההתמחות. </w:t>
      </w:r>
      <w:r>
        <w:rPr>
          <w:rFonts w:hint="cs"/>
          <w:rtl/>
        </w:rPr>
        <w:t>עוד</w:t>
      </w:r>
      <w:r w:rsidRPr="00D33FE8">
        <w:rPr>
          <w:rFonts w:hint="cs"/>
          <w:rtl/>
        </w:rPr>
        <w:t xml:space="preserve"> נמסר כי עובדי המערך קוראים את הדוחות במטרה לאתר נתונים המעידים על כשלים בהתמחות</w:t>
      </w:r>
      <w:r>
        <w:rPr>
          <w:rFonts w:hint="cs"/>
          <w:rtl/>
        </w:rPr>
        <w:t>,</w:t>
      </w:r>
      <w:r w:rsidRPr="00D33FE8">
        <w:rPr>
          <w:rFonts w:hint="cs"/>
          <w:rtl/>
        </w:rPr>
        <w:t xml:space="preserve"> כגון מתמחה </w:t>
      </w:r>
      <w:r>
        <w:rPr>
          <w:rFonts w:hint="cs"/>
          <w:rtl/>
        </w:rPr>
        <w:t>העובד ב</w:t>
      </w:r>
      <w:r w:rsidRPr="00D33FE8">
        <w:rPr>
          <w:rFonts w:hint="cs"/>
          <w:rtl/>
        </w:rPr>
        <w:t>עבודה נוספת, חוסר בשעות התמחות ועוד.</w:t>
      </w:r>
    </w:p>
    <w:p w14:paraId="657C4991" w14:textId="77777777" w:rsidR="00387987" w:rsidRPr="003F3C4A" w:rsidRDefault="00387987" w:rsidP="00493AE1">
      <w:pPr>
        <w:pStyle w:val="414"/>
      </w:pPr>
      <w:bookmarkStart w:id="23" w:name="_Toc23155592"/>
      <w:r w:rsidRPr="003F3C4A">
        <w:rPr>
          <w:rtl/>
        </w:rPr>
        <w:t>היעדר ת</w:t>
      </w:r>
      <w:r w:rsidRPr="003F3C4A">
        <w:rPr>
          <w:rFonts w:hint="cs"/>
          <w:rtl/>
        </w:rPr>
        <w:t>ו</w:t>
      </w:r>
      <w:r w:rsidRPr="003F3C4A">
        <w:rPr>
          <w:rtl/>
        </w:rPr>
        <w:t>כנית עבודה ונתונים בדבר פעולות הפיקוח של הלשכה</w:t>
      </w:r>
      <w:bookmarkEnd w:id="23"/>
    </w:p>
    <w:p w14:paraId="028F92B2" w14:textId="77777777" w:rsidR="00387987" w:rsidRDefault="00387987" w:rsidP="00493AE1">
      <w:pPr>
        <w:pStyle w:val="100"/>
      </w:pPr>
      <w:r>
        <w:rPr>
          <w:rFonts w:hint="cs"/>
          <w:rtl/>
        </w:rPr>
        <w:t>בדוחות הפעילות השנתיים של הלשכה לשנים 2008 - 2012 מופיע ריכוז נתונים בדבר היקף וסוג פעולות הפיקוח שעשתה הלשכה. על פי נתוני הלשכה</w:t>
      </w:r>
      <w:r>
        <w:rPr>
          <w:rStyle w:val="FootnoteReference"/>
          <w:rtl/>
        </w:rPr>
        <w:footnoteReference w:id="55"/>
      </w:r>
      <w:r>
        <w:rPr>
          <w:rFonts w:hint="cs"/>
          <w:rtl/>
        </w:rPr>
        <w:t>, בין ספטמבר 2012 לספטמבר 2013 בוצעו פעולות פיקוח ל-3,223 מתמחים מתוך 3,300 (2,152 ראיונות בלשכה ו-1,071 ביקורים במשרדים), בוצעו 16 פעולות פיקוח באמצעות הטלפון</w:t>
      </w:r>
      <w:r>
        <w:rPr>
          <w:rStyle w:val="FootnoteReference"/>
          <w:rtl/>
        </w:rPr>
        <w:footnoteReference w:id="56"/>
      </w:r>
      <w:r>
        <w:rPr>
          <w:rFonts w:hint="cs"/>
          <w:rtl/>
        </w:rPr>
        <w:t xml:space="preserve"> ו-4 חקירות באמצעות משרדי חקירות. </w:t>
      </w:r>
    </w:p>
    <w:p w14:paraId="3EED46B8" w14:textId="6F804D40" w:rsidR="00387987" w:rsidRDefault="00387987" w:rsidP="0013702C">
      <w:pPr>
        <w:pStyle w:val="af3"/>
        <w:rPr>
          <w:rtl/>
        </w:rPr>
      </w:pPr>
      <w:r w:rsidRPr="005F3F36">
        <w:rPr>
          <w:rFonts w:hint="cs"/>
          <w:rtl/>
        </w:rPr>
        <w:lastRenderedPageBreak/>
        <w:t xml:space="preserve">החל מספטמבר 2013 אין ללשכה ריכוז נתונים בדבר היקף פעולות הפיקוח שעשתה </w:t>
      </w:r>
      <w:r w:rsidRPr="0013702C">
        <w:rPr>
          <w:rFonts w:hint="cs"/>
          <w:rtl/>
        </w:rPr>
        <w:t>באמצעות</w:t>
      </w:r>
      <w:r w:rsidRPr="005F3F36">
        <w:rPr>
          <w:rFonts w:hint="cs"/>
          <w:rtl/>
        </w:rPr>
        <w:t xml:space="preserve"> מפקחים</w:t>
      </w:r>
      <w:r>
        <w:rPr>
          <w:rFonts w:hint="cs"/>
          <w:rtl/>
        </w:rPr>
        <w:t xml:space="preserve"> וסוגן</w:t>
      </w:r>
      <w:r w:rsidRPr="005F3F36">
        <w:rPr>
          <w:rFonts w:hint="cs"/>
          <w:rtl/>
        </w:rPr>
        <w:t xml:space="preserve"> או על תוצאות תהליכי הפיקוח</w:t>
      </w:r>
      <w:r>
        <w:rPr>
          <w:rFonts w:hint="cs"/>
          <w:rtl/>
        </w:rPr>
        <w:t>,</w:t>
      </w:r>
      <w:r w:rsidRPr="005F3F36">
        <w:rPr>
          <w:rFonts w:hint="cs"/>
          <w:rtl/>
        </w:rPr>
        <w:t xml:space="preserve"> </w:t>
      </w:r>
      <w:r>
        <w:rPr>
          <w:rFonts w:hint="cs"/>
          <w:rtl/>
        </w:rPr>
        <w:t>והם</w:t>
      </w:r>
      <w:r w:rsidRPr="005F3F36">
        <w:rPr>
          <w:rFonts w:hint="cs"/>
          <w:rtl/>
        </w:rPr>
        <w:t xml:space="preserve"> מתועדים רק בתוך תיקי ההתמחות הפרטניים</w:t>
      </w:r>
      <w:r>
        <w:rPr>
          <w:rFonts w:hint="cs"/>
          <w:rtl/>
        </w:rPr>
        <w:t>,</w:t>
      </w:r>
      <w:r w:rsidRPr="005F3F36">
        <w:rPr>
          <w:rFonts w:hint="cs"/>
          <w:rtl/>
        </w:rPr>
        <w:t xml:space="preserve"> וגם זאת באופן חלקי</w:t>
      </w:r>
      <w:r>
        <w:rPr>
          <w:rStyle w:val="FootnoteReference"/>
          <w:b/>
          <w:bCs/>
          <w:rtl/>
        </w:rPr>
        <w:footnoteReference w:id="57"/>
      </w:r>
      <w:r w:rsidRPr="005F3F36">
        <w:rPr>
          <w:rFonts w:hint="cs"/>
          <w:rtl/>
        </w:rPr>
        <w:t xml:space="preserve">. </w:t>
      </w:r>
      <w:r w:rsidRPr="005F3F36">
        <w:rPr>
          <w:rtl/>
        </w:rPr>
        <w:t>נוסף</w:t>
      </w:r>
      <w:r>
        <w:rPr>
          <w:rFonts w:hint="cs"/>
          <w:rtl/>
        </w:rPr>
        <w:t xml:space="preserve"> על כך,</w:t>
      </w:r>
      <w:r w:rsidRPr="005F3F36">
        <w:rPr>
          <w:rtl/>
        </w:rPr>
        <w:t xml:space="preserve"> אין ללשכה מידע </w:t>
      </w:r>
      <w:r w:rsidRPr="005F3F36">
        <w:rPr>
          <w:rFonts w:hint="cs"/>
          <w:rtl/>
        </w:rPr>
        <w:t>בדבר מספר ה</w:t>
      </w:r>
      <w:r w:rsidRPr="005F3F36">
        <w:rPr>
          <w:rtl/>
        </w:rPr>
        <w:t xml:space="preserve">התמחויות </w:t>
      </w:r>
      <w:r w:rsidRPr="005F3F36">
        <w:rPr>
          <w:rFonts w:hint="cs"/>
          <w:rtl/>
        </w:rPr>
        <w:t>ש</w:t>
      </w:r>
      <w:r>
        <w:rPr>
          <w:rFonts w:hint="cs"/>
          <w:rtl/>
        </w:rPr>
        <w:t>אושרו וש</w:t>
      </w:r>
      <w:r w:rsidRPr="005F3F36">
        <w:rPr>
          <w:rtl/>
        </w:rPr>
        <w:t>נפסלו מדי שנה</w:t>
      </w:r>
      <w:r>
        <w:rPr>
          <w:rFonts w:hint="cs"/>
          <w:rtl/>
        </w:rPr>
        <w:t>, משך הטיפול בבקשות המוגשות על ידי המתמחים ועוד</w:t>
      </w:r>
      <w:r w:rsidRPr="005F3F36">
        <w:rPr>
          <w:rtl/>
        </w:rPr>
        <w:t>.</w:t>
      </w:r>
    </w:p>
    <w:p w14:paraId="48EF10B4" w14:textId="024A3B60" w:rsidR="00387987" w:rsidRPr="0013702C" w:rsidRDefault="00387987" w:rsidP="0013702C">
      <w:pPr>
        <w:pStyle w:val="100"/>
        <w:rPr>
          <w:rtl/>
        </w:rPr>
      </w:pPr>
      <w:r w:rsidRPr="0013702C">
        <w:rPr>
          <w:rFonts w:hint="cs"/>
          <w:rtl/>
        </w:rPr>
        <w:t xml:space="preserve">יצוין כי בדוחות הפעילות של הלשכה לשנים 2014 ו-2016 נכתב כי </w:t>
      </w:r>
      <w:r w:rsidRPr="0013702C">
        <w:rPr>
          <w:rtl/>
        </w:rPr>
        <w:t xml:space="preserve">תהליך הפיקוח על ההתמחות נעשה "בהתאם לתכנית העבודה הרב שנתית כפי שבוצעה עד כה בשנים האחרונות". </w:t>
      </w:r>
    </w:p>
    <w:p w14:paraId="11E79CB1" w14:textId="77777777" w:rsidR="00387987" w:rsidRDefault="00387987" w:rsidP="0013702C">
      <w:pPr>
        <w:pStyle w:val="af3"/>
        <w:rPr>
          <w:rtl/>
        </w:rPr>
      </w:pPr>
      <w:r w:rsidRPr="00FA6B2D">
        <w:rPr>
          <w:rFonts w:hint="eastAsia"/>
          <w:rtl/>
        </w:rPr>
        <w:t>עם</w:t>
      </w:r>
      <w:r w:rsidRPr="00FA6B2D">
        <w:rPr>
          <w:rtl/>
        </w:rPr>
        <w:t xml:space="preserve"> זאת </w:t>
      </w:r>
      <w:r>
        <w:rPr>
          <w:rFonts w:hint="cs"/>
          <w:rtl/>
        </w:rPr>
        <w:t xml:space="preserve">בביקורת נמצא כי אין ללשכה </w:t>
      </w:r>
      <w:r w:rsidRPr="00FA6B2D">
        <w:rPr>
          <w:rFonts w:hint="eastAsia"/>
          <w:rtl/>
        </w:rPr>
        <w:t>ת</w:t>
      </w:r>
      <w:r>
        <w:rPr>
          <w:rFonts w:hint="cs"/>
          <w:rtl/>
        </w:rPr>
        <w:t>ו</w:t>
      </w:r>
      <w:r w:rsidRPr="00FA6B2D">
        <w:rPr>
          <w:rFonts w:hint="eastAsia"/>
          <w:rtl/>
        </w:rPr>
        <w:t>כנית</w:t>
      </w:r>
      <w:r w:rsidRPr="00FA6B2D">
        <w:rPr>
          <w:rtl/>
        </w:rPr>
        <w:t xml:space="preserve"> רב</w:t>
      </w:r>
      <w:r>
        <w:rPr>
          <w:rFonts w:hint="cs"/>
          <w:rtl/>
        </w:rPr>
        <w:t>-</w:t>
      </w:r>
      <w:r w:rsidRPr="00FA6B2D">
        <w:rPr>
          <w:rtl/>
        </w:rPr>
        <w:t>שנתית</w:t>
      </w:r>
      <w:r>
        <w:rPr>
          <w:rFonts w:hint="cs"/>
          <w:rtl/>
        </w:rPr>
        <w:t xml:space="preserve"> בנושא.</w:t>
      </w:r>
      <w:r w:rsidRPr="00FA6B2D">
        <w:rPr>
          <w:rtl/>
        </w:rPr>
        <w:t xml:space="preserve"> </w:t>
      </w:r>
    </w:p>
    <w:p w14:paraId="3A5646F1" w14:textId="77777777" w:rsidR="00387987" w:rsidRDefault="00387987" w:rsidP="0013702C">
      <w:pPr>
        <w:pStyle w:val="af3"/>
        <w:rPr>
          <w:rtl/>
        </w:rPr>
      </w:pPr>
      <w:r>
        <w:rPr>
          <w:rtl/>
        </w:rPr>
        <w:t>משניתנה ל</w:t>
      </w:r>
      <w:r>
        <w:rPr>
          <w:rFonts w:hint="cs"/>
          <w:rtl/>
        </w:rPr>
        <w:t>לשכה</w:t>
      </w:r>
      <w:r w:rsidRPr="0061572E">
        <w:rPr>
          <w:rtl/>
        </w:rPr>
        <w:t xml:space="preserve"> הסמכות לאשר או לפסול התמחות, הרי שמחובתה לנהל מעקב אחר פעולות הפיקוח שביצעה. מאז </w:t>
      </w:r>
      <w:r>
        <w:rPr>
          <w:rFonts w:hint="cs"/>
          <w:rtl/>
        </w:rPr>
        <w:t>ספטמבר 2013</w:t>
      </w:r>
      <w:r w:rsidRPr="0061572E">
        <w:rPr>
          <w:rtl/>
        </w:rPr>
        <w:t xml:space="preserve"> </w:t>
      </w:r>
      <w:r>
        <w:rPr>
          <w:rFonts w:hint="cs"/>
          <w:rtl/>
        </w:rPr>
        <w:t xml:space="preserve">הלשכה אינה מרכזת ומנתחת את המידע </w:t>
      </w:r>
      <w:r w:rsidRPr="0061572E">
        <w:rPr>
          <w:rtl/>
        </w:rPr>
        <w:t xml:space="preserve">בדבר היקף </w:t>
      </w:r>
      <w:r>
        <w:rPr>
          <w:rFonts w:hint="cs"/>
          <w:rtl/>
        </w:rPr>
        <w:t>ו</w:t>
      </w:r>
      <w:r w:rsidRPr="0061572E">
        <w:rPr>
          <w:rtl/>
        </w:rPr>
        <w:t>טיב הפיקוח</w:t>
      </w:r>
      <w:r>
        <w:rPr>
          <w:rFonts w:hint="cs"/>
          <w:rtl/>
        </w:rPr>
        <w:t xml:space="preserve"> כך שאין באפשרותה</w:t>
      </w:r>
      <w:r w:rsidRPr="0061572E">
        <w:rPr>
          <w:rtl/>
        </w:rPr>
        <w:t xml:space="preserve"> לבחון אם הוא משיג את מטרתו</w:t>
      </w:r>
      <w:r>
        <w:rPr>
          <w:rFonts w:hint="cs"/>
          <w:rtl/>
        </w:rPr>
        <w:t xml:space="preserve"> לשמירת הרמה של הבאים בשערי המקצוע</w:t>
      </w:r>
      <w:r w:rsidRPr="0061572E">
        <w:rPr>
          <w:rtl/>
        </w:rPr>
        <w:t>,</w:t>
      </w:r>
      <w:r w:rsidRPr="007D6914">
        <w:rPr>
          <w:rtl/>
        </w:rPr>
        <w:t xml:space="preserve"> </w:t>
      </w:r>
      <w:r>
        <w:rPr>
          <w:rFonts w:hint="cs"/>
          <w:rtl/>
        </w:rPr>
        <w:t>אף ש</w:t>
      </w:r>
      <w:r w:rsidRPr="0061572E">
        <w:rPr>
          <w:rtl/>
        </w:rPr>
        <w:t>מדובר בכלי ניהולי בסיסי לשימוש בסמכויות הארגון.</w:t>
      </w:r>
      <w:r>
        <w:rPr>
          <w:rFonts w:hint="cs"/>
          <w:rtl/>
        </w:rPr>
        <w:t xml:space="preserve"> </w:t>
      </w:r>
    </w:p>
    <w:p w14:paraId="7987842B" w14:textId="77777777" w:rsidR="00387987" w:rsidRDefault="00387987" w:rsidP="0013702C">
      <w:pPr>
        <w:pStyle w:val="af3"/>
        <w:rPr>
          <w:rtl/>
        </w:rPr>
      </w:pPr>
      <w:r>
        <w:rPr>
          <w:rFonts w:hint="cs"/>
          <w:rtl/>
        </w:rPr>
        <w:t>ראוי שהלשכה תגדיר</w:t>
      </w:r>
      <w:r w:rsidRPr="005F3F36">
        <w:rPr>
          <w:rFonts w:hint="cs"/>
          <w:rtl/>
        </w:rPr>
        <w:t xml:space="preserve"> את היקף הפיקוח וסוג הפיקוח שיבוצע בכל שנה, </w:t>
      </w:r>
      <w:r>
        <w:rPr>
          <w:rFonts w:hint="cs"/>
          <w:rtl/>
        </w:rPr>
        <w:t>תבנה</w:t>
      </w:r>
      <w:r w:rsidRPr="005F3F36">
        <w:rPr>
          <w:rFonts w:hint="cs"/>
          <w:rtl/>
        </w:rPr>
        <w:t xml:space="preserve"> ת</w:t>
      </w:r>
      <w:r>
        <w:rPr>
          <w:rFonts w:hint="cs"/>
          <w:rtl/>
        </w:rPr>
        <w:t>ו</w:t>
      </w:r>
      <w:r w:rsidRPr="005F3F36">
        <w:rPr>
          <w:rFonts w:hint="cs"/>
          <w:rtl/>
        </w:rPr>
        <w:t xml:space="preserve">כניות עבודה כמותיות שיקבעו את פעולות הפיקוח שיבוצעו, </w:t>
      </w:r>
      <w:r>
        <w:rPr>
          <w:rFonts w:hint="cs"/>
          <w:rtl/>
        </w:rPr>
        <w:t>תתעד</w:t>
      </w:r>
      <w:r w:rsidRPr="005F3F36">
        <w:rPr>
          <w:rFonts w:hint="cs"/>
          <w:rtl/>
        </w:rPr>
        <w:t xml:space="preserve"> את הפעולות </w:t>
      </w:r>
      <w:r>
        <w:rPr>
          <w:rFonts w:hint="cs"/>
          <w:rtl/>
        </w:rPr>
        <w:t>ותפיק</w:t>
      </w:r>
      <w:r w:rsidRPr="005F3F36">
        <w:rPr>
          <w:rFonts w:hint="cs"/>
          <w:rtl/>
        </w:rPr>
        <w:t xml:space="preserve"> דוחות שנתיים שיציגו את תוצאות הביצוע של התוכניות שאושרו. דוחות אלה יכולים ל</w:t>
      </w:r>
      <w:r>
        <w:rPr>
          <w:rFonts w:hint="cs"/>
          <w:rtl/>
        </w:rPr>
        <w:t>שמש</w:t>
      </w:r>
      <w:r w:rsidRPr="005F3F36">
        <w:rPr>
          <w:rFonts w:hint="cs"/>
          <w:rtl/>
        </w:rPr>
        <w:t xml:space="preserve"> בסיס לבחינת אפקטיביות הפיקוח ולקחים שניתן להפיק מקיומו.</w:t>
      </w:r>
    </w:p>
    <w:p w14:paraId="4980CE84" w14:textId="77777777" w:rsidR="00387987" w:rsidRDefault="00387987" w:rsidP="003E000E">
      <w:pPr>
        <w:pStyle w:val="414"/>
        <w:rPr>
          <w:rtl/>
        </w:rPr>
      </w:pPr>
      <w:bookmarkStart w:id="24" w:name="_Toc23155593"/>
      <w:r>
        <w:rPr>
          <w:rFonts w:hint="cs"/>
          <w:rtl/>
        </w:rPr>
        <w:t>צמצום פעולות הפיקוח על ההתמחות</w:t>
      </w:r>
      <w:bookmarkEnd w:id="24"/>
    </w:p>
    <w:p w14:paraId="50EF3837" w14:textId="77777777" w:rsidR="00387987" w:rsidRDefault="00387987" w:rsidP="005950C8">
      <w:pPr>
        <w:pStyle w:val="a1"/>
        <w:numPr>
          <w:ilvl w:val="0"/>
          <w:numId w:val="20"/>
        </w:numPr>
        <w:rPr>
          <w:rtl/>
        </w:rPr>
      </w:pPr>
      <w:r>
        <w:rPr>
          <w:rFonts w:hint="cs"/>
          <w:rtl/>
        </w:rPr>
        <w:t xml:space="preserve">על פי הערכת מערך ההתמחות, בשנים 2014 - 2015 נערכו פעולות פיקוח למרבית המתמחים בחלוקה של כ-80% ראיונות בלשכה וכ-20% ביקורים במשרדים. </w:t>
      </w:r>
    </w:p>
    <w:p w14:paraId="04CF0CEE" w14:textId="35612737" w:rsidR="003E000E" w:rsidRDefault="00387987" w:rsidP="003E000E">
      <w:pPr>
        <w:pStyle w:val="af2"/>
        <w:rPr>
          <w:rtl/>
        </w:rPr>
      </w:pPr>
      <w:r>
        <w:rPr>
          <w:rFonts w:hint="cs"/>
          <w:rtl/>
        </w:rPr>
        <w:t xml:space="preserve">בדוח סיכום הפעילות של לשכת עורכי הדין לשנת התשע"ד נכתב כי </w:t>
      </w:r>
      <w:r>
        <w:rPr>
          <w:rtl/>
        </w:rPr>
        <w:t xml:space="preserve">היקף פסילת </w:t>
      </w:r>
      <w:r>
        <w:rPr>
          <w:rFonts w:hint="cs"/>
          <w:rtl/>
        </w:rPr>
        <w:t>ההתמחויות</w:t>
      </w:r>
      <w:r>
        <w:rPr>
          <w:rtl/>
        </w:rPr>
        <w:t xml:space="preserve"> </w:t>
      </w:r>
      <w:r>
        <w:rPr>
          <w:rFonts w:hint="cs"/>
          <w:rtl/>
        </w:rPr>
        <w:t xml:space="preserve">בעקבות פעולות פיקוח היה </w:t>
      </w:r>
      <w:r>
        <w:rPr>
          <w:rtl/>
        </w:rPr>
        <w:t xml:space="preserve">מזערי </w:t>
      </w:r>
      <w:r>
        <w:rPr>
          <w:rFonts w:hint="cs"/>
          <w:rtl/>
        </w:rPr>
        <w:t xml:space="preserve">באותה השנה </w:t>
      </w:r>
      <w:r>
        <w:rPr>
          <w:rtl/>
        </w:rPr>
        <w:t>ולכן</w:t>
      </w:r>
      <w:r>
        <w:rPr>
          <w:rFonts w:hint="cs"/>
          <w:rtl/>
        </w:rPr>
        <w:t xml:space="preserve"> "</w:t>
      </w:r>
      <w:r>
        <w:rPr>
          <w:rtl/>
        </w:rPr>
        <w:t>התוצאה המתבקשת היא שינוי</w:t>
      </w:r>
      <w:r>
        <w:rPr>
          <w:rFonts w:hint="cs"/>
          <w:rtl/>
        </w:rPr>
        <w:t>"</w:t>
      </w:r>
      <w:r>
        <w:rPr>
          <w:rtl/>
        </w:rPr>
        <w:t xml:space="preserve">. </w:t>
      </w:r>
      <w:r>
        <w:rPr>
          <w:rFonts w:hint="cs"/>
          <w:rtl/>
        </w:rPr>
        <w:t xml:space="preserve">לאור זאת, </w:t>
      </w:r>
      <w:r>
        <w:rPr>
          <w:rtl/>
        </w:rPr>
        <w:t xml:space="preserve">הוחלט </w:t>
      </w:r>
      <w:r>
        <w:rPr>
          <w:rFonts w:hint="cs"/>
          <w:rtl/>
        </w:rPr>
        <w:t>"</w:t>
      </w:r>
      <w:r>
        <w:rPr>
          <w:rtl/>
        </w:rPr>
        <w:t>לבצע רביזיה משמעותית בפרויקט הפיקוח ולבצע אך ורק פיקוח</w:t>
      </w:r>
      <w:r>
        <w:rPr>
          <w:rFonts w:hint="cs"/>
          <w:rtl/>
        </w:rPr>
        <w:t xml:space="preserve"> </w:t>
      </w:r>
      <w:r>
        <w:rPr>
          <w:rtl/>
        </w:rPr>
        <w:t>במשרדים</w:t>
      </w:r>
      <w:r>
        <w:rPr>
          <w:rFonts w:hint="cs"/>
          <w:rtl/>
        </w:rPr>
        <w:t>"</w:t>
      </w:r>
      <w:r>
        <w:rPr>
          <w:rtl/>
        </w:rPr>
        <w:t>.</w:t>
      </w:r>
      <w:r>
        <w:rPr>
          <w:rFonts w:hint="cs"/>
          <w:rtl/>
        </w:rPr>
        <w:t xml:space="preserve"> עוד נכתב כי </w:t>
      </w:r>
      <w:r w:rsidRPr="00B95D42">
        <w:rPr>
          <w:rtl/>
        </w:rPr>
        <w:t xml:space="preserve">מספר </w:t>
      </w:r>
      <w:r>
        <w:rPr>
          <w:rFonts w:hint="cs"/>
          <w:rtl/>
        </w:rPr>
        <w:t>פעולות הפיקוח</w:t>
      </w:r>
      <w:r w:rsidRPr="00B95D42">
        <w:rPr>
          <w:rtl/>
        </w:rPr>
        <w:t xml:space="preserve"> קטן לעומת השנה הקודמת</w:t>
      </w:r>
      <w:r>
        <w:rPr>
          <w:rFonts w:hint="cs"/>
          <w:rtl/>
        </w:rPr>
        <w:t>, זאת משום ש</w:t>
      </w:r>
      <w:r w:rsidRPr="00B95D42">
        <w:rPr>
          <w:rtl/>
        </w:rPr>
        <w:t>עיקר המשאבים נותבו לאיתור "פרמטרים המעלים בעיות וחריגות למשל</w:t>
      </w:r>
      <w:r>
        <w:rPr>
          <w:rFonts w:hint="cs"/>
          <w:rtl/>
        </w:rPr>
        <w:t xml:space="preserve"> </w:t>
      </w:r>
      <w:r w:rsidRPr="00B95D42">
        <w:rPr>
          <w:rtl/>
        </w:rPr>
        <w:t>-</w:t>
      </w:r>
      <w:r>
        <w:rPr>
          <w:rFonts w:hint="cs"/>
          <w:rtl/>
        </w:rPr>
        <w:t xml:space="preserve"> </w:t>
      </w:r>
      <w:r w:rsidRPr="00B95D42">
        <w:rPr>
          <w:rtl/>
        </w:rPr>
        <w:t>טיב ההתמחות והתנאים הסוציאליים".</w:t>
      </w:r>
      <w:r>
        <w:rPr>
          <w:rFonts w:hint="cs"/>
          <w:rtl/>
        </w:rPr>
        <w:t xml:space="preserve"> הרחבת ביקורת פתע במשרדים, והקטנת מספר פעולות הפיקוח משנה לשנה תוארה גם </w:t>
      </w:r>
      <w:r w:rsidRPr="005E3895">
        <w:rPr>
          <w:rFonts w:hint="eastAsia"/>
          <w:rtl/>
        </w:rPr>
        <w:t>בדוחות</w:t>
      </w:r>
      <w:r w:rsidRPr="005E3895">
        <w:rPr>
          <w:rtl/>
        </w:rPr>
        <w:t xml:space="preserve"> </w:t>
      </w:r>
      <w:r w:rsidRPr="005E3895">
        <w:rPr>
          <w:rFonts w:hint="eastAsia"/>
          <w:rtl/>
        </w:rPr>
        <w:t>הפעילות</w:t>
      </w:r>
      <w:r w:rsidRPr="005E3895">
        <w:rPr>
          <w:rtl/>
        </w:rPr>
        <w:t xml:space="preserve"> </w:t>
      </w:r>
      <w:r w:rsidRPr="005E3895">
        <w:rPr>
          <w:rFonts w:hint="eastAsia"/>
          <w:rtl/>
        </w:rPr>
        <w:t>השנתיים</w:t>
      </w:r>
      <w:r>
        <w:rPr>
          <w:rFonts w:hint="cs"/>
          <w:rtl/>
        </w:rPr>
        <w:t xml:space="preserve"> לשנים 2016, 2017</w:t>
      </w:r>
      <w:r>
        <w:rPr>
          <w:rStyle w:val="FootnoteReference"/>
          <w:rtl/>
        </w:rPr>
        <w:footnoteReference w:id="58"/>
      </w:r>
      <w:r>
        <w:rPr>
          <w:rFonts w:hint="cs"/>
          <w:rtl/>
        </w:rPr>
        <w:t>.</w:t>
      </w:r>
    </w:p>
    <w:p w14:paraId="6B2A42D1" w14:textId="77777777" w:rsidR="003E000E" w:rsidRDefault="003E000E">
      <w:pPr>
        <w:bidi w:val="0"/>
        <w:spacing w:after="200" w:line="276" w:lineRule="auto"/>
        <w:rPr>
          <w:rFonts w:ascii="Tahoma" w:hAnsi="Tahoma" w:cs="Tahoma"/>
          <w:szCs w:val="20"/>
          <w:rtl/>
        </w:rPr>
      </w:pPr>
      <w:r>
        <w:rPr>
          <w:rtl/>
        </w:rPr>
        <w:br w:type="page"/>
      </w:r>
    </w:p>
    <w:p w14:paraId="3E1453D8" w14:textId="77777777" w:rsidR="00387987" w:rsidRDefault="00387987" w:rsidP="003E000E">
      <w:pPr>
        <w:pStyle w:val="a1"/>
      </w:pPr>
      <w:r>
        <w:rPr>
          <w:rFonts w:hint="cs"/>
          <w:rtl/>
        </w:rPr>
        <w:lastRenderedPageBreak/>
        <w:t xml:space="preserve">לעומת זאת, ממערך ההתמחות נמסר כי בשנת 2015 הגיעה הלשכה למסקנה כי הליך הפיקוח במשרדי המאמנים והראיונות בלשכה יקר ואינו יעיל. זאת משום שהמאמנים והמתמחים, שהיו מקבלים הודעה מבעוד מועד על הפיקוח, היו מתכוננים אליו ומציגים מצג של התמחות מקצועית. כמו כן כאשר ממצאי הפיקוח היו מובאים לוועד המחוזי להכרעה בדבר גורל ההתמחות הוא היה מערים קשיים על המנגנון בנוגע להוכחת הפגמים בהתמחות. </w:t>
      </w:r>
    </w:p>
    <w:p w14:paraId="5E821AD1" w14:textId="77777777" w:rsidR="00387987" w:rsidRDefault="00387987" w:rsidP="003E000E">
      <w:pPr>
        <w:pStyle w:val="af2"/>
        <w:rPr>
          <w:rtl/>
        </w:rPr>
      </w:pPr>
      <w:r w:rsidRPr="004429C2">
        <w:rPr>
          <w:rFonts w:hint="cs"/>
          <w:rtl/>
        </w:rPr>
        <w:t xml:space="preserve">בשל האמור, התחילה הלשכה בשלהי 2015 במהלך מדורג לצמצום הראיונות </w:t>
      </w:r>
      <w:r>
        <w:rPr>
          <w:rFonts w:hint="cs"/>
          <w:rtl/>
        </w:rPr>
        <w:t xml:space="preserve">והביקורים במשרדים </w:t>
      </w:r>
      <w:r w:rsidRPr="004429C2">
        <w:rPr>
          <w:rFonts w:hint="cs"/>
          <w:rtl/>
        </w:rPr>
        <w:t>ואלה הופסקו כמעט ל</w:t>
      </w:r>
      <w:r>
        <w:rPr>
          <w:rFonts w:hint="cs"/>
          <w:rtl/>
        </w:rPr>
        <w:t>חלוטין</w:t>
      </w:r>
      <w:r w:rsidRPr="004429C2">
        <w:rPr>
          <w:rFonts w:hint="cs"/>
          <w:rtl/>
        </w:rPr>
        <w:t xml:space="preserve"> בשנת 2017. </w:t>
      </w:r>
    </w:p>
    <w:p w14:paraId="314EEA19" w14:textId="77777777" w:rsidR="00387987" w:rsidRDefault="00387987" w:rsidP="003E000E">
      <w:pPr>
        <w:pStyle w:val="a1"/>
      </w:pPr>
      <w:r>
        <w:rPr>
          <w:rFonts w:hint="cs"/>
          <w:rtl/>
        </w:rPr>
        <w:t>בד בבד עם המהלך המצמצם, במחצית 2015 החלה הלשכה בתהליכי אפיון של מערכת ממוחשבת לעריכת ראיונות באמצעות שאלונים מקוונים. השאלות בשאלונים דומות לשאלות שבדוח החצי-שנתי והשנתי המופנה למאמן ונוספו עליהן שאלות בדבר הפעילות שביצע המתמחה. בדוח הפעילות של הלשכה לשנת התשע"ז נכתב כי התשובות</w:t>
      </w:r>
      <w:r w:rsidRPr="009A0452">
        <w:rPr>
          <w:rtl/>
        </w:rPr>
        <w:t xml:space="preserve"> </w:t>
      </w:r>
      <w:r>
        <w:rPr>
          <w:rFonts w:hint="cs"/>
          <w:rtl/>
        </w:rPr>
        <w:t>ל</w:t>
      </w:r>
      <w:r w:rsidRPr="009A0452">
        <w:rPr>
          <w:rtl/>
        </w:rPr>
        <w:t>שאלונים ינותחו</w:t>
      </w:r>
      <w:r>
        <w:rPr>
          <w:rFonts w:hint="cs"/>
          <w:rtl/>
        </w:rPr>
        <w:t>,</w:t>
      </w:r>
      <w:r w:rsidRPr="009A0452">
        <w:rPr>
          <w:rtl/>
        </w:rPr>
        <w:t xml:space="preserve"> ובהתאם לכך יבוצע פיקוח מוגבר</w:t>
      </w:r>
      <w:r>
        <w:rPr>
          <w:rFonts w:hint="cs"/>
          <w:rtl/>
        </w:rPr>
        <w:t xml:space="preserve"> על ההתמחות במקום שנמצא צורך בכך.</w:t>
      </w:r>
    </w:p>
    <w:p w14:paraId="75D2A92A" w14:textId="77777777" w:rsidR="00387987" w:rsidRDefault="00387987" w:rsidP="003E000E">
      <w:pPr>
        <w:pStyle w:val="af2"/>
        <w:rPr>
          <w:rtl/>
        </w:rPr>
      </w:pPr>
      <w:r>
        <w:rPr>
          <w:rFonts w:hint="cs"/>
          <w:rtl/>
        </w:rPr>
        <w:t xml:space="preserve">למעשה, החל משנת 2017 </w:t>
      </w:r>
      <w:r w:rsidRPr="00B17B40">
        <w:rPr>
          <w:rtl/>
        </w:rPr>
        <w:t xml:space="preserve">הפיקוח </w:t>
      </w:r>
      <w:r>
        <w:rPr>
          <w:rFonts w:hint="cs"/>
          <w:rtl/>
        </w:rPr>
        <w:t xml:space="preserve">על ההתמחות </w:t>
      </w:r>
      <w:r w:rsidRPr="00B17B40">
        <w:rPr>
          <w:rtl/>
        </w:rPr>
        <w:t xml:space="preserve">כולל </w:t>
      </w:r>
      <w:r>
        <w:rPr>
          <w:rFonts w:hint="cs"/>
          <w:rtl/>
        </w:rPr>
        <w:t xml:space="preserve">בדיקת </w:t>
      </w:r>
      <w:r w:rsidRPr="00B17B40">
        <w:rPr>
          <w:rtl/>
        </w:rPr>
        <w:t>שאלון חצי</w:t>
      </w:r>
      <w:r>
        <w:rPr>
          <w:rFonts w:hint="cs"/>
          <w:rtl/>
        </w:rPr>
        <w:t>-שנתי ושנתי שממלא המאמן,</w:t>
      </w:r>
      <w:r w:rsidRPr="00B17B40">
        <w:rPr>
          <w:rtl/>
        </w:rPr>
        <w:t xml:space="preserve"> פיילוט שאלונים מקוונים</w:t>
      </w:r>
      <w:r>
        <w:rPr>
          <w:rFonts w:hint="cs"/>
          <w:rtl/>
        </w:rPr>
        <w:t xml:space="preserve"> </w:t>
      </w:r>
      <w:r w:rsidRPr="00B17B40">
        <w:rPr>
          <w:rtl/>
        </w:rPr>
        <w:t>למשתתפי הפיילוט</w:t>
      </w:r>
      <w:r>
        <w:rPr>
          <w:rFonts w:hint="cs"/>
          <w:rtl/>
        </w:rPr>
        <w:t xml:space="preserve"> (אשר כאמור הלשכה אינה משתמשת בתוצריו) ופעולות פיקוח במקרים נקודתיים שבהם הוגשה ללשכה תלונה על התמחות באמצעות </w:t>
      </w:r>
      <w:r w:rsidRPr="00B17B40">
        <w:rPr>
          <w:rtl/>
        </w:rPr>
        <w:t>פיקוח טלפוני</w:t>
      </w:r>
      <w:r>
        <w:rPr>
          <w:rFonts w:hint="cs"/>
          <w:rtl/>
        </w:rPr>
        <w:t>, ביקור</w:t>
      </w:r>
      <w:r w:rsidRPr="00B17B40">
        <w:rPr>
          <w:rtl/>
        </w:rPr>
        <w:t xml:space="preserve"> </w:t>
      </w:r>
      <w:r>
        <w:rPr>
          <w:rtl/>
        </w:rPr>
        <w:t>במשרדים</w:t>
      </w:r>
      <w:r>
        <w:rPr>
          <w:rFonts w:hint="cs"/>
          <w:rtl/>
        </w:rPr>
        <w:t>, או מפקחים וחוקרים פרטיים.</w:t>
      </w:r>
    </w:p>
    <w:p w14:paraId="6B2CD61E" w14:textId="77777777" w:rsidR="00387987" w:rsidRDefault="00387987" w:rsidP="003E000E">
      <w:pPr>
        <w:pStyle w:val="12"/>
        <w:rPr>
          <w:rtl/>
        </w:rPr>
      </w:pPr>
      <w:r w:rsidRPr="002018CB">
        <w:rPr>
          <w:rFonts w:hint="cs"/>
          <w:rtl/>
        </w:rPr>
        <w:t>תהליכי האפיון והעבודה על השאלונים</w:t>
      </w:r>
      <w:r>
        <w:rPr>
          <w:rFonts w:hint="cs"/>
          <w:rtl/>
        </w:rPr>
        <w:t xml:space="preserve"> המקוונים החלו באמצע שנת 2015, אך במועד סיום הביקורת </w:t>
      </w:r>
      <w:r w:rsidRPr="002018CB">
        <w:rPr>
          <w:rFonts w:hint="cs"/>
          <w:rtl/>
        </w:rPr>
        <w:t xml:space="preserve">המערכת מצויה עדיין בשלב הפיילוט. </w:t>
      </w:r>
      <w:r>
        <w:rPr>
          <w:rFonts w:hint="cs"/>
          <w:rtl/>
        </w:rPr>
        <w:t xml:space="preserve">מספטמבר 2016 ועד אוגוסט 2019, במהלכן עברו </w:t>
      </w:r>
      <w:r w:rsidRPr="00D658C7">
        <w:rPr>
          <w:rFonts w:hint="cs"/>
          <w:rtl/>
        </w:rPr>
        <w:t>התמחות כ-10,500 מתמחים</w:t>
      </w:r>
      <w:r>
        <w:rPr>
          <w:rFonts w:hint="cs"/>
          <w:rtl/>
        </w:rPr>
        <w:t xml:space="preserve">, </w:t>
      </w:r>
      <w:r w:rsidRPr="002018CB">
        <w:rPr>
          <w:rFonts w:hint="cs"/>
          <w:rtl/>
        </w:rPr>
        <w:t>נשלחו</w:t>
      </w:r>
      <w:r>
        <w:rPr>
          <w:rFonts w:hint="cs"/>
          <w:rtl/>
        </w:rPr>
        <w:t xml:space="preserve"> </w:t>
      </w:r>
      <w:r w:rsidRPr="002018CB">
        <w:rPr>
          <w:rFonts w:hint="cs"/>
          <w:rtl/>
        </w:rPr>
        <w:t xml:space="preserve">3,827 שאלונים </w:t>
      </w:r>
      <w:r>
        <w:rPr>
          <w:rFonts w:hint="cs"/>
          <w:rtl/>
        </w:rPr>
        <w:t>ו</w:t>
      </w:r>
      <w:r w:rsidRPr="002018CB">
        <w:rPr>
          <w:rFonts w:hint="cs"/>
          <w:rtl/>
        </w:rPr>
        <w:t>מתוכם נענו 2,903.</w:t>
      </w:r>
      <w:r>
        <w:rPr>
          <w:rFonts w:hint="cs"/>
          <w:rtl/>
        </w:rPr>
        <w:t xml:space="preserve"> התשובות ל</w:t>
      </w:r>
      <w:r w:rsidRPr="002018CB">
        <w:rPr>
          <w:rFonts w:hint="cs"/>
          <w:rtl/>
        </w:rPr>
        <w:t xml:space="preserve">שאלונים </w:t>
      </w:r>
      <w:r>
        <w:rPr>
          <w:rFonts w:hint="cs"/>
          <w:rtl/>
        </w:rPr>
        <w:t xml:space="preserve">שמולאו </w:t>
      </w:r>
      <w:r w:rsidRPr="002018CB">
        <w:rPr>
          <w:rFonts w:hint="cs"/>
          <w:rtl/>
        </w:rPr>
        <w:t>לא נותחו ומ</w:t>
      </w:r>
      <w:r>
        <w:rPr>
          <w:rFonts w:hint="cs"/>
          <w:rtl/>
        </w:rPr>
        <w:t>מ</w:t>
      </w:r>
      <w:r w:rsidRPr="002018CB">
        <w:rPr>
          <w:rFonts w:hint="cs"/>
          <w:rtl/>
        </w:rPr>
        <w:t>ילא לא נערך כל פיקוח מוגבר בעקבותיה</w:t>
      </w:r>
      <w:r>
        <w:rPr>
          <w:rFonts w:hint="cs"/>
          <w:rtl/>
        </w:rPr>
        <w:t>ן</w:t>
      </w:r>
      <w:r w:rsidRPr="002018CB">
        <w:rPr>
          <w:rFonts w:hint="cs"/>
          <w:rtl/>
        </w:rPr>
        <w:t>.</w:t>
      </w:r>
    </w:p>
    <w:p w14:paraId="6F926CFE" w14:textId="77777777" w:rsidR="00387987" w:rsidRDefault="00387987" w:rsidP="003E000E">
      <w:pPr>
        <w:pStyle w:val="af2"/>
        <w:rPr>
          <w:rtl/>
        </w:rPr>
      </w:pPr>
      <w:r w:rsidRPr="003D1085">
        <w:rPr>
          <w:rFonts w:hint="cs"/>
          <w:rtl/>
        </w:rPr>
        <w:t xml:space="preserve">הלשכה מסרה בתשובתה כי העיכוב </w:t>
      </w:r>
      <w:r w:rsidRPr="003D1085">
        <w:rPr>
          <w:rtl/>
        </w:rPr>
        <w:t xml:space="preserve">בביצוע הפיילוט והעברת המערכת לפעילות מלאה </w:t>
      </w:r>
      <w:r w:rsidRPr="003D1085">
        <w:rPr>
          <w:rFonts w:hint="cs"/>
          <w:rtl/>
        </w:rPr>
        <w:t>נבע מקשיים בהטמעת המערכת ומקשיים</w:t>
      </w:r>
      <w:r w:rsidRPr="003D1085">
        <w:rPr>
          <w:rtl/>
        </w:rPr>
        <w:t xml:space="preserve"> בקבלת הנחיות </w:t>
      </w:r>
      <w:r>
        <w:rPr>
          <w:rFonts w:hint="cs"/>
          <w:rtl/>
        </w:rPr>
        <w:t>מ</w:t>
      </w:r>
      <w:r w:rsidRPr="003D1085">
        <w:rPr>
          <w:rtl/>
        </w:rPr>
        <w:t>הוועד המרכזי ב</w:t>
      </w:r>
      <w:r>
        <w:rPr>
          <w:rFonts w:hint="cs"/>
          <w:rtl/>
        </w:rPr>
        <w:t>נוגע</w:t>
      </w:r>
      <w:r w:rsidRPr="003D1085">
        <w:rPr>
          <w:rtl/>
        </w:rPr>
        <w:t xml:space="preserve"> לאופן ההתייחסות </w:t>
      </w:r>
      <w:r w:rsidRPr="003D1085">
        <w:rPr>
          <w:rFonts w:hint="cs"/>
          <w:rtl/>
        </w:rPr>
        <w:t>לתשובות לשאלונים</w:t>
      </w:r>
      <w:r>
        <w:rPr>
          <w:rFonts w:hint="cs"/>
          <w:rtl/>
        </w:rPr>
        <w:t>,</w:t>
      </w:r>
      <w:r w:rsidRPr="003D1085">
        <w:rPr>
          <w:rtl/>
        </w:rPr>
        <w:t xml:space="preserve"> עקב עומס הנושאים שעמדו לטיפולו.</w:t>
      </w:r>
      <w:r w:rsidRPr="003D1085">
        <w:rPr>
          <w:rFonts w:hint="cs"/>
          <w:rtl/>
        </w:rPr>
        <w:t xml:space="preserve"> </w:t>
      </w:r>
      <w:r>
        <w:rPr>
          <w:rFonts w:hint="cs"/>
          <w:rtl/>
        </w:rPr>
        <w:t>הלשכה הוסיפה כי הנושא הובא לפתחה של ו</w:t>
      </w:r>
      <w:r w:rsidRPr="003D1085">
        <w:rPr>
          <w:rFonts w:hint="cs"/>
          <w:rtl/>
        </w:rPr>
        <w:t>עדת ההתמחות הסטטוטורית שהוקמה לאחר הבחירות ב-2019.</w:t>
      </w:r>
      <w:r>
        <w:rPr>
          <w:rtl/>
        </w:rPr>
        <w:t xml:space="preserve"> </w:t>
      </w:r>
    </w:p>
    <w:p w14:paraId="548306E6" w14:textId="77777777" w:rsidR="00387987" w:rsidRPr="003F1101" w:rsidRDefault="00387987" w:rsidP="003E000E">
      <w:pPr>
        <w:pStyle w:val="af3"/>
        <w:rPr>
          <w:rtl/>
        </w:rPr>
      </w:pPr>
      <w:r w:rsidRPr="00F70F60">
        <w:rPr>
          <w:rFonts w:hint="cs"/>
          <w:rtl/>
        </w:rPr>
        <w:lastRenderedPageBreak/>
        <w:t xml:space="preserve">נמצא כי </w:t>
      </w:r>
      <w:r w:rsidRPr="005474D8">
        <w:rPr>
          <w:rFonts w:hint="eastAsia"/>
          <w:rtl/>
        </w:rPr>
        <w:t>בשנתיים</w:t>
      </w:r>
      <w:r w:rsidRPr="005474D8">
        <w:rPr>
          <w:rtl/>
        </w:rPr>
        <w:t xml:space="preserve"> </w:t>
      </w:r>
      <w:r w:rsidRPr="005474D8">
        <w:rPr>
          <w:rFonts w:hint="eastAsia"/>
          <w:rtl/>
        </w:rPr>
        <w:t>וחצי</w:t>
      </w:r>
      <w:r w:rsidRPr="005474D8">
        <w:rPr>
          <w:rtl/>
        </w:rPr>
        <w:t xml:space="preserve"> </w:t>
      </w:r>
      <w:r w:rsidRPr="005474D8">
        <w:rPr>
          <w:rFonts w:hint="eastAsia"/>
          <w:rtl/>
        </w:rPr>
        <w:t>האחרונות</w:t>
      </w:r>
      <w:r w:rsidRPr="005474D8">
        <w:rPr>
          <w:rtl/>
        </w:rPr>
        <w:t xml:space="preserve"> </w:t>
      </w:r>
      <w:r w:rsidRPr="005474D8">
        <w:rPr>
          <w:rFonts w:hint="eastAsia"/>
          <w:rtl/>
        </w:rPr>
        <w:t>ביצעה</w:t>
      </w:r>
      <w:r w:rsidRPr="005474D8">
        <w:rPr>
          <w:rtl/>
        </w:rPr>
        <w:t xml:space="preserve"> הלשכה </w:t>
      </w:r>
      <w:r w:rsidRPr="005474D8">
        <w:rPr>
          <w:rFonts w:hint="eastAsia"/>
          <w:rtl/>
        </w:rPr>
        <w:t>פיקוח</w:t>
      </w:r>
      <w:r w:rsidRPr="005474D8">
        <w:rPr>
          <w:rtl/>
        </w:rPr>
        <w:t xml:space="preserve"> </w:t>
      </w:r>
      <w:r w:rsidRPr="005474D8">
        <w:rPr>
          <w:rFonts w:hint="eastAsia"/>
          <w:rtl/>
        </w:rPr>
        <w:t>בעשרות</w:t>
      </w:r>
      <w:r w:rsidRPr="005474D8">
        <w:rPr>
          <w:rtl/>
        </w:rPr>
        <w:t xml:space="preserve"> </w:t>
      </w:r>
      <w:r w:rsidRPr="005474D8">
        <w:rPr>
          <w:rFonts w:hint="eastAsia"/>
          <w:rtl/>
        </w:rPr>
        <w:t>מעטות</w:t>
      </w:r>
      <w:r w:rsidRPr="005474D8">
        <w:rPr>
          <w:rtl/>
        </w:rPr>
        <w:t xml:space="preserve"> </w:t>
      </w:r>
      <w:r w:rsidRPr="005474D8">
        <w:rPr>
          <w:rFonts w:hint="eastAsia"/>
          <w:rtl/>
        </w:rPr>
        <w:t>של</w:t>
      </w:r>
      <w:r w:rsidRPr="005474D8">
        <w:rPr>
          <w:rtl/>
        </w:rPr>
        <w:t xml:space="preserve"> </w:t>
      </w:r>
      <w:r w:rsidRPr="005474D8">
        <w:rPr>
          <w:rFonts w:hint="eastAsia"/>
          <w:rtl/>
        </w:rPr>
        <w:t>מקרים</w:t>
      </w:r>
      <w:r w:rsidRPr="005474D8">
        <w:rPr>
          <w:rtl/>
        </w:rPr>
        <w:t xml:space="preserve">. </w:t>
      </w:r>
      <w:r w:rsidRPr="005474D8">
        <w:rPr>
          <w:rFonts w:hint="eastAsia"/>
          <w:rtl/>
        </w:rPr>
        <w:t>זאת</w:t>
      </w:r>
      <w:r w:rsidRPr="005474D8">
        <w:rPr>
          <w:rtl/>
        </w:rPr>
        <w:t xml:space="preserve"> </w:t>
      </w:r>
      <w:r w:rsidRPr="005474D8">
        <w:rPr>
          <w:rFonts w:hint="eastAsia"/>
          <w:rtl/>
        </w:rPr>
        <w:t>לעומת</w:t>
      </w:r>
      <w:r w:rsidRPr="005474D8">
        <w:rPr>
          <w:rtl/>
        </w:rPr>
        <w:t xml:space="preserve"> </w:t>
      </w:r>
      <w:r w:rsidRPr="005474D8">
        <w:rPr>
          <w:rFonts w:hint="eastAsia"/>
          <w:rtl/>
        </w:rPr>
        <w:t>אלפי</w:t>
      </w:r>
      <w:r w:rsidRPr="005474D8">
        <w:rPr>
          <w:rtl/>
        </w:rPr>
        <w:t xml:space="preserve"> </w:t>
      </w:r>
      <w:r w:rsidRPr="005474D8">
        <w:rPr>
          <w:rFonts w:hint="eastAsia"/>
          <w:rtl/>
        </w:rPr>
        <w:t>פעולות</w:t>
      </w:r>
      <w:r w:rsidRPr="005474D8">
        <w:rPr>
          <w:rtl/>
        </w:rPr>
        <w:t xml:space="preserve"> </w:t>
      </w:r>
      <w:r w:rsidRPr="005474D8">
        <w:rPr>
          <w:rFonts w:hint="eastAsia"/>
          <w:rtl/>
        </w:rPr>
        <w:t>פיקוח</w:t>
      </w:r>
      <w:r w:rsidRPr="005474D8">
        <w:rPr>
          <w:rtl/>
        </w:rPr>
        <w:t xml:space="preserve"> </w:t>
      </w:r>
      <w:r w:rsidRPr="005474D8">
        <w:rPr>
          <w:rFonts w:hint="eastAsia"/>
          <w:rtl/>
        </w:rPr>
        <w:t>שנעשו</w:t>
      </w:r>
      <w:r w:rsidRPr="005474D8">
        <w:rPr>
          <w:rtl/>
        </w:rPr>
        <w:t xml:space="preserve"> </w:t>
      </w:r>
      <w:r w:rsidRPr="005474D8">
        <w:rPr>
          <w:rFonts w:hint="eastAsia"/>
          <w:rtl/>
        </w:rPr>
        <w:t>בשנים</w:t>
      </w:r>
      <w:r w:rsidRPr="005474D8">
        <w:rPr>
          <w:rtl/>
        </w:rPr>
        <w:t xml:space="preserve"> </w:t>
      </w:r>
      <w:r w:rsidRPr="005474D8">
        <w:rPr>
          <w:rFonts w:hint="eastAsia"/>
          <w:rtl/>
        </w:rPr>
        <w:t>קודמות</w:t>
      </w:r>
      <w:r w:rsidRPr="005474D8">
        <w:rPr>
          <w:rtl/>
        </w:rPr>
        <w:t xml:space="preserve">, </w:t>
      </w:r>
      <w:r w:rsidRPr="005474D8">
        <w:rPr>
          <w:rFonts w:hint="eastAsia"/>
          <w:rtl/>
        </w:rPr>
        <w:t>כמעט</w:t>
      </w:r>
      <w:r w:rsidRPr="005474D8">
        <w:rPr>
          <w:rtl/>
        </w:rPr>
        <w:t xml:space="preserve"> </w:t>
      </w:r>
      <w:r w:rsidRPr="005474D8">
        <w:rPr>
          <w:rFonts w:hint="eastAsia"/>
          <w:rtl/>
        </w:rPr>
        <w:t>לכלל</w:t>
      </w:r>
      <w:r w:rsidRPr="005474D8">
        <w:rPr>
          <w:rtl/>
        </w:rPr>
        <w:t xml:space="preserve"> </w:t>
      </w:r>
      <w:r w:rsidRPr="005474D8">
        <w:rPr>
          <w:rFonts w:hint="eastAsia"/>
          <w:rtl/>
        </w:rPr>
        <w:t>המתמחים</w:t>
      </w:r>
      <w:r w:rsidRPr="005474D8">
        <w:rPr>
          <w:rtl/>
        </w:rPr>
        <w:t xml:space="preserve"> </w:t>
      </w:r>
      <w:r w:rsidRPr="005474D8">
        <w:rPr>
          <w:rFonts w:hint="eastAsia"/>
          <w:rtl/>
        </w:rPr>
        <w:t>מדי</w:t>
      </w:r>
      <w:r w:rsidRPr="005474D8">
        <w:rPr>
          <w:rtl/>
        </w:rPr>
        <w:t xml:space="preserve"> </w:t>
      </w:r>
      <w:r w:rsidRPr="005474D8">
        <w:rPr>
          <w:rFonts w:hint="eastAsia"/>
          <w:rtl/>
        </w:rPr>
        <w:t>שנה</w:t>
      </w:r>
      <w:r w:rsidRPr="005474D8">
        <w:rPr>
          <w:rtl/>
        </w:rPr>
        <w:t>.</w:t>
      </w:r>
      <w:r>
        <w:rPr>
          <w:rFonts w:hint="cs"/>
          <w:rtl/>
        </w:rPr>
        <w:t xml:space="preserve"> </w:t>
      </w:r>
      <w:r w:rsidRPr="003F1101">
        <w:rPr>
          <w:rtl/>
        </w:rPr>
        <w:t xml:space="preserve">הפיקוח על ההתמחות הוא מתפקידי החובה של הלשכה וחשיבותו נובעת </w:t>
      </w:r>
      <w:r>
        <w:rPr>
          <w:rFonts w:hint="cs"/>
          <w:rtl/>
        </w:rPr>
        <w:t>מהצורך לשמור</w:t>
      </w:r>
      <w:r w:rsidRPr="003F1101">
        <w:rPr>
          <w:rtl/>
        </w:rPr>
        <w:t xml:space="preserve"> על מעמד המקצוע ועל איכות הכשרתם של הבאים בשעריו. </w:t>
      </w:r>
      <w:r>
        <w:rPr>
          <w:rFonts w:hint="cs"/>
          <w:rtl/>
        </w:rPr>
        <w:t>משרד מבקר המדינה</w:t>
      </w:r>
      <w:r w:rsidRPr="003F1101">
        <w:rPr>
          <w:rtl/>
        </w:rPr>
        <w:t xml:space="preserve"> רואה </w:t>
      </w:r>
      <w:r>
        <w:rPr>
          <w:rFonts w:hint="cs"/>
          <w:rtl/>
        </w:rPr>
        <w:t>בחיוב את פעולת הלשכה לפיתוח שאלונים מקוונים</w:t>
      </w:r>
      <w:r w:rsidRPr="003F1101">
        <w:rPr>
          <w:rtl/>
        </w:rPr>
        <w:t xml:space="preserve">. ואולם מצב הדברים בו תוצרי הפיילוט שהחל לפני שלוש שנים אינם מנותחים </w:t>
      </w:r>
      <w:r>
        <w:rPr>
          <w:rFonts w:hint="cs"/>
          <w:rtl/>
        </w:rPr>
        <w:t>ולא נערך פיקוח בעקבותיהם</w:t>
      </w:r>
      <w:r w:rsidRPr="003F1101">
        <w:rPr>
          <w:rtl/>
        </w:rPr>
        <w:t xml:space="preserve"> בה בעת שלא התקיימו פעולות פיקוח חלופיות בתקופה האמורה מחייב שני מענים: </w:t>
      </w:r>
      <w:r>
        <w:rPr>
          <w:rFonts w:hint="cs"/>
          <w:rtl/>
        </w:rPr>
        <w:t xml:space="preserve">האחד, </w:t>
      </w:r>
      <w:r w:rsidRPr="003F1101">
        <w:rPr>
          <w:rtl/>
        </w:rPr>
        <w:t>העלאת הפיילוט על נתיב יישום ממשי וטיפול בשאלונים הרלוונטיים המונחים על שולחן הלשכה</w:t>
      </w:r>
      <w:r>
        <w:rPr>
          <w:rFonts w:hint="cs"/>
          <w:rtl/>
        </w:rPr>
        <w:t>,</w:t>
      </w:r>
      <w:r w:rsidRPr="003F1101">
        <w:rPr>
          <w:rtl/>
        </w:rPr>
        <w:t xml:space="preserve"> וכל זאת על מנת להגיע לסיכום התובנות מהפיילוט; והשני</w:t>
      </w:r>
      <w:r>
        <w:rPr>
          <w:rFonts w:hint="cs"/>
          <w:rtl/>
        </w:rPr>
        <w:t>,</w:t>
      </w:r>
      <w:r w:rsidRPr="003F1101">
        <w:rPr>
          <w:rtl/>
        </w:rPr>
        <w:t xml:space="preserve"> לפעול לביצוע בקרות חלופיות במקביל להליכי המחשוב.</w:t>
      </w:r>
    </w:p>
    <w:p w14:paraId="10C2C153" w14:textId="77777777" w:rsidR="00387987" w:rsidRPr="00C73E9D" w:rsidRDefault="00387987" w:rsidP="003E000E">
      <w:pPr>
        <w:pStyle w:val="a1"/>
        <w:rPr>
          <w:rtl/>
        </w:rPr>
      </w:pPr>
      <w:r>
        <w:rPr>
          <w:rtl/>
        </w:rPr>
        <w:t>במקרים מסוי</w:t>
      </w:r>
      <w:r w:rsidRPr="00C73E9D">
        <w:rPr>
          <w:rtl/>
        </w:rPr>
        <w:t xml:space="preserve">מים </w:t>
      </w:r>
      <w:r>
        <w:rPr>
          <w:rtl/>
        </w:rPr>
        <w:t>הוועד המרכזי מאשר לבצע התמחות</w:t>
      </w:r>
      <w:r w:rsidRPr="00C73E9D">
        <w:rPr>
          <w:rtl/>
        </w:rPr>
        <w:t xml:space="preserve"> תוך התניה כי במהלך ההתמחות יבוצע פיקוח מוגבר</w:t>
      </w:r>
      <w:r>
        <w:rPr>
          <w:rFonts w:hint="cs"/>
          <w:rtl/>
        </w:rPr>
        <w:t>, בעיקר במקרים של אישור למתמחה לעבוד בעבודה נוספת</w:t>
      </w:r>
      <w:r w:rsidRPr="00C73E9D">
        <w:rPr>
          <w:rtl/>
        </w:rPr>
        <w:t xml:space="preserve">. ממערך ההתמחות נמסר כי בהקשר זה הכוונה לביקור במשרדי המאמן. מעיון בפרוטוקולי </w:t>
      </w:r>
      <w:r>
        <w:rPr>
          <w:rtl/>
        </w:rPr>
        <w:t>הוועד</w:t>
      </w:r>
      <w:r w:rsidRPr="00C73E9D">
        <w:rPr>
          <w:rtl/>
        </w:rPr>
        <w:t xml:space="preserve"> המרכזי נמצאו</w:t>
      </w:r>
      <w:r>
        <w:rPr>
          <w:rFonts w:hint="cs"/>
          <w:rtl/>
        </w:rPr>
        <w:t xml:space="preserve"> </w:t>
      </w:r>
      <w:r w:rsidRPr="00C73E9D">
        <w:rPr>
          <w:rtl/>
        </w:rPr>
        <w:t>16 מקרים</w:t>
      </w:r>
      <w:r>
        <w:rPr>
          <w:rFonts w:hint="cs"/>
          <w:rtl/>
        </w:rPr>
        <w:t xml:space="preserve"> שבהם נקבעה התניה כזאת בשנת 2016, 2</w:t>
      </w:r>
      <w:r w:rsidRPr="00C73E9D">
        <w:rPr>
          <w:rtl/>
        </w:rPr>
        <w:t xml:space="preserve"> מקרים בשנת 2017 ו</w:t>
      </w:r>
      <w:r>
        <w:rPr>
          <w:rFonts w:hint="cs"/>
          <w:rtl/>
        </w:rPr>
        <w:t>-3</w:t>
      </w:r>
      <w:r w:rsidRPr="00C73E9D">
        <w:rPr>
          <w:rtl/>
        </w:rPr>
        <w:t xml:space="preserve"> בשנת 2018. </w:t>
      </w:r>
    </w:p>
    <w:p w14:paraId="205D80F6" w14:textId="77777777" w:rsidR="00387987" w:rsidRDefault="00387987" w:rsidP="003E000E">
      <w:pPr>
        <w:pStyle w:val="12"/>
        <w:rPr>
          <w:rtl/>
        </w:rPr>
      </w:pPr>
      <w:r w:rsidRPr="00C73E9D">
        <w:rPr>
          <w:rtl/>
        </w:rPr>
        <w:t xml:space="preserve">בביקורת נמצא כי על אף החלטת </w:t>
      </w:r>
      <w:r>
        <w:rPr>
          <w:rtl/>
        </w:rPr>
        <w:t>הוועד</w:t>
      </w:r>
      <w:r w:rsidRPr="00C73E9D">
        <w:rPr>
          <w:rtl/>
        </w:rPr>
        <w:t xml:space="preserve"> המרכזי</w:t>
      </w:r>
      <w:r>
        <w:rPr>
          <w:rFonts w:hint="cs"/>
          <w:rtl/>
        </w:rPr>
        <w:t>,</w:t>
      </w:r>
      <w:r w:rsidRPr="00C73E9D">
        <w:rPr>
          <w:rtl/>
        </w:rPr>
        <w:t xml:space="preserve"> לא ביצע מערך ההתמחות פיקוח מוגבר בחמשת המקרים בשנים</w:t>
      </w:r>
      <w:r>
        <w:rPr>
          <w:rFonts w:hint="cs"/>
          <w:rtl/>
        </w:rPr>
        <w:t xml:space="preserve"> 2017 - 2018, בניגוד לפיקוח שבוצע בשנת 2016</w:t>
      </w:r>
      <w:r w:rsidRPr="00C73E9D">
        <w:rPr>
          <w:rtl/>
        </w:rPr>
        <w:t>.</w:t>
      </w:r>
      <w:r>
        <w:rPr>
          <w:rFonts w:hint="cs"/>
          <w:rtl/>
        </w:rPr>
        <w:t xml:space="preserve"> </w:t>
      </w:r>
      <w:r w:rsidRPr="008B67BC">
        <w:rPr>
          <w:rtl/>
        </w:rPr>
        <w:t xml:space="preserve">על הלשכה להקפיד לבצע את </w:t>
      </w:r>
      <w:r>
        <w:rPr>
          <w:rFonts w:hint="cs"/>
          <w:rtl/>
        </w:rPr>
        <w:t>ההחלטות</w:t>
      </w:r>
      <w:r w:rsidRPr="008B67BC">
        <w:rPr>
          <w:rtl/>
        </w:rPr>
        <w:t xml:space="preserve"> בעניין פיקוח מוגבר כבעבר.</w:t>
      </w:r>
    </w:p>
    <w:p w14:paraId="4C7FF1B6" w14:textId="77777777" w:rsidR="00387987" w:rsidRDefault="00387987" w:rsidP="003E000E">
      <w:pPr>
        <w:pStyle w:val="af2"/>
        <w:rPr>
          <w:rtl/>
        </w:rPr>
      </w:pPr>
      <w:r>
        <w:rPr>
          <w:rFonts w:hint="cs"/>
          <w:rtl/>
        </w:rPr>
        <w:t xml:space="preserve">הלשכה מסרה בתשובתה כי בעקבות הביקורת היא הוסיפה התראה ממוחשבת לגורם הרלוונטי שתעדכן </w:t>
      </w:r>
      <w:r w:rsidRPr="003D1085">
        <w:rPr>
          <w:rtl/>
        </w:rPr>
        <w:t xml:space="preserve">על כל המקרים </w:t>
      </w:r>
      <w:r>
        <w:rPr>
          <w:rFonts w:hint="cs"/>
          <w:rtl/>
        </w:rPr>
        <w:t>ש</w:t>
      </w:r>
      <w:r w:rsidRPr="003D1085">
        <w:rPr>
          <w:rtl/>
        </w:rPr>
        <w:t xml:space="preserve">בהם </w:t>
      </w:r>
      <w:r>
        <w:rPr>
          <w:rFonts w:hint="cs"/>
          <w:rtl/>
        </w:rPr>
        <w:t>החליטה ועדת ההתמחות לבצע</w:t>
      </w:r>
      <w:r w:rsidRPr="003D1085">
        <w:rPr>
          <w:rtl/>
        </w:rPr>
        <w:t xml:space="preserve"> פיקוח מוגבר.</w:t>
      </w:r>
    </w:p>
    <w:p w14:paraId="442FC89D" w14:textId="77777777" w:rsidR="00387987" w:rsidRPr="00185DB6" w:rsidRDefault="00387987" w:rsidP="005950C8">
      <w:pPr>
        <w:pStyle w:val="316"/>
        <w:rPr>
          <w:rtl/>
        </w:rPr>
      </w:pPr>
      <w:bookmarkStart w:id="25" w:name="_Toc23155595"/>
      <w:bookmarkStart w:id="26" w:name="_Toc23159787"/>
      <w:r>
        <w:rPr>
          <w:rFonts w:hint="cs"/>
          <w:rtl/>
        </w:rPr>
        <w:t>אישור בקשות</w:t>
      </w:r>
      <w:r w:rsidRPr="00185DB6">
        <w:rPr>
          <w:rtl/>
        </w:rPr>
        <w:t xml:space="preserve"> לאמן מתמחים</w:t>
      </w:r>
      <w:bookmarkEnd w:id="25"/>
      <w:bookmarkEnd w:id="26"/>
    </w:p>
    <w:p w14:paraId="63F70062" w14:textId="77777777" w:rsidR="00387987" w:rsidRDefault="00387987" w:rsidP="005950C8">
      <w:pPr>
        <w:pStyle w:val="100"/>
        <w:rPr>
          <w:rtl/>
        </w:rPr>
      </w:pPr>
      <w:r>
        <w:rPr>
          <w:rFonts w:hint="cs"/>
          <w:rtl/>
        </w:rPr>
        <w:t>החוק</w:t>
      </w:r>
      <w:r w:rsidRPr="00185DB6">
        <w:rPr>
          <w:rtl/>
        </w:rPr>
        <w:t xml:space="preserve"> קובע </w:t>
      </w:r>
      <w:r>
        <w:rPr>
          <w:rFonts w:hint="cs"/>
          <w:rtl/>
        </w:rPr>
        <w:t>אילו</w:t>
      </w:r>
      <w:r w:rsidRPr="00185DB6">
        <w:rPr>
          <w:rtl/>
        </w:rPr>
        <w:t xml:space="preserve"> עורכי דין כשירים לשמש מאמנים למתמחים</w:t>
      </w:r>
      <w:r>
        <w:rPr>
          <w:rFonts w:hint="cs"/>
          <w:rtl/>
        </w:rPr>
        <w:t>:</w:t>
      </w:r>
      <w:r w:rsidRPr="00185DB6">
        <w:rPr>
          <w:rtl/>
        </w:rPr>
        <w:t xml:space="preserve"> חברי הלשכה</w:t>
      </w:r>
      <w:r>
        <w:rPr>
          <w:rFonts w:hint="cs"/>
          <w:rtl/>
        </w:rPr>
        <w:t>,</w:t>
      </w:r>
      <w:r w:rsidRPr="00185DB6">
        <w:rPr>
          <w:rtl/>
        </w:rPr>
        <w:t xml:space="preserve"> בעלי ותק של חמש שנים ומעלה</w:t>
      </w:r>
      <w:r>
        <w:rPr>
          <w:rtl/>
        </w:rPr>
        <w:t xml:space="preserve"> שאושרו לצורך כך על ידי הלשכה. </w:t>
      </w:r>
      <w:r>
        <w:rPr>
          <w:rFonts w:hint="cs"/>
          <w:rtl/>
        </w:rPr>
        <w:t>עוד קובע החוק</w:t>
      </w:r>
      <w:r w:rsidRPr="00185DB6">
        <w:rPr>
          <w:rtl/>
        </w:rPr>
        <w:t xml:space="preserve"> כי לא יעסיק מאמן מתמחה אלא בעבודה משפטית.</w:t>
      </w:r>
    </w:p>
    <w:p w14:paraId="667F9663" w14:textId="77777777" w:rsidR="00387987" w:rsidRDefault="00387987" w:rsidP="005950C8">
      <w:pPr>
        <w:pStyle w:val="414"/>
        <w:rPr>
          <w:rtl/>
        </w:rPr>
      </w:pPr>
      <w:bookmarkStart w:id="27" w:name="_Toc23155596"/>
      <w:r>
        <w:rPr>
          <w:rFonts w:hint="cs"/>
          <w:rtl/>
        </w:rPr>
        <w:t>נוהלי הלשכה בדבר בקשות לאמן מתמחים</w:t>
      </w:r>
      <w:bookmarkEnd w:id="27"/>
    </w:p>
    <w:p w14:paraId="29FBDD05" w14:textId="77777777" w:rsidR="00387987" w:rsidRDefault="00387987" w:rsidP="005950C8">
      <w:pPr>
        <w:pStyle w:val="a1"/>
        <w:numPr>
          <w:ilvl w:val="0"/>
          <w:numId w:val="21"/>
        </w:numPr>
      </w:pPr>
      <w:r w:rsidRPr="00272611">
        <w:rPr>
          <w:rFonts w:hint="cs"/>
          <w:rtl/>
        </w:rPr>
        <w:t>מערך ההתמחות העביר לצוות הביקורת נוסח "נוהל קבלת אישור לאמן מתמחה ולביטול אישור לאמן" מפברואר 2010 שאושר על ידי הוועד המרכזי (להלן</w:t>
      </w:r>
      <w:r>
        <w:rPr>
          <w:rFonts w:hint="cs"/>
          <w:rtl/>
        </w:rPr>
        <w:t xml:space="preserve"> - </w:t>
      </w:r>
      <w:r w:rsidRPr="00272611">
        <w:rPr>
          <w:rFonts w:hint="cs"/>
          <w:rtl/>
        </w:rPr>
        <w:t xml:space="preserve">נוהל </w:t>
      </w:r>
      <w:r>
        <w:rPr>
          <w:rFonts w:hint="cs"/>
          <w:rtl/>
        </w:rPr>
        <w:t xml:space="preserve">ההתמחות </w:t>
      </w:r>
      <w:r w:rsidRPr="00272611">
        <w:rPr>
          <w:rFonts w:hint="cs"/>
          <w:rtl/>
        </w:rPr>
        <w:t>הארצי).</w:t>
      </w:r>
      <w:r>
        <w:rPr>
          <w:rFonts w:hint="cs"/>
          <w:rtl/>
        </w:rPr>
        <w:t xml:space="preserve"> </w:t>
      </w:r>
    </w:p>
    <w:p w14:paraId="3FE9D660" w14:textId="77777777" w:rsidR="00387987" w:rsidRDefault="00387987" w:rsidP="001460BB">
      <w:pPr>
        <w:pStyle w:val="12"/>
        <w:rPr>
          <w:rtl/>
        </w:rPr>
      </w:pPr>
      <w:r>
        <w:rPr>
          <w:rFonts w:hint="cs"/>
          <w:rtl/>
        </w:rPr>
        <w:lastRenderedPageBreak/>
        <w:t>לעומת זאת, מחוזות ירושלים, דרום וחיפה הציגו לצוות הביקורת נוסח נוהל התמחות ארצי מאוגוסט 2011</w:t>
      </w:r>
      <w:r>
        <w:rPr>
          <w:rStyle w:val="FootnoteReference"/>
          <w:b/>
          <w:bCs/>
          <w:rtl/>
        </w:rPr>
        <w:footnoteReference w:id="59"/>
      </w:r>
      <w:r>
        <w:rPr>
          <w:rFonts w:hint="cs"/>
          <w:rtl/>
        </w:rPr>
        <w:t xml:space="preserve"> ובו הבדלים לעומת </w:t>
      </w:r>
      <w:r w:rsidRPr="00EB165D">
        <w:rPr>
          <w:rtl/>
        </w:rPr>
        <w:t>נוסח</w:t>
      </w:r>
      <w:r>
        <w:rPr>
          <w:rtl/>
        </w:rPr>
        <w:t xml:space="preserve"> </w:t>
      </w:r>
      <w:r>
        <w:rPr>
          <w:rFonts w:hint="cs"/>
          <w:rtl/>
        </w:rPr>
        <w:t xml:space="preserve">נוהל ההתמחות הארצי </w:t>
      </w:r>
      <w:r w:rsidRPr="00EB165D">
        <w:rPr>
          <w:rtl/>
        </w:rPr>
        <w:t>שהעביר מערך ההתמחות</w:t>
      </w:r>
      <w:r>
        <w:rPr>
          <w:rFonts w:hint="cs"/>
          <w:rtl/>
        </w:rPr>
        <w:t xml:space="preserve">. </w:t>
      </w:r>
    </w:p>
    <w:p w14:paraId="7ADC8C87" w14:textId="77777777" w:rsidR="00387987" w:rsidRDefault="00387987" w:rsidP="001460BB">
      <w:pPr>
        <w:pStyle w:val="af2"/>
        <w:rPr>
          <w:rtl/>
        </w:rPr>
      </w:pPr>
      <w:r>
        <w:rPr>
          <w:rFonts w:hint="cs"/>
          <w:rtl/>
        </w:rPr>
        <w:t>כך, למשל, בהתאם לנוסח הנוהל שבמחוזות</w:t>
      </w:r>
      <w:r w:rsidRPr="00A80D12">
        <w:rPr>
          <w:rtl/>
        </w:rPr>
        <w:t xml:space="preserve">, עורך דין שהושעה מן הלשכה בעבר לא יהיה רשאי לאמן מתמחים ועניינו יובא בפני ועדת ההתמחות הארצית אם יבקש לאמן. </w:t>
      </w:r>
      <w:r>
        <w:rPr>
          <w:rFonts w:hint="cs"/>
          <w:rtl/>
        </w:rPr>
        <w:t xml:space="preserve">אם </w:t>
      </w:r>
      <w:r w:rsidRPr="00A80D12">
        <w:rPr>
          <w:rtl/>
        </w:rPr>
        <w:t xml:space="preserve">כבר קיבל בעבר אישור לאמן, </w:t>
      </w:r>
      <w:r>
        <w:rPr>
          <w:rFonts w:hint="cs"/>
          <w:rtl/>
        </w:rPr>
        <w:t>הלשכה תוכל לפעול לביטול</w:t>
      </w:r>
      <w:r w:rsidRPr="00A80D12">
        <w:rPr>
          <w:rtl/>
        </w:rPr>
        <w:t xml:space="preserve"> האישור </w:t>
      </w:r>
      <w:r>
        <w:rPr>
          <w:rFonts w:hint="cs"/>
          <w:rtl/>
        </w:rPr>
        <w:t>שניתן לו</w:t>
      </w:r>
      <w:r w:rsidRPr="00A80D12">
        <w:rPr>
          <w:rtl/>
        </w:rPr>
        <w:t>. נושא זה אינו מופיע בנוהל ה</w:t>
      </w:r>
      <w:r>
        <w:rPr>
          <w:rFonts w:hint="cs"/>
          <w:rtl/>
        </w:rPr>
        <w:t>התמחות ה</w:t>
      </w:r>
      <w:r w:rsidRPr="00A80D12">
        <w:rPr>
          <w:rtl/>
        </w:rPr>
        <w:t>ארצי שהעביר מערך ההתמחות.</w:t>
      </w:r>
    </w:p>
    <w:p w14:paraId="2353DEEE" w14:textId="77777777" w:rsidR="00387987" w:rsidRDefault="00387987" w:rsidP="001460BB">
      <w:pPr>
        <w:pStyle w:val="af2"/>
        <w:rPr>
          <w:rtl/>
        </w:rPr>
      </w:pPr>
      <w:r>
        <w:rPr>
          <w:rFonts w:hint="cs"/>
          <w:rtl/>
        </w:rPr>
        <w:t>בהקשר זה יצוין כי מחוז תל אביב העביר לצוות הביקורת נוסח נוהל פנימי שהוכן במחוז ושאינו מתייחס כלל לנושא מבקשי אישור לאמן שהורשעו באתיקה או בפלילים או שקיימת תלונה בעניינם.</w:t>
      </w:r>
      <w:r w:rsidRPr="00EF46FD">
        <w:rPr>
          <w:rtl/>
        </w:rPr>
        <w:t xml:space="preserve"> </w:t>
      </w:r>
    </w:p>
    <w:p w14:paraId="74BA0F90" w14:textId="77777777" w:rsidR="00387987" w:rsidRDefault="00387987" w:rsidP="001460BB">
      <w:pPr>
        <w:pStyle w:val="12"/>
        <w:rPr>
          <w:rtl/>
        </w:rPr>
      </w:pPr>
      <w:r w:rsidRPr="00415F6B">
        <w:rPr>
          <w:rFonts w:hint="cs"/>
          <w:rtl/>
        </w:rPr>
        <w:t>העובדה ש</w:t>
      </w:r>
      <w:r>
        <w:rPr>
          <w:rFonts w:hint="cs"/>
          <w:rtl/>
        </w:rPr>
        <w:t>הוועד</w:t>
      </w:r>
      <w:r w:rsidRPr="00415F6B">
        <w:rPr>
          <w:rFonts w:hint="cs"/>
          <w:rtl/>
        </w:rPr>
        <w:t xml:space="preserve"> המרכזי </w:t>
      </w:r>
      <w:r>
        <w:rPr>
          <w:rFonts w:hint="cs"/>
          <w:rtl/>
        </w:rPr>
        <w:t>ו</w:t>
      </w:r>
      <w:r w:rsidRPr="00415F6B">
        <w:rPr>
          <w:rFonts w:hint="cs"/>
          <w:rtl/>
        </w:rPr>
        <w:t xml:space="preserve">המחוזות פועלים </w:t>
      </w:r>
      <w:r>
        <w:rPr>
          <w:rFonts w:hint="cs"/>
          <w:rtl/>
        </w:rPr>
        <w:t xml:space="preserve">במשך שנים </w:t>
      </w:r>
      <w:r w:rsidRPr="00415F6B">
        <w:rPr>
          <w:rFonts w:hint="cs"/>
          <w:rtl/>
        </w:rPr>
        <w:t xml:space="preserve">בהתאם לנהלים שונים </w:t>
      </w:r>
      <w:r>
        <w:rPr>
          <w:rFonts w:hint="cs"/>
          <w:rtl/>
        </w:rPr>
        <w:t>עלולה להביא לקבלת החלטות שונות בעניינים דומים של מאמנים במחוזות שונים ולפגיעה אפשרית בעיקרון השוויון</w:t>
      </w:r>
      <w:r w:rsidRPr="00415F6B">
        <w:rPr>
          <w:rFonts w:hint="cs"/>
          <w:rtl/>
        </w:rPr>
        <w:t xml:space="preserve">. </w:t>
      </w:r>
    </w:p>
    <w:p w14:paraId="49AC48E9" w14:textId="77777777" w:rsidR="00387987" w:rsidRPr="00B3522C" w:rsidRDefault="00387987" w:rsidP="001460BB">
      <w:pPr>
        <w:pStyle w:val="af2"/>
        <w:rPr>
          <w:rtl/>
        </w:rPr>
      </w:pPr>
      <w:r w:rsidRPr="00B3522C">
        <w:rPr>
          <w:rFonts w:hint="cs"/>
          <w:rtl/>
        </w:rPr>
        <w:t>הלשכה מסרה בתשובתה כי ב</w:t>
      </w:r>
      <w:r>
        <w:rPr>
          <w:rFonts w:hint="cs"/>
          <w:rtl/>
        </w:rPr>
        <w:t>חודש</w:t>
      </w:r>
      <w:r w:rsidRPr="00B3522C">
        <w:rPr>
          <w:rtl/>
        </w:rPr>
        <w:t xml:space="preserve"> יוני 2019 העביר מנכ"ל הלשכה </w:t>
      </w:r>
      <w:r>
        <w:rPr>
          <w:rFonts w:hint="cs"/>
          <w:rtl/>
        </w:rPr>
        <w:t>למנכ"לי</w:t>
      </w:r>
      <w:r w:rsidRPr="00B3522C">
        <w:rPr>
          <w:rtl/>
        </w:rPr>
        <w:t xml:space="preserve"> המחוזות ר</w:t>
      </w:r>
      <w:r>
        <w:rPr>
          <w:rFonts w:hint="cs"/>
          <w:rtl/>
        </w:rPr>
        <w:t>י</w:t>
      </w:r>
      <w:r w:rsidRPr="00B3522C">
        <w:rPr>
          <w:rtl/>
        </w:rPr>
        <w:t xml:space="preserve">ענון של נוהל קבלת אישור לאמן מתמחה ולביטול אישור לאמן, המתאים את הוראות הנוהל משנת 2010 למצב המשפטי </w:t>
      </w:r>
      <w:r>
        <w:rPr>
          <w:rFonts w:hint="cs"/>
          <w:rtl/>
        </w:rPr>
        <w:t>ש</w:t>
      </w:r>
      <w:r>
        <w:rPr>
          <w:rtl/>
        </w:rPr>
        <w:t>לאחר הבחירות</w:t>
      </w:r>
      <w:r>
        <w:rPr>
          <w:rFonts w:hint="cs"/>
          <w:rtl/>
        </w:rPr>
        <w:t xml:space="preserve"> והקמת ועדת ההתמחות הסטטוטורית</w:t>
      </w:r>
      <w:r w:rsidRPr="00B3522C">
        <w:rPr>
          <w:rtl/>
        </w:rPr>
        <w:t xml:space="preserve">. </w:t>
      </w:r>
      <w:r w:rsidRPr="00B3522C">
        <w:rPr>
          <w:rFonts w:hint="cs"/>
          <w:rtl/>
        </w:rPr>
        <w:t xml:space="preserve">עוד הוסיפה הלשכה כי </w:t>
      </w:r>
      <w:r>
        <w:rPr>
          <w:rFonts w:hint="cs"/>
          <w:rtl/>
        </w:rPr>
        <w:t>בכוונתה</w:t>
      </w:r>
      <w:r w:rsidRPr="00B3522C">
        <w:rPr>
          <w:rFonts w:hint="cs"/>
          <w:rtl/>
        </w:rPr>
        <w:t xml:space="preserve"> </w:t>
      </w:r>
      <w:r w:rsidRPr="00B3522C">
        <w:rPr>
          <w:rtl/>
        </w:rPr>
        <w:t xml:space="preserve">לפעול לאכיפת נהלים אחידים בכל המחוזות. לשם כך בכוונת המנכ"ל למנות קצין ציות מטעמו </w:t>
      </w:r>
      <w:r>
        <w:rPr>
          <w:rFonts w:hint="cs"/>
          <w:rtl/>
        </w:rPr>
        <w:t xml:space="preserve">אשר </w:t>
      </w:r>
      <w:r w:rsidRPr="00B3522C">
        <w:rPr>
          <w:rtl/>
        </w:rPr>
        <w:t xml:space="preserve">חלק מהגדרת תפקידו </w:t>
      </w:r>
      <w:r>
        <w:rPr>
          <w:rFonts w:hint="cs"/>
          <w:rtl/>
        </w:rPr>
        <w:t>י</w:t>
      </w:r>
      <w:r w:rsidRPr="00B3522C">
        <w:rPr>
          <w:rtl/>
        </w:rPr>
        <w:t xml:space="preserve">היה </w:t>
      </w:r>
      <w:r>
        <w:rPr>
          <w:rFonts w:hint="cs"/>
          <w:rtl/>
        </w:rPr>
        <w:t>פיקוח על יישום נוהלי הלשכה במחוזות.</w:t>
      </w:r>
    </w:p>
    <w:p w14:paraId="556B324B" w14:textId="77777777" w:rsidR="00387987" w:rsidRDefault="00387987" w:rsidP="001460BB">
      <w:pPr>
        <w:pStyle w:val="a1"/>
      </w:pPr>
      <w:r w:rsidRPr="004F7FC5">
        <w:rPr>
          <w:rtl/>
        </w:rPr>
        <w:t>עמדת מערך ההתמחות היא שמתפקידם של המחוזות לבדוק את הכשירות המהותית לאימון מתמחים ובאחריותם לשקול כל נתון רל</w:t>
      </w:r>
      <w:r>
        <w:rPr>
          <w:rFonts w:hint="cs"/>
          <w:rtl/>
        </w:rPr>
        <w:t>וו</w:t>
      </w:r>
      <w:r w:rsidRPr="004F7FC5">
        <w:rPr>
          <w:rtl/>
        </w:rPr>
        <w:t>נטי</w:t>
      </w:r>
      <w:r>
        <w:rPr>
          <w:rFonts w:hint="cs"/>
          <w:rtl/>
        </w:rPr>
        <w:t>,</w:t>
      </w:r>
      <w:r w:rsidRPr="004F7FC5">
        <w:rPr>
          <w:rtl/>
        </w:rPr>
        <w:t xml:space="preserve"> ובכלל זה קיומו של עבר משמעתי במחוזות אחרים בעת המלצתם. </w:t>
      </w:r>
    </w:p>
    <w:p w14:paraId="0B4E63A6" w14:textId="77777777" w:rsidR="00387987" w:rsidRDefault="00387987" w:rsidP="001460BB">
      <w:pPr>
        <w:pStyle w:val="12"/>
        <w:rPr>
          <w:rtl/>
        </w:rPr>
      </w:pPr>
      <w:r>
        <w:rPr>
          <w:rFonts w:hint="cs"/>
          <w:rtl/>
        </w:rPr>
        <w:t>נמצא כי</w:t>
      </w:r>
      <w:r w:rsidRPr="00C41DAF">
        <w:rPr>
          <w:rtl/>
        </w:rPr>
        <w:t xml:space="preserve"> למחוזות אין אפשרות לבדוק עבר משמעתי במקרה של עו</w:t>
      </w:r>
      <w:r>
        <w:rPr>
          <w:rFonts w:hint="cs"/>
          <w:rtl/>
        </w:rPr>
        <w:t>רך דין</w:t>
      </w:r>
      <w:r w:rsidRPr="00C41DAF">
        <w:rPr>
          <w:rtl/>
        </w:rPr>
        <w:t xml:space="preserve"> שעבר ממחוז למחוז והבדיקה לא נעשית, למעט במחוז צפון המחובר למערכת המ</w:t>
      </w:r>
      <w:r>
        <w:rPr>
          <w:rFonts w:hint="cs"/>
          <w:rtl/>
        </w:rPr>
        <w:t>מו</w:t>
      </w:r>
      <w:r w:rsidRPr="00C41DAF">
        <w:rPr>
          <w:rtl/>
        </w:rPr>
        <w:t>חשב</w:t>
      </w:r>
      <w:r>
        <w:rPr>
          <w:rFonts w:hint="cs"/>
          <w:rtl/>
        </w:rPr>
        <w:t>ת</w:t>
      </w:r>
      <w:r w:rsidRPr="00C41DAF">
        <w:rPr>
          <w:rtl/>
        </w:rPr>
        <w:t xml:space="preserve"> של הלשכה הארצית</w:t>
      </w:r>
      <w:r>
        <w:rPr>
          <w:rStyle w:val="FootnoteReference"/>
          <w:b/>
          <w:bCs/>
          <w:rtl/>
        </w:rPr>
        <w:footnoteReference w:id="60"/>
      </w:r>
      <w:r w:rsidRPr="00C41DAF">
        <w:rPr>
          <w:rtl/>
        </w:rPr>
        <w:t xml:space="preserve">. </w:t>
      </w:r>
      <w:r>
        <w:rPr>
          <w:rFonts w:hint="cs"/>
          <w:rtl/>
        </w:rPr>
        <w:t>ראוי שהלשכה תפעל להאחדת המערכת הממוחשבת של הלשכה והמחוזות, על מנת שהמידע שהגורמים השונים בלשכה ומחוזותיה נדרשים לו לצורך קבלת החלטות יעמוד לרשותם בצורה מלאה, נגישה ומעודכנת.</w:t>
      </w:r>
    </w:p>
    <w:p w14:paraId="27827520" w14:textId="77777777" w:rsidR="00387987" w:rsidRPr="00354FDB" w:rsidRDefault="00387987" w:rsidP="001460BB">
      <w:pPr>
        <w:pStyle w:val="af2"/>
        <w:rPr>
          <w:rtl/>
        </w:rPr>
      </w:pPr>
      <w:r w:rsidRPr="00354FDB">
        <w:rPr>
          <w:rFonts w:hint="cs"/>
          <w:rtl/>
        </w:rPr>
        <w:t xml:space="preserve">הלשכה מסרה בתשובתה כי </w:t>
      </w:r>
      <w:r w:rsidRPr="00354FDB">
        <w:rPr>
          <w:rtl/>
        </w:rPr>
        <w:t xml:space="preserve">סוגיית האחדתן של מערכות המחשוב של הלשכה הועלתה כבר לפני </w:t>
      </w:r>
      <w:r>
        <w:rPr>
          <w:rFonts w:hint="cs"/>
          <w:rtl/>
        </w:rPr>
        <w:t>עשר</w:t>
      </w:r>
      <w:r w:rsidRPr="00354FDB">
        <w:rPr>
          <w:rtl/>
        </w:rPr>
        <w:t xml:space="preserve"> שנים ונבחנה מאז </w:t>
      </w:r>
      <w:r>
        <w:rPr>
          <w:rFonts w:hint="cs"/>
          <w:rtl/>
        </w:rPr>
        <w:t>כמה</w:t>
      </w:r>
      <w:r w:rsidRPr="00354FDB">
        <w:rPr>
          <w:rtl/>
        </w:rPr>
        <w:t xml:space="preserve"> פעמים. </w:t>
      </w:r>
      <w:r>
        <w:rPr>
          <w:rFonts w:hint="cs"/>
          <w:rtl/>
        </w:rPr>
        <w:t xml:space="preserve">עם זאת, הלשכה </w:t>
      </w:r>
      <w:r w:rsidRPr="00354FDB">
        <w:rPr>
          <w:rFonts w:hint="cs"/>
          <w:rtl/>
        </w:rPr>
        <w:t xml:space="preserve">לא הצליחה להשיג את שיתוף הפעולה של המחוזות בעניין. </w:t>
      </w:r>
      <w:r w:rsidRPr="00354FDB">
        <w:rPr>
          <w:rtl/>
        </w:rPr>
        <w:t xml:space="preserve">עם כניסתו של תיקון 38 לתוקף, נכנס נושא האחדת המערכות לתוכנית העבודה. </w:t>
      </w:r>
      <w:r w:rsidRPr="00354FDB">
        <w:rPr>
          <w:rFonts w:hint="cs"/>
          <w:rtl/>
        </w:rPr>
        <w:t xml:space="preserve">הלשכה הוסיפה כי לאור </w:t>
      </w:r>
      <w:r>
        <w:rPr>
          <w:rFonts w:hint="cs"/>
          <w:rtl/>
        </w:rPr>
        <w:t>הערת הביקורת</w:t>
      </w:r>
      <w:r w:rsidRPr="00354FDB">
        <w:rPr>
          <w:rFonts w:hint="cs"/>
          <w:rtl/>
        </w:rPr>
        <w:t xml:space="preserve"> היא תפעל</w:t>
      </w:r>
      <w:r w:rsidRPr="00354FDB">
        <w:rPr>
          <w:rtl/>
        </w:rPr>
        <w:t xml:space="preserve"> </w:t>
      </w:r>
      <w:r w:rsidRPr="00354FDB">
        <w:rPr>
          <w:rFonts w:hint="cs"/>
          <w:rtl/>
        </w:rPr>
        <w:t xml:space="preserve">לכך </w:t>
      </w:r>
      <w:r w:rsidRPr="00354FDB">
        <w:rPr>
          <w:rFonts w:hint="cs"/>
          <w:rtl/>
        </w:rPr>
        <w:lastRenderedPageBreak/>
        <w:t>ש</w:t>
      </w:r>
      <w:r w:rsidRPr="00354FDB">
        <w:rPr>
          <w:rtl/>
        </w:rPr>
        <w:t>בקשות לאישור לאמן יועברו מעתה למחוזות הלשכה בצירוף ריכוז המידע על הרשעות קודמות</w:t>
      </w:r>
      <w:r>
        <w:rPr>
          <w:rFonts w:hint="cs"/>
          <w:rtl/>
        </w:rPr>
        <w:t>,</w:t>
      </w:r>
      <w:r w:rsidRPr="00354FDB">
        <w:rPr>
          <w:rtl/>
        </w:rPr>
        <w:t xml:space="preserve"> המצוי במערכות המ</w:t>
      </w:r>
      <w:r>
        <w:rPr>
          <w:rFonts w:hint="cs"/>
          <w:rtl/>
        </w:rPr>
        <w:t>מו</w:t>
      </w:r>
      <w:r w:rsidRPr="00354FDB">
        <w:rPr>
          <w:rtl/>
        </w:rPr>
        <w:t>חשב</w:t>
      </w:r>
      <w:r>
        <w:rPr>
          <w:rFonts w:hint="cs"/>
          <w:rtl/>
        </w:rPr>
        <w:t>ות</w:t>
      </w:r>
      <w:r w:rsidRPr="00354FDB">
        <w:rPr>
          <w:rtl/>
        </w:rPr>
        <w:t xml:space="preserve"> של המועצה הארצית.</w:t>
      </w:r>
    </w:p>
    <w:p w14:paraId="2BC3E3B8" w14:textId="77777777" w:rsidR="00387987" w:rsidRDefault="00387987" w:rsidP="001460BB">
      <w:pPr>
        <w:pStyle w:val="a1"/>
        <w:rPr>
          <w:b/>
          <w:bCs/>
        </w:rPr>
      </w:pPr>
      <w:r>
        <w:rPr>
          <w:rFonts w:hint="cs"/>
          <w:rtl/>
        </w:rPr>
        <w:t xml:space="preserve">בהתאם לנוהל ההתמחות הארצי, על עורך דין המבקש לאמן מתמחה להגיש לוועדת ההתמחות במחוז שבו הוא רשום טופס בקשה בצירוף תצהיר. על המחוז לבדוק שהטופס והתצהיר מולאו כנדרש, כי קיימים תנאים פיזיים ראויים להתמחות (לרבות שולחן אישי לעבודה, מחשב, ספרייה) ולבדוק עם ועדת האתיקה המחוזית האם קיימת כנגד המבקש לאמן תלונת אתיקה, הרשעה או השעיה בתוקף. אם הבקשה עומדת בכללים יעביר המחוז המלצה חיובית לוועד המרכזי לאשר לעורך הדין לאמן מתמחים. </w:t>
      </w:r>
    </w:p>
    <w:p w14:paraId="508A8A86" w14:textId="77777777" w:rsidR="00387987" w:rsidRDefault="00387987" w:rsidP="001460BB">
      <w:pPr>
        <w:pStyle w:val="12"/>
        <w:rPr>
          <w:rtl/>
        </w:rPr>
      </w:pPr>
      <w:r w:rsidRPr="00712300">
        <w:rPr>
          <w:rtl/>
        </w:rPr>
        <w:t xml:space="preserve">בביקורת נמצא כי </w:t>
      </w:r>
      <w:r>
        <w:rPr>
          <w:rFonts w:hint="cs"/>
          <w:rtl/>
        </w:rPr>
        <w:t xml:space="preserve">נוסף על נוהל ההתמחות הארצי, </w:t>
      </w:r>
      <w:r w:rsidRPr="00712300">
        <w:rPr>
          <w:rtl/>
        </w:rPr>
        <w:t xml:space="preserve">לכל מחוז כללים שונים בנוגע לאישור מאמנים. </w:t>
      </w:r>
      <w:r w:rsidRPr="00712300">
        <w:rPr>
          <w:rFonts w:hint="cs"/>
          <w:rtl/>
        </w:rPr>
        <w:t xml:space="preserve">להלן </w:t>
      </w:r>
      <w:r>
        <w:rPr>
          <w:rFonts w:hint="cs"/>
          <w:rtl/>
        </w:rPr>
        <w:t>בלוח</w:t>
      </w:r>
      <w:r w:rsidRPr="00712300">
        <w:rPr>
          <w:rFonts w:hint="cs"/>
          <w:rtl/>
        </w:rPr>
        <w:t xml:space="preserve"> פירוט ההבדלים שנמצאו בין המחוזות</w:t>
      </w:r>
      <w:r>
        <w:rPr>
          <w:rFonts w:hint="cs"/>
          <w:rtl/>
        </w:rPr>
        <w:t>:</w:t>
      </w:r>
    </w:p>
    <w:p w14:paraId="6DF10B45" w14:textId="77777777" w:rsidR="00387987" w:rsidRDefault="00387987" w:rsidP="00387987">
      <w:pPr>
        <w:bidi w:val="0"/>
        <w:spacing w:after="200" w:line="276" w:lineRule="auto"/>
        <w:rPr>
          <w:szCs w:val="20"/>
          <w:rtl/>
        </w:rPr>
      </w:pPr>
      <w:r>
        <w:rPr>
          <w:rtl/>
        </w:rPr>
        <w:br w:type="page"/>
      </w:r>
    </w:p>
    <w:p w14:paraId="6646C1F4" w14:textId="77777777" w:rsidR="00387987" w:rsidRPr="00094D5D" w:rsidRDefault="00387987" w:rsidP="00094D5D">
      <w:pPr>
        <w:pStyle w:val="a8"/>
        <w:rPr>
          <w:b/>
          <w:bCs/>
          <w:rtl/>
        </w:rPr>
      </w:pPr>
      <w:r>
        <w:rPr>
          <w:rFonts w:hint="cs"/>
          <w:rtl/>
        </w:rPr>
        <w:lastRenderedPageBreak/>
        <w:t>לוח</w:t>
      </w:r>
      <w:r w:rsidRPr="00D44033">
        <w:rPr>
          <w:rtl/>
        </w:rPr>
        <w:t xml:space="preserve"> </w:t>
      </w:r>
      <w:r>
        <w:rPr>
          <w:rFonts w:hint="cs"/>
          <w:rtl/>
        </w:rPr>
        <w:t>4</w:t>
      </w:r>
      <w:r w:rsidRPr="00D44033">
        <w:rPr>
          <w:rtl/>
        </w:rPr>
        <w:t xml:space="preserve">: </w:t>
      </w:r>
      <w:r w:rsidRPr="00094D5D">
        <w:rPr>
          <w:b/>
          <w:bCs/>
          <w:rtl/>
        </w:rPr>
        <w:t>הבדלים ב</w:t>
      </w:r>
      <w:r w:rsidRPr="00094D5D">
        <w:rPr>
          <w:rFonts w:hint="cs"/>
          <w:b/>
          <w:bCs/>
          <w:rtl/>
        </w:rPr>
        <w:t>דרכי ה</w:t>
      </w:r>
      <w:r w:rsidRPr="00094D5D">
        <w:rPr>
          <w:b/>
          <w:bCs/>
          <w:rtl/>
        </w:rPr>
        <w:t xml:space="preserve">טיפול בבקשות אישור לאמן במחוזות </w:t>
      </w:r>
      <w:r w:rsidRPr="00094D5D">
        <w:rPr>
          <w:rFonts w:hint="eastAsia"/>
          <w:b/>
          <w:bCs/>
          <w:rtl/>
        </w:rPr>
        <w:t>הלשכה</w:t>
      </w:r>
    </w:p>
    <w:tbl>
      <w:tblPr>
        <w:tblStyle w:val="4-41"/>
        <w:bidiVisual/>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358"/>
        <w:gridCol w:w="1359"/>
        <w:gridCol w:w="1358"/>
        <w:gridCol w:w="1359"/>
        <w:gridCol w:w="1359"/>
      </w:tblGrid>
      <w:tr w:rsidR="00387987" w:rsidRPr="003F0956" w14:paraId="66FF7456" w14:textId="77777777" w:rsidTr="00C316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9" w:type="dxa"/>
            <w:tcBorders>
              <w:top w:val="none" w:sz="0" w:space="0" w:color="auto"/>
              <w:left w:val="none" w:sz="0" w:space="0" w:color="auto"/>
              <w:bottom w:val="none" w:sz="0" w:space="0" w:color="auto"/>
              <w:right w:val="none" w:sz="0" w:space="0" w:color="auto"/>
            </w:tcBorders>
            <w:shd w:val="clear" w:color="auto" w:fill="C6D9F1"/>
            <w:vAlign w:val="bottom"/>
          </w:tcPr>
          <w:p w14:paraId="438B8801" w14:textId="77777777" w:rsidR="00387987" w:rsidRPr="00094D5D" w:rsidRDefault="00387987" w:rsidP="00094D5D">
            <w:pPr>
              <w:pStyle w:val="af"/>
              <w:rPr>
                <w:b/>
                <w:bCs/>
                <w:rtl/>
              </w:rPr>
            </w:pPr>
          </w:p>
        </w:tc>
        <w:tc>
          <w:tcPr>
            <w:tcW w:w="1358" w:type="dxa"/>
            <w:tcBorders>
              <w:top w:val="none" w:sz="0" w:space="0" w:color="auto"/>
              <w:left w:val="none" w:sz="0" w:space="0" w:color="auto"/>
              <w:bottom w:val="none" w:sz="0" w:space="0" w:color="auto"/>
              <w:right w:val="none" w:sz="0" w:space="0" w:color="auto"/>
            </w:tcBorders>
            <w:shd w:val="clear" w:color="auto" w:fill="C6D9F1"/>
            <w:vAlign w:val="bottom"/>
          </w:tcPr>
          <w:p w14:paraId="5AED6A73" w14:textId="77777777" w:rsidR="00387987" w:rsidRPr="00094D5D" w:rsidRDefault="00387987" w:rsidP="00094D5D">
            <w:pPr>
              <w:pStyle w:val="af"/>
              <w:cnfStyle w:val="100000000000" w:firstRow="1" w:lastRow="0" w:firstColumn="0" w:lastColumn="0" w:oddVBand="0" w:evenVBand="0" w:oddHBand="0" w:evenHBand="0" w:firstRowFirstColumn="0" w:firstRowLastColumn="0" w:lastRowFirstColumn="0" w:lastRowLastColumn="0"/>
              <w:rPr>
                <w:b/>
                <w:bCs/>
                <w:rtl/>
              </w:rPr>
            </w:pPr>
            <w:r w:rsidRPr="00094D5D">
              <w:rPr>
                <w:rFonts w:hint="cs"/>
                <w:b/>
                <w:bCs/>
                <w:rtl/>
              </w:rPr>
              <w:t>תל אביב</w:t>
            </w:r>
          </w:p>
        </w:tc>
        <w:tc>
          <w:tcPr>
            <w:tcW w:w="1359" w:type="dxa"/>
            <w:tcBorders>
              <w:top w:val="none" w:sz="0" w:space="0" w:color="auto"/>
              <w:left w:val="none" w:sz="0" w:space="0" w:color="auto"/>
              <w:bottom w:val="none" w:sz="0" w:space="0" w:color="auto"/>
              <w:right w:val="none" w:sz="0" w:space="0" w:color="auto"/>
            </w:tcBorders>
            <w:shd w:val="clear" w:color="auto" w:fill="C6D9F1"/>
            <w:vAlign w:val="bottom"/>
          </w:tcPr>
          <w:p w14:paraId="6119A0AE" w14:textId="77777777" w:rsidR="00387987" w:rsidRPr="00094D5D" w:rsidRDefault="00387987" w:rsidP="00094D5D">
            <w:pPr>
              <w:pStyle w:val="af"/>
              <w:cnfStyle w:val="100000000000" w:firstRow="1" w:lastRow="0" w:firstColumn="0" w:lastColumn="0" w:oddVBand="0" w:evenVBand="0" w:oddHBand="0" w:evenHBand="0" w:firstRowFirstColumn="0" w:firstRowLastColumn="0" w:lastRowFirstColumn="0" w:lastRowLastColumn="0"/>
              <w:rPr>
                <w:b/>
                <w:bCs/>
                <w:rtl/>
              </w:rPr>
            </w:pPr>
            <w:r w:rsidRPr="00094D5D">
              <w:rPr>
                <w:rFonts w:hint="cs"/>
                <w:b/>
                <w:bCs/>
                <w:rtl/>
              </w:rPr>
              <w:t>ירושלים</w:t>
            </w:r>
          </w:p>
        </w:tc>
        <w:tc>
          <w:tcPr>
            <w:tcW w:w="1358" w:type="dxa"/>
            <w:tcBorders>
              <w:top w:val="none" w:sz="0" w:space="0" w:color="auto"/>
              <w:left w:val="none" w:sz="0" w:space="0" w:color="auto"/>
              <w:bottom w:val="none" w:sz="0" w:space="0" w:color="auto"/>
              <w:right w:val="none" w:sz="0" w:space="0" w:color="auto"/>
            </w:tcBorders>
            <w:shd w:val="clear" w:color="auto" w:fill="C6D9F1"/>
            <w:vAlign w:val="bottom"/>
          </w:tcPr>
          <w:p w14:paraId="2F362A6C" w14:textId="77777777" w:rsidR="00387987" w:rsidRPr="00094D5D" w:rsidRDefault="00387987" w:rsidP="00094D5D">
            <w:pPr>
              <w:pStyle w:val="af"/>
              <w:cnfStyle w:val="100000000000" w:firstRow="1" w:lastRow="0" w:firstColumn="0" w:lastColumn="0" w:oddVBand="0" w:evenVBand="0" w:oddHBand="0" w:evenHBand="0" w:firstRowFirstColumn="0" w:firstRowLastColumn="0" w:lastRowFirstColumn="0" w:lastRowLastColumn="0"/>
              <w:rPr>
                <w:b/>
                <w:bCs/>
                <w:rtl/>
              </w:rPr>
            </w:pPr>
            <w:r w:rsidRPr="00094D5D">
              <w:rPr>
                <w:rFonts w:hint="cs"/>
                <w:b/>
                <w:bCs/>
                <w:rtl/>
              </w:rPr>
              <w:t>חיפה</w:t>
            </w:r>
          </w:p>
        </w:tc>
        <w:tc>
          <w:tcPr>
            <w:tcW w:w="1359" w:type="dxa"/>
            <w:tcBorders>
              <w:top w:val="none" w:sz="0" w:space="0" w:color="auto"/>
              <w:left w:val="none" w:sz="0" w:space="0" w:color="auto"/>
              <w:bottom w:val="none" w:sz="0" w:space="0" w:color="auto"/>
              <w:right w:val="none" w:sz="0" w:space="0" w:color="auto"/>
            </w:tcBorders>
            <w:shd w:val="clear" w:color="auto" w:fill="C6D9F1"/>
            <w:vAlign w:val="bottom"/>
          </w:tcPr>
          <w:p w14:paraId="4C064AB3" w14:textId="77777777" w:rsidR="00387987" w:rsidRPr="00094D5D" w:rsidRDefault="00387987" w:rsidP="00094D5D">
            <w:pPr>
              <w:pStyle w:val="af"/>
              <w:cnfStyle w:val="100000000000" w:firstRow="1" w:lastRow="0" w:firstColumn="0" w:lastColumn="0" w:oddVBand="0" w:evenVBand="0" w:oddHBand="0" w:evenHBand="0" w:firstRowFirstColumn="0" w:firstRowLastColumn="0" w:lastRowFirstColumn="0" w:lastRowLastColumn="0"/>
              <w:rPr>
                <w:b/>
                <w:bCs/>
                <w:rtl/>
              </w:rPr>
            </w:pPr>
            <w:r w:rsidRPr="00094D5D">
              <w:rPr>
                <w:rFonts w:hint="cs"/>
                <w:b/>
                <w:bCs/>
                <w:rtl/>
              </w:rPr>
              <w:t>באר שבע</w:t>
            </w:r>
          </w:p>
        </w:tc>
        <w:tc>
          <w:tcPr>
            <w:tcW w:w="1359" w:type="dxa"/>
            <w:tcBorders>
              <w:top w:val="none" w:sz="0" w:space="0" w:color="auto"/>
              <w:left w:val="none" w:sz="0" w:space="0" w:color="auto"/>
              <w:bottom w:val="none" w:sz="0" w:space="0" w:color="auto"/>
              <w:right w:val="none" w:sz="0" w:space="0" w:color="auto"/>
            </w:tcBorders>
            <w:shd w:val="clear" w:color="auto" w:fill="C6D9F1"/>
            <w:vAlign w:val="bottom"/>
          </w:tcPr>
          <w:p w14:paraId="286C8A39" w14:textId="77777777" w:rsidR="00387987" w:rsidRPr="00094D5D" w:rsidRDefault="00387987" w:rsidP="00094D5D">
            <w:pPr>
              <w:pStyle w:val="af"/>
              <w:cnfStyle w:val="100000000000" w:firstRow="1" w:lastRow="0" w:firstColumn="0" w:lastColumn="0" w:oddVBand="0" w:evenVBand="0" w:oddHBand="0" w:evenHBand="0" w:firstRowFirstColumn="0" w:firstRowLastColumn="0" w:lastRowFirstColumn="0" w:lastRowLastColumn="0"/>
              <w:rPr>
                <w:b/>
                <w:bCs/>
                <w:rtl/>
              </w:rPr>
            </w:pPr>
            <w:r w:rsidRPr="00094D5D">
              <w:rPr>
                <w:rFonts w:hint="cs"/>
                <w:b/>
                <w:bCs/>
                <w:rtl/>
              </w:rPr>
              <w:t>צפון</w:t>
            </w:r>
          </w:p>
        </w:tc>
      </w:tr>
      <w:tr w:rsidR="00387987" w14:paraId="26CED530" w14:textId="77777777" w:rsidTr="00C31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shd w:val="clear" w:color="auto" w:fill="auto"/>
            <w:vAlign w:val="bottom"/>
          </w:tcPr>
          <w:p w14:paraId="711EF9F4" w14:textId="77777777" w:rsidR="00387987" w:rsidRPr="00094D5D" w:rsidRDefault="00387987" w:rsidP="00094D5D">
            <w:pPr>
              <w:pStyle w:val="R"/>
              <w:rPr>
                <w:rtl/>
              </w:rPr>
            </w:pPr>
            <w:r w:rsidRPr="00094D5D">
              <w:rPr>
                <w:rFonts w:hint="cs"/>
                <w:rtl/>
              </w:rPr>
              <w:t>נתונים בדבר מספר המקרים שניתנה בהם המלצה שלא לאמן (2016 - 2018)</w:t>
            </w:r>
          </w:p>
        </w:tc>
        <w:tc>
          <w:tcPr>
            <w:tcW w:w="1358" w:type="dxa"/>
            <w:shd w:val="clear" w:color="auto" w:fill="auto"/>
            <w:vAlign w:val="bottom"/>
          </w:tcPr>
          <w:p w14:paraId="4C68095D"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קיימים (במועד הביקורת לא ניתן היה לקבלם)</w:t>
            </w:r>
          </w:p>
        </w:tc>
        <w:tc>
          <w:tcPr>
            <w:tcW w:w="1359" w:type="dxa"/>
            <w:shd w:val="clear" w:color="auto" w:fill="auto"/>
            <w:vAlign w:val="bottom"/>
          </w:tcPr>
          <w:p w14:paraId="4E3C1B36" w14:textId="57B03ED8"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192 הומלצו לאמן. 6 הומלצו שלא לאמן</w:t>
            </w:r>
          </w:p>
        </w:tc>
        <w:tc>
          <w:tcPr>
            <w:tcW w:w="1358" w:type="dxa"/>
            <w:shd w:val="clear" w:color="auto" w:fill="auto"/>
            <w:vAlign w:val="bottom"/>
          </w:tcPr>
          <w:p w14:paraId="72ECCC11" w14:textId="1F67D59D"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269 הומלצו לאמן. 22 הומלצו שלא לאמן</w:t>
            </w:r>
          </w:p>
        </w:tc>
        <w:tc>
          <w:tcPr>
            <w:tcW w:w="1359" w:type="dxa"/>
            <w:shd w:val="clear" w:color="auto" w:fill="auto"/>
            <w:vAlign w:val="bottom"/>
          </w:tcPr>
          <w:p w14:paraId="015DA622"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tl/>
              </w:rPr>
              <w:t>172 הומלצו לאמן. 5 הומלצו שלא לאמן</w:t>
            </w:r>
          </w:p>
        </w:tc>
        <w:tc>
          <w:tcPr>
            <w:tcW w:w="1359" w:type="dxa"/>
            <w:shd w:val="clear" w:color="auto" w:fill="auto"/>
            <w:vAlign w:val="bottom"/>
          </w:tcPr>
          <w:p w14:paraId="00BB26DE"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אין נתונים</w:t>
            </w:r>
          </w:p>
        </w:tc>
      </w:tr>
      <w:tr w:rsidR="00387987" w14:paraId="74F87AB1" w14:textId="77777777" w:rsidTr="00C31631">
        <w:tc>
          <w:tcPr>
            <w:cnfStyle w:val="001000000000" w:firstRow="0" w:lastRow="0" w:firstColumn="1" w:lastColumn="0" w:oddVBand="0" w:evenVBand="0" w:oddHBand="0" w:evenHBand="0" w:firstRowFirstColumn="0" w:firstRowLastColumn="0" w:lastRowFirstColumn="0" w:lastRowLastColumn="0"/>
            <w:tcW w:w="1299" w:type="dxa"/>
            <w:shd w:val="clear" w:color="auto" w:fill="auto"/>
            <w:vAlign w:val="bottom"/>
          </w:tcPr>
          <w:p w14:paraId="67D55CCD" w14:textId="77777777" w:rsidR="00387987" w:rsidRPr="00094D5D" w:rsidRDefault="00387987" w:rsidP="00094D5D">
            <w:pPr>
              <w:pStyle w:val="R"/>
              <w:rPr>
                <w:rtl/>
              </w:rPr>
            </w:pPr>
            <w:r w:rsidRPr="00094D5D">
              <w:rPr>
                <w:rFonts w:hint="cs"/>
                <w:rtl/>
              </w:rPr>
              <w:t>ועדה מחוזית לאישור מאמנים</w:t>
            </w:r>
          </w:p>
        </w:tc>
        <w:tc>
          <w:tcPr>
            <w:tcW w:w="1358" w:type="dxa"/>
            <w:shd w:val="clear" w:color="auto" w:fill="auto"/>
            <w:vAlign w:val="bottom"/>
          </w:tcPr>
          <w:p w14:paraId="7F56052A" w14:textId="77777777"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יש</w:t>
            </w:r>
          </w:p>
        </w:tc>
        <w:tc>
          <w:tcPr>
            <w:tcW w:w="1359" w:type="dxa"/>
            <w:shd w:val="clear" w:color="auto" w:fill="auto"/>
            <w:vAlign w:val="bottom"/>
          </w:tcPr>
          <w:p w14:paraId="221118F1" w14:textId="77777777"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יש</w:t>
            </w:r>
          </w:p>
        </w:tc>
        <w:tc>
          <w:tcPr>
            <w:tcW w:w="1358" w:type="dxa"/>
            <w:shd w:val="clear" w:color="auto" w:fill="auto"/>
            <w:vAlign w:val="bottom"/>
          </w:tcPr>
          <w:p w14:paraId="04F6929F" w14:textId="77777777"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יש</w:t>
            </w:r>
          </w:p>
        </w:tc>
        <w:tc>
          <w:tcPr>
            <w:tcW w:w="1359" w:type="dxa"/>
            <w:shd w:val="clear" w:color="auto" w:fill="auto"/>
            <w:vAlign w:val="bottom"/>
          </w:tcPr>
          <w:p w14:paraId="026392AA" w14:textId="77777777"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אין. ועד המחוז מטפל בבקשות</w:t>
            </w:r>
          </w:p>
        </w:tc>
        <w:tc>
          <w:tcPr>
            <w:tcW w:w="1359" w:type="dxa"/>
            <w:shd w:val="clear" w:color="auto" w:fill="auto"/>
            <w:vAlign w:val="bottom"/>
          </w:tcPr>
          <w:p w14:paraId="40FE4060" w14:textId="77777777"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אין. מנגנון המחוז מטפל בבקשות</w:t>
            </w:r>
          </w:p>
        </w:tc>
      </w:tr>
      <w:tr w:rsidR="00387987" w14:paraId="11F77119" w14:textId="77777777" w:rsidTr="00C31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shd w:val="clear" w:color="auto" w:fill="auto"/>
            <w:vAlign w:val="bottom"/>
          </w:tcPr>
          <w:p w14:paraId="7B87C4A5" w14:textId="77777777" w:rsidR="00387987" w:rsidRPr="00094D5D" w:rsidRDefault="00387987" w:rsidP="00094D5D">
            <w:pPr>
              <w:pStyle w:val="R"/>
              <w:rPr>
                <w:rtl/>
              </w:rPr>
            </w:pPr>
            <w:r w:rsidRPr="00094D5D">
              <w:rPr>
                <w:rFonts w:hint="cs"/>
                <w:rtl/>
              </w:rPr>
              <w:t>נוהל עבודה</w:t>
            </w:r>
          </w:p>
        </w:tc>
        <w:tc>
          <w:tcPr>
            <w:tcW w:w="1358" w:type="dxa"/>
            <w:shd w:val="clear" w:color="auto" w:fill="auto"/>
            <w:vAlign w:val="bottom"/>
          </w:tcPr>
          <w:p w14:paraId="228FE0F5"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עד 2019 ללא נוהל. משנת 2019 נוהל פנימי שאינו תואם במלואו את הנוהל הארצי</w:t>
            </w:r>
          </w:p>
        </w:tc>
        <w:tc>
          <w:tcPr>
            <w:tcW w:w="1359" w:type="dxa"/>
            <w:shd w:val="clear" w:color="auto" w:fill="auto"/>
            <w:vAlign w:val="bottom"/>
          </w:tcPr>
          <w:p w14:paraId="04B5E9F4"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נוסח נוהל התמחות ארצי שאינו תואם במלואו את נוסח הנוהל של הוועד המרכזי</w:t>
            </w:r>
          </w:p>
        </w:tc>
        <w:tc>
          <w:tcPr>
            <w:tcW w:w="1358" w:type="dxa"/>
            <w:shd w:val="clear" w:color="auto" w:fill="auto"/>
            <w:vAlign w:val="bottom"/>
          </w:tcPr>
          <w:p w14:paraId="51DCEC0A"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 xml:space="preserve">נוסח </w:t>
            </w:r>
            <w:r w:rsidRPr="00094D5D">
              <w:rPr>
                <w:rtl/>
              </w:rPr>
              <w:t xml:space="preserve">נוהל </w:t>
            </w:r>
            <w:r w:rsidRPr="00094D5D">
              <w:rPr>
                <w:rFonts w:hint="cs"/>
                <w:rtl/>
              </w:rPr>
              <w:t xml:space="preserve">התמחות </w:t>
            </w:r>
            <w:r w:rsidRPr="00094D5D">
              <w:rPr>
                <w:rtl/>
              </w:rPr>
              <w:t>ארצי שאינו תואם במלואו את נוסח הנוהל של הוועד המרכזי</w:t>
            </w:r>
          </w:p>
        </w:tc>
        <w:tc>
          <w:tcPr>
            <w:tcW w:w="1359" w:type="dxa"/>
            <w:shd w:val="clear" w:color="auto" w:fill="auto"/>
            <w:vAlign w:val="bottom"/>
          </w:tcPr>
          <w:p w14:paraId="23581087"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tl/>
              </w:rPr>
              <w:t>נ</w:t>
            </w:r>
            <w:r w:rsidRPr="00094D5D">
              <w:rPr>
                <w:rFonts w:hint="cs"/>
                <w:rtl/>
              </w:rPr>
              <w:t>וסח נ</w:t>
            </w:r>
            <w:r w:rsidRPr="00094D5D">
              <w:rPr>
                <w:rtl/>
              </w:rPr>
              <w:t xml:space="preserve">והל </w:t>
            </w:r>
            <w:r w:rsidRPr="00094D5D">
              <w:rPr>
                <w:rFonts w:hint="cs"/>
                <w:rtl/>
              </w:rPr>
              <w:t xml:space="preserve">התמחות </w:t>
            </w:r>
            <w:r w:rsidRPr="00094D5D">
              <w:rPr>
                <w:rtl/>
              </w:rPr>
              <w:t>ארצי שאינו תואם במלואו את נוסח הנוהל של הוועד המרכזי</w:t>
            </w:r>
          </w:p>
        </w:tc>
        <w:tc>
          <w:tcPr>
            <w:tcW w:w="1359" w:type="dxa"/>
            <w:shd w:val="clear" w:color="auto" w:fill="auto"/>
            <w:vAlign w:val="bottom"/>
          </w:tcPr>
          <w:p w14:paraId="047EDD2B"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לא הועברו נהלים</w:t>
            </w:r>
          </w:p>
        </w:tc>
      </w:tr>
      <w:tr w:rsidR="00387987" w14:paraId="646F5B45" w14:textId="77777777" w:rsidTr="00C31631">
        <w:tc>
          <w:tcPr>
            <w:cnfStyle w:val="001000000000" w:firstRow="0" w:lastRow="0" w:firstColumn="1" w:lastColumn="0" w:oddVBand="0" w:evenVBand="0" w:oddHBand="0" w:evenHBand="0" w:firstRowFirstColumn="0" w:firstRowLastColumn="0" w:lastRowFirstColumn="0" w:lastRowLastColumn="0"/>
            <w:tcW w:w="1299" w:type="dxa"/>
            <w:shd w:val="clear" w:color="auto" w:fill="auto"/>
            <w:vAlign w:val="bottom"/>
          </w:tcPr>
          <w:p w14:paraId="5CBA8194" w14:textId="77777777" w:rsidR="00387987" w:rsidRPr="00094D5D" w:rsidRDefault="00387987" w:rsidP="00094D5D">
            <w:pPr>
              <w:pStyle w:val="R"/>
              <w:rPr>
                <w:rtl/>
              </w:rPr>
            </w:pPr>
            <w:r w:rsidRPr="00094D5D">
              <w:rPr>
                <w:rFonts w:hint="cs"/>
                <w:rtl/>
              </w:rPr>
              <w:t>בדיקה בשטח בדבר קיום תנאים פיזיים להתמחות</w:t>
            </w:r>
          </w:p>
        </w:tc>
        <w:tc>
          <w:tcPr>
            <w:tcW w:w="1358" w:type="dxa"/>
            <w:shd w:val="clear" w:color="auto" w:fill="auto"/>
            <w:vAlign w:val="bottom"/>
          </w:tcPr>
          <w:p w14:paraId="7A09FF20" w14:textId="77777777"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לא מבצעים. עמדתם היא כי רק לוועדה הארצית סמכות לבצע</w:t>
            </w:r>
          </w:p>
        </w:tc>
        <w:tc>
          <w:tcPr>
            <w:tcW w:w="1359" w:type="dxa"/>
            <w:shd w:val="clear" w:color="auto" w:fill="auto"/>
            <w:vAlign w:val="bottom"/>
          </w:tcPr>
          <w:p w14:paraId="6C8D7232" w14:textId="6041CF08"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לא מבצעים</w:t>
            </w:r>
          </w:p>
        </w:tc>
        <w:tc>
          <w:tcPr>
            <w:tcW w:w="1358" w:type="dxa"/>
            <w:shd w:val="clear" w:color="auto" w:fill="auto"/>
            <w:vAlign w:val="bottom"/>
          </w:tcPr>
          <w:p w14:paraId="0962E6DF" w14:textId="77777777"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מבצעים. נעשו 3 בדיקות מאז שנת 2016</w:t>
            </w:r>
          </w:p>
        </w:tc>
        <w:tc>
          <w:tcPr>
            <w:tcW w:w="1359" w:type="dxa"/>
            <w:shd w:val="clear" w:color="auto" w:fill="auto"/>
            <w:vAlign w:val="bottom"/>
          </w:tcPr>
          <w:p w14:paraId="323FB27C" w14:textId="77777777"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לא מבצעים</w:t>
            </w:r>
          </w:p>
        </w:tc>
        <w:tc>
          <w:tcPr>
            <w:tcW w:w="1359" w:type="dxa"/>
            <w:shd w:val="clear" w:color="auto" w:fill="auto"/>
            <w:vAlign w:val="bottom"/>
          </w:tcPr>
          <w:p w14:paraId="50AEFEBC" w14:textId="77777777" w:rsidR="00387987" w:rsidRPr="00094D5D" w:rsidRDefault="00387987" w:rsidP="00094D5D">
            <w:pPr>
              <w:pStyle w:val="R"/>
              <w:cnfStyle w:val="000000000000" w:firstRow="0" w:lastRow="0" w:firstColumn="0" w:lastColumn="0" w:oddVBand="0" w:evenVBand="0" w:oddHBand="0" w:evenHBand="0" w:firstRowFirstColumn="0" w:firstRowLastColumn="0" w:lastRowFirstColumn="0" w:lastRowLastColumn="0"/>
              <w:rPr>
                <w:rtl/>
              </w:rPr>
            </w:pPr>
            <w:r w:rsidRPr="00094D5D">
              <w:rPr>
                <w:rFonts w:hint="cs"/>
                <w:rtl/>
              </w:rPr>
              <w:t>לא מבצעים. מסתפקים בתצהיר המאמן</w:t>
            </w:r>
          </w:p>
        </w:tc>
      </w:tr>
      <w:tr w:rsidR="00387987" w14:paraId="566EABBE" w14:textId="77777777" w:rsidTr="00C31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shd w:val="clear" w:color="auto" w:fill="auto"/>
            <w:vAlign w:val="bottom"/>
          </w:tcPr>
          <w:p w14:paraId="1F0D5244" w14:textId="77777777" w:rsidR="00387987" w:rsidRPr="00094D5D" w:rsidRDefault="00387987" w:rsidP="00094D5D">
            <w:pPr>
              <w:pStyle w:val="R"/>
              <w:rPr>
                <w:rtl/>
              </w:rPr>
            </w:pPr>
            <w:r w:rsidRPr="00094D5D">
              <w:rPr>
                <w:rFonts w:hint="cs"/>
                <w:rtl/>
              </w:rPr>
              <w:t xml:space="preserve">בדיקת הרשעות משמעתיות של המאמן במחוז </w:t>
            </w:r>
            <w:r w:rsidRPr="00094D5D">
              <w:rPr>
                <w:rFonts w:hint="cs"/>
                <w:rtl/>
              </w:rPr>
              <w:lastRenderedPageBreak/>
              <w:t>ובמחוזות אחרים</w:t>
            </w:r>
            <w:r w:rsidRPr="00C31631">
              <w:rPr>
                <w:rStyle w:val="FootnoteReference"/>
                <w:rtl/>
              </w:rPr>
              <w:footnoteReference w:id="61"/>
            </w:r>
          </w:p>
        </w:tc>
        <w:tc>
          <w:tcPr>
            <w:tcW w:w="1358" w:type="dxa"/>
            <w:shd w:val="clear" w:color="auto" w:fill="auto"/>
            <w:vAlign w:val="bottom"/>
          </w:tcPr>
          <w:p w14:paraId="5D19B944"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lastRenderedPageBreak/>
              <w:t>רק במחוז</w:t>
            </w:r>
          </w:p>
        </w:tc>
        <w:tc>
          <w:tcPr>
            <w:tcW w:w="1359" w:type="dxa"/>
            <w:shd w:val="clear" w:color="auto" w:fill="auto"/>
            <w:vAlign w:val="bottom"/>
          </w:tcPr>
          <w:p w14:paraId="3EE5593E"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 xml:space="preserve">רק במחוז אלא אם המבקש הצהיר על עבר </w:t>
            </w:r>
            <w:r w:rsidRPr="00094D5D">
              <w:rPr>
                <w:rFonts w:hint="cs"/>
                <w:rtl/>
              </w:rPr>
              <w:lastRenderedPageBreak/>
              <w:t>משמעתי במחוז אחר</w:t>
            </w:r>
          </w:p>
        </w:tc>
        <w:tc>
          <w:tcPr>
            <w:tcW w:w="1358" w:type="dxa"/>
            <w:shd w:val="clear" w:color="auto" w:fill="auto"/>
            <w:vAlign w:val="bottom"/>
          </w:tcPr>
          <w:p w14:paraId="7F9D7CCE"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lastRenderedPageBreak/>
              <w:t>רק במחוז</w:t>
            </w:r>
          </w:p>
        </w:tc>
        <w:tc>
          <w:tcPr>
            <w:tcW w:w="1359" w:type="dxa"/>
            <w:shd w:val="clear" w:color="auto" w:fill="auto"/>
            <w:vAlign w:val="bottom"/>
          </w:tcPr>
          <w:p w14:paraId="57C9F082"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מבצעים</w:t>
            </w:r>
          </w:p>
        </w:tc>
        <w:tc>
          <w:tcPr>
            <w:tcW w:w="1359" w:type="dxa"/>
            <w:shd w:val="clear" w:color="auto" w:fill="auto"/>
            <w:vAlign w:val="bottom"/>
          </w:tcPr>
          <w:p w14:paraId="791C86DC" w14:textId="77777777" w:rsidR="00387987" w:rsidRPr="00094D5D" w:rsidRDefault="00387987" w:rsidP="00094D5D">
            <w:pPr>
              <w:pStyle w:val="R"/>
              <w:cnfStyle w:val="000000100000" w:firstRow="0" w:lastRow="0" w:firstColumn="0" w:lastColumn="0" w:oddVBand="0" w:evenVBand="0" w:oddHBand="1" w:evenHBand="0" w:firstRowFirstColumn="0" w:firstRowLastColumn="0" w:lastRowFirstColumn="0" w:lastRowLastColumn="0"/>
              <w:rPr>
                <w:rtl/>
              </w:rPr>
            </w:pPr>
            <w:r w:rsidRPr="00094D5D">
              <w:rPr>
                <w:rFonts w:hint="cs"/>
                <w:rtl/>
              </w:rPr>
              <w:t>מבצעים</w:t>
            </w:r>
          </w:p>
        </w:tc>
      </w:tr>
      <w:tr w:rsidR="00387987" w14:paraId="12C73D43" w14:textId="77777777" w:rsidTr="00C31631">
        <w:tc>
          <w:tcPr>
            <w:cnfStyle w:val="001000000000" w:firstRow="0" w:lastRow="0" w:firstColumn="1" w:lastColumn="0" w:oddVBand="0" w:evenVBand="0" w:oddHBand="0" w:evenHBand="0" w:firstRowFirstColumn="0" w:firstRowLastColumn="0" w:lastRowFirstColumn="0" w:lastRowLastColumn="0"/>
            <w:tcW w:w="1299" w:type="dxa"/>
            <w:shd w:val="clear" w:color="auto" w:fill="auto"/>
            <w:vAlign w:val="bottom"/>
          </w:tcPr>
          <w:p w14:paraId="6EBF81BF" w14:textId="77777777" w:rsidR="00387987" w:rsidRPr="00094D5D" w:rsidRDefault="00387987" w:rsidP="00094D5D">
            <w:pPr>
              <w:pStyle w:val="R"/>
              <w:rPr>
                <w:rtl/>
              </w:rPr>
            </w:pPr>
            <w:r w:rsidRPr="00094D5D">
              <w:rPr>
                <w:rFonts w:hint="cs"/>
                <w:rtl/>
              </w:rPr>
              <w:t>המלצה לסירוב מועברת לאישור המחוז כקבוע בנוהל</w:t>
            </w:r>
          </w:p>
        </w:tc>
        <w:tc>
          <w:tcPr>
            <w:tcW w:w="1358" w:type="dxa"/>
            <w:shd w:val="clear" w:color="auto" w:fill="auto"/>
            <w:vAlign w:val="bottom"/>
          </w:tcPr>
          <w:p w14:paraId="43E1618A" w14:textId="77777777" w:rsidR="00387987" w:rsidRPr="00C31631" w:rsidRDefault="00387987" w:rsidP="00C31631">
            <w:pPr>
              <w:pStyle w:val="R"/>
              <w:cnfStyle w:val="000000000000" w:firstRow="0" w:lastRow="0" w:firstColumn="0" w:lastColumn="0" w:oddVBand="0" w:evenVBand="0" w:oddHBand="0" w:evenHBand="0" w:firstRowFirstColumn="0" w:firstRowLastColumn="0" w:lastRowFirstColumn="0" w:lastRowLastColumn="0"/>
              <w:rPr>
                <w:rtl/>
              </w:rPr>
            </w:pPr>
            <w:r w:rsidRPr="00C31631">
              <w:rPr>
                <w:rFonts w:hint="cs"/>
                <w:rtl/>
              </w:rPr>
              <w:t>לא. הכרעה בוועדה המחוזית בלבד</w:t>
            </w:r>
          </w:p>
        </w:tc>
        <w:tc>
          <w:tcPr>
            <w:tcW w:w="1359" w:type="dxa"/>
            <w:shd w:val="clear" w:color="auto" w:fill="auto"/>
            <w:vAlign w:val="bottom"/>
          </w:tcPr>
          <w:p w14:paraId="3867CD5D" w14:textId="77777777" w:rsidR="00387987" w:rsidRPr="00C31631" w:rsidRDefault="00387987" w:rsidP="00C31631">
            <w:pPr>
              <w:pStyle w:val="R"/>
              <w:cnfStyle w:val="000000000000" w:firstRow="0" w:lastRow="0" w:firstColumn="0" w:lastColumn="0" w:oddVBand="0" w:evenVBand="0" w:oddHBand="0" w:evenHBand="0" w:firstRowFirstColumn="0" w:firstRowLastColumn="0" w:lastRowFirstColumn="0" w:lastRowLastColumn="0"/>
              <w:rPr>
                <w:rtl/>
              </w:rPr>
            </w:pPr>
            <w:r w:rsidRPr="00C31631">
              <w:rPr>
                <w:rFonts w:hint="cs"/>
                <w:rtl/>
              </w:rPr>
              <w:t xml:space="preserve">לא. הכרעה בוועדה </w:t>
            </w:r>
          </w:p>
          <w:p w14:paraId="013E47A6" w14:textId="7490560B" w:rsidR="00387987" w:rsidRPr="00C31631" w:rsidRDefault="00387987" w:rsidP="00C31631">
            <w:pPr>
              <w:pStyle w:val="R"/>
              <w:cnfStyle w:val="000000000000" w:firstRow="0" w:lastRow="0" w:firstColumn="0" w:lastColumn="0" w:oddVBand="0" w:evenVBand="0" w:oddHBand="0" w:evenHBand="0" w:firstRowFirstColumn="0" w:firstRowLastColumn="0" w:lastRowFirstColumn="0" w:lastRowLastColumn="0"/>
              <w:rPr>
                <w:rtl/>
              </w:rPr>
            </w:pPr>
            <w:r w:rsidRPr="00C31631">
              <w:rPr>
                <w:rFonts w:hint="cs"/>
                <w:rtl/>
              </w:rPr>
              <w:t>המחוזית בלבד</w:t>
            </w:r>
          </w:p>
        </w:tc>
        <w:tc>
          <w:tcPr>
            <w:tcW w:w="1358" w:type="dxa"/>
            <w:shd w:val="clear" w:color="auto" w:fill="auto"/>
            <w:vAlign w:val="bottom"/>
          </w:tcPr>
          <w:p w14:paraId="4D4F5D22" w14:textId="77777777" w:rsidR="00387987" w:rsidRPr="00C31631" w:rsidRDefault="00387987" w:rsidP="00C31631">
            <w:pPr>
              <w:pStyle w:val="R"/>
              <w:cnfStyle w:val="000000000000" w:firstRow="0" w:lastRow="0" w:firstColumn="0" w:lastColumn="0" w:oddVBand="0" w:evenVBand="0" w:oddHBand="0" w:evenHBand="0" w:firstRowFirstColumn="0" w:firstRowLastColumn="0" w:lastRowFirstColumn="0" w:lastRowLastColumn="0"/>
              <w:rPr>
                <w:rtl/>
              </w:rPr>
            </w:pPr>
            <w:r w:rsidRPr="00C31631">
              <w:rPr>
                <w:rFonts w:hint="cs"/>
                <w:rtl/>
              </w:rPr>
              <w:t>לא. הכרעה בוועדה המחוזית בלבד</w:t>
            </w:r>
          </w:p>
        </w:tc>
        <w:tc>
          <w:tcPr>
            <w:tcW w:w="1359" w:type="dxa"/>
            <w:shd w:val="clear" w:color="auto" w:fill="auto"/>
            <w:vAlign w:val="bottom"/>
          </w:tcPr>
          <w:p w14:paraId="78B4B32C" w14:textId="77777777" w:rsidR="00387987" w:rsidRPr="00C31631" w:rsidRDefault="00387987" w:rsidP="00C31631">
            <w:pPr>
              <w:pStyle w:val="R"/>
              <w:cnfStyle w:val="000000000000" w:firstRow="0" w:lastRow="0" w:firstColumn="0" w:lastColumn="0" w:oddVBand="0" w:evenVBand="0" w:oddHBand="0" w:evenHBand="0" w:firstRowFirstColumn="0" w:firstRowLastColumn="0" w:lastRowFirstColumn="0" w:lastRowLastColumn="0"/>
              <w:rPr>
                <w:rtl/>
              </w:rPr>
            </w:pPr>
            <w:r w:rsidRPr="00C31631">
              <w:rPr>
                <w:rFonts w:hint="cs"/>
                <w:rtl/>
              </w:rPr>
              <w:t>כן</w:t>
            </w:r>
          </w:p>
        </w:tc>
        <w:tc>
          <w:tcPr>
            <w:tcW w:w="1359" w:type="dxa"/>
            <w:shd w:val="clear" w:color="auto" w:fill="auto"/>
            <w:vAlign w:val="bottom"/>
          </w:tcPr>
          <w:p w14:paraId="474A91C6" w14:textId="77777777" w:rsidR="00387987" w:rsidRPr="00C31631" w:rsidRDefault="00387987" w:rsidP="00C31631">
            <w:pPr>
              <w:pStyle w:val="R"/>
              <w:cnfStyle w:val="000000000000" w:firstRow="0" w:lastRow="0" w:firstColumn="0" w:lastColumn="0" w:oddVBand="0" w:evenVBand="0" w:oddHBand="0" w:evenHBand="0" w:firstRowFirstColumn="0" w:firstRowLastColumn="0" w:lastRowFirstColumn="0" w:lastRowLastColumn="0"/>
              <w:rPr>
                <w:rtl/>
              </w:rPr>
            </w:pPr>
            <w:r w:rsidRPr="00C31631">
              <w:rPr>
                <w:rFonts w:hint="cs"/>
                <w:rtl/>
              </w:rPr>
              <w:t>לא. הכרעה במנגנון המחוז בלבד</w:t>
            </w:r>
          </w:p>
        </w:tc>
      </w:tr>
      <w:tr w:rsidR="00387987" w14:paraId="3C16B50A" w14:textId="77777777" w:rsidTr="00C31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shd w:val="clear" w:color="auto" w:fill="auto"/>
            <w:vAlign w:val="bottom"/>
          </w:tcPr>
          <w:p w14:paraId="0085EF23" w14:textId="77777777" w:rsidR="00387987" w:rsidRPr="00094D5D" w:rsidRDefault="00387987" w:rsidP="00094D5D">
            <w:pPr>
              <w:pStyle w:val="R"/>
              <w:rPr>
                <w:rtl/>
              </w:rPr>
            </w:pPr>
            <w:r w:rsidRPr="00094D5D">
              <w:rPr>
                <w:rFonts w:hint="cs"/>
                <w:rtl/>
              </w:rPr>
              <w:t>המלצה לביטול אישור לאמן ביוזמת המחוז</w:t>
            </w:r>
          </w:p>
          <w:p w14:paraId="2D33C33E" w14:textId="77777777" w:rsidR="00387987" w:rsidRPr="00094D5D" w:rsidRDefault="00387987" w:rsidP="00094D5D">
            <w:pPr>
              <w:pStyle w:val="R"/>
              <w:rPr>
                <w:rtl/>
              </w:rPr>
            </w:pPr>
            <w:r w:rsidRPr="00094D5D">
              <w:rPr>
                <w:rFonts w:hint="cs"/>
                <w:rtl/>
              </w:rPr>
              <w:t xml:space="preserve"> במקרה שהמאמן הורשע בעבירה משמעתית</w:t>
            </w:r>
          </w:p>
        </w:tc>
        <w:tc>
          <w:tcPr>
            <w:tcW w:w="1358" w:type="dxa"/>
            <w:shd w:val="clear" w:color="auto" w:fill="auto"/>
            <w:vAlign w:val="bottom"/>
          </w:tcPr>
          <w:p w14:paraId="35D5FDD6" w14:textId="77777777" w:rsidR="00387987" w:rsidRPr="00C31631" w:rsidRDefault="00387987" w:rsidP="00C31631">
            <w:pPr>
              <w:pStyle w:val="R"/>
              <w:cnfStyle w:val="000000100000" w:firstRow="0" w:lastRow="0" w:firstColumn="0" w:lastColumn="0" w:oddVBand="0" w:evenVBand="0" w:oddHBand="1" w:evenHBand="0" w:firstRowFirstColumn="0" w:firstRowLastColumn="0" w:lastRowFirstColumn="0" w:lastRowLastColumn="0"/>
              <w:rPr>
                <w:rtl/>
              </w:rPr>
            </w:pPr>
            <w:r w:rsidRPr="00C31631">
              <w:rPr>
                <w:rFonts w:hint="cs"/>
                <w:rtl/>
              </w:rPr>
              <w:t>לא נעשה</w:t>
            </w:r>
          </w:p>
        </w:tc>
        <w:tc>
          <w:tcPr>
            <w:tcW w:w="1359" w:type="dxa"/>
            <w:shd w:val="clear" w:color="auto" w:fill="auto"/>
            <w:vAlign w:val="bottom"/>
          </w:tcPr>
          <w:p w14:paraId="6D77D7B0" w14:textId="77777777" w:rsidR="00387987" w:rsidRPr="00C31631" w:rsidRDefault="00387987" w:rsidP="00C31631">
            <w:pPr>
              <w:pStyle w:val="R"/>
              <w:cnfStyle w:val="000000100000" w:firstRow="0" w:lastRow="0" w:firstColumn="0" w:lastColumn="0" w:oddVBand="0" w:evenVBand="0" w:oddHBand="1" w:evenHBand="0" w:firstRowFirstColumn="0" w:firstRowLastColumn="0" w:lastRowFirstColumn="0" w:lastRowLastColumn="0"/>
              <w:rPr>
                <w:rtl/>
              </w:rPr>
            </w:pPr>
            <w:r w:rsidRPr="00C31631">
              <w:rPr>
                <w:rFonts w:hint="cs"/>
                <w:rtl/>
              </w:rPr>
              <w:t>לא נעשה</w:t>
            </w:r>
          </w:p>
        </w:tc>
        <w:tc>
          <w:tcPr>
            <w:tcW w:w="1358" w:type="dxa"/>
            <w:shd w:val="clear" w:color="auto" w:fill="auto"/>
            <w:vAlign w:val="bottom"/>
          </w:tcPr>
          <w:p w14:paraId="299A7479" w14:textId="77777777" w:rsidR="00387987" w:rsidRPr="00C31631" w:rsidRDefault="00387987" w:rsidP="00C31631">
            <w:pPr>
              <w:pStyle w:val="R"/>
              <w:cnfStyle w:val="000000100000" w:firstRow="0" w:lastRow="0" w:firstColumn="0" w:lastColumn="0" w:oddVBand="0" w:evenVBand="0" w:oddHBand="1" w:evenHBand="0" w:firstRowFirstColumn="0" w:firstRowLastColumn="0" w:lastRowFirstColumn="0" w:lastRowLastColumn="0"/>
              <w:rPr>
                <w:rtl/>
              </w:rPr>
            </w:pPr>
            <w:r w:rsidRPr="00C31631">
              <w:rPr>
                <w:rFonts w:hint="cs"/>
                <w:rtl/>
              </w:rPr>
              <w:t>לא נעשה</w:t>
            </w:r>
          </w:p>
        </w:tc>
        <w:tc>
          <w:tcPr>
            <w:tcW w:w="1359" w:type="dxa"/>
            <w:shd w:val="clear" w:color="auto" w:fill="auto"/>
            <w:vAlign w:val="bottom"/>
          </w:tcPr>
          <w:p w14:paraId="25731169" w14:textId="77777777" w:rsidR="00387987" w:rsidRPr="00C31631" w:rsidRDefault="00387987" w:rsidP="00C31631">
            <w:pPr>
              <w:pStyle w:val="R"/>
              <w:cnfStyle w:val="000000100000" w:firstRow="0" w:lastRow="0" w:firstColumn="0" w:lastColumn="0" w:oddVBand="0" w:evenVBand="0" w:oddHBand="1" w:evenHBand="0" w:firstRowFirstColumn="0" w:firstRowLastColumn="0" w:lastRowFirstColumn="0" w:lastRowLastColumn="0"/>
              <w:rPr>
                <w:rtl/>
              </w:rPr>
            </w:pPr>
            <w:r w:rsidRPr="00C31631">
              <w:rPr>
                <w:rFonts w:hint="cs"/>
                <w:rtl/>
              </w:rPr>
              <w:t>לא נעשה</w:t>
            </w:r>
          </w:p>
        </w:tc>
        <w:tc>
          <w:tcPr>
            <w:tcW w:w="1359" w:type="dxa"/>
            <w:shd w:val="clear" w:color="auto" w:fill="auto"/>
            <w:vAlign w:val="bottom"/>
          </w:tcPr>
          <w:p w14:paraId="4A6FBF9D" w14:textId="77777777" w:rsidR="00387987" w:rsidRPr="00C31631" w:rsidRDefault="00387987" w:rsidP="00C31631">
            <w:pPr>
              <w:pStyle w:val="R"/>
              <w:cnfStyle w:val="000000100000" w:firstRow="0" w:lastRow="0" w:firstColumn="0" w:lastColumn="0" w:oddVBand="0" w:evenVBand="0" w:oddHBand="1" w:evenHBand="0" w:firstRowFirstColumn="0" w:firstRowLastColumn="0" w:lastRowFirstColumn="0" w:lastRowLastColumn="0"/>
              <w:rPr>
                <w:rtl/>
              </w:rPr>
            </w:pPr>
            <w:r w:rsidRPr="00C31631">
              <w:rPr>
                <w:rFonts w:hint="cs"/>
                <w:rtl/>
              </w:rPr>
              <w:t>לא נעשה</w:t>
            </w:r>
          </w:p>
        </w:tc>
      </w:tr>
    </w:tbl>
    <w:p w14:paraId="4E2C13A7" w14:textId="0566D0A8" w:rsidR="00387987" w:rsidRDefault="00387987" w:rsidP="00B50878">
      <w:pPr>
        <w:pStyle w:val="100"/>
        <w:rPr>
          <w:rtl/>
        </w:rPr>
      </w:pPr>
    </w:p>
    <w:p w14:paraId="0BFAD167" w14:textId="77777777" w:rsidR="00387987" w:rsidRPr="002A2FFE" w:rsidRDefault="00387987" w:rsidP="00B50878">
      <w:pPr>
        <w:pStyle w:val="12"/>
        <w:rPr>
          <w:rtl/>
        </w:rPr>
      </w:pPr>
      <w:r>
        <w:rPr>
          <w:rFonts w:hint="cs"/>
          <w:rtl/>
        </w:rPr>
        <w:t xml:space="preserve">תהליך ההמלצות לאישור מאמנים נעשה בכל אחד ממחוזות הלשכה, ולכן מוצע שהמחוזות יקיימו הליכי בחינה אחידים, בין היתר בתחומים כגון הגורם המאשר, פעולות הבדיקה ובדיקת הרשעות. </w:t>
      </w:r>
    </w:p>
    <w:p w14:paraId="2352C584" w14:textId="77777777" w:rsidR="00387987" w:rsidRDefault="00387987" w:rsidP="00F32690">
      <w:pPr>
        <w:pStyle w:val="414"/>
        <w:rPr>
          <w:rtl/>
        </w:rPr>
      </w:pPr>
      <w:bookmarkStart w:id="28" w:name="_Toc23155597"/>
      <w:r>
        <w:rPr>
          <w:rtl/>
        </w:rPr>
        <w:t>שלילת האישור לאמן</w:t>
      </w:r>
      <w:bookmarkEnd w:id="28"/>
    </w:p>
    <w:p w14:paraId="1A858A8A" w14:textId="77777777" w:rsidR="00387987" w:rsidRDefault="00387987" w:rsidP="00F32690">
      <w:pPr>
        <w:pStyle w:val="100"/>
        <w:rPr>
          <w:rtl/>
        </w:rPr>
      </w:pPr>
      <w:r>
        <w:rPr>
          <w:rFonts w:hint="cs"/>
          <w:rtl/>
        </w:rPr>
        <w:t>ה</w:t>
      </w:r>
      <w:r>
        <w:rPr>
          <w:rtl/>
        </w:rPr>
        <w:t xml:space="preserve">חוק קובע כי הלשכה רשאית לבטל אישור </w:t>
      </w:r>
      <w:r>
        <w:rPr>
          <w:rFonts w:hint="cs"/>
          <w:rtl/>
        </w:rPr>
        <w:t xml:space="preserve">לאמן </w:t>
      </w:r>
      <w:r>
        <w:rPr>
          <w:rtl/>
        </w:rPr>
        <w:t xml:space="preserve">וכן לפסול </w:t>
      </w:r>
      <w:r>
        <w:rPr>
          <w:rFonts w:hint="cs"/>
          <w:rtl/>
        </w:rPr>
        <w:t>את המאמן</w:t>
      </w:r>
      <w:r>
        <w:rPr>
          <w:rtl/>
        </w:rPr>
        <w:t xml:space="preserve"> מלקבל אישור חדש לתקופה קצובה שלא תעלה על חמש שנים</w:t>
      </w:r>
      <w:r>
        <w:rPr>
          <w:rFonts w:hint="cs"/>
          <w:rtl/>
        </w:rPr>
        <w:t>,</w:t>
      </w:r>
      <w:r>
        <w:rPr>
          <w:rtl/>
        </w:rPr>
        <w:t xml:space="preserve"> אם הלשכה נוכחה, על פי תלונה של נציב הפיקוח על ההתמחות</w:t>
      </w:r>
      <w:r>
        <w:rPr>
          <w:rStyle w:val="FootnoteReference"/>
          <w:rtl/>
        </w:rPr>
        <w:footnoteReference w:id="62"/>
      </w:r>
      <w:r>
        <w:rPr>
          <w:rtl/>
        </w:rPr>
        <w:t>, ועד מחוזי, היועץ המשפטי לממשלה או פרקליט המדינה, שהחבר לא מילא כראוי את תפקידו כמאמן או אם החבר הורשע על ידי בית דין משמעתי ו</w:t>
      </w:r>
      <w:r>
        <w:rPr>
          <w:rFonts w:hint="cs"/>
          <w:rtl/>
        </w:rPr>
        <w:t>עקב</w:t>
      </w:r>
      <w:r>
        <w:rPr>
          <w:rtl/>
        </w:rPr>
        <w:t xml:space="preserve"> הרשעתו סבורה </w:t>
      </w:r>
      <w:r>
        <w:rPr>
          <w:rtl/>
        </w:rPr>
        <w:lastRenderedPageBreak/>
        <w:t>הלשכה שאין הוא ראוי לשמש מאמן.</w:t>
      </w:r>
      <w:r>
        <w:rPr>
          <w:rFonts w:hint="cs"/>
          <w:rtl/>
        </w:rPr>
        <w:t xml:space="preserve"> בעבירות משמעתיות חמורות מטיל בית הדין עונש של השעיה או הוצאה מן הלשכה.</w:t>
      </w:r>
    </w:p>
    <w:p w14:paraId="4EA73854" w14:textId="77777777" w:rsidR="00387987" w:rsidRDefault="00387987" w:rsidP="00F32690">
      <w:pPr>
        <w:pStyle w:val="100"/>
        <w:rPr>
          <w:rtl/>
        </w:rPr>
      </w:pPr>
      <w:r>
        <w:rPr>
          <w:rtl/>
        </w:rPr>
        <w:t xml:space="preserve">בדיון של הוועד המרכזי </w:t>
      </w:r>
      <w:r>
        <w:rPr>
          <w:rFonts w:hint="cs"/>
          <w:rtl/>
        </w:rPr>
        <w:t>ממרץ 2016 עלה כי ככלל הלשכה אינה שוללת אישור לאמן לעורך דין שהורשע בדין משמעתי</w:t>
      </w:r>
      <w:r>
        <w:rPr>
          <w:rtl/>
        </w:rPr>
        <w:t>. יו"ר הלשכה</w:t>
      </w:r>
      <w:r>
        <w:rPr>
          <w:rFonts w:hint="cs"/>
          <w:rtl/>
        </w:rPr>
        <w:t xml:space="preserve"> דאז </w:t>
      </w:r>
      <w:r>
        <w:rPr>
          <w:rtl/>
        </w:rPr>
        <w:t xml:space="preserve">ציין </w:t>
      </w:r>
      <w:r>
        <w:rPr>
          <w:rFonts w:hint="cs"/>
          <w:rtl/>
        </w:rPr>
        <w:t xml:space="preserve">בדיון כי </w:t>
      </w:r>
      <w:r>
        <w:rPr>
          <w:rtl/>
        </w:rPr>
        <w:t>יש לפעול לכך שוועדת ההתמחות הארצית תעודכן על קובלנות שהוגשו כנגד מי שיש לו אישור לאמן. כמו כן צוין</w:t>
      </w:r>
      <w:r>
        <w:rPr>
          <w:rFonts w:hint="cs"/>
          <w:rtl/>
        </w:rPr>
        <w:t xml:space="preserve"> בדיון</w:t>
      </w:r>
      <w:r>
        <w:rPr>
          <w:rtl/>
        </w:rPr>
        <w:t xml:space="preserve"> כי מערך ההתמחות שוקד על הכנת כללים חדשים אחידים </w:t>
      </w:r>
      <w:r>
        <w:rPr>
          <w:rFonts w:hint="cs"/>
          <w:rtl/>
        </w:rPr>
        <w:t>בנוגע ל</w:t>
      </w:r>
      <w:r>
        <w:rPr>
          <w:rtl/>
        </w:rPr>
        <w:t>מאמנים</w:t>
      </w:r>
      <w:r>
        <w:rPr>
          <w:rFonts w:hint="cs"/>
          <w:rtl/>
        </w:rPr>
        <w:t>,</w:t>
      </w:r>
      <w:r>
        <w:rPr>
          <w:rtl/>
        </w:rPr>
        <w:t xml:space="preserve"> וכי הם מצויים בשלב של טיוטה סופית.</w:t>
      </w:r>
    </w:p>
    <w:p w14:paraId="39306A7F" w14:textId="77777777" w:rsidR="00387987" w:rsidRDefault="00387987" w:rsidP="00F32690">
      <w:pPr>
        <w:pStyle w:val="af3"/>
        <w:rPr>
          <w:rtl/>
        </w:rPr>
      </w:pPr>
      <w:r>
        <w:rPr>
          <w:rFonts w:hint="cs"/>
          <w:rtl/>
        </w:rPr>
        <w:t>ככלל, אישור אימון ניתן לצמיתות</w:t>
      </w:r>
      <w:r w:rsidRPr="00FF6B93">
        <w:rPr>
          <w:rtl/>
        </w:rPr>
        <w:t xml:space="preserve"> גם אם בהמשך הורשע</w:t>
      </w:r>
      <w:r>
        <w:rPr>
          <w:rFonts w:hint="cs"/>
          <w:rtl/>
        </w:rPr>
        <w:t xml:space="preserve"> המאמן</w:t>
      </w:r>
      <w:r w:rsidRPr="00FF6B93">
        <w:rPr>
          <w:rtl/>
        </w:rPr>
        <w:t xml:space="preserve"> בעבירה משמעתית או פלילית. </w:t>
      </w:r>
      <w:r>
        <w:rPr>
          <w:rFonts w:hint="cs"/>
          <w:rtl/>
        </w:rPr>
        <w:t>נוסף על כך, אישור לאמן מוחזר ל</w:t>
      </w:r>
      <w:r w:rsidRPr="00FF6B93">
        <w:rPr>
          <w:rtl/>
        </w:rPr>
        <w:t>מאמן שהושעה מן הלשכה בגמר השעייתו באופן אוטומטי</w:t>
      </w:r>
      <w:r>
        <w:rPr>
          <w:rFonts w:hint="cs"/>
          <w:rtl/>
        </w:rPr>
        <w:t xml:space="preserve"> עם ההזנה של ביטול ההשעיה במחשבי הלשכה, וזאת בלי שנבחנות ההשלכות שיש להרשעה על אישור האימון שניתן לאותו עורך דין</w:t>
      </w:r>
      <w:r w:rsidRPr="00FF6B93">
        <w:rPr>
          <w:rtl/>
        </w:rPr>
        <w:t>.</w:t>
      </w:r>
    </w:p>
    <w:p w14:paraId="6B89785A" w14:textId="77777777" w:rsidR="00387987" w:rsidRPr="00AB0856" w:rsidRDefault="00387987" w:rsidP="00F32690">
      <w:pPr>
        <w:pStyle w:val="100"/>
        <w:rPr>
          <w:rtl/>
        </w:rPr>
      </w:pPr>
      <w:r w:rsidRPr="00AB0856">
        <w:rPr>
          <w:rFonts w:hint="cs"/>
          <w:rtl/>
        </w:rPr>
        <w:t xml:space="preserve">הלשכה מסרה בתשובתה כי </w:t>
      </w:r>
      <w:r w:rsidRPr="00AB0856">
        <w:rPr>
          <w:rtl/>
        </w:rPr>
        <w:t xml:space="preserve">בעבר פעל מערך ההתמחות של הלשכה להביא בפני מוסדות הלשכה את השאלה אם להחזיר את סטטוס האימון לאחר ההשעיה או לא, אך הוועד המרכזי לא היה מעוניין לעסוק בכך. לפיכך חדל מערך ההתמחות </w:t>
      </w:r>
      <w:r w:rsidRPr="00AB0856">
        <w:rPr>
          <w:rFonts w:hint="cs"/>
          <w:rtl/>
        </w:rPr>
        <w:t xml:space="preserve">מלעשות זאת. </w:t>
      </w:r>
      <w:r>
        <w:rPr>
          <w:rFonts w:hint="cs"/>
          <w:rtl/>
        </w:rPr>
        <w:t>ה</w:t>
      </w:r>
      <w:r w:rsidRPr="00AB0856">
        <w:rPr>
          <w:rFonts w:hint="cs"/>
          <w:rtl/>
        </w:rPr>
        <w:t>נושא עלה שוב לאחר הקמת ועדת ההתמחות הסטטוטורית שהביעה נכונות לדון במקרים אלה.</w:t>
      </w:r>
      <w:r w:rsidRPr="00AB0856">
        <w:rPr>
          <w:rtl/>
        </w:rPr>
        <w:t xml:space="preserve"> </w:t>
      </w:r>
      <w:r w:rsidRPr="00AB0856">
        <w:rPr>
          <w:rFonts w:hint="cs"/>
          <w:rtl/>
        </w:rPr>
        <w:t>בהתאם לכך מערך ההתמחות הונחה ליזום דיון ב</w:t>
      </w:r>
      <w:r>
        <w:rPr>
          <w:rFonts w:hint="cs"/>
          <w:rtl/>
        </w:rPr>
        <w:t>ו</w:t>
      </w:r>
      <w:r w:rsidRPr="00AB0856">
        <w:rPr>
          <w:rFonts w:hint="cs"/>
          <w:rtl/>
        </w:rPr>
        <w:t>ועדת ההתמחות במקרה של עורך דין שהושעה.</w:t>
      </w:r>
    </w:p>
    <w:p w14:paraId="543C8A11" w14:textId="77777777" w:rsidR="00387987" w:rsidRDefault="00387987" w:rsidP="00F32690">
      <w:pPr>
        <w:pStyle w:val="af3"/>
        <w:rPr>
          <w:rtl/>
        </w:rPr>
      </w:pPr>
      <w:r>
        <w:rPr>
          <w:rFonts w:hint="cs"/>
          <w:rtl/>
        </w:rPr>
        <w:t>מעיון במאגר תיקי בתי הדין המשמעתיים המחוזיים</w:t>
      </w:r>
      <w:r>
        <w:rPr>
          <w:rStyle w:val="FootnoteReference"/>
          <w:b/>
          <w:bCs/>
          <w:rtl/>
        </w:rPr>
        <w:footnoteReference w:id="63"/>
      </w:r>
      <w:r>
        <w:rPr>
          <w:rFonts w:hint="cs"/>
          <w:rtl/>
        </w:rPr>
        <w:t xml:space="preserve"> והארצי ומאגר המאמנים של הלשכה עולים הממצאים הללו: </w:t>
      </w:r>
    </w:p>
    <w:p w14:paraId="03E076E1" w14:textId="77777777" w:rsidR="00387987" w:rsidRPr="00F32690" w:rsidRDefault="00387987" w:rsidP="00F32690">
      <w:pPr>
        <w:pStyle w:val="a8"/>
        <w:rPr>
          <w:b/>
          <w:bCs/>
          <w:rtl/>
        </w:rPr>
      </w:pPr>
      <w:r w:rsidRPr="00D44033">
        <w:rPr>
          <w:rFonts w:hint="eastAsia"/>
          <w:rtl/>
        </w:rPr>
        <w:t>תרשים</w:t>
      </w:r>
      <w:r w:rsidRPr="00D44033">
        <w:rPr>
          <w:rtl/>
        </w:rPr>
        <w:t xml:space="preserve"> </w:t>
      </w:r>
      <w:r>
        <w:rPr>
          <w:rFonts w:hint="cs"/>
          <w:rtl/>
        </w:rPr>
        <w:t>14</w:t>
      </w:r>
      <w:r w:rsidRPr="00D44033">
        <w:rPr>
          <w:rtl/>
        </w:rPr>
        <w:t xml:space="preserve">: </w:t>
      </w:r>
      <w:r w:rsidRPr="00F32690">
        <w:rPr>
          <w:rFonts w:hint="eastAsia"/>
          <w:b/>
          <w:bCs/>
          <w:rtl/>
        </w:rPr>
        <w:t>ממצאים</w:t>
      </w:r>
      <w:r w:rsidRPr="00F32690">
        <w:rPr>
          <w:b/>
          <w:bCs/>
          <w:rtl/>
        </w:rPr>
        <w:t xml:space="preserve"> </w:t>
      </w:r>
      <w:r w:rsidRPr="00F32690">
        <w:rPr>
          <w:rFonts w:hint="cs"/>
          <w:b/>
          <w:bCs/>
          <w:rtl/>
        </w:rPr>
        <w:t>בנוגע</w:t>
      </w:r>
      <w:r w:rsidRPr="00F32690">
        <w:rPr>
          <w:b/>
          <w:bCs/>
          <w:rtl/>
        </w:rPr>
        <w:t xml:space="preserve"> </w:t>
      </w:r>
      <w:r w:rsidRPr="00F32690">
        <w:rPr>
          <w:rFonts w:hint="cs"/>
          <w:b/>
          <w:bCs/>
          <w:rtl/>
        </w:rPr>
        <w:t>ל</w:t>
      </w:r>
      <w:r w:rsidRPr="00F32690">
        <w:rPr>
          <w:rFonts w:hint="eastAsia"/>
          <w:b/>
          <w:bCs/>
          <w:rtl/>
        </w:rPr>
        <w:t>מאמנים</w:t>
      </w:r>
      <w:r w:rsidRPr="00F32690">
        <w:rPr>
          <w:b/>
          <w:bCs/>
          <w:rtl/>
        </w:rPr>
        <w:t xml:space="preserve"> בעלי </w:t>
      </w:r>
      <w:r w:rsidRPr="00F32690">
        <w:rPr>
          <w:rFonts w:hint="eastAsia"/>
          <w:b/>
          <w:bCs/>
          <w:rtl/>
        </w:rPr>
        <w:t>הרשעות</w:t>
      </w:r>
    </w:p>
    <w:p w14:paraId="553D4D2F" w14:textId="77777777" w:rsidR="00387987" w:rsidRPr="001E3D68" w:rsidRDefault="00387987" w:rsidP="00F32690">
      <w:pPr>
        <w:pStyle w:val="a8"/>
        <w:rPr>
          <w:sz w:val="16"/>
          <w:rtl/>
        </w:rPr>
      </w:pPr>
      <w:r>
        <w:rPr>
          <w:noProof/>
        </w:rPr>
        <w:drawing>
          <wp:inline distT="0" distB="0" distL="0" distR="0" wp14:anchorId="140ED29D" wp14:editId="17B29333">
            <wp:extent cx="5219700" cy="790575"/>
            <wp:effectExtent l="0" t="0" r="0" b="9525"/>
            <wp:docPr id="20" name="תמונה 20" descr="C:\Users\itiel_ma\AppData\Local\Microsoft\Windows\INetCache\Content.Word\פעילות לשכת עורכי הדין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45342" name="Picture 8" descr="C:\Users\itiel_ma\AppData\Local\Microsoft\Windows\INetCache\Content.Word\פעילות לשכת עורכי הדין 55.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19700" cy="790575"/>
                    </a:xfrm>
                    <a:prstGeom prst="rect">
                      <a:avLst/>
                    </a:prstGeom>
                    <a:noFill/>
                    <a:ln>
                      <a:noFill/>
                    </a:ln>
                  </pic:spPr>
                </pic:pic>
              </a:graphicData>
            </a:graphic>
          </wp:inline>
        </w:drawing>
      </w:r>
    </w:p>
    <w:p w14:paraId="2BC6EDCD" w14:textId="77777777" w:rsidR="00387987" w:rsidRDefault="00387987" w:rsidP="00F32690">
      <w:pPr>
        <w:pStyle w:val="aa"/>
        <w:rPr>
          <w:rtl/>
        </w:rPr>
      </w:pPr>
      <w:r w:rsidRPr="00946390">
        <w:rPr>
          <w:rtl/>
        </w:rPr>
        <w:t>על פי נתוני מאגר בתי הדין המשמעתיים ומאגר עורכי הדין המושעים של הלשכה, בעיבוד משרד מבקר המדינה.</w:t>
      </w:r>
    </w:p>
    <w:p w14:paraId="099D9044" w14:textId="77777777" w:rsidR="00387987" w:rsidRPr="00072120" w:rsidRDefault="00387987" w:rsidP="00F32690">
      <w:pPr>
        <w:pStyle w:val="aa"/>
        <w:rPr>
          <w:rtl/>
        </w:rPr>
      </w:pPr>
      <w:r w:rsidRPr="008D5B52">
        <w:rPr>
          <w:rtl/>
        </w:rPr>
        <w:t xml:space="preserve">* 11 </w:t>
      </w:r>
      <w:r w:rsidRPr="008D5B52">
        <w:rPr>
          <w:rFonts w:hint="eastAsia"/>
          <w:rtl/>
        </w:rPr>
        <w:t>מתוכם</w:t>
      </w:r>
      <w:r w:rsidRPr="008D5B52">
        <w:rPr>
          <w:rtl/>
        </w:rPr>
        <w:t xml:space="preserve"> נכללים ברשימת 61 עורכי הדין ממאגר בתי הדין המשמעתיים, והשאר עלו ממאגר עורכי הדין המושעים של הלשכה.</w:t>
      </w:r>
    </w:p>
    <w:p w14:paraId="1576A672" w14:textId="77777777" w:rsidR="00F32690" w:rsidRDefault="00F32690">
      <w:pPr>
        <w:bidi w:val="0"/>
        <w:spacing w:after="200" w:line="276" w:lineRule="auto"/>
        <w:rPr>
          <w:b/>
          <w:bCs/>
          <w:rtl/>
        </w:rPr>
      </w:pPr>
      <w:r>
        <w:rPr>
          <w:b/>
          <w:bCs/>
          <w:rtl/>
        </w:rPr>
        <w:br w:type="page"/>
      </w:r>
    </w:p>
    <w:p w14:paraId="297ECC29" w14:textId="5B84ECA0" w:rsidR="00387987" w:rsidRDefault="00387987" w:rsidP="00F32690">
      <w:pPr>
        <w:pStyle w:val="af3"/>
        <w:rPr>
          <w:rtl/>
        </w:rPr>
      </w:pPr>
      <w:r>
        <w:rPr>
          <w:rFonts w:hint="cs"/>
          <w:rtl/>
        </w:rPr>
        <w:lastRenderedPageBreak/>
        <w:t>נמצא כי במקרה שמחוז הלשכה מקבל עדכון על הרשעה של עורך דין בעבירה פלילית בהתאם להנחיות היועץ המשפטי לממשלה, המידע אינו מועבר לוועד המרכזי לצורך הכרעה בשאלת ההשלכות של ההרשעה על הענקת אישור לאמן. הוועד המרכזי יעודכן על ההרשעה רק אם וכאשר יורשע המאמן בדין המשמעתי של הלשכה, דבר שעלול להימשך זמן רב.</w:t>
      </w:r>
    </w:p>
    <w:p w14:paraId="232AA6CE" w14:textId="77777777" w:rsidR="00387987" w:rsidRPr="00275FBB" w:rsidRDefault="00387987" w:rsidP="00F32690">
      <w:pPr>
        <w:pStyle w:val="af3"/>
        <w:rPr>
          <w:rtl/>
        </w:rPr>
      </w:pPr>
      <w:r w:rsidRPr="00275FBB">
        <w:rPr>
          <w:rFonts w:hint="cs"/>
          <w:rtl/>
        </w:rPr>
        <w:t xml:space="preserve">על מחוזות הלשכה להעביר את המידע בדבר הרשעות פליליות ומשמעתיות ללשכה לצורך בחינת בקשות לאישור לאמן. </w:t>
      </w:r>
    </w:p>
    <w:p w14:paraId="67B6D6CC" w14:textId="77777777" w:rsidR="00387987" w:rsidRDefault="00387987" w:rsidP="00F32690">
      <w:pPr>
        <w:pStyle w:val="af3"/>
        <w:rPr>
          <w:rtl/>
        </w:rPr>
      </w:pPr>
      <w:r>
        <w:rPr>
          <w:rFonts w:hint="cs"/>
          <w:rtl/>
        </w:rPr>
        <w:t xml:space="preserve">יצוין כי </w:t>
      </w:r>
      <w:r w:rsidRPr="009B651C">
        <w:rPr>
          <w:rFonts w:hint="cs"/>
          <w:rtl/>
        </w:rPr>
        <w:t xml:space="preserve">אף שנוהל </w:t>
      </w:r>
      <w:r>
        <w:rPr>
          <w:rFonts w:hint="cs"/>
          <w:rtl/>
        </w:rPr>
        <w:t xml:space="preserve">ההתמחות </w:t>
      </w:r>
      <w:r w:rsidRPr="009B651C">
        <w:rPr>
          <w:rFonts w:hint="cs"/>
          <w:rtl/>
        </w:rPr>
        <w:t>הארצי ק</w:t>
      </w:r>
      <w:r>
        <w:rPr>
          <w:rFonts w:hint="cs"/>
          <w:rtl/>
        </w:rPr>
        <w:t>ו</w:t>
      </w:r>
      <w:r w:rsidRPr="009B651C">
        <w:rPr>
          <w:rFonts w:hint="cs"/>
          <w:rtl/>
        </w:rPr>
        <w:t>בע שבנוסח ה</w:t>
      </w:r>
      <w:r w:rsidRPr="009B651C">
        <w:rPr>
          <w:rtl/>
        </w:rPr>
        <w:t xml:space="preserve">אישור </w:t>
      </w:r>
      <w:r w:rsidRPr="009B651C">
        <w:rPr>
          <w:rFonts w:hint="cs"/>
          <w:rtl/>
        </w:rPr>
        <w:t xml:space="preserve">לאמן </w:t>
      </w:r>
      <w:r>
        <w:rPr>
          <w:rFonts w:hint="cs"/>
          <w:rtl/>
        </w:rPr>
        <w:t>מתמחה תוטל ע</w:t>
      </w:r>
      <w:r w:rsidRPr="009B651C">
        <w:rPr>
          <w:rtl/>
        </w:rPr>
        <w:t>ל</w:t>
      </w:r>
      <w:r>
        <w:rPr>
          <w:rFonts w:hint="cs"/>
          <w:rtl/>
        </w:rPr>
        <w:t xml:space="preserve"> ה</w:t>
      </w:r>
      <w:r w:rsidRPr="009B651C">
        <w:rPr>
          <w:rtl/>
        </w:rPr>
        <w:t xml:space="preserve">מאמן חובת דיווח על כל הרשעה </w:t>
      </w:r>
      <w:r>
        <w:rPr>
          <w:rFonts w:hint="cs"/>
          <w:rtl/>
        </w:rPr>
        <w:t>ש</w:t>
      </w:r>
      <w:r w:rsidRPr="009B651C">
        <w:rPr>
          <w:rtl/>
        </w:rPr>
        <w:t>בה יורשע</w:t>
      </w:r>
      <w:r>
        <w:rPr>
          <w:rFonts w:hint="cs"/>
          <w:rtl/>
        </w:rPr>
        <w:t>,</w:t>
      </w:r>
      <w:r w:rsidRPr="009B651C">
        <w:rPr>
          <w:rFonts w:hint="cs"/>
          <w:rtl/>
        </w:rPr>
        <w:t xml:space="preserve"> הדבר לא נעשה</w:t>
      </w:r>
      <w:r>
        <w:rPr>
          <w:rFonts w:hint="cs"/>
          <w:rtl/>
        </w:rPr>
        <w:t xml:space="preserve"> והנוסח אינו כולל הוראה זו</w:t>
      </w:r>
      <w:r w:rsidRPr="009B651C">
        <w:rPr>
          <w:rtl/>
        </w:rPr>
        <w:t>.</w:t>
      </w:r>
      <w:r>
        <w:rPr>
          <w:rFonts w:hint="cs"/>
          <w:rtl/>
        </w:rPr>
        <w:t xml:space="preserve"> </w:t>
      </w:r>
    </w:p>
    <w:p w14:paraId="05C60302" w14:textId="6C4137F8" w:rsidR="00387987" w:rsidRDefault="00387987" w:rsidP="00F32690">
      <w:pPr>
        <w:pStyle w:val="100"/>
        <w:rPr>
          <w:rtl/>
        </w:rPr>
      </w:pPr>
      <w:r w:rsidRPr="009B651C">
        <w:rPr>
          <w:rtl/>
        </w:rPr>
        <w:t xml:space="preserve">המנהל המקצועי של מערך ההתמחות </w:t>
      </w:r>
      <w:r>
        <w:rPr>
          <w:rFonts w:hint="cs"/>
          <w:rtl/>
        </w:rPr>
        <w:t xml:space="preserve">מסר </w:t>
      </w:r>
      <w:r w:rsidRPr="009B651C">
        <w:rPr>
          <w:rtl/>
        </w:rPr>
        <w:t xml:space="preserve">לצוות הביקורת כי </w:t>
      </w:r>
      <w:r>
        <w:rPr>
          <w:rFonts w:hint="cs"/>
          <w:rtl/>
        </w:rPr>
        <w:t xml:space="preserve">במהלך הביקורת ביוני 2019 </w:t>
      </w:r>
      <w:r w:rsidRPr="009B651C">
        <w:rPr>
          <w:rtl/>
        </w:rPr>
        <w:t xml:space="preserve">הוציא </w:t>
      </w:r>
      <w:r>
        <w:rPr>
          <w:rtl/>
        </w:rPr>
        <w:t>הוועד</w:t>
      </w:r>
      <w:r w:rsidRPr="009B651C">
        <w:rPr>
          <w:rtl/>
        </w:rPr>
        <w:t xml:space="preserve"> המרכזי ריענון לנוהל ה</w:t>
      </w:r>
      <w:r>
        <w:rPr>
          <w:rFonts w:hint="cs"/>
          <w:rtl/>
        </w:rPr>
        <w:t>התמחות ה</w:t>
      </w:r>
      <w:r w:rsidRPr="009B651C">
        <w:rPr>
          <w:rtl/>
        </w:rPr>
        <w:t xml:space="preserve">ארצי לכל המחוזות ובו </w:t>
      </w:r>
      <w:r>
        <w:rPr>
          <w:rFonts w:hint="cs"/>
          <w:rtl/>
        </w:rPr>
        <w:t>נקבע שבעל אישור לאמן שהושעה לא יוכל לקבל מתמחה חדש ואם ירצה לאמן עניינו יובא בפני ועדת ההתמחות הארצית.</w:t>
      </w:r>
      <w:r w:rsidRPr="009B651C">
        <w:rPr>
          <w:rtl/>
        </w:rPr>
        <w:t xml:space="preserve"> </w:t>
      </w:r>
      <w:r>
        <w:rPr>
          <w:rFonts w:hint="cs"/>
          <w:rtl/>
        </w:rPr>
        <w:t>זאת, בדומה לנוסח נוהל ההתמחות הארצי שהוצג על ידי ועדי מחוזות חיפה</w:t>
      </w:r>
      <w:r w:rsidR="006F4F23">
        <w:rPr>
          <w:rFonts w:hint="cs"/>
          <w:rtl/>
        </w:rPr>
        <w:t xml:space="preserve">, דרום </w:t>
      </w:r>
      <w:r>
        <w:rPr>
          <w:rFonts w:hint="cs"/>
          <w:rtl/>
        </w:rPr>
        <w:t>וירושלים.</w:t>
      </w:r>
    </w:p>
    <w:p w14:paraId="4FD0D657" w14:textId="77777777" w:rsidR="00387987" w:rsidRPr="001C7041" w:rsidRDefault="00387987" w:rsidP="00F32690">
      <w:pPr>
        <w:pStyle w:val="414"/>
        <w:rPr>
          <w:rtl/>
        </w:rPr>
      </w:pPr>
      <w:r w:rsidRPr="001C7041">
        <w:rPr>
          <w:rFonts w:hint="cs"/>
          <w:rtl/>
        </w:rPr>
        <w:t>פיקוח על מאמנים</w:t>
      </w:r>
    </w:p>
    <w:p w14:paraId="515DBF5B" w14:textId="77777777" w:rsidR="00387987" w:rsidRPr="00F2576F" w:rsidRDefault="00387987" w:rsidP="00F32690">
      <w:pPr>
        <w:pStyle w:val="100"/>
        <w:rPr>
          <w:rtl/>
        </w:rPr>
      </w:pPr>
      <w:r w:rsidRPr="00F2576F">
        <w:rPr>
          <w:rFonts w:hint="cs"/>
          <w:rtl/>
        </w:rPr>
        <w:t>במהלך דיו</w:t>
      </w:r>
      <w:r>
        <w:rPr>
          <w:rFonts w:hint="cs"/>
          <w:rtl/>
        </w:rPr>
        <w:t>נים</w:t>
      </w:r>
      <w:r w:rsidRPr="00F2576F">
        <w:rPr>
          <w:rFonts w:hint="cs"/>
          <w:rtl/>
        </w:rPr>
        <w:t xml:space="preserve"> בוועד המרכזי </w:t>
      </w:r>
      <w:r>
        <w:rPr>
          <w:rFonts w:hint="cs"/>
          <w:rtl/>
        </w:rPr>
        <w:t xml:space="preserve">בעניינם של מתמחים שעלו בעיות בהתמחותם עולה מעת לעת האפשרות שגם </w:t>
      </w:r>
      <w:r w:rsidRPr="00F2576F">
        <w:rPr>
          <w:rFonts w:hint="cs"/>
          <w:rtl/>
        </w:rPr>
        <w:t xml:space="preserve">פעולותיו של המאמן </w:t>
      </w:r>
      <w:r>
        <w:rPr>
          <w:rFonts w:hint="cs"/>
          <w:rtl/>
        </w:rPr>
        <w:t>בקשר להתמחות לא היו</w:t>
      </w:r>
      <w:r w:rsidRPr="00F2576F">
        <w:rPr>
          <w:rFonts w:hint="cs"/>
          <w:rtl/>
        </w:rPr>
        <w:t xml:space="preserve"> תקינות. </w:t>
      </w:r>
      <w:r>
        <w:rPr>
          <w:rFonts w:hint="cs"/>
          <w:rtl/>
        </w:rPr>
        <w:t xml:space="preserve">על אף האמור, </w:t>
      </w:r>
      <w:r w:rsidRPr="00F2576F">
        <w:rPr>
          <w:rFonts w:hint="cs"/>
          <w:rtl/>
        </w:rPr>
        <w:t xml:space="preserve">בשנים </w:t>
      </w:r>
      <w:r w:rsidRPr="00541392">
        <w:rPr>
          <w:rtl/>
        </w:rPr>
        <w:t xml:space="preserve">2016 </w:t>
      </w:r>
      <w:r>
        <w:rPr>
          <w:rFonts w:hint="cs"/>
          <w:rtl/>
        </w:rPr>
        <w:t>-</w:t>
      </w:r>
      <w:r w:rsidRPr="00541392">
        <w:rPr>
          <w:rtl/>
        </w:rPr>
        <w:t xml:space="preserve"> 2018</w:t>
      </w:r>
      <w:r>
        <w:rPr>
          <w:rFonts w:hint="cs"/>
          <w:rtl/>
        </w:rPr>
        <w:t xml:space="preserve"> </w:t>
      </w:r>
      <w:r w:rsidRPr="00F2576F">
        <w:rPr>
          <w:rFonts w:hint="cs"/>
          <w:rtl/>
        </w:rPr>
        <w:t xml:space="preserve">נמצאו שלושה מקרים </w:t>
      </w:r>
      <w:r>
        <w:rPr>
          <w:rFonts w:hint="cs"/>
          <w:rtl/>
        </w:rPr>
        <w:t>ש</w:t>
      </w:r>
      <w:r w:rsidRPr="00F2576F">
        <w:rPr>
          <w:rFonts w:hint="cs"/>
          <w:rtl/>
        </w:rPr>
        <w:t xml:space="preserve">בהם ביקש </w:t>
      </w:r>
      <w:r>
        <w:rPr>
          <w:rFonts w:hint="cs"/>
          <w:rtl/>
        </w:rPr>
        <w:t>הוועד</w:t>
      </w:r>
      <w:r w:rsidRPr="00F2576F">
        <w:rPr>
          <w:rFonts w:hint="cs"/>
          <w:rtl/>
        </w:rPr>
        <w:t xml:space="preserve"> המרכזי להעביר את עניינו של מאמן לטיפול ועדת האתיקה </w:t>
      </w:r>
      <w:r>
        <w:rPr>
          <w:rFonts w:hint="cs"/>
          <w:rtl/>
        </w:rPr>
        <w:t>ו</w:t>
      </w:r>
      <w:r w:rsidRPr="00F2576F">
        <w:rPr>
          <w:rFonts w:hint="cs"/>
          <w:rtl/>
        </w:rPr>
        <w:t>בשניים מהם הדבר לא נעשה:</w:t>
      </w:r>
    </w:p>
    <w:p w14:paraId="7E976C69" w14:textId="77777777" w:rsidR="00387987" w:rsidRPr="00F2576F" w:rsidRDefault="00387987" w:rsidP="00F32690">
      <w:pPr>
        <w:pStyle w:val="100"/>
        <w:rPr>
          <w:rtl/>
        </w:rPr>
      </w:pPr>
      <w:r w:rsidRPr="00F2576F">
        <w:rPr>
          <w:rFonts w:hint="cs"/>
          <w:rtl/>
        </w:rPr>
        <w:t xml:space="preserve">בפרוטוקול </w:t>
      </w:r>
      <w:r>
        <w:rPr>
          <w:rFonts w:hint="cs"/>
          <w:rtl/>
        </w:rPr>
        <w:t>הוועד</w:t>
      </w:r>
      <w:r w:rsidRPr="00F2576F">
        <w:rPr>
          <w:rFonts w:hint="cs"/>
          <w:rtl/>
        </w:rPr>
        <w:t xml:space="preserve"> המרכזי </w:t>
      </w:r>
      <w:r>
        <w:rPr>
          <w:rFonts w:hint="cs"/>
          <w:rtl/>
        </w:rPr>
        <w:t>ממאי 2018</w:t>
      </w:r>
      <w:r w:rsidRPr="00F2576F">
        <w:rPr>
          <w:rFonts w:hint="cs"/>
          <w:rtl/>
        </w:rPr>
        <w:t xml:space="preserve"> הוחלט כי בשל כשלים בהתמחות</w:t>
      </w:r>
      <w:r>
        <w:rPr>
          <w:rFonts w:hint="cs"/>
          <w:rtl/>
        </w:rPr>
        <w:t xml:space="preserve">, ובין היתר היותו של המאמן מושעה בתקופת ההתמחות, </w:t>
      </w:r>
      <w:r w:rsidRPr="00F2576F">
        <w:rPr>
          <w:rFonts w:hint="cs"/>
          <w:rtl/>
        </w:rPr>
        <w:t>יועבר</w:t>
      </w:r>
      <w:r>
        <w:rPr>
          <w:rFonts w:hint="cs"/>
          <w:rtl/>
        </w:rPr>
        <w:t>ו</w:t>
      </w:r>
      <w:r w:rsidRPr="00F2576F">
        <w:rPr>
          <w:rFonts w:hint="cs"/>
          <w:rtl/>
        </w:rPr>
        <w:t xml:space="preserve"> עניינו של מתמחה ו</w:t>
      </w:r>
      <w:r>
        <w:rPr>
          <w:rFonts w:hint="cs"/>
          <w:rtl/>
        </w:rPr>
        <w:t>ע</w:t>
      </w:r>
      <w:r w:rsidRPr="00F2576F">
        <w:rPr>
          <w:rFonts w:hint="cs"/>
          <w:rtl/>
        </w:rPr>
        <w:t xml:space="preserve">ניינו של מאמנו לוועדת האתיקה. </w:t>
      </w:r>
    </w:p>
    <w:p w14:paraId="798E5D0B" w14:textId="77777777" w:rsidR="00387987" w:rsidRDefault="00387987" w:rsidP="00F32690">
      <w:pPr>
        <w:pStyle w:val="af3"/>
        <w:rPr>
          <w:rtl/>
        </w:rPr>
      </w:pPr>
      <w:r w:rsidRPr="00F2576F">
        <w:rPr>
          <w:rFonts w:hint="cs"/>
          <w:rtl/>
        </w:rPr>
        <w:t>נמצא כי מערך ההתמחות לא הגיש תלונה לוועדת האתיקה</w:t>
      </w:r>
      <w:r>
        <w:rPr>
          <w:rFonts w:hint="cs"/>
          <w:rtl/>
        </w:rPr>
        <w:t xml:space="preserve"> כנגד המאמן</w:t>
      </w:r>
      <w:r w:rsidRPr="00F2576F">
        <w:rPr>
          <w:rFonts w:hint="cs"/>
          <w:rtl/>
        </w:rPr>
        <w:t>.</w:t>
      </w:r>
    </w:p>
    <w:p w14:paraId="0BD0D9F6" w14:textId="77777777" w:rsidR="00387987" w:rsidRDefault="00387987" w:rsidP="00F32690">
      <w:pPr>
        <w:pStyle w:val="100"/>
        <w:rPr>
          <w:rtl/>
        </w:rPr>
      </w:pPr>
      <w:r w:rsidRPr="007835E9">
        <w:rPr>
          <w:rFonts w:hint="cs"/>
          <w:rtl/>
        </w:rPr>
        <w:t xml:space="preserve">הלשכה מסרה בתשובתה כי </w:t>
      </w:r>
      <w:r w:rsidRPr="007835E9">
        <w:rPr>
          <w:rtl/>
        </w:rPr>
        <w:t>מאחר שהמאמן הוצא מן הלשכה לצמיתות לא נמצא טעם להעברת עניינו לוועדת האתיקה</w:t>
      </w:r>
      <w:r w:rsidRPr="00AE5731">
        <w:rPr>
          <w:rtl/>
        </w:rPr>
        <w:t>.</w:t>
      </w:r>
      <w:r w:rsidRPr="00B37BE3">
        <w:rPr>
          <w:rtl/>
        </w:rPr>
        <w:t xml:space="preserve"> </w:t>
      </w:r>
    </w:p>
    <w:p w14:paraId="39025B82" w14:textId="77777777" w:rsidR="00387987" w:rsidRPr="000200D2" w:rsidRDefault="00387987" w:rsidP="00F32690">
      <w:pPr>
        <w:pStyle w:val="af3"/>
        <w:rPr>
          <w:rtl/>
        </w:rPr>
      </w:pPr>
      <w:r w:rsidRPr="000200D2">
        <w:rPr>
          <w:rFonts w:hint="cs"/>
          <w:rtl/>
        </w:rPr>
        <w:t xml:space="preserve">יצוין כי </w:t>
      </w:r>
      <w:r>
        <w:rPr>
          <w:rFonts w:hint="cs"/>
          <w:rtl/>
        </w:rPr>
        <w:t>ההחלטה להוציא את עורך הדין מהלשכה התקבלה</w:t>
      </w:r>
      <w:r w:rsidRPr="000200D2">
        <w:rPr>
          <w:rFonts w:hint="cs"/>
          <w:rtl/>
        </w:rPr>
        <w:t xml:space="preserve"> רק </w:t>
      </w:r>
      <w:r w:rsidRPr="000200D2">
        <w:rPr>
          <w:rtl/>
        </w:rPr>
        <w:t>חצי שנה</w:t>
      </w:r>
      <w:r>
        <w:rPr>
          <w:rFonts w:hint="cs"/>
          <w:rtl/>
        </w:rPr>
        <w:t xml:space="preserve"> לאחר ההחלטה להעביר את עניינו לוועדת האתיקה (</w:t>
      </w:r>
      <w:r w:rsidRPr="000200D2">
        <w:rPr>
          <w:rtl/>
        </w:rPr>
        <w:t>בשל תיק אחר שהיה תלוי ועומד כלפיו</w:t>
      </w:r>
      <w:r>
        <w:rPr>
          <w:rFonts w:hint="cs"/>
          <w:rtl/>
        </w:rPr>
        <w:t>) והלשכה לא פעלה כנגדו בתקופה זו</w:t>
      </w:r>
      <w:r w:rsidRPr="000200D2">
        <w:rPr>
          <w:rFonts w:hint="cs"/>
          <w:rtl/>
        </w:rPr>
        <w:t>.</w:t>
      </w:r>
    </w:p>
    <w:p w14:paraId="25E523D3" w14:textId="77777777" w:rsidR="00387987" w:rsidRPr="00F2576F" w:rsidRDefault="00387987" w:rsidP="00F32690">
      <w:pPr>
        <w:pStyle w:val="100"/>
        <w:rPr>
          <w:rtl/>
        </w:rPr>
      </w:pPr>
      <w:r>
        <w:rPr>
          <w:rFonts w:hint="cs"/>
          <w:rtl/>
        </w:rPr>
        <w:t xml:space="preserve">במקרה אחר, </w:t>
      </w:r>
      <w:r w:rsidRPr="00F2576F">
        <w:rPr>
          <w:rFonts w:hint="cs"/>
          <w:rtl/>
        </w:rPr>
        <w:t xml:space="preserve">בפרוטוקול </w:t>
      </w:r>
      <w:r>
        <w:rPr>
          <w:rFonts w:hint="cs"/>
          <w:rtl/>
        </w:rPr>
        <w:t>הוועד</w:t>
      </w:r>
      <w:r w:rsidRPr="00F2576F">
        <w:rPr>
          <w:rFonts w:hint="cs"/>
          <w:rtl/>
        </w:rPr>
        <w:t xml:space="preserve"> המרכזי </w:t>
      </w:r>
      <w:r>
        <w:rPr>
          <w:rFonts w:hint="cs"/>
          <w:rtl/>
        </w:rPr>
        <w:t>מנובמבר 2017</w:t>
      </w:r>
      <w:r w:rsidRPr="00F2576F">
        <w:rPr>
          <w:rFonts w:hint="cs"/>
          <w:rtl/>
        </w:rPr>
        <w:t xml:space="preserve"> הוחלט כי בשל כשלים חמורים הן של מאמן </w:t>
      </w:r>
      <w:r>
        <w:rPr>
          <w:rFonts w:hint="cs"/>
          <w:rtl/>
        </w:rPr>
        <w:t>ו</w:t>
      </w:r>
      <w:r w:rsidRPr="00F2576F">
        <w:rPr>
          <w:rFonts w:hint="cs"/>
          <w:rtl/>
        </w:rPr>
        <w:t>הן של מתמחה יוצע למאמן להפסיק לאמן מתמחים</w:t>
      </w:r>
      <w:r>
        <w:rPr>
          <w:rFonts w:hint="cs"/>
          <w:rtl/>
        </w:rPr>
        <w:t>,</w:t>
      </w:r>
      <w:r w:rsidRPr="00F2576F">
        <w:rPr>
          <w:rFonts w:hint="cs"/>
          <w:rtl/>
        </w:rPr>
        <w:t xml:space="preserve"> </w:t>
      </w:r>
      <w:r>
        <w:rPr>
          <w:rFonts w:hint="cs"/>
          <w:rtl/>
        </w:rPr>
        <w:t>ו</w:t>
      </w:r>
      <w:r w:rsidRPr="00F2576F">
        <w:rPr>
          <w:rFonts w:hint="cs"/>
          <w:rtl/>
        </w:rPr>
        <w:t xml:space="preserve">אם לא </w:t>
      </w:r>
      <w:r>
        <w:rPr>
          <w:rFonts w:hint="cs"/>
          <w:rtl/>
        </w:rPr>
        <w:t xml:space="preserve">יעשה </w:t>
      </w:r>
      <w:r w:rsidRPr="00F2576F">
        <w:rPr>
          <w:rFonts w:hint="cs"/>
          <w:rtl/>
        </w:rPr>
        <w:t>כן יועבר עניינו לוועדת האתיקה הארצית.</w:t>
      </w:r>
    </w:p>
    <w:p w14:paraId="629C2C6B" w14:textId="5312E296" w:rsidR="00F32690" w:rsidRDefault="00F32690">
      <w:pPr>
        <w:bidi w:val="0"/>
        <w:spacing w:after="200" w:line="276" w:lineRule="auto"/>
        <w:rPr>
          <w:rtl/>
        </w:rPr>
      </w:pPr>
      <w:r>
        <w:rPr>
          <w:rtl/>
        </w:rPr>
        <w:br w:type="page"/>
      </w:r>
    </w:p>
    <w:p w14:paraId="1C60EBC0" w14:textId="77777777" w:rsidR="00387987" w:rsidRDefault="00387987" w:rsidP="00F32690">
      <w:pPr>
        <w:pStyle w:val="af3"/>
        <w:rPr>
          <w:rtl/>
        </w:rPr>
      </w:pPr>
      <w:r w:rsidRPr="00F2576F">
        <w:rPr>
          <w:rFonts w:hint="cs"/>
          <w:rtl/>
        </w:rPr>
        <w:lastRenderedPageBreak/>
        <w:t xml:space="preserve">בביקורת נמצא כי מערך ההתמחות </w:t>
      </w:r>
      <w:r>
        <w:rPr>
          <w:rFonts w:hint="cs"/>
          <w:rtl/>
        </w:rPr>
        <w:t xml:space="preserve">כלל </w:t>
      </w:r>
      <w:r w:rsidRPr="00F2576F">
        <w:rPr>
          <w:rFonts w:hint="cs"/>
          <w:rtl/>
        </w:rPr>
        <w:t xml:space="preserve">לא פנה </w:t>
      </w:r>
      <w:r w:rsidRPr="000B5BE1">
        <w:rPr>
          <w:rFonts w:hint="cs"/>
          <w:rtl/>
        </w:rPr>
        <w:t>למאמן</w:t>
      </w:r>
      <w:r>
        <w:rPr>
          <w:rFonts w:hint="cs"/>
          <w:rtl/>
        </w:rPr>
        <w:t xml:space="preserve"> ולא הוצע לו לחדול מלאמן</w:t>
      </w:r>
      <w:r w:rsidRPr="000B5BE1">
        <w:rPr>
          <w:rFonts w:hint="cs"/>
          <w:rtl/>
        </w:rPr>
        <w:t xml:space="preserve">. </w:t>
      </w:r>
    </w:p>
    <w:p w14:paraId="4DF5C0BF" w14:textId="77777777" w:rsidR="00387987" w:rsidRPr="0033368C" w:rsidRDefault="00387987" w:rsidP="00F32690">
      <w:pPr>
        <w:pStyle w:val="100"/>
        <w:rPr>
          <w:rtl/>
        </w:rPr>
      </w:pPr>
      <w:r w:rsidRPr="0033368C">
        <w:rPr>
          <w:rFonts w:hint="cs"/>
          <w:rtl/>
        </w:rPr>
        <w:t xml:space="preserve">הלשכה מסרה בתשובתה כי </w:t>
      </w:r>
      <w:r>
        <w:rPr>
          <w:rFonts w:hint="cs"/>
          <w:rtl/>
        </w:rPr>
        <w:t>לאור הע</w:t>
      </w:r>
      <w:r w:rsidRPr="0033368C">
        <w:rPr>
          <w:rFonts w:hint="cs"/>
          <w:rtl/>
        </w:rPr>
        <w:t>רת הביקורת היא פנתה למאמן שהודיע ללשכה כי הוא מוותר על האישור לאמן.</w:t>
      </w:r>
      <w:r w:rsidRPr="0058305D">
        <w:rPr>
          <w:rtl/>
        </w:rPr>
        <w:t xml:space="preserve"> </w:t>
      </w:r>
      <w:r>
        <w:rPr>
          <w:rFonts w:hint="cs"/>
          <w:rtl/>
        </w:rPr>
        <w:t xml:space="preserve">עוד מסרה הלשכה כי </w:t>
      </w:r>
      <w:r w:rsidRPr="0058305D">
        <w:rPr>
          <w:rtl/>
        </w:rPr>
        <w:t>בעקבות הערת המבקר שופרו הבקרה והמעקב אחר יישום החלטות</w:t>
      </w:r>
      <w:r>
        <w:rPr>
          <w:rFonts w:hint="cs"/>
          <w:rtl/>
        </w:rPr>
        <w:t xml:space="preserve"> המועצה הארצית.</w:t>
      </w:r>
    </w:p>
    <w:p w14:paraId="0817BD7E" w14:textId="77777777" w:rsidR="00387987" w:rsidRDefault="00387987" w:rsidP="00F32690">
      <w:pPr>
        <w:pStyle w:val="af3"/>
        <w:rPr>
          <w:rtl/>
        </w:rPr>
      </w:pPr>
      <w:r>
        <w:rPr>
          <w:rFonts w:hint="cs"/>
          <w:rtl/>
        </w:rPr>
        <w:t xml:space="preserve">על הלשכה להקפיד לבחון </w:t>
      </w:r>
      <w:r w:rsidRPr="000B5BE1">
        <w:rPr>
          <w:rFonts w:hint="cs"/>
          <w:rtl/>
        </w:rPr>
        <w:t>א</w:t>
      </w:r>
      <w:r>
        <w:rPr>
          <w:rFonts w:hint="cs"/>
          <w:rtl/>
        </w:rPr>
        <w:t>ם נכון לנקוט הליכים כנגד המאמן</w:t>
      </w:r>
      <w:r w:rsidRPr="000B5BE1">
        <w:rPr>
          <w:rFonts w:hint="cs"/>
          <w:rtl/>
        </w:rPr>
        <w:t xml:space="preserve"> בד בבד עם ה</w:t>
      </w:r>
      <w:r>
        <w:rPr>
          <w:rFonts w:hint="cs"/>
          <w:rtl/>
        </w:rPr>
        <w:t>דיון בעניינו של</w:t>
      </w:r>
      <w:r w:rsidRPr="000B5BE1">
        <w:rPr>
          <w:rFonts w:hint="cs"/>
          <w:rtl/>
        </w:rPr>
        <w:t xml:space="preserve"> </w:t>
      </w:r>
      <w:r>
        <w:rPr>
          <w:rFonts w:hint="cs"/>
          <w:rtl/>
        </w:rPr>
        <w:t>ה</w:t>
      </w:r>
      <w:r w:rsidRPr="000B5BE1">
        <w:rPr>
          <w:rFonts w:hint="cs"/>
          <w:rtl/>
        </w:rPr>
        <w:t>מתמחה</w:t>
      </w:r>
      <w:r>
        <w:rPr>
          <w:rFonts w:hint="cs"/>
          <w:rtl/>
        </w:rPr>
        <w:t xml:space="preserve"> ואם כן, לפעול לבצע את החלטותיה בעניין.</w:t>
      </w:r>
      <w:r w:rsidRPr="000B5BE1">
        <w:rPr>
          <w:rFonts w:hint="cs"/>
          <w:rtl/>
        </w:rPr>
        <w:t xml:space="preserve"> </w:t>
      </w:r>
    </w:p>
    <w:p w14:paraId="0AE542E6" w14:textId="77777777" w:rsidR="00387987" w:rsidRDefault="00387987" w:rsidP="00F32690">
      <w:pPr>
        <w:pStyle w:val="414"/>
        <w:rPr>
          <w:rtl/>
        </w:rPr>
      </w:pPr>
      <w:bookmarkStart w:id="29" w:name="_Toc23155598"/>
      <w:r>
        <w:rPr>
          <w:rtl/>
        </w:rPr>
        <w:t>אי</w:t>
      </w:r>
      <w:r>
        <w:rPr>
          <w:rFonts w:hint="cs"/>
          <w:rtl/>
        </w:rPr>
        <w:t>-</w:t>
      </w:r>
      <w:r>
        <w:rPr>
          <w:rtl/>
        </w:rPr>
        <w:t>מינוי נציב פיקוח על ההתמחות</w:t>
      </w:r>
      <w:bookmarkEnd w:id="29"/>
    </w:p>
    <w:p w14:paraId="094A95B6" w14:textId="77777777" w:rsidR="00387987" w:rsidRDefault="00387987" w:rsidP="00F32690">
      <w:pPr>
        <w:pStyle w:val="100"/>
        <w:rPr>
          <w:rtl/>
        </w:rPr>
      </w:pPr>
      <w:r>
        <w:rPr>
          <w:rtl/>
        </w:rPr>
        <w:t xml:space="preserve">בתיקון </w:t>
      </w:r>
      <w:r>
        <w:rPr>
          <w:rFonts w:hint="cs"/>
          <w:rtl/>
        </w:rPr>
        <w:t>39</w:t>
      </w:r>
      <w:r>
        <w:rPr>
          <w:rtl/>
        </w:rPr>
        <w:t xml:space="preserve"> לחוק</w:t>
      </w:r>
      <w:r>
        <w:rPr>
          <w:rFonts w:hint="cs"/>
          <w:rtl/>
        </w:rPr>
        <w:t xml:space="preserve"> </w:t>
      </w:r>
      <w:r>
        <w:rPr>
          <w:rtl/>
        </w:rPr>
        <w:t xml:space="preserve">נקבע כי שר המשפטים, לאחר התייעצות עם המועצה הארצית, ימנה </w:t>
      </w:r>
      <w:r w:rsidRPr="007C6F36">
        <w:rPr>
          <w:rtl/>
        </w:rPr>
        <w:t>עד דצמבר 2017</w:t>
      </w:r>
      <w:r>
        <w:rPr>
          <w:rFonts w:hint="cs"/>
          <w:b/>
          <w:bCs/>
          <w:rtl/>
        </w:rPr>
        <w:t xml:space="preserve"> </w:t>
      </w:r>
      <w:r>
        <w:rPr>
          <w:rtl/>
        </w:rPr>
        <w:t xml:space="preserve">נציב פיקוח על ההתמחות שיעמוד בראש מערך הפיקוח על ההתמחות של הלשכה. על פי החוק, הנציב יפקח על ההתמחות, ייעץ ללשכה בעניינים הנוגעים לפיקוח על ההתמחות ויברר תלונות של מתמחים או של מתמחים לשעבר. לנציב נקבעה סמכות לקבל </w:t>
      </w:r>
      <w:r>
        <w:rPr>
          <w:rFonts w:hint="cs"/>
          <w:rtl/>
        </w:rPr>
        <w:t>ידיעות ומסמכים, לנקוט אמצעים מתאימים אם מצא ליקויים בתפקודו של מאמן ואף לקבוע כי הוא</w:t>
      </w:r>
      <w:r>
        <w:rPr>
          <w:rtl/>
        </w:rPr>
        <w:t xml:space="preserve"> לא יורשה לאמן מתמחים לתקופה שיקבע שלא תעלה על 18 חודשים.</w:t>
      </w:r>
      <w:r>
        <w:rPr>
          <w:rFonts w:hint="cs"/>
          <w:rtl/>
        </w:rPr>
        <w:t xml:space="preserve"> מינוי הנציב מעניק למעשה גם למערך ההתמחות סמכויות שלא היו לו קודם לכן או שלא ניתנו לו במפורש.</w:t>
      </w:r>
    </w:p>
    <w:p w14:paraId="6EBBE48D" w14:textId="77777777" w:rsidR="00387987" w:rsidRDefault="00387987" w:rsidP="00F32690">
      <w:pPr>
        <w:pStyle w:val="100"/>
        <w:rPr>
          <w:rtl/>
        </w:rPr>
      </w:pPr>
      <w:r w:rsidRPr="006011E6">
        <w:rPr>
          <w:rFonts w:hint="eastAsia"/>
          <w:rtl/>
        </w:rPr>
        <w:t>ממשרד</w:t>
      </w:r>
      <w:r w:rsidRPr="006011E6">
        <w:rPr>
          <w:rtl/>
        </w:rPr>
        <w:t xml:space="preserve"> המשפטים נמסר כי </w:t>
      </w:r>
      <w:r>
        <w:rPr>
          <w:rFonts w:hint="cs"/>
          <w:rtl/>
        </w:rPr>
        <w:t>במהלך שנת 2019 החל המשרד לקדם ט</w:t>
      </w:r>
      <w:r w:rsidRPr="006011E6">
        <w:rPr>
          <w:rtl/>
        </w:rPr>
        <w:t>יוטת תקנות ש</w:t>
      </w:r>
      <w:r>
        <w:rPr>
          <w:rFonts w:hint="cs"/>
          <w:rtl/>
        </w:rPr>
        <w:t>ת</w:t>
      </w:r>
      <w:r w:rsidRPr="006011E6">
        <w:rPr>
          <w:rtl/>
        </w:rPr>
        <w:t>סדיר את פעילות הנציב</w:t>
      </w:r>
      <w:r>
        <w:rPr>
          <w:rFonts w:hint="cs"/>
          <w:rtl/>
        </w:rPr>
        <w:t xml:space="preserve"> ובכך תקל על מציאת מועמד מתאים</w:t>
      </w:r>
      <w:r w:rsidRPr="006011E6">
        <w:rPr>
          <w:rtl/>
        </w:rPr>
        <w:t>.</w:t>
      </w:r>
    </w:p>
    <w:p w14:paraId="4AADDAA7" w14:textId="77777777" w:rsidR="00387987" w:rsidRDefault="00387987" w:rsidP="00F32690">
      <w:pPr>
        <w:pStyle w:val="af3"/>
        <w:rPr>
          <w:rtl/>
        </w:rPr>
      </w:pPr>
      <w:r w:rsidRPr="00F86EE1">
        <w:rPr>
          <w:rtl/>
        </w:rPr>
        <w:t>עד מועד סיום הביקורת</w:t>
      </w:r>
      <w:r>
        <w:rPr>
          <w:rFonts w:hint="cs"/>
          <w:rtl/>
        </w:rPr>
        <w:t xml:space="preserve">, קרוב לשנתיים לאחר המועד שנקבע לכך, </w:t>
      </w:r>
      <w:r w:rsidRPr="00F86EE1">
        <w:rPr>
          <w:rtl/>
        </w:rPr>
        <w:t>טרם מונה נציב. על משרד המשפטים לפעול בהקדם למינוי נציב בהתאם לקבוע בחוק.</w:t>
      </w:r>
    </w:p>
    <w:p w14:paraId="3C71D5EC" w14:textId="77777777" w:rsidR="00387987" w:rsidRPr="007472A9" w:rsidRDefault="00387987" w:rsidP="00F32690">
      <w:pPr>
        <w:pStyle w:val="316"/>
        <w:rPr>
          <w:rtl/>
        </w:rPr>
      </w:pPr>
      <w:bookmarkStart w:id="30" w:name="_Toc23155599"/>
      <w:bookmarkStart w:id="31" w:name="_Toc23159788"/>
      <w:r>
        <w:rPr>
          <w:rFonts w:hint="cs"/>
          <w:rtl/>
        </w:rPr>
        <w:t>ראיונות למועמדים להתמחות</w:t>
      </w:r>
      <w:bookmarkEnd w:id="30"/>
      <w:bookmarkEnd w:id="31"/>
    </w:p>
    <w:p w14:paraId="0C1F0BD9" w14:textId="77777777" w:rsidR="00387987" w:rsidRDefault="00387987" w:rsidP="00F32690">
      <w:pPr>
        <w:pStyle w:val="100"/>
        <w:rPr>
          <w:rtl/>
        </w:rPr>
      </w:pPr>
      <w:r>
        <w:rPr>
          <w:rFonts w:hint="cs"/>
          <w:rtl/>
        </w:rPr>
        <w:t xml:space="preserve">עד שנת 2010 </w:t>
      </w:r>
      <w:r>
        <w:rPr>
          <w:rtl/>
        </w:rPr>
        <w:t xml:space="preserve">לא </w:t>
      </w:r>
      <w:r>
        <w:rPr>
          <w:rFonts w:hint="cs"/>
          <w:rtl/>
        </w:rPr>
        <w:t xml:space="preserve">הוסדרו </w:t>
      </w:r>
      <w:r>
        <w:rPr>
          <w:rtl/>
        </w:rPr>
        <w:t xml:space="preserve">כללים </w:t>
      </w:r>
      <w:r>
        <w:rPr>
          <w:rFonts w:hint="cs"/>
          <w:rtl/>
        </w:rPr>
        <w:t xml:space="preserve">בנוגע </w:t>
      </w:r>
      <w:r>
        <w:rPr>
          <w:rtl/>
        </w:rPr>
        <w:t xml:space="preserve">למועד קיום ראיונות למועמדים להתמחות. </w:t>
      </w:r>
      <w:r>
        <w:rPr>
          <w:rFonts w:hint="cs"/>
          <w:rtl/>
        </w:rPr>
        <w:t xml:space="preserve">בפועל </w:t>
      </w:r>
      <w:r>
        <w:rPr>
          <w:rtl/>
        </w:rPr>
        <w:t xml:space="preserve">חלק מהראיונות היו מתקיימים כבר </w:t>
      </w:r>
      <w:r>
        <w:rPr>
          <w:rFonts w:hint="cs"/>
          <w:rtl/>
        </w:rPr>
        <w:t>במהלך השנתיים הראשונות ל</w:t>
      </w:r>
      <w:r>
        <w:rPr>
          <w:rtl/>
        </w:rPr>
        <w:t>לימודי המשפטים</w:t>
      </w:r>
      <w:r>
        <w:rPr>
          <w:rFonts w:hint="cs"/>
          <w:rtl/>
        </w:rPr>
        <w:t>,</w:t>
      </w:r>
      <w:r>
        <w:rPr>
          <w:rtl/>
        </w:rPr>
        <w:t xml:space="preserve"> </w:t>
      </w:r>
      <w:r>
        <w:rPr>
          <w:rFonts w:hint="cs"/>
          <w:rtl/>
        </w:rPr>
        <w:t xml:space="preserve">ונטען כי </w:t>
      </w:r>
      <w:r>
        <w:rPr>
          <w:rtl/>
        </w:rPr>
        <w:t>הסטודנט המועמד אינו בשל ל</w:t>
      </w:r>
      <w:r>
        <w:rPr>
          <w:rFonts w:hint="cs"/>
          <w:rtl/>
        </w:rPr>
        <w:t>קבלת החלטה מושכלת בנושא בשלב זה. כתוצאה מכך סמוך למועד תחילת ההתמחות היו מועמדים</w:t>
      </w:r>
      <w:r>
        <w:rPr>
          <w:rtl/>
        </w:rPr>
        <w:t xml:space="preserve"> או מאמנים מבטלים את הסיכום </w:t>
      </w:r>
      <w:r>
        <w:rPr>
          <w:rFonts w:hint="cs"/>
          <w:rtl/>
        </w:rPr>
        <w:t xml:space="preserve">המוקדם </w:t>
      </w:r>
      <w:r>
        <w:rPr>
          <w:rtl/>
        </w:rPr>
        <w:t>לביצוע ההתמחות</w:t>
      </w:r>
      <w:r>
        <w:rPr>
          <w:rFonts w:hint="cs"/>
          <w:rtl/>
        </w:rPr>
        <w:t xml:space="preserve"> במשרד הקולט</w:t>
      </w:r>
      <w:r>
        <w:rPr>
          <w:rtl/>
        </w:rPr>
        <w:t xml:space="preserve"> ובוחרים במאמנים או </w:t>
      </w:r>
      <w:r>
        <w:rPr>
          <w:rFonts w:hint="cs"/>
          <w:rtl/>
        </w:rPr>
        <w:t>במועמדים</w:t>
      </w:r>
      <w:r>
        <w:rPr>
          <w:rtl/>
        </w:rPr>
        <w:t xml:space="preserve"> אחרים.</w:t>
      </w:r>
    </w:p>
    <w:p w14:paraId="56A2145E" w14:textId="77777777" w:rsidR="00387987" w:rsidRDefault="00387987" w:rsidP="00F32690">
      <w:pPr>
        <w:pStyle w:val="100"/>
        <w:rPr>
          <w:rtl/>
        </w:rPr>
      </w:pPr>
      <w:r>
        <w:rPr>
          <w:rtl/>
        </w:rPr>
        <w:t>על מנת ל</w:t>
      </w:r>
      <w:r>
        <w:rPr>
          <w:rFonts w:hint="cs"/>
          <w:rtl/>
        </w:rPr>
        <w:t xml:space="preserve">מגר </w:t>
      </w:r>
      <w:r>
        <w:rPr>
          <w:rtl/>
        </w:rPr>
        <w:t xml:space="preserve">תופעה זו, תוקנו בשנת 2010 כללי ההתמחות ונקבע כי </w:t>
      </w:r>
      <w:r>
        <w:rPr>
          <w:rFonts w:hint="cs"/>
          <w:rtl/>
        </w:rPr>
        <w:t xml:space="preserve">החל משנת 2013 </w:t>
      </w:r>
      <w:r>
        <w:rPr>
          <w:rtl/>
        </w:rPr>
        <w:t xml:space="preserve">ראיונות לקראת קבלה להתמחות יחלו ב-15 </w:t>
      </w:r>
      <w:r>
        <w:rPr>
          <w:rFonts w:hint="cs"/>
          <w:rtl/>
        </w:rPr>
        <w:t>ב</w:t>
      </w:r>
      <w:r>
        <w:rPr>
          <w:rtl/>
        </w:rPr>
        <w:t xml:space="preserve">מרץ של השנה השלישית ללימודי המשפטים. עוד נקבע כי המאמן והמתמחה יודיעו ללשכה על הקבלה להתמחות באמצעות טופס. </w:t>
      </w:r>
    </w:p>
    <w:p w14:paraId="10835FAB" w14:textId="77777777" w:rsidR="00387987" w:rsidRDefault="00387987" w:rsidP="00F32690">
      <w:pPr>
        <w:pStyle w:val="100"/>
        <w:rPr>
          <w:rtl/>
        </w:rPr>
      </w:pPr>
      <w:r>
        <w:rPr>
          <w:rtl/>
        </w:rPr>
        <w:lastRenderedPageBreak/>
        <w:t xml:space="preserve">לאחר השנה הראשונה </w:t>
      </w:r>
      <w:r>
        <w:rPr>
          <w:rFonts w:hint="cs"/>
          <w:rtl/>
        </w:rPr>
        <w:t>ש</w:t>
      </w:r>
      <w:r>
        <w:rPr>
          <w:rtl/>
        </w:rPr>
        <w:t xml:space="preserve">בה יושם התיקון התברר כי קיימים </w:t>
      </w:r>
      <w:r>
        <w:rPr>
          <w:rFonts w:hint="cs"/>
          <w:rtl/>
        </w:rPr>
        <w:t>בו כמה</w:t>
      </w:r>
      <w:r>
        <w:rPr>
          <w:rtl/>
        </w:rPr>
        <w:t xml:space="preserve"> </w:t>
      </w:r>
      <w:r>
        <w:rPr>
          <w:rFonts w:hint="cs"/>
          <w:rtl/>
        </w:rPr>
        <w:t>קשיים</w:t>
      </w:r>
      <w:r>
        <w:rPr>
          <w:rStyle w:val="FootnoteReference"/>
          <w:rtl/>
        </w:rPr>
        <w:footnoteReference w:id="64"/>
      </w:r>
      <w:r>
        <w:rPr>
          <w:rFonts w:hint="cs"/>
          <w:rtl/>
        </w:rPr>
        <w:t>,</w:t>
      </w:r>
      <w:r>
        <w:rPr>
          <w:rtl/>
        </w:rPr>
        <w:t xml:space="preserve"> </w:t>
      </w:r>
      <w:r>
        <w:rPr>
          <w:rFonts w:hint="cs"/>
          <w:rtl/>
        </w:rPr>
        <w:t xml:space="preserve">כגון </w:t>
      </w:r>
      <w:r>
        <w:rPr>
          <w:rtl/>
        </w:rPr>
        <w:t xml:space="preserve">לחץ על </w:t>
      </w:r>
      <w:r>
        <w:rPr>
          <w:rFonts w:hint="cs"/>
          <w:rtl/>
        </w:rPr>
        <w:t>המועמד</w:t>
      </w:r>
      <w:r>
        <w:rPr>
          <w:rtl/>
        </w:rPr>
        <w:t xml:space="preserve"> לה</w:t>
      </w:r>
      <w:r>
        <w:rPr>
          <w:rFonts w:hint="cs"/>
          <w:rtl/>
        </w:rPr>
        <w:t xml:space="preserve">תחייב </w:t>
      </w:r>
      <w:r>
        <w:rPr>
          <w:rtl/>
        </w:rPr>
        <w:t>למאמן הראשון שהודיע לו שהתקבל בלי שביצע ראיונות במקומות נוספים</w:t>
      </w:r>
      <w:r>
        <w:rPr>
          <w:rFonts w:hint="cs"/>
          <w:rtl/>
        </w:rPr>
        <w:t>; מחסור בזמן לאיתור מקום התמחות למועמדים</w:t>
      </w:r>
      <w:r>
        <w:rPr>
          <w:rtl/>
        </w:rPr>
        <w:t xml:space="preserve"> המתחילים התמחות ב</w:t>
      </w:r>
      <w:r>
        <w:rPr>
          <w:rFonts w:hint="cs"/>
          <w:rtl/>
        </w:rPr>
        <w:t xml:space="preserve">חודש </w:t>
      </w:r>
      <w:r>
        <w:rPr>
          <w:rtl/>
        </w:rPr>
        <w:t xml:space="preserve">ספטמבר </w:t>
      </w:r>
      <w:r>
        <w:rPr>
          <w:rFonts w:hint="cs"/>
          <w:rtl/>
        </w:rPr>
        <w:t>(</w:t>
      </w:r>
      <w:r>
        <w:rPr>
          <w:rtl/>
        </w:rPr>
        <w:t>ולא ב</w:t>
      </w:r>
      <w:r>
        <w:rPr>
          <w:rFonts w:hint="cs"/>
          <w:rtl/>
        </w:rPr>
        <w:t xml:space="preserve">חודש </w:t>
      </w:r>
      <w:r>
        <w:rPr>
          <w:rtl/>
        </w:rPr>
        <w:t>מרץ</w:t>
      </w:r>
      <w:r>
        <w:rPr>
          <w:rFonts w:hint="cs"/>
          <w:rtl/>
        </w:rPr>
        <w:t>);</w:t>
      </w:r>
      <w:r>
        <w:rPr>
          <w:rtl/>
        </w:rPr>
        <w:t xml:space="preserve"> קושי </w:t>
      </w:r>
      <w:r>
        <w:rPr>
          <w:rFonts w:hint="cs"/>
          <w:rtl/>
        </w:rPr>
        <w:t>ש</w:t>
      </w:r>
      <w:r>
        <w:rPr>
          <w:rtl/>
        </w:rPr>
        <w:t>ל</w:t>
      </w:r>
      <w:r>
        <w:rPr>
          <w:rFonts w:hint="cs"/>
          <w:rtl/>
        </w:rPr>
        <w:t xml:space="preserve"> </w:t>
      </w:r>
      <w:r>
        <w:rPr>
          <w:rtl/>
        </w:rPr>
        <w:t xml:space="preserve">מאמנים מהמגזר הציבורי לעמוד בלוחות הזמנים לעומת </w:t>
      </w:r>
      <w:r>
        <w:rPr>
          <w:rFonts w:hint="cs"/>
          <w:rtl/>
        </w:rPr>
        <w:t>מאמנים מ</w:t>
      </w:r>
      <w:r>
        <w:rPr>
          <w:rtl/>
        </w:rPr>
        <w:t>המגזר הפרטי והפסד של מתמחים טובים בשל כך</w:t>
      </w:r>
      <w:r>
        <w:rPr>
          <w:rFonts w:hint="cs"/>
          <w:rtl/>
        </w:rPr>
        <w:t>;</w:t>
      </w:r>
      <w:r>
        <w:rPr>
          <w:rtl/>
        </w:rPr>
        <w:t xml:space="preserve"> מועדי הראיונות שנקבעו </w:t>
      </w:r>
      <w:r>
        <w:rPr>
          <w:rFonts w:hint="cs"/>
          <w:rtl/>
        </w:rPr>
        <w:t>לפי הכללים בשוגג</w:t>
      </w:r>
      <w:r>
        <w:rPr>
          <w:rtl/>
        </w:rPr>
        <w:t xml:space="preserve"> </w:t>
      </w:r>
      <w:r>
        <w:rPr>
          <w:rFonts w:hint="cs"/>
          <w:rtl/>
        </w:rPr>
        <w:t>ל</w:t>
      </w:r>
      <w:r>
        <w:rPr>
          <w:rtl/>
        </w:rPr>
        <w:t>סופי שבוע.</w:t>
      </w:r>
    </w:p>
    <w:p w14:paraId="7D937E49" w14:textId="77777777" w:rsidR="00387987" w:rsidRDefault="00387987" w:rsidP="00F32690">
      <w:pPr>
        <w:pStyle w:val="100"/>
        <w:rPr>
          <w:rtl/>
        </w:rPr>
      </w:pPr>
      <w:r>
        <w:rPr>
          <w:rtl/>
        </w:rPr>
        <w:t>בעקבות זאת</w:t>
      </w:r>
      <w:r>
        <w:rPr>
          <w:rFonts w:hint="cs"/>
          <w:rtl/>
        </w:rPr>
        <w:t>,</w:t>
      </w:r>
      <w:r>
        <w:rPr>
          <w:rtl/>
        </w:rPr>
        <w:t xml:space="preserve"> ב</w:t>
      </w:r>
      <w:r>
        <w:rPr>
          <w:rFonts w:hint="cs"/>
          <w:rtl/>
        </w:rPr>
        <w:t xml:space="preserve">כל אחת מהשנים 2014 - 2016 </w:t>
      </w:r>
      <w:r>
        <w:rPr>
          <w:rtl/>
        </w:rPr>
        <w:t>נקבע</w:t>
      </w:r>
      <w:r>
        <w:rPr>
          <w:rFonts w:hint="cs"/>
          <w:rtl/>
        </w:rPr>
        <w:t xml:space="preserve">ו </w:t>
      </w:r>
      <w:r>
        <w:rPr>
          <w:rtl/>
        </w:rPr>
        <w:t>הורא</w:t>
      </w:r>
      <w:r>
        <w:rPr>
          <w:rFonts w:hint="cs"/>
          <w:rtl/>
        </w:rPr>
        <w:t>ו</w:t>
      </w:r>
      <w:r>
        <w:rPr>
          <w:rtl/>
        </w:rPr>
        <w:t xml:space="preserve">ת </w:t>
      </w:r>
      <w:r>
        <w:rPr>
          <w:rFonts w:hint="cs"/>
          <w:rtl/>
        </w:rPr>
        <w:t>המסדירות מענה לחלק מהקשיים שעלו</w:t>
      </w:r>
      <w:r>
        <w:rPr>
          <w:rtl/>
        </w:rPr>
        <w:t xml:space="preserve">. </w:t>
      </w:r>
      <w:r>
        <w:rPr>
          <w:rFonts w:hint="cs"/>
          <w:rtl/>
        </w:rPr>
        <w:t>הלשכה מסרה בתשובתה כי היא בוחנת שינויים נוספים של הכללים שיחייבו לבצע את הרישום להתמחות באמצעות מערכת ממחושבת שבבסיסה אלגוריתם המשבץ מתמחים למשרדים בצורה התואמת ביותר להעדפות של שני הצדדים</w:t>
      </w:r>
      <w:r>
        <w:rPr>
          <w:rStyle w:val="FootnoteReference"/>
          <w:rtl/>
        </w:rPr>
        <w:footnoteReference w:id="65"/>
      </w:r>
      <w:r>
        <w:rPr>
          <w:rFonts w:hint="cs"/>
          <w:rtl/>
        </w:rPr>
        <w:t>.</w:t>
      </w:r>
    </w:p>
    <w:p w14:paraId="7E6E730A" w14:textId="77777777" w:rsidR="00387987" w:rsidRDefault="00387987" w:rsidP="00F32690">
      <w:pPr>
        <w:pStyle w:val="af3"/>
        <w:rPr>
          <w:rtl/>
        </w:rPr>
      </w:pPr>
      <w:r>
        <w:rPr>
          <w:rFonts w:hint="cs"/>
          <w:rtl/>
        </w:rPr>
        <w:t xml:space="preserve">משרד מבקר המדינה רואה בחיוב את נקיטת הפעולות לשיפור המצב בתחום זה. </w:t>
      </w:r>
      <w:r w:rsidRPr="005C2B86">
        <w:rPr>
          <w:rFonts w:hint="cs"/>
          <w:rtl/>
        </w:rPr>
        <w:t>מוצע כי</w:t>
      </w:r>
      <w:r>
        <w:rPr>
          <w:rFonts w:hint="cs"/>
          <w:rtl/>
        </w:rPr>
        <w:t xml:space="preserve"> לשכת עורכי הדין</w:t>
      </w:r>
      <w:r w:rsidRPr="005C2B86">
        <w:rPr>
          <w:rFonts w:hint="cs"/>
          <w:rtl/>
        </w:rPr>
        <w:t xml:space="preserve"> תבחן את המודל שנוצר בעקבות שינוי הכללים והוראות השעה ו</w:t>
      </w:r>
      <w:r>
        <w:rPr>
          <w:rFonts w:hint="cs"/>
          <w:rtl/>
        </w:rPr>
        <w:t xml:space="preserve">כן </w:t>
      </w:r>
      <w:r w:rsidRPr="005C2B86">
        <w:rPr>
          <w:rFonts w:hint="cs"/>
          <w:rtl/>
        </w:rPr>
        <w:t>את</w:t>
      </w:r>
      <w:r>
        <w:rPr>
          <w:rFonts w:hint="cs"/>
          <w:rtl/>
        </w:rPr>
        <w:t xml:space="preserve"> המערכת הממוחשבת המוצעת </w:t>
      </w:r>
      <w:r>
        <w:rPr>
          <w:rFonts w:ascii="Arial" w:hAnsi="Arial" w:hint="cs"/>
          <w:rtl/>
        </w:rPr>
        <w:t>ו</w:t>
      </w:r>
      <w:r w:rsidRPr="005C2B86">
        <w:rPr>
          <w:rFonts w:ascii="Arial" w:hAnsi="Arial"/>
          <w:rtl/>
        </w:rPr>
        <w:t>השפעות יישומ</w:t>
      </w:r>
      <w:r>
        <w:rPr>
          <w:rFonts w:ascii="Arial" w:hAnsi="Arial" w:hint="cs"/>
          <w:rtl/>
        </w:rPr>
        <w:t>ם</w:t>
      </w:r>
      <w:r w:rsidRPr="005C2B86">
        <w:rPr>
          <w:rFonts w:ascii="Arial" w:hAnsi="Arial"/>
          <w:rtl/>
        </w:rPr>
        <w:t xml:space="preserve"> על מתמחים </w:t>
      </w:r>
      <w:r w:rsidRPr="005C2B86">
        <w:rPr>
          <w:rFonts w:ascii="Arial" w:hAnsi="Arial" w:hint="cs"/>
          <w:rtl/>
        </w:rPr>
        <w:t xml:space="preserve">ומאמנים, כדי לוודא </w:t>
      </w:r>
      <w:r>
        <w:rPr>
          <w:rFonts w:ascii="Arial" w:hAnsi="Arial" w:hint="cs"/>
          <w:rtl/>
        </w:rPr>
        <w:t>מהו המענה ה</w:t>
      </w:r>
      <w:r w:rsidRPr="005C2B86">
        <w:rPr>
          <w:rFonts w:ascii="Arial" w:hAnsi="Arial" w:hint="cs"/>
          <w:rtl/>
        </w:rPr>
        <w:t xml:space="preserve">מיטבי </w:t>
      </w:r>
      <w:r>
        <w:rPr>
          <w:rFonts w:ascii="Arial" w:hAnsi="Arial" w:hint="cs"/>
          <w:rtl/>
        </w:rPr>
        <w:t>הן למאמנים הן למתמחים</w:t>
      </w:r>
      <w:r w:rsidRPr="005C2B86">
        <w:rPr>
          <w:rFonts w:ascii="Arial" w:hAnsi="Arial" w:hint="cs"/>
          <w:rtl/>
        </w:rPr>
        <w:t>.</w:t>
      </w:r>
    </w:p>
    <w:p w14:paraId="6E403586" w14:textId="1F60D76E" w:rsidR="00387987" w:rsidRDefault="00387987" w:rsidP="00F32690">
      <w:pPr>
        <w:pStyle w:val="afe"/>
        <w:rPr>
          <w:rtl/>
        </w:rPr>
      </w:pPr>
      <w:r w:rsidRPr="00F32690">
        <w:rPr>
          <w:rFonts w:hint="cs"/>
          <w:rtl/>
        </w:rPr>
        <w:t>✰</w:t>
      </w:r>
    </w:p>
    <w:p w14:paraId="6135548D" w14:textId="77777777" w:rsidR="00F32690" w:rsidRPr="00F32690" w:rsidRDefault="00F32690" w:rsidP="00F32690">
      <w:pPr>
        <w:pStyle w:val="afe"/>
        <w:rPr>
          <w:rFonts w:ascii="Arial" w:hAnsi="Arial" w:cs="Arial"/>
          <w:rtl/>
        </w:rPr>
      </w:pPr>
    </w:p>
    <w:p w14:paraId="60B89C3A" w14:textId="77777777" w:rsidR="00387987" w:rsidRPr="00CB2934" w:rsidRDefault="00387987" w:rsidP="00F32690">
      <w:pPr>
        <w:pStyle w:val="a8"/>
        <w:rPr>
          <w:rtl/>
        </w:rPr>
      </w:pPr>
      <w:r w:rsidRPr="00541392">
        <w:rPr>
          <w:rFonts w:hint="eastAsia"/>
          <w:rtl/>
        </w:rPr>
        <w:lastRenderedPageBreak/>
        <w:t>תרשים</w:t>
      </w:r>
      <w:r w:rsidRPr="00541392">
        <w:rPr>
          <w:rtl/>
        </w:rPr>
        <w:t xml:space="preserve"> </w:t>
      </w:r>
      <w:r>
        <w:rPr>
          <w:rFonts w:hint="cs"/>
          <w:rtl/>
        </w:rPr>
        <w:t>15</w:t>
      </w:r>
      <w:r w:rsidRPr="00541392">
        <w:rPr>
          <w:rtl/>
        </w:rPr>
        <w:t xml:space="preserve">: </w:t>
      </w:r>
      <w:r w:rsidRPr="00F32690">
        <w:rPr>
          <w:b/>
          <w:bCs/>
          <w:rtl/>
        </w:rPr>
        <w:t xml:space="preserve">עיקרי הליקויים במערך ההתמחות של </w:t>
      </w:r>
      <w:r w:rsidRPr="00F32690">
        <w:rPr>
          <w:rFonts w:hint="eastAsia"/>
          <w:b/>
          <w:bCs/>
          <w:rtl/>
        </w:rPr>
        <w:t>הלשכה</w:t>
      </w:r>
    </w:p>
    <w:p w14:paraId="254E4ED0" w14:textId="77777777" w:rsidR="00387987" w:rsidRPr="00C50B99" w:rsidRDefault="00387987" w:rsidP="00F32690">
      <w:pPr>
        <w:pStyle w:val="a8"/>
        <w:rPr>
          <w:rFonts w:ascii="Arial" w:hAnsi="Arial" w:cs="Arial"/>
          <w:sz w:val="36"/>
          <w:rtl/>
        </w:rPr>
      </w:pPr>
      <w:r>
        <w:rPr>
          <w:noProof/>
        </w:rPr>
        <w:drawing>
          <wp:inline distT="0" distB="0" distL="0" distR="0" wp14:anchorId="38C5CDEA" wp14:editId="1779614D">
            <wp:extent cx="3171825" cy="2228850"/>
            <wp:effectExtent l="0" t="0" r="9525" b="0"/>
            <wp:docPr id="42" name="תמונה 22" descr="C:\Users\itiel_ma\AppData\Local\Microsoft\Windows\INetCache\Content.Word\פעילות לשכת עורכי הדין 0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2434" name="Picture 10" descr="C:\Users\itiel_ma\AppData\Local\Microsoft\Windows\INetCache\Content.Word\פעילות לשכת עורכי הדין 07012.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171825" cy="2228850"/>
                    </a:xfrm>
                    <a:prstGeom prst="rect">
                      <a:avLst/>
                    </a:prstGeom>
                    <a:noFill/>
                    <a:ln>
                      <a:noFill/>
                    </a:ln>
                  </pic:spPr>
                </pic:pic>
              </a:graphicData>
            </a:graphic>
          </wp:inline>
        </w:drawing>
      </w:r>
    </w:p>
    <w:p w14:paraId="4D5CA1F0" w14:textId="77777777" w:rsidR="00387987" w:rsidRDefault="00387987" w:rsidP="00F32690">
      <w:pPr>
        <w:pStyle w:val="af3"/>
        <w:rPr>
          <w:rtl/>
        </w:rPr>
      </w:pPr>
      <w:r>
        <w:rPr>
          <w:rFonts w:hint="cs"/>
          <w:rtl/>
        </w:rPr>
        <w:t>על הלשכה</w:t>
      </w:r>
      <w:r w:rsidRPr="005852DF">
        <w:rPr>
          <w:rFonts w:hint="cs"/>
          <w:rtl/>
        </w:rPr>
        <w:t xml:space="preserve"> </w:t>
      </w:r>
      <w:r>
        <w:rPr>
          <w:rFonts w:hint="cs"/>
          <w:rtl/>
        </w:rPr>
        <w:t xml:space="preserve">לגבש מתווה פעולה בדבר אופן הפיקוח הראוי על ההתמחות, </w:t>
      </w:r>
      <w:r w:rsidRPr="005852DF">
        <w:rPr>
          <w:rtl/>
        </w:rPr>
        <w:t xml:space="preserve">על מנת לוודא </w:t>
      </w:r>
      <w:r w:rsidRPr="005852DF">
        <w:rPr>
          <w:rFonts w:hint="cs"/>
          <w:rtl/>
        </w:rPr>
        <w:t>שמוסד ההתמחות</w:t>
      </w:r>
      <w:r>
        <w:rPr>
          <w:rFonts w:hint="cs"/>
          <w:rtl/>
        </w:rPr>
        <w:t xml:space="preserve"> </w:t>
      </w:r>
      <w:r w:rsidRPr="005852DF">
        <w:rPr>
          <w:rFonts w:hint="cs"/>
          <w:rtl/>
        </w:rPr>
        <w:t>ממלא את ייעודו</w:t>
      </w:r>
      <w:r>
        <w:rPr>
          <w:rFonts w:hint="cs"/>
          <w:rtl/>
        </w:rPr>
        <w:t xml:space="preserve">. כמו כן עליה </w:t>
      </w:r>
      <w:r w:rsidRPr="005852DF">
        <w:rPr>
          <w:rFonts w:hint="cs"/>
          <w:rtl/>
        </w:rPr>
        <w:t xml:space="preserve">לוודא כי תהליך אישור ופסילה של מאמנים </w:t>
      </w:r>
      <w:r>
        <w:rPr>
          <w:rFonts w:hint="cs"/>
          <w:rtl/>
        </w:rPr>
        <w:t xml:space="preserve">יהיה </w:t>
      </w:r>
      <w:r w:rsidRPr="005852DF">
        <w:rPr>
          <w:rFonts w:hint="cs"/>
          <w:rtl/>
        </w:rPr>
        <w:t xml:space="preserve">אחיד בכל המחוזות </w:t>
      </w:r>
      <w:r>
        <w:rPr>
          <w:rFonts w:hint="cs"/>
          <w:rtl/>
        </w:rPr>
        <w:t>באופן שיבטיח כי רק מי שראוי ועומד בדרישות יוכל לשמש מאמן.</w:t>
      </w:r>
      <w:r w:rsidRPr="005852DF">
        <w:rPr>
          <w:rFonts w:hint="cs"/>
          <w:rtl/>
        </w:rPr>
        <w:t xml:space="preserve"> </w:t>
      </w:r>
    </w:p>
    <w:p w14:paraId="75BD46D5" w14:textId="77777777" w:rsidR="00387987" w:rsidRDefault="00387987" w:rsidP="00387987">
      <w:pPr>
        <w:spacing w:line="269" w:lineRule="auto"/>
        <w:rPr>
          <w:b/>
          <w:bCs/>
          <w:rtl/>
        </w:rPr>
      </w:pPr>
    </w:p>
    <w:p w14:paraId="795340A0" w14:textId="77777777" w:rsidR="00387987" w:rsidRDefault="00387987" w:rsidP="00387987">
      <w:pPr>
        <w:bidi w:val="0"/>
        <w:spacing w:after="200" w:line="276" w:lineRule="auto"/>
        <w:rPr>
          <w:rFonts w:eastAsiaTheme="majorEastAsia"/>
          <w:bCs/>
          <w:szCs w:val="32"/>
          <w:rtl/>
        </w:rPr>
      </w:pPr>
      <w:bookmarkStart w:id="32" w:name="_Toc23155600"/>
      <w:bookmarkStart w:id="33" w:name="_Toc23159789"/>
      <w:r>
        <w:rPr>
          <w:rtl/>
        </w:rPr>
        <w:br w:type="page"/>
      </w:r>
    </w:p>
    <w:p w14:paraId="09E34605" w14:textId="77777777" w:rsidR="00387987" w:rsidRDefault="00387987" w:rsidP="006C150F">
      <w:pPr>
        <w:pStyle w:val="218"/>
        <w:rPr>
          <w:rtl/>
        </w:rPr>
      </w:pPr>
      <w:r>
        <w:rPr>
          <w:rFonts w:hint="cs"/>
          <w:rtl/>
        </w:rPr>
        <w:lastRenderedPageBreak/>
        <w:t>הסדרה וטיפול בחשש לניגוד עניינים</w:t>
      </w:r>
      <w:bookmarkEnd w:id="32"/>
      <w:bookmarkEnd w:id="33"/>
    </w:p>
    <w:p w14:paraId="36E4C3A4" w14:textId="77777777" w:rsidR="00387987" w:rsidRDefault="00387987" w:rsidP="006C150F">
      <w:pPr>
        <w:pStyle w:val="100"/>
      </w:pPr>
      <w:r w:rsidRPr="00214619">
        <w:rPr>
          <w:rtl/>
        </w:rPr>
        <w:t xml:space="preserve">לשכת עורכי הדין פועלת באמצעות </w:t>
      </w:r>
      <w:r>
        <w:rPr>
          <w:rFonts w:hint="cs"/>
          <w:rtl/>
        </w:rPr>
        <w:t>חברי מוסדותיה</w:t>
      </w:r>
      <w:r w:rsidRPr="00214619">
        <w:rPr>
          <w:rtl/>
        </w:rPr>
        <w:t xml:space="preserve"> שרו</w:t>
      </w:r>
      <w:r>
        <w:rPr>
          <w:rtl/>
        </w:rPr>
        <w:t>בם ככולם עורכי דין החברים בלשכה</w:t>
      </w:r>
      <w:r>
        <w:rPr>
          <w:rStyle w:val="FootnoteReference"/>
          <w:rtl/>
        </w:rPr>
        <w:footnoteReference w:id="66"/>
      </w:r>
      <w:r w:rsidRPr="00214619">
        <w:rPr>
          <w:rtl/>
        </w:rPr>
        <w:t>.</w:t>
      </w:r>
      <w:r>
        <w:rPr>
          <w:rFonts w:hint="cs"/>
          <w:rtl/>
        </w:rPr>
        <w:t xml:space="preserve"> חברי מוסדות הלשכה אינם מקבלים שכר עבור חברותם וככלל, הם עוסקים בתפקידם במקביל לעבודתם כעורכי דין. במצב דברים זה עלול לעלות חשש לניגוד עניינים בין תפקידו של חבר במוסדות הלשכה לבין ענייניו הפרטיים מול לקוחותיו או ענייניו האישיים. כן עלול להתעורר חשש לניגוד עניינים בקרב עובדי מנגנון הלשכה, הארצי או במחוזות, וכן בקרב נותני שירותים שהלשכה משתמשת בשירותיהם. בשל חששות אלה ראוי להסדיר את הנושא ולמנוע ניגודי עניינים אפשריים. הסדרה זו אף תאפשר </w:t>
      </w:r>
      <w:r w:rsidRPr="00452993">
        <w:rPr>
          <w:rtl/>
        </w:rPr>
        <w:t xml:space="preserve">להגיע לאיזונים ראויים </w:t>
      </w:r>
      <w:r>
        <w:rPr>
          <w:rFonts w:hint="cs"/>
          <w:rtl/>
        </w:rPr>
        <w:t xml:space="preserve">במקרה של בעלי תפקידים שאינם מקבלים שכר, בין היתר </w:t>
      </w:r>
      <w:r w:rsidRPr="00452993">
        <w:rPr>
          <w:rtl/>
        </w:rPr>
        <w:t xml:space="preserve">על מנת שהדבר לא </w:t>
      </w:r>
      <w:r>
        <w:rPr>
          <w:rFonts w:hint="cs"/>
          <w:rtl/>
        </w:rPr>
        <w:t>יהיה חסם להתנדבותם</w:t>
      </w:r>
      <w:r>
        <w:rPr>
          <w:rStyle w:val="FootnoteReference"/>
          <w:rtl/>
        </w:rPr>
        <w:footnoteReference w:id="67"/>
      </w:r>
      <w:r>
        <w:rPr>
          <w:rFonts w:hint="cs"/>
          <w:rtl/>
        </w:rPr>
        <w:t>.</w:t>
      </w:r>
    </w:p>
    <w:p w14:paraId="012406CA" w14:textId="77777777" w:rsidR="00387987" w:rsidRDefault="00387987" w:rsidP="006C150F">
      <w:pPr>
        <w:pStyle w:val="100"/>
        <w:rPr>
          <w:rtl/>
        </w:rPr>
      </w:pPr>
      <w:r>
        <w:rPr>
          <w:rtl/>
        </w:rPr>
        <w:t xml:space="preserve">עובד ציבור עלול להימצא במצב של חשש לניגוד עניינים כאשר עניין </w:t>
      </w:r>
      <w:r>
        <w:rPr>
          <w:rFonts w:hint="cs"/>
          <w:rtl/>
        </w:rPr>
        <w:t>ש</w:t>
      </w:r>
      <w:r>
        <w:rPr>
          <w:rtl/>
        </w:rPr>
        <w:t>עליו</w:t>
      </w:r>
      <w:r>
        <w:rPr>
          <w:rFonts w:hint="cs"/>
          <w:rtl/>
        </w:rPr>
        <w:t xml:space="preserve"> </w:t>
      </w:r>
      <w:r>
        <w:rPr>
          <w:rtl/>
        </w:rPr>
        <w:t>הוא מופקד בתפקידו הציבורי עלול להתנגש עם עניין אחר שלו או עם תפקיד אחר שהוא</w:t>
      </w:r>
      <w:r>
        <w:rPr>
          <w:rFonts w:hint="cs"/>
          <w:rtl/>
        </w:rPr>
        <w:t xml:space="preserve"> </w:t>
      </w:r>
      <w:r>
        <w:rPr>
          <w:rtl/>
        </w:rPr>
        <w:t>ממלא</w:t>
      </w:r>
      <w:r>
        <w:rPr>
          <w:rFonts w:hint="cs"/>
          <w:rtl/>
        </w:rPr>
        <w:t>, ציבורי או אחר</w:t>
      </w:r>
      <w:r>
        <w:rPr>
          <w:rStyle w:val="FootnoteReference"/>
          <w:rtl/>
        </w:rPr>
        <w:footnoteReference w:id="68"/>
      </w:r>
      <w:r>
        <w:rPr>
          <w:rtl/>
        </w:rPr>
        <w:t>.</w:t>
      </w:r>
    </w:p>
    <w:p w14:paraId="4FB0015B" w14:textId="77777777" w:rsidR="00387987" w:rsidRDefault="00387987" w:rsidP="006C150F">
      <w:pPr>
        <w:pStyle w:val="100"/>
        <w:rPr>
          <w:rtl/>
        </w:rPr>
      </w:pPr>
      <w:r>
        <w:rPr>
          <w:rFonts w:hint="cs"/>
          <w:rtl/>
        </w:rPr>
        <w:t>האיסור</w:t>
      </w:r>
      <w:r w:rsidRPr="007B2536">
        <w:rPr>
          <w:rtl/>
        </w:rPr>
        <w:t xml:space="preserve"> על עובד ציבור להימצא בניגוד עניינים הוא ממושכלות היסוד של המשפט המינהלי</w:t>
      </w:r>
      <w:r>
        <w:rPr>
          <w:rFonts w:hint="cs"/>
          <w:rtl/>
        </w:rPr>
        <w:t xml:space="preserve"> והוא נובע מכ</w:t>
      </w:r>
      <w:r w:rsidRPr="00C6373B">
        <w:rPr>
          <w:rtl/>
        </w:rPr>
        <w:t>מה מקורות, ובהם</w:t>
      </w:r>
      <w:r>
        <w:rPr>
          <w:rFonts w:hint="cs"/>
          <w:rtl/>
        </w:rPr>
        <w:t xml:space="preserve"> כללי הצדק הטבעי וכן </w:t>
      </w:r>
      <w:r w:rsidRPr="00C6373B">
        <w:rPr>
          <w:rtl/>
        </w:rPr>
        <w:t>יחסי האמון השוררים בין עובד הציבור לבין הציבור, כללי המינ</w:t>
      </w:r>
      <w:r>
        <w:rPr>
          <w:rtl/>
        </w:rPr>
        <w:t>הל התקין וחובת ההגינות ותום הלב</w:t>
      </w:r>
      <w:r>
        <w:rPr>
          <w:rStyle w:val="FootnoteReference"/>
          <w:rtl/>
        </w:rPr>
        <w:footnoteReference w:id="69"/>
      </w:r>
      <w:r w:rsidRPr="00C6373B">
        <w:rPr>
          <w:rtl/>
        </w:rPr>
        <w:t>.</w:t>
      </w:r>
      <w:r>
        <w:rPr>
          <w:rFonts w:hint="cs"/>
          <w:rtl/>
        </w:rPr>
        <w:t xml:space="preserve"> </w:t>
      </w:r>
      <w:r w:rsidRPr="007B2536">
        <w:rPr>
          <w:rtl/>
        </w:rPr>
        <w:t>בבסיס</w:t>
      </w:r>
      <w:r>
        <w:rPr>
          <w:rFonts w:hint="cs"/>
          <w:rtl/>
        </w:rPr>
        <w:t xml:space="preserve"> האיסור עומדת</w:t>
      </w:r>
      <w:r w:rsidRPr="007B2536">
        <w:rPr>
          <w:rtl/>
        </w:rPr>
        <w:t xml:space="preserve"> התפיסה לפיה בעל תפקיד צריך לשים לנגד עיניו את האינטרס הציבורי</w:t>
      </w:r>
      <w:r>
        <w:rPr>
          <w:rFonts w:hint="cs"/>
          <w:rtl/>
        </w:rPr>
        <w:t xml:space="preserve"> ואינטרס זה בלבד</w:t>
      </w:r>
      <w:r w:rsidRPr="007B2536">
        <w:rPr>
          <w:rtl/>
        </w:rPr>
        <w:t>, מבלי לערב שיקולים אישיים במילוי תפקידו</w:t>
      </w:r>
      <w:r>
        <w:rPr>
          <w:rFonts w:hint="cs"/>
          <w:rtl/>
        </w:rPr>
        <w:t>. האיסור עוגן בכמה הוראות חוק</w:t>
      </w:r>
      <w:r>
        <w:rPr>
          <w:rStyle w:val="FootnoteReference"/>
          <w:rtl/>
        </w:rPr>
        <w:footnoteReference w:id="70"/>
      </w:r>
      <w:r>
        <w:rPr>
          <w:rFonts w:hint="cs"/>
          <w:rtl/>
        </w:rPr>
        <w:t>. בפסק דין מנחה</w:t>
      </w:r>
      <w:r>
        <w:rPr>
          <w:rStyle w:val="FootnoteReference"/>
          <w:rtl/>
        </w:rPr>
        <w:footnoteReference w:id="71"/>
      </w:r>
      <w:r>
        <w:rPr>
          <w:rFonts w:hint="cs"/>
          <w:rtl/>
        </w:rPr>
        <w:t xml:space="preserve"> בנושא ניגודי עניינים הבהיר בית המשפט העליון כי </w:t>
      </w:r>
      <w:r w:rsidRPr="00954A7D">
        <w:rPr>
          <w:rtl/>
        </w:rPr>
        <w:t>האיסור הוא על הימצאות במצ</w:t>
      </w:r>
      <w:r>
        <w:rPr>
          <w:rtl/>
        </w:rPr>
        <w:t xml:space="preserve">ב </w:t>
      </w:r>
      <w:r>
        <w:rPr>
          <w:rFonts w:hint="cs"/>
          <w:rtl/>
        </w:rPr>
        <w:t>ש</w:t>
      </w:r>
      <w:r>
        <w:rPr>
          <w:rtl/>
        </w:rPr>
        <w:t>בו עלול להיות ניגוד עניינים‏</w:t>
      </w:r>
      <w:r>
        <w:rPr>
          <w:rFonts w:hint="cs"/>
          <w:rtl/>
        </w:rPr>
        <w:t xml:space="preserve"> וכי אין זה משנה</w:t>
      </w:r>
      <w:r w:rsidRPr="00954A7D">
        <w:rPr>
          <w:rtl/>
        </w:rPr>
        <w:t xml:space="preserve"> אם בפועל שיקול הדעת הוא ראוי. </w:t>
      </w:r>
      <w:r>
        <w:rPr>
          <w:rFonts w:hint="cs"/>
          <w:rtl/>
        </w:rPr>
        <w:t xml:space="preserve">לכן </w:t>
      </w:r>
      <w:r w:rsidRPr="00954A7D">
        <w:rPr>
          <w:rtl/>
        </w:rPr>
        <w:t>אין צורך להוכיח בפועל קיומו של ניגוד עניינים‏</w:t>
      </w:r>
      <w:r>
        <w:rPr>
          <w:rFonts w:hint="cs"/>
          <w:rtl/>
        </w:rPr>
        <w:t>, אלא</w:t>
      </w:r>
      <w:r w:rsidRPr="00954A7D">
        <w:rPr>
          <w:rtl/>
        </w:rPr>
        <w:t xml:space="preserve"> די בכך שקיימת אפשרות ממשית של ניגוד עניינים.</w:t>
      </w:r>
    </w:p>
    <w:p w14:paraId="229D044F" w14:textId="77777777" w:rsidR="00387987" w:rsidRDefault="00387987" w:rsidP="006C150F">
      <w:pPr>
        <w:pStyle w:val="100"/>
      </w:pPr>
      <w:r w:rsidRPr="003A5CB3">
        <w:rPr>
          <w:rtl/>
        </w:rPr>
        <w:t>תחולתו של הכלל רחבה מאוד והוא חל על כל עובדי המגזר הציבורי, ובכלל זה בעלי תפקידים בחברות ממשלתיות, ברשויות מקומיות, בתאגידים ציבוריים ועל כל מי שממלא תפקיד ציבורי גם אם איננו עובד ציבור (כגון יועץ חיצוני). נוסף על כך, הכלל לא חל רק על אינטרסים כספיים, אלא גם על אינטרסים אישיים אחרים וגם על אינטרסים פוליטיים ומוסדיים</w:t>
      </w:r>
      <w:r>
        <w:rPr>
          <w:rStyle w:val="FootnoteReference"/>
          <w:rtl/>
        </w:rPr>
        <w:footnoteReference w:id="72"/>
      </w:r>
      <w:r w:rsidRPr="003A5CB3">
        <w:rPr>
          <w:rtl/>
        </w:rPr>
        <w:t>.</w:t>
      </w:r>
    </w:p>
    <w:p w14:paraId="2CEC7390" w14:textId="77777777" w:rsidR="00387987" w:rsidRDefault="00387987" w:rsidP="006C150F">
      <w:pPr>
        <w:pStyle w:val="100"/>
        <w:rPr>
          <w:rtl/>
        </w:rPr>
      </w:pPr>
      <w:r>
        <w:rPr>
          <w:rFonts w:hint="cs"/>
          <w:rtl/>
        </w:rPr>
        <w:t xml:space="preserve">בהתאם לכך, האיסור להימצא במצב של ניגוד עניינים חל גם על עובדי לשכת עורכי הדין ונבחריה. כך למשל, </w:t>
      </w:r>
      <w:r>
        <w:rPr>
          <w:rtl/>
        </w:rPr>
        <w:t>בבג"ץ</w:t>
      </w:r>
      <w:r>
        <w:rPr>
          <w:rFonts w:hint="cs"/>
          <w:rtl/>
        </w:rPr>
        <w:t xml:space="preserve"> משנת 2003</w:t>
      </w:r>
      <w:r>
        <w:rPr>
          <w:rtl/>
        </w:rPr>
        <w:t>‏</w:t>
      </w:r>
      <w:r>
        <w:rPr>
          <w:rStyle w:val="FootnoteReference"/>
          <w:rtl/>
        </w:rPr>
        <w:footnoteReference w:id="73"/>
      </w:r>
      <w:r>
        <w:rPr>
          <w:rtl/>
        </w:rPr>
        <w:t xml:space="preserve"> ציין בית המשפט כי הכלל בדבר ניגוד עניינים חל גם </w:t>
      </w:r>
      <w:r>
        <w:rPr>
          <w:rtl/>
        </w:rPr>
        <w:lastRenderedPageBreak/>
        <w:t>על המועצה הארצית של לשכת עורכי</w:t>
      </w:r>
      <w:r>
        <w:rPr>
          <w:rFonts w:hint="cs"/>
          <w:rtl/>
        </w:rPr>
        <w:t xml:space="preserve"> </w:t>
      </w:r>
      <w:r>
        <w:rPr>
          <w:rtl/>
        </w:rPr>
        <w:t>הדין ב</w:t>
      </w:r>
      <w:r>
        <w:rPr>
          <w:rFonts w:hint="cs"/>
          <w:rtl/>
        </w:rPr>
        <w:t>מ</w:t>
      </w:r>
      <w:r>
        <w:rPr>
          <w:rtl/>
        </w:rPr>
        <w:t>ילוי תפקידיה על</w:t>
      </w:r>
      <w:r>
        <w:rPr>
          <w:rFonts w:hint="cs"/>
          <w:rtl/>
        </w:rPr>
        <w:t xml:space="preserve"> </w:t>
      </w:r>
      <w:r>
        <w:rPr>
          <w:rtl/>
        </w:rPr>
        <w:t>פי דין. בית המשפט הוסיף כי כבר נקבע בפסיקה שהלשכה כתאגיד סטטוטורי כפופה לכל דיני המשפט המינהלי</w:t>
      </w:r>
      <w:r>
        <w:rPr>
          <w:rFonts w:hint="cs"/>
          <w:rtl/>
        </w:rPr>
        <w:t xml:space="preserve">. </w:t>
      </w:r>
    </w:p>
    <w:p w14:paraId="362B2E34" w14:textId="77777777" w:rsidR="00387987" w:rsidRDefault="00387987" w:rsidP="006C150F">
      <w:pPr>
        <w:pStyle w:val="100"/>
      </w:pPr>
      <w:r>
        <w:rPr>
          <w:rFonts w:hint="cs"/>
          <w:rtl/>
        </w:rPr>
        <w:t>בשירות המדינה חלות הוראות התקשי"ר והנחיות היועץ המשפטי לממשלה שבהם התייחסות ו</w:t>
      </w:r>
      <w:r w:rsidRPr="00D0380C">
        <w:rPr>
          <w:rFonts w:hint="cs"/>
          <w:rtl/>
        </w:rPr>
        <w:t>הסדר</w:t>
      </w:r>
      <w:r>
        <w:rPr>
          <w:rFonts w:hint="cs"/>
          <w:rtl/>
        </w:rPr>
        <w:t>ה של נושא</w:t>
      </w:r>
      <w:r w:rsidRPr="00D0380C">
        <w:rPr>
          <w:rFonts w:hint="cs"/>
          <w:rtl/>
        </w:rPr>
        <w:t xml:space="preserve"> ניגוד </w:t>
      </w:r>
      <w:r>
        <w:rPr>
          <w:rFonts w:hint="cs"/>
          <w:rtl/>
        </w:rPr>
        <w:t>ה</w:t>
      </w:r>
      <w:r w:rsidRPr="00D0380C">
        <w:rPr>
          <w:rFonts w:hint="cs"/>
          <w:rtl/>
        </w:rPr>
        <w:t>עניינים</w:t>
      </w:r>
      <w:r>
        <w:rPr>
          <w:rStyle w:val="FootnoteReference"/>
          <w:rtl/>
        </w:rPr>
        <w:t xml:space="preserve"> </w:t>
      </w:r>
      <w:r>
        <w:rPr>
          <w:rStyle w:val="FootnoteReference"/>
          <w:rtl/>
        </w:rPr>
        <w:footnoteReference w:id="74"/>
      </w:r>
      <w:r w:rsidRPr="006075A0">
        <w:rPr>
          <w:rtl/>
        </w:rPr>
        <w:t>.</w:t>
      </w:r>
    </w:p>
    <w:p w14:paraId="5B2684F1" w14:textId="77777777" w:rsidR="00387987" w:rsidRDefault="00387987" w:rsidP="0063799F">
      <w:pPr>
        <w:pStyle w:val="af3"/>
        <w:rPr>
          <w:rtl/>
        </w:rPr>
      </w:pPr>
      <w:r w:rsidRPr="00220D68">
        <w:rPr>
          <w:rtl/>
        </w:rPr>
        <w:t>הלשכה לא הסדירה את תחום מניעת ניגודי העניינים העשויים להתרחש במסגרת פעילותה, למעט בנושא ועדות האתיקה</w:t>
      </w:r>
      <w:r>
        <w:rPr>
          <w:rFonts w:hint="cs"/>
          <w:rtl/>
        </w:rPr>
        <w:t>.</w:t>
      </w:r>
    </w:p>
    <w:p w14:paraId="40B9650A" w14:textId="77777777" w:rsidR="00387987" w:rsidRPr="0086082B" w:rsidRDefault="00387987" w:rsidP="0063799F">
      <w:pPr>
        <w:pStyle w:val="af3"/>
        <w:rPr>
          <w:rtl/>
        </w:rPr>
      </w:pPr>
      <w:r w:rsidRPr="0086082B">
        <w:rPr>
          <w:rFonts w:hint="cs"/>
          <w:rtl/>
        </w:rPr>
        <w:t xml:space="preserve">במהלך הביקורת עלו </w:t>
      </w:r>
      <w:r>
        <w:rPr>
          <w:rFonts w:hint="cs"/>
          <w:rtl/>
        </w:rPr>
        <w:t>כמה</w:t>
      </w:r>
      <w:r w:rsidRPr="0086082B">
        <w:rPr>
          <w:rFonts w:hint="cs"/>
          <w:rtl/>
        </w:rPr>
        <w:t xml:space="preserve"> מקרים שעוררו שאלות מתחום ניגוד העניינים שעל הלשכה לתת דעתה </w:t>
      </w:r>
      <w:r>
        <w:rPr>
          <w:rFonts w:hint="cs"/>
          <w:rtl/>
        </w:rPr>
        <w:t>ע</w:t>
      </w:r>
      <w:r w:rsidRPr="0086082B">
        <w:rPr>
          <w:rFonts w:hint="cs"/>
          <w:rtl/>
        </w:rPr>
        <w:t>ל</w:t>
      </w:r>
      <w:r>
        <w:rPr>
          <w:rFonts w:hint="cs"/>
          <w:rtl/>
        </w:rPr>
        <w:t>י</w:t>
      </w:r>
      <w:r w:rsidRPr="0086082B">
        <w:rPr>
          <w:rFonts w:hint="cs"/>
          <w:rtl/>
        </w:rPr>
        <w:t>הם:</w:t>
      </w:r>
    </w:p>
    <w:p w14:paraId="1B81A315" w14:textId="055EB412" w:rsidR="00387987" w:rsidRDefault="00387987" w:rsidP="00AE6595">
      <w:pPr>
        <w:pStyle w:val="a1"/>
        <w:numPr>
          <w:ilvl w:val="0"/>
          <w:numId w:val="22"/>
        </w:numPr>
      </w:pPr>
      <w:r w:rsidRPr="008511EC">
        <w:rPr>
          <w:rStyle w:val="Heading7Char"/>
          <w:rFonts w:hint="eastAsia"/>
          <w:color w:val="004E6C"/>
          <w:spacing w:val="0"/>
          <w:rtl/>
        </w:rPr>
        <w:t>זיקות</w:t>
      </w:r>
      <w:r w:rsidRPr="008511EC">
        <w:rPr>
          <w:rStyle w:val="Heading7Char"/>
          <w:color w:val="004E6C"/>
          <w:spacing w:val="0"/>
          <w:rtl/>
        </w:rPr>
        <w:t xml:space="preserve"> </w:t>
      </w:r>
      <w:r w:rsidRPr="008511EC">
        <w:rPr>
          <w:rStyle w:val="Heading7Char"/>
          <w:rFonts w:hint="eastAsia"/>
          <w:color w:val="004E6C"/>
          <w:spacing w:val="0"/>
          <w:rtl/>
        </w:rPr>
        <w:t>בשל</w:t>
      </w:r>
      <w:r w:rsidRPr="008511EC">
        <w:rPr>
          <w:rStyle w:val="Heading7Char"/>
          <w:color w:val="004E6C"/>
          <w:spacing w:val="0"/>
          <w:rtl/>
        </w:rPr>
        <w:t xml:space="preserve"> </w:t>
      </w:r>
      <w:r w:rsidRPr="008511EC">
        <w:rPr>
          <w:rStyle w:val="Heading7Char"/>
          <w:rFonts w:hint="eastAsia"/>
          <w:color w:val="004E6C"/>
          <w:spacing w:val="0"/>
          <w:rtl/>
        </w:rPr>
        <w:t>קשר</w:t>
      </w:r>
      <w:r w:rsidRPr="008511EC">
        <w:rPr>
          <w:rStyle w:val="Heading7Char"/>
          <w:color w:val="004E6C"/>
          <w:spacing w:val="0"/>
          <w:rtl/>
        </w:rPr>
        <w:t xml:space="preserve"> </w:t>
      </w:r>
      <w:r w:rsidRPr="008511EC">
        <w:rPr>
          <w:rStyle w:val="Heading7Char"/>
          <w:rFonts w:hint="eastAsia"/>
          <w:color w:val="004E6C"/>
          <w:spacing w:val="0"/>
          <w:rtl/>
        </w:rPr>
        <w:t>חברי</w:t>
      </w:r>
      <w:r w:rsidRPr="008511EC">
        <w:rPr>
          <w:rStyle w:val="Heading7Char"/>
          <w:color w:val="004E6C"/>
          <w:spacing w:val="0"/>
          <w:rtl/>
        </w:rPr>
        <w:t>:</w:t>
      </w:r>
      <w:r>
        <w:rPr>
          <w:rFonts w:hint="cs"/>
          <w:rtl/>
        </w:rPr>
        <w:t xml:space="preserve"> בדיונים של ועד מחוז נדונו תביעה כספית של עובד המחוז לשעבר כנגד המחוז. </w:t>
      </w:r>
      <w:r w:rsidR="00DB0675">
        <w:rPr>
          <w:rFonts w:hint="cs"/>
          <w:rtl/>
        </w:rPr>
        <w:t>באחד הדיונים</w:t>
      </w:r>
      <w:r>
        <w:rPr>
          <w:rFonts w:hint="cs"/>
          <w:rtl/>
        </w:rPr>
        <w:t xml:space="preserve"> ניתנה סקירה של התביעה הכספית על מנת שוועד המחוז יחליט כיצד לנהוג בה. </w:t>
      </w:r>
      <w:r w:rsidR="0029009B">
        <w:rPr>
          <w:rFonts w:hint="cs"/>
          <w:rtl/>
        </w:rPr>
        <w:t>הדיונים</w:t>
      </w:r>
      <w:r>
        <w:rPr>
          <w:rFonts w:hint="cs"/>
          <w:rtl/>
        </w:rPr>
        <w:t xml:space="preserve"> </w:t>
      </w:r>
      <w:r w:rsidR="003527A3">
        <w:rPr>
          <w:rFonts w:hint="cs"/>
          <w:rtl/>
        </w:rPr>
        <w:t>נסובו</w:t>
      </w:r>
      <w:r>
        <w:rPr>
          <w:rFonts w:hint="cs"/>
          <w:rtl/>
        </w:rPr>
        <w:t xml:space="preserve"> גם על אודות השאלה אם להתפשר בתביעה או לנהל אותה עד סופה. בדיונים ציין אחד מחברי הוועד כי יש לו זיקה חברית לתובע וכי הוא פוסל עצמו מלהצביע </w:t>
      </w:r>
      <w:r w:rsidR="006860D5">
        <w:rPr>
          <w:rFonts w:hint="cs"/>
          <w:rtl/>
        </w:rPr>
        <w:t>בנושא</w:t>
      </w:r>
      <w:r>
        <w:rPr>
          <w:rFonts w:hint="cs"/>
          <w:rtl/>
        </w:rPr>
        <w:t xml:space="preserve">. </w:t>
      </w:r>
      <w:r w:rsidRPr="00DB0646">
        <w:rPr>
          <w:rFonts w:hint="cs"/>
          <w:rtl/>
        </w:rPr>
        <w:t>עם זאת</w:t>
      </w:r>
      <w:r>
        <w:rPr>
          <w:rFonts w:hint="cs"/>
          <w:rtl/>
        </w:rPr>
        <w:t>,</w:t>
      </w:r>
      <w:r w:rsidRPr="00DB0646">
        <w:rPr>
          <w:rFonts w:hint="cs"/>
          <w:rtl/>
        </w:rPr>
        <w:t xml:space="preserve"> נשא דברים בזכות הסדר הפשרה והצביע על הקשיים של הלשכה בניהול התיק.</w:t>
      </w:r>
    </w:p>
    <w:p w14:paraId="361462E0" w14:textId="77777777" w:rsidR="00387987" w:rsidRDefault="00387987" w:rsidP="008511EC">
      <w:pPr>
        <w:pStyle w:val="af2"/>
      </w:pPr>
      <w:r>
        <w:rPr>
          <w:rFonts w:hint="cs"/>
          <w:rtl/>
        </w:rPr>
        <w:t xml:space="preserve">במקרה אחר נדון בוועד מחוז מינוי חברים לוועדת האתיקה המחוזית. אחת מחברות הוועד ציינה </w:t>
      </w:r>
      <w:r w:rsidRPr="003F7F17">
        <w:rPr>
          <w:rFonts w:hint="cs"/>
          <w:rtl/>
        </w:rPr>
        <w:t xml:space="preserve">כי </w:t>
      </w:r>
      <w:r w:rsidRPr="003F7F17">
        <w:rPr>
          <w:rFonts w:hint="eastAsia"/>
          <w:rtl/>
        </w:rPr>
        <w:t>אין</w:t>
      </w:r>
      <w:r w:rsidRPr="003F7F17">
        <w:rPr>
          <w:rtl/>
        </w:rPr>
        <w:t xml:space="preserve"> בכוונתה להצביע בדיון שכן יש לה היכרות עם </w:t>
      </w:r>
      <w:r>
        <w:rPr>
          <w:rFonts w:hint="cs"/>
          <w:rtl/>
        </w:rPr>
        <w:t>כמה מה</w:t>
      </w:r>
      <w:r w:rsidRPr="003F7F17">
        <w:rPr>
          <w:rtl/>
        </w:rPr>
        <w:t>מועמדות ו</w:t>
      </w:r>
      <w:r>
        <w:rPr>
          <w:rFonts w:hint="cs"/>
          <w:rtl/>
        </w:rPr>
        <w:t xml:space="preserve">כי </w:t>
      </w:r>
      <w:r w:rsidRPr="003F7F17">
        <w:rPr>
          <w:rtl/>
        </w:rPr>
        <w:t xml:space="preserve">הן חברות שלה. </w:t>
      </w:r>
      <w:r w:rsidRPr="00E63879">
        <w:rPr>
          <w:rFonts w:hint="eastAsia"/>
          <w:rtl/>
        </w:rPr>
        <w:t>עם</w:t>
      </w:r>
      <w:r w:rsidRPr="00E63879">
        <w:rPr>
          <w:rtl/>
        </w:rPr>
        <w:t xml:space="preserve"> </w:t>
      </w:r>
      <w:r w:rsidRPr="00E63879">
        <w:rPr>
          <w:rFonts w:hint="eastAsia"/>
          <w:rtl/>
        </w:rPr>
        <w:t>זאת</w:t>
      </w:r>
      <w:r w:rsidRPr="003F7F17">
        <w:rPr>
          <w:rtl/>
        </w:rPr>
        <w:t xml:space="preserve">, </w:t>
      </w:r>
      <w:r w:rsidRPr="003F7F17">
        <w:rPr>
          <w:rFonts w:hint="eastAsia"/>
          <w:rtl/>
        </w:rPr>
        <w:t>חברת</w:t>
      </w:r>
      <w:r w:rsidRPr="003F7F17">
        <w:rPr>
          <w:rtl/>
        </w:rPr>
        <w:t xml:space="preserve"> </w:t>
      </w:r>
      <w:r w:rsidRPr="003F7F17">
        <w:rPr>
          <w:rFonts w:hint="eastAsia"/>
          <w:rtl/>
        </w:rPr>
        <w:t>הוועד</w:t>
      </w:r>
      <w:r w:rsidRPr="003F7F17">
        <w:rPr>
          <w:rtl/>
        </w:rPr>
        <w:t xml:space="preserve"> </w:t>
      </w:r>
      <w:r w:rsidRPr="003F7F17">
        <w:rPr>
          <w:rFonts w:hint="eastAsia"/>
          <w:rtl/>
        </w:rPr>
        <w:t>השתתפה</w:t>
      </w:r>
      <w:r w:rsidRPr="003F7F17">
        <w:rPr>
          <w:rtl/>
        </w:rPr>
        <w:t xml:space="preserve"> </w:t>
      </w:r>
      <w:r w:rsidRPr="003F7F17">
        <w:rPr>
          <w:rFonts w:hint="eastAsia"/>
          <w:rtl/>
        </w:rPr>
        <w:t>בדיון</w:t>
      </w:r>
      <w:r w:rsidRPr="003F7F17">
        <w:rPr>
          <w:rtl/>
        </w:rPr>
        <w:t xml:space="preserve"> </w:t>
      </w:r>
      <w:r w:rsidRPr="003F7F17">
        <w:rPr>
          <w:rFonts w:hint="eastAsia"/>
          <w:rtl/>
        </w:rPr>
        <w:t>באופן</w:t>
      </w:r>
      <w:r w:rsidRPr="003F7F17">
        <w:rPr>
          <w:rtl/>
        </w:rPr>
        <w:t xml:space="preserve"> </w:t>
      </w:r>
      <w:r w:rsidRPr="003F7F17">
        <w:rPr>
          <w:rFonts w:hint="eastAsia"/>
          <w:rtl/>
        </w:rPr>
        <w:t>פעיל</w:t>
      </w:r>
      <w:r w:rsidRPr="003F7F17">
        <w:rPr>
          <w:rtl/>
        </w:rPr>
        <w:t>,</w:t>
      </w:r>
      <w:r>
        <w:rPr>
          <w:rFonts w:hint="cs"/>
          <w:rtl/>
        </w:rPr>
        <w:t xml:space="preserve"> ציינה את פועלן של חברותיה המועמדות, דיברה בשבחן והמליצה עליהן לתפקיד.</w:t>
      </w:r>
    </w:p>
    <w:p w14:paraId="003754C2" w14:textId="77777777" w:rsidR="00387987" w:rsidRDefault="00387987" w:rsidP="008511EC">
      <w:pPr>
        <w:pStyle w:val="a1"/>
      </w:pPr>
      <w:r w:rsidRPr="008511EC">
        <w:rPr>
          <w:rStyle w:val="Heading7Char"/>
          <w:rFonts w:hint="eastAsia"/>
          <w:color w:val="004E6C"/>
          <w:spacing w:val="0"/>
          <w:rtl/>
        </w:rPr>
        <w:t>זיקות</w:t>
      </w:r>
      <w:r w:rsidRPr="008511EC">
        <w:rPr>
          <w:rStyle w:val="Heading7Char"/>
          <w:color w:val="004E6C"/>
          <w:spacing w:val="0"/>
          <w:rtl/>
        </w:rPr>
        <w:t xml:space="preserve"> </w:t>
      </w:r>
      <w:r w:rsidRPr="008511EC">
        <w:rPr>
          <w:rStyle w:val="Heading7Char"/>
          <w:rFonts w:hint="eastAsia"/>
          <w:color w:val="004E6C"/>
          <w:spacing w:val="0"/>
          <w:rtl/>
        </w:rPr>
        <w:t>משפחתיות</w:t>
      </w:r>
      <w:r w:rsidRPr="008511EC">
        <w:rPr>
          <w:rStyle w:val="Heading7Char"/>
          <w:color w:val="004E6C"/>
          <w:spacing w:val="0"/>
          <w:rtl/>
        </w:rPr>
        <w:t xml:space="preserve"> </w:t>
      </w:r>
      <w:r w:rsidRPr="008511EC">
        <w:rPr>
          <w:rStyle w:val="Heading7Char"/>
          <w:rFonts w:hint="eastAsia"/>
          <w:color w:val="004E6C"/>
          <w:spacing w:val="0"/>
          <w:rtl/>
        </w:rPr>
        <w:t>בין</w:t>
      </w:r>
      <w:r w:rsidRPr="008511EC">
        <w:rPr>
          <w:rStyle w:val="Heading7Char"/>
          <w:color w:val="004E6C"/>
          <w:spacing w:val="0"/>
          <w:rtl/>
        </w:rPr>
        <w:t xml:space="preserve"> </w:t>
      </w:r>
      <w:r w:rsidRPr="008511EC">
        <w:rPr>
          <w:rStyle w:val="Heading7Char"/>
          <w:rFonts w:hint="eastAsia"/>
          <w:color w:val="004E6C"/>
          <w:spacing w:val="0"/>
          <w:rtl/>
        </w:rPr>
        <w:t>בעלי</w:t>
      </w:r>
      <w:r w:rsidRPr="008511EC">
        <w:rPr>
          <w:rStyle w:val="Heading7Char"/>
          <w:color w:val="004E6C"/>
          <w:spacing w:val="0"/>
          <w:rtl/>
        </w:rPr>
        <w:t xml:space="preserve"> </w:t>
      </w:r>
      <w:r w:rsidRPr="008511EC">
        <w:rPr>
          <w:rStyle w:val="Heading7Char"/>
          <w:rFonts w:hint="eastAsia"/>
          <w:color w:val="004E6C"/>
          <w:spacing w:val="0"/>
          <w:rtl/>
        </w:rPr>
        <w:t>תפקידים</w:t>
      </w:r>
      <w:r w:rsidRPr="008511EC">
        <w:rPr>
          <w:rStyle w:val="Heading7Char"/>
          <w:color w:val="004E6C"/>
          <w:spacing w:val="0"/>
          <w:rtl/>
        </w:rPr>
        <w:t xml:space="preserve"> </w:t>
      </w:r>
      <w:r w:rsidRPr="008511EC">
        <w:rPr>
          <w:rStyle w:val="Heading7Char"/>
          <w:rFonts w:hint="eastAsia"/>
          <w:color w:val="004E6C"/>
          <w:spacing w:val="0"/>
          <w:rtl/>
        </w:rPr>
        <w:t>במוסדות</w:t>
      </w:r>
      <w:r w:rsidRPr="008511EC">
        <w:rPr>
          <w:rStyle w:val="Heading7Char"/>
          <w:color w:val="004E6C"/>
          <w:spacing w:val="0"/>
          <w:rtl/>
        </w:rPr>
        <w:t xml:space="preserve"> </w:t>
      </w:r>
      <w:r w:rsidRPr="008511EC">
        <w:rPr>
          <w:rStyle w:val="Heading7Char"/>
          <w:rFonts w:hint="eastAsia"/>
          <w:color w:val="004E6C"/>
          <w:spacing w:val="0"/>
          <w:rtl/>
        </w:rPr>
        <w:t>הלשכה</w:t>
      </w:r>
      <w:r w:rsidRPr="008511EC">
        <w:rPr>
          <w:rStyle w:val="Heading7Char"/>
          <w:color w:val="004E6C"/>
          <w:spacing w:val="0"/>
          <w:rtl/>
        </w:rPr>
        <w:t>:</w:t>
      </w:r>
      <w:r w:rsidRPr="00FE10E4">
        <w:rPr>
          <w:rStyle w:val="Heading5Char"/>
          <w:rFonts w:hint="cs"/>
          <w:rtl/>
        </w:rPr>
        <w:t xml:space="preserve"> </w:t>
      </w:r>
      <w:r>
        <w:rPr>
          <w:rFonts w:hint="cs"/>
          <w:rtl/>
        </w:rPr>
        <w:t>ועדת המינויים של הלשכה אישרה את מינויו של יו"ר ועדת האתיקה</w:t>
      </w:r>
      <w:r w:rsidRPr="00F66B15">
        <w:rPr>
          <w:rFonts w:hint="cs"/>
          <w:rtl/>
        </w:rPr>
        <w:t xml:space="preserve"> </w:t>
      </w:r>
      <w:r>
        <w:rPr>
          <w:rFonts w:hint="cs"/>
          <w:rtl/>
        </w:rPr>
        <w:t xml:space="preserve">באחד ממחוזות הלשכה. כחודש וחצי לאחר מכן מינתה ועדת המינויים חברים לבית הדין המשמעתי באותו מחוז ובהם בנו של יו"ר ועדת האתיקה. במקרה זה עלול להיווצר מצב שהחלטה שהתקבלה בוועדת האתיקה שבה חבר האב תובא לדיון בבית הדין המשמעתי בפני הבן. באחד התיקים שנדונו בפני הבן הוגשה בקשה לפסול אותו מלדון בתיק משום שהאב דן בעניין בוועדת האתיקה. </w:t>
      </w:r>
    </w:p>
    <w:p w14:paraId="5DAC2054" w14:textId="77777777" w:rsidR="00387987" w:rsidRDefault="00387987" w:rsidP="008511EC">
      <w:pPr>
        <w:pStyle w:val="af2"/>
        <w:rPr>
          <w:rStyle w:val="Heading7Char"/>
          <w:rtl/>
        </w:rPr>
      </w:pPr>
      <w:r w:rsidRPr="00F23FDC">
        <w:rPr>
          <w:rtl/>
        </w:rPr>
        <w:t>יו"ר ועדת האתיקה וחבר בית הדין מסרו בתשובתם</w:t>
      </w:r>
      <w:r>
        <w:rPr>
          <w:rFonts w:hint="cs"/>
          <w:rtl/>
        </w:rPr>
        <w:t xml:space="preserve"> מינואר 2020</w:t>
      </w:r>
      <w:r w:rsidRPr="00F23FDC">
        <w:rPr>
          <w:rtl/>
        </w:rPr>
        <w:t xml:space="preserve"> כי אין ניגוד עניינים בסיטואציה האמורה משום שמדובר </w:t>
      </w:r>
      <w:r>
        <w:rPr>
          <w:rFonts w:hint="cs"/>
          <w:rtl/>
        </w:rPr>
        <w:t>בשני גופים עצמאיים</w:t>
      </w:r>
      <w:r w:rsidRPr="00F23FDC">
        <w:rPr>
          <w:rtl/>
        </w:rPr>
        <w:t xml:space="preserve">. כמו כן אין תיעוד </w:t>
      </w:r>
      <w:r>
        <w:rPr>
          <w:rFonts w:hint="cs"/>
          <w:rtl/>
        </w:rPr>
        <w:t>לאופן ההצבעה</w:t>
      </w:r>
      <w:r w:rsidRPr="00F23FDC">
        <w:rPr>
          <w:rtl/>
        </w:rPr>
        <w:t xml:space="preserve"> של חברי ועדת האתיקה </w:t>
      </w:r>
      <w:r>
        <w:rPr>
          <w:rFonts w:hint="cs"/>
          <w:rtl/>
        </w:rPr>
        <w:t>ולזהות</w:t>
      </w:r>
      <w:r w:rsidRPr="00F23FDC">
        <w:rPr>
          <w:rtl/>
        </w:rPr>
        <w:t xml:space="preserve"> הנוכחים בדיון</w:t>
      </w:r>
      <w:r>
        <w:rPr>
          <w:rFonts w:hint="cs"/>
          <w:rtl/>
        </w:rPr>
        <w:t>,</w:t>
      </w:r>
      <w:r w:rsidRPr="00F23FDC">
        <w:rPr>
          <w:rtl/>
        </w:rPr>
        <w:t xml:space="preserve"> ולכן יו"ר בית הדין המנתב את התיקים לחברי בית הדין השונים אינו יכול לדעת מי דן בוועדת האתיקה בתיק ומה היתה עמדתו.</w:t>
      </w:r>
    </w:p>
    <w:p w14:paraId="3CF91F7C" w14:textId="77777777" w:rsidR="00387987" w:rsidRDefault="00387987" w:rsidP="008511EC">
      <w:pPr>
        <w:pStyle w:val="af2"/>
      </w:pPr>
      <w:r>
        <w:rPr>
          <w:rFonts w:hint="cs"/>
          <w:rtl/>
        </w:rPr>
        <w:lastRenderedPageBreak/>
        <w:t xml:space="preserve">מכל מקום, </w:t>
      </w:r>
      <w:r w:rsidRPr="00B871EB">
        <w:rPr>
          <w:rtl/>
        </w:rPr>
        <w:t>הפתרון שנמצא היה כי יו"ר ועדת האתיקה המחוזית יימנע מלדון ב</w:t>
      </w:r>
      <w:r>
        <w:rPr>
          <w:rFonts w:hint="cs"/>
          <w:rtl/>
        </w:rPr>
        <w:t>כמה</w:t>
      </w:r>
      <w:r w:rsidRPr="00B871EB">
        <w:rPr>
          <w:rtl/>
        </w:rPr>
        <w:t xml:space="preserve"> תיקים באופן אקראי ואלה יידונו בהרכב בית הדין המשמעתי שבנו חבר בו.</w:t>
      </w:r>
    </w:p>
    <w:p w14:paraId="0CB4DFC7" w14:textId="77777777" w:rsidR="00387987" w:rsidRDefault="00387987" w:rsidP="008511EC">
      <w:pPr>
        <w:pStyle w:val="12"/>
        <w:rPr>
          <w:rtl/>
        </w:rPr>
      </w:pPr>
      <w:r w:rsidRPr="002E3CDC">
        <w:rPr>
          <w:rFonts w:hint="cs"/>
          <w:rtl/>
        </w:rPr>
        <w:t xml:space="preserve">בביקורת נמצא כי </w:t>
      </w:r>
      <w:r w:rsidRPr="00E25000">
        <w:rPr>
          <w:rFonts w:hint="cs"/>
          <w:rtl/>
        </w:rPr>
        <w:t>במסגרת השאלון שמעבירה ועדת המינויים למועמדים לבי</w:t>
      </w:r>
      <w:r>
        <w:rPr>
          <w:rFonts w:hint="cs"/>
          <w:rtl/>
        </w:rPr>
        <w:t>ת</w:t>
      </w:r>
      <w:r w:rsidRPr="00E25000">
        <w:rPr>
          <w:rFonts w:hint="cs"/>
          <w:rtl/>
        </w:rPr>
        <w:t xml:space="preserve"> הדין המשמעתי אין התייחסות לנושא </w:t>
      </w:r>
      <w:r>
        <w:rPr>
          <w:rFonts w:hint="cs"/>
          <w:rtl/>
        </w:rPr>
        <w:t>ניגוד עניינים כלל ול</w:t>
      </w:r>
      <w:r w:rsidRPr="00E25000">
        <w:rPr>
          <w:rFonts w:hint="cs"/>
          <w:rtl/>
        </w:rPr>
        <w:t>קרבת משפחה</w:t>
      </w:r>
      <w:r>
        <w:rPr>
          <w:rFonts w:hint="cs"/>
          <w:rtl/>
        </w:rPr>
        <w:t xml:space="preserve"> בפרט, כך שלעיתים לא ידוע על קיומם של הקשרים המשפחתיים ולא ניתן להסדיר ניגודי עניינים שעלולים להתעורר</w:t>
      </w:r>
      <w:r w:rsidRPr="00E25000">
        <w:rPr>
          <w:rFonts w:hint="cs"/>
          <w:rtl/>
        </w:rPr>
        <w:t xml:space="preserve">. </w:t>
      </w:r>
      <w:r>
        <w:rPr>
          <w:rFonts w:hint="cs"/>
          <w:rtl/>
        </w:rPr>
        <w:t>יצויין כי נוסף על הפתרון הנקודתי שאומץ, על הלשכה לתת דעתה לנושא הקרבה המשפחתית בין בעלי תפקידים בלשכה ולקבוע כללים בקשר לכך, ובכלל זה חובת דיווח על קשרי משפחה.</w:t>
      </w:r>
    </w:p>
    <w:p w14:paraId="2E20324F" w14:textId="77777777" w:rsidR="00387987" w:rsidRPr="00624465" w:rsidRDefault="00387987" w:rsidP="008511EC">
      <w:pPr>
        <w:pStyle w:val="af2"/>
        <w:rPr>
          <w:rtl/>
        </w:rPr>
      </w:pPr>
      <w:r w:rsidRPr="00624465">
        <w:rPr>
          <w:rFonts w:hint="cs"/>
          <w:rtl/>
        </w:rPr>
        <w:t>ועדת המינויים מסר</w:t>
      </w:r>
      <w:r>
        <w:rPr>
          <w:rFonts w:hint="cs"/>
          <w:rtl/>
        </w:rPr>
        <w:t>ה לצוות הביקורת</w:t>
      </w:r>
      <w:r w:rsidRPr="00624465">
        <w:rPr>
          <w:rFonts w:hint="cs"/>
          <w:rtl/>
        </w:rPr>
        <w:t xml:space="preserve"> כי </w:t>
      </w:r>
      <w:r>
        <w:rPr>
          <w:rFonts w:hint="cs"/>
          <w:rtl/>
        </w:rPr>
        <w:t>תשקול</w:t>
      </w:r>
      <w:r w:rsidRPr="00624465">
        <w:rPr>
          <w:rFonts w:hint="cs"/>
          <w:rtl/>
        </w:rPr>
        <w:t xml:space="preserve"> הוספת שאלה בנושא קרבת משפחה ובחינתה במסגרת שיקוליה לבחירת חברים לבית הדין.</w:t>
      </w:r>
    </w:p>
    <w:p w14:paraId="631523B9" w14:textId="77777777" w:rsidR="00387987" w:rsidRDefault="00387987" w:rsidP="008511EC">
      <w:pPr>
        <w:pStyle w:val="a1"/>
        <w:rPr>
          <w:b/>
          <w:bCs/>
        </w:rPr>
      </w:pPr>
      <w:r w:rsidRPr="008511EC">
        <w:rPr>
          <w:rStyle w:val="Heading7Char"/>
          <w:rFonts w:hint="eastAsia"/>
          <w:color w:val="004E6C"/>
          <w:spacing w:val="0"/>
          <w:rtl/>
        </w:rPr>
        <w:t>חוות</w:t>
      </w:r>
      <w:r w:rsidRPr="008511EC">
        <w:rPr>
          <w:rStyle w:val="Heading7Char"/>
          <w:color w:val="004E6C"/>
          <w:spacing w:val="0"/>
          <w:rtl/>
        </w:rPr>
        <w:t xml:space="preserve"> </w:t>
      </w:r>
      <w:r w:rsidRPr="008511EC">
        <w:rPr>
          <w:rStyle w:val="Heading7Char"/>
          <w:rFonts w:hint="eastAsia"/>
          <w:color w:val="004E6C"/>
          <w:spacing w:val="0"/>
          <w:rtl/>
        </w:rPr>
        <w:t>דעת</w:t>
      </w:r>
      <w:r w:rsidRPr="008511EC">
        <w:rPr>
          <w:rStyle w:val="Heading7Char"/>
          <w:color w:val="004E6C"/>
          <w:spacing w:val="0"/>
          <w:rtl/>
        </w:rPr>
        <w:t xml:space="preserve"> </w:t>
      </w:r>
      <w:r w:rsidRPr="008511EC">
        <w:rPr>
          <w:rStyle w:val="Heading7Char"/>
          <w:rFonts w:hint="eastAsia"/>
          <w:color w:val="004E6C"/>
          <w:spacing w:val="0"/>
          <w:rtl/>
        </w:rPr>
        <w:t>ועד</w:t>
      </w:r>
      <w:r w:rsidRPr="008511EC">
        <w:rPr>
          <w:rStyle w:val="Heading7Char"/>
          <w:color w:val="004E6C"/>
          <w:spacing w:val="0"/>
          <w:rtl/>
        </w:rPr>
        <w:t xml:space="preserve"> </w:t>
      </w:r>
      <w:r w:rsidRPr="008511EC">
        <w:rPr>
          <w:rStyle w:val="Heading7Char"/>
          <w:rFonts w:hint="eastAsia"/>
          <w:color w:val="004E6C"/>
          <w:spacing w:val="0"/>
          <w:rtl/>
        </w:rPr>
        <w:t>המחוז</w:t>
      </w:r>
      <w:r w:rsidRPr="008511EC">
        <w:rPr>
          <w:rStyle w:val="Heading7Char"/>
          <w:color w:val="004E6C"/>
          <w:spacing w:val="0"/>
          <w:rtl/>
        </w:rPr>
        <w:t xml:space="preserve"> </w:t>
      </w:r>
      <w:r w:rsidRPr="008511EC">
        <w:rPr>
          <w:rStyle w:val="Heading7Char"/>
          <w:rFonts w:hint="eastAsia"/>
          <w:color w:val="004E6C"/>
          <w:spacing w:val="0"/>
          <w:rtl/>
        </w:rPr>
        <w:t>על</w:t>
      </w:r>
      <w:r w:rsidRPr="008511EC">
        <w:rPr>
          <w:rStyle w:val="Heading7Char"/>
          <w:color w:val="004E6C"/>
          <w:spacing w:val="0"/>
          <w:rtl/>
        </w:rPr>
        <w:t xml:space="preserve"> </w:t>
      </w:r>
      <w:r w:rsidRPr="008511EC">
        <w:rPr>
          <w:rStyle w:val="Heading7Char"/>
          <w:rFonts w:hint="eastAsia"/>
          <w:color w:val="004E6C"/>
          <w:spacing w:val="0"/>
          <w:rtl/>
        </w:rPr>
        <w:t>מועמדים</w:t>
      </w:r>
      <w:r w:rsidRPr="008511EC">
        <w:rPr>
          <w:rStyle w:val="Heading7Char"/>
          <w:color w:val="004E6C"/>
          <w:spacing w:val="0"/>
          <w:rtl/>
        </w:rPr>
        <w:t xml:space="preserve"> </w:t>
      </w:r>
      <w:r w:rsidRPr="008511EC">
        <w:rPr>
          <w:rStyle w:val="Heading7Char"/>
          <w:rFonts w:hint="eastAsia"/>
          <w:color w:val="004E6C"/>
          <w:spacing w:val="0"/>
          <w:rtl/>
        </w:rPr>
        <w:t>לשיפוט</w:t>
      </w:r>
      <w:r w:rsidRPr="008511EC">
        <w:rPr>
          <w:rStyle w:val="Heading7Char"/>
          <w:color w:val="004E6C"/>
          <w:spacing w:val="0"/>
          <w:rtl/>
        </w:rPr>
        <w:t>:</w:t>
      </w:r>
      <w:r w:rsidRPr="0073660F">
        <w:rPr>
          <w:rFonts w:hint="cs"/>
          <w:b/>
          <w:bCs/>
          <w:rtl/>
        </w:rPr>
        <w:t xml:space="preserve"> </w:t>
      </w:r>
      <w:r w:rsidRPr="000971E2">
        <w:rPr>
          <w:rFonts w:hint="cs"/>
          <w:rtl/>
        </w:rPr>
        <w:t>ל</w:t>
      </w:r>
      <w:r>
        <w:rPr>
          <w:rFonts w:hint="cs"/>
          <w:rtl/>
        </w:rPr>
        <w:t xml:space="preserve">קראת </w:t>
      </w:r>
      <w:r w:rsidRPr="000971E2">
        <w:rPr>
          <w:rFonts w:hint="cs"/>
          <w:rtl/>
        </w:rPr>
        <w:t>התכנסות ה</w:t>
      </w:r>
      <w:r>
        <w:rPr>
          <w:rFonts w:hint="cs"/>
          <w:rtl/>
        </w:rPr>
        <w:t>ו</w:t>
      </w:r>
      <w:r w:rsidRPr="000971E2">
        <w:rPr>
          <w:rFonts w:hint="cs"/>
          <w:rtl/>
        </w:rPr>
        <w:t>ועדה</w:t>
      </w:r>
      <w:r>
        <w:rPr>
          <w:rFonts w:hint="cs"/>
          <w:rtl/>
        </w:rPr>
        <w:t xml:space="preserve"> לבחירת שופטים לדיון במינוי שופטים</w:t>
      </w:r>
      <w:r w:rsidRPr="000971E2">
        <w:rPr>
          <w:rFonts w:hint="cs"/>
          <w:rtl/>
        </w:rPr>
        <w:t xml:space="preserve">, </w:t>
      </w:r>
      <w:r>
        <w:rPr>
          <w:rFonts w:hint="cs"/>
          <w:rtl/>
        </w:rPr>
        <w:t xml:space="preserve">מקבלים </w:t>
      </w:r>
      <w:r w:rsidRPr="000971E2">
        <w:rPr>
          <w:rFonts w:hint="cs"/>
          <w:rtl/>
        </w:rPr>
        <w:t>חברי ה</w:t>
      </w:r>
      <w:r>
        <w:rPr>
          <w:rFonts w:hint="cs"/>
          <w:rtl/>
        </w:rPr>
        <w:t>ו</w:t>
      </w:r>
      <w:r w:rsidRPr="000971E2">
        <w:rPr>
          <w:rFonts w:hint="cs"/>
          <w:rtl/>
        </w:rPr>
        <w:t xml:space="preserve">ועדה חוות דעת על </w:t>
      </w:r>
      <w:r>
        <w:rPr>
          <w:rFonts w:hint="cs"/>
          <w:rtl/>
        </w:rPr>
        <w:t xml:space="preserve">המבקש להתמנות לשופט או על השופט המבקש קידום (להלן ביחד - המועמד), מכמה גורמים ובהם גם </w:t>
      </w:r>
      <w:r w:rsidRPr="000971E2">
        <w:rPr>
          <w:rFonts w:hint="cs"/>
          <w:rtl/>
        </w:rPr>
        <w:t>ה</w:t>
      </w:r>
      <w:r>
        <w:rPr>
          <w:rFonts w:hint="cs"/>
          <w:rtl/>
        </w:rPr>
        <w:t>ו</w:t>
      </w:r>
      <w:r w:rsidRPr="000971E2">
        <w:rPr>
          <w:rFonts w:hint="cs"/>
          <w:rtl/>
        </w:rPr>
        <w:t>ועד המחוזי של לשכת עורכי הדין במחוז מגוריו של</w:t>
      </w:r>
      <w:r>
        <w:rPr>
          <w:rFonts w:hint="cs"/>
          <w:rtl/>
        </w:rPr>
        <w:t xml:space="preserve"> המועמד</w:t>
      </w:r>
      <w:r>
        <w:rPr>
          <w:rStyle w:val="FootnoteReference"/>
          <w:rtl/>
        </w:rPr>
        <w:footnoteReference w:id="75"/>
      </w:r>
      <w:r w:rsidRPr="006E5390">
        <w:rPr>
          <w:rFonts w:hint="cs"/>
          <w:rtl/>
        </w:rPr>
        <w:t xml:space="preserve">. </w:t>
      </w:r>
    </w:p>
    <w:p w14:paraId="4AC582EE" w14:textId="77777777" w:rsidR="00387987" w:rsidRPr="00DF09D4" w:rsidRDefault="00387987" w:rsidP="008511EC">
      <w:pPr>
        <w:pStyle w:val="af2"/>
        <w:rPr>
          <w:rtl/>
        </w:rPr>
      </w:pPr>
      <w:r w:rsidRPr="009B3FB9">
        <w:rPr>
          <w:rFonts w:hint="cs"/>
          <w:rtl/>
        </w:rPr>
        <w:t xml:space="preserve">הרציונל העומד מאחורי הבקשה לקבל חוות דעת </w:t>
      </w:r>
      <w:r>
        <w:rPr>
          <w:rFonts w:hint="cs"/>
          <w:rtl/>
        </w:rPr>
        <w:t xml:space="preserve">של </w:t>
      </w:r>
      <w:r w:rsidRPr="009B3FB9">
        <w:rPr>
          <w:rFonts w:hint="cs"/>
          <w:rtl/>
        </w:rPr>
        <w:t>ועד המחוז נובע מן התפיסה שחברי ועד המחוז קרובים יותר ל"שטח"</w:t>
      </w:r>
      <w:r>
        <w:rPr>
          <w:rFonts w:hint="cs"/>
          <w:rtl/>
        </w:rPr>
        <w:t>, מכירים את עורכי הדין והשופטים במחוז</w:t>
      </w:r>
      <w:r w:rsidRPr="009B3FB9">
        <w:rPr>
          <w:rFonts w:hint="cs"/>
          <w:rtl/>
        </w:rPr>
        <w:t xml:space="preserve"> ו</w:t>
      </w:r>
      <w:r>
        <w:rPr>
          <w:rFonts w:hint="cs"/>
          <w:rtl/>
        </w:rPr>
        <w:t xml:space="preserve">לכן </w:t>
      </w:r>
      <w:r w:rsidRPr="009B3FB9">
        <w:rPr>
          <w:rFonts w:hint="cs"/>
          <w:rtl/>
        </w:rPr>
        <w:t xml:space="preserve">באפשרותם לקבל מידע טוב יותר </w:t>
      </w:r>
      <w:r>
        <w:rPr>
          <w:rFonts w:hint="cs"/>
          <w:rtl/>
        </w:rPr>
        <w:t xml:space="preserve">על </w:t>
      </w:r>
      <w:r w:rsidRPr="009B3FB9">
        <w:rPr>
          <w:rFonts w:hint="cs"/>
          <w:rtl/>
        </w:rPr>
        <w:t>המועמד</w:t>
      </w:r>
      <w:r>
        <w:rPr>
          <w:rFonts w:hint="cs"/>
          <w:rtl/>
        </w:rPr>
        <w:t>ים ולחוות דעה מבוססת יותר על כישוריהם</w:t>
      </w:r>
      <w:r w:rsidRPr="009B3FB9">
        <w:rPr>
          <w:rFonts w:hint="cs"/>
          <w:rtl/>
        </w:rPr>
        <w:t>.</w:t>
      </w:r>
      <w:r>
        <w:rPr>
          <w:rFonts w:hint="cs"/>
          <w:rtl/>
        </w:rPr>
        <w:t xml:space="preserve"> </w:t>
      </w:r>
      <w:r w:rsidRPr="00DF09D4">
        <w:rPr>
          <w:rFonts w:hint="cs"/>
          <w:rtl/>
        </w:rPr>
        <w:t>ועדי המחוזות או ועדות ש</w:t>
      </w:r>
      <w:r>
        <w:rPr>
          <w:rFonts w:hint="cs"/>
          <w:rtl/>
        </w:rPr>
        <w:t xml:space="preserve">הם </w:t>
      </w:r>
      <w:r w:rsidRPr="00DF09D4">
        <w:rPr>
          <w:rFonts w:hint="cs"/>
          <w:rtl/>
        </w:rPr>
        <w:t>הקימו לצורך כך אוספ</w:t>
      </w:r>
      <w:r>
        <w:rPr>
          <w:rFonts w:hint="cs"/>
          <w:rtl/>
        </w:rPr>
        <w:t>ים</w:t>
      </w:r>
      <w:r w:rsidRPr="00DF09D4">
        <w:rPr>
          <w:rFonts w:hint="cs"/>
          <w:rtl/>
        </w:rPr>
        <w:t xml:space="preserve"> מידע על המועמדים ובמקר</w:t>
      </w:r>
      <w:r>
        <w:rPr>
          <w:rFonts w:hint="cs"/>
          <w:rtl/>
        </w:rPr>
        <w:t>ה שאינם שופטים מכהנים גם מראיינים</w:t>
      </w:r>
      <w:r w:rsidRPr="00DF09D4">
        <w:rPr>
          <w:rFonts w:hint="cs"/>
          <w:rtl/>
        </w:rPr>
        <w:t xml:space="preserve"> אותם.</w:t>
      </w:r>
      <w:r>
        <w:rPr>
          <w:rFonts w:hint="cs"/>
          <w:rtl/>
        </w:rPr>
        <w:t xml:space="preserve"> </w:t>
      </w:r>
    </w:p>
    <w:p w14:paraId="3326C41A" w14:textId="77777777" w:rsidR="00387987" w:rsidRDefault="00387987" w:rsidP="008511EC">
      <w:pPr>
        <w:pStyle w:val="af2"/>
        <w:rPr>
          <w:rtl/>
        </w:rPr>
      </w:pPr>
      <w:r>
        <w:rPr>
          <w:rFonts w:hint="cs"/>
          <w:rtl/>
        </w:rPr>
        <w:t xml:space="preserve">דוגמה לחשיבות קביעת כללים בעניין ניתן למצוא במקרה שבו התבקש ועד מחוז לחוות דעתו על כמה מועמדים לשיפוט ובהם על חבר ועד אותו מחוז שביקש אף הוא להתמנות לשיפוט. ועד המחוז מינה ועדה אד-הוק מבין חבריו, שראיינה את שאר המועמדים ונתנה המלצתה בנוגע להם, ואילו בנוגע למועמד חבר הוועד הסתפקה בהיכרות עימו ונתנה המלצה בעניינו בלי שראיינה אותו. </w:t>
      </w:r>
    </w:p>
    <w:p w14:paraId="70D62740" w14:textId="77777777" w:rsidR="00387987" w:rsidRPr="00CB35CC" w:rsidRDefault="00387987" w:rsidP="008511EC">
      <w:pPr>
        <w:pStyle w:val="a1"/>
        <w:rPr>
          <w:b/>
          <w:bCs/>
        </w:rPr>
      </w:pPr>
      <w:r w:rsidRPr="008511EC">
        <w:rPr>
          <w:rStyle w:val="Heading7Char"/>
          <w:rFonts w:hint="cs"/>
          <w:color w:val="004E6C"/>
          <w:spacing w:val="0"/>
          <w:rtl/>
        </w:rPr>
        <w:t xml:space="preserve">זיקה </w:t>
      </w:r>
      <w:r w:rsidRPr="008511EC">
        <w:rPr>
          <w:rStyle w:val="Heading7Char"/>
          <w:rFonts w:hint="eastAsia"/>
          <w:color w:val="004E6C"/>
          <w:spacing w:val="0"/>
          <w:rtl/>
        </w:rPr>
        <w:t>בין</w:t>
      </w:r>
      <w:r w:rsidRPr="008511EC">
        <w:rPr>
          <w:rStyle w:val="Heading7Char"/>
          <w:color w:val="004E6C"/>
          <w:spacing w:val="0"/>
          <w:rtl/>
        </w:rPr>
        <w:t xml:space="preserve"> </w:t>
      </w:r>
      <w:r w:rsidRPr="008511EC">
        <w:rPr>
          <w:rStyle w:val="Heading7Char"/>
          <w:rFonts w:hint="eastAsia"/>
          <w:color w:val="004E6C"/>
          <w:spacing w:val="0"/>
          <w:rtl/>
        </w:rPr>
        <w:t>תפקיד</w:t>
      </w:r>
      <w:r w:rsidRPr="008511EC">
        <w:rPr>
          <w:rStyle w:val="Heading7Char"/>
          <w:color w:val="004E6C"/>
          <w:spacing w:val="0"/>
          <w:rtl/>
        </w:rPr>
        <w:t xml:space="preserve"> </w:t>
      </w:r>
      <w:r w:rsidRPr="008511EC">
        <w:rPr>
          <w:rStyle w:val="Heading7Char"/>
          <w:rFonts w:hint="eastAsia"/>
          <w:color w:val="004E6C"/>
          <w:spacing w:val="0"/>
          <w:rtl/>
        </w:rPr>
        <w:t>בלשכה</w:t>
      </w:r>
      <w:r w:rsidRPr="008511EC">
        <w:rPr>
          <w:rStyle w:val="Heading7Char"/>
          <w:color w:val="004E6C"/>
          <w:spacing w:val="0"/>
          <w:rtl/>
        </w:rPr>
        <w:t xml:space="preserve"> </w:t>
      </w:r>
      <w:r w:rsidRPr="008511EC">
        <w:rPr>
          <w:rStyle w:val="Heading7Char"/>
          <w:rFonts w:hint="eastAsia"/>
          <w:color w:val="004E6C"/>
          <w:spacing w:val="0"/>
          <w:rtl/>
        </w:rPr>
        <w:t>לבין</w:t>
      </w:r>
      <w:r w:rsidRPr="008511EC">
        <w:rPr>
          <w:rStyle w:val="Heading7Char"/>
          <w:color w:val="004E6C"/>
          <w:spacing w:val="0"/>
          <w:rtl/>
        </w:rPr>
        <w:t xml:space="preserve"> </w:t>
      </w:r>
      <w:r w:rsidRPr="008511EC">
        <w:rPr>
          <w:rStyle w:val="Heading7Char"/>
          <w:rFonts w:hint="eastAsia"/>
          <w:color w:val="004E6C"/>
          <w:spacing w:val="0"/>
          <w:rtl/>
        </w:rPr>
        <w:t>עניינו</w:t>
      </w:r>
      <w:r w:rsidRPr="008511EC">
        <w:rPr>
          <w:rStyle w:val="Heading7Char"/>
          <w:color w:val="004E6C"/>
          <w:spacing w:val="0"/>
          <w:rtl/>
        </w:rPr>
        <w:t xml:space="preserve"> </w:t>
      </w:r>
      <w:r w:rsidRPr="008511EC">
        <w:rPr>
          <w:rStyle w:val="Heading7Char"/>
          <w:rFonts w:hint="eastAsia"/>
          <w:color w:val="004E6C"/>
          <w:spacing w:val="0"/>
          <w:rtl/>
        </w:rPr>
        <w:t>של</w:t>
      </w:r>
      <w:r w:rsidRPr="008511EC">
        <w:rPr>
          <w:rStyle w:val="Heading7Char"/>
          <w:color w:val="004E6C"/>
          <w:spacing w:val="0"/>
          <w:rtl/>
        </w:rPr>
        <w:t xml:space="preserve"> </w:t>
      </w:r>
      <w:r w:rsidRPr="008511EC">
        <w:rPr>
          <w:rStyle w:val="Heading7Char"/>
          <w:rFonts w:hint="eastAsia"/>
          <w:color w:val="004E6C"/>
          <w:spacing w:val="0"/>
          <w:rtl/>
        </w:rPr>
        <w:t>לקוח</w:t>
      </w:r>
      <w:r w:rsidRPr="008511EC">
        <w:rPr>
          <w:rStyle w:val="Heading7Char"/>
          <w:color w:val="004E6C"/>
          <w:spacing w:val="0"/>
          <w:rtl/>
        </w:rPr>
        <w:t>:</w:t>
      </w:r>
      <w:r w:rsidRPr="00C66E69">
        <w:rPr>
          <w:rFonts w:hint="cs"/>
          <w:b/>
          <w:bCs/>
          <w:rtl/>
        </w:rPr>
        <w:t xml:space="preserve"> </w:t>
      </w:r>
      <w:r w:rsidRPr="00C26CC3">
        <w:rPr>
          <w:rtl/>
        </w:rPr>
        <w:t xml:space="preserve">בישיבת הוועד המרכזי </w:t>
      </w:r>
      <w:r>
        <w:rPr>
          <w:rFonts w:hint="cs"/>
          <w:rtl/>
        </w:rPr>
        <w:t>מאוקטובר 2016</w:t>
      </w:r>
      <w:r w:rsidRPr="00C26CC3">
        <w:rPr>
          <w:rtl/>
        </w:rPr>
        <w:t xml:space="preserve"> נדונה התקשרות של לשכת עורכי הדין עם חברת ביטוח לעריכת </w:t>
      </w:r>
      <w:r w:rsidRPr="00FF49BD">
        <w:rPr>
          <w:rtl/>
        </w:rPr>
        <w:t xml:space="preserve">ביטוח אחריות מקצועית לציבור עורכי הדין. הוועד המרכזי התבקש לאשר את המלצת ועדת המכרזים של הלשכה להתקשר עם אחת מחברות הביטוח. </w:t>
      </w:r>
      <w:r>
        <w:rPr>
          <w:rFonts w:hint="cs"/>
          <w:rtl/>
        </w:rPr>
        <w:t>בדיון השתתף גם יועץ ביטוח חיצוני שהמליץ בחוות דעתו לוועדת המכרזים להתקשר עם אותה חברת ביטוח והוא אף השיב לשאלות הנוכחים.</w:t>
      </w:r>
      <w:r w:rsidRPr="00FF49BD">
        <w:rPr>
          <w:rtl/>
        </w:rPr>
        <w:t xml:space="preserve"> יו"ר הלשכה </w:t>
      </w:r>
      <w:r>
        <w:rPr>
          <w:rFonts w:hint="cs"/>
          <w:rtl/>
        </w:rPr>
        <w:t xml:space="preserve">דאז </w:t>
      </w:r>
      <w:r w:rsidRPr="00FF49BD">
        <w:rPr>
          <w:rtl/>
        </w:rPr>
        <w:t xml:space="preserve">השתתף באופן פעיל בדיון </w:t>
      </w:r>
      <w:r w:rsidRPr="00FF49BD">
        <w:rPr>
          <w:rFonts w:hint="cs"/>
          <w:rtl/>
        </w:rPr>
        <w:t>של הוועד המרכזי (להבדיל מהדיון בוועדת המכרזים</w:t>
      </w:r>
      <w:r>
        <w:rPr>
          <w:rFonts w:hint="cs"/>
          <w:rtl/>
        </w:rPr>
        <w:t xml:space="preserve"> בו הוא לא נכח</w:t>
      </w:r>
      <w:r w:rsidRPr="00FF49BD">
        <w:rPr>
          <w:rFonts w:hint="cs"/>
          <w:rtl/>
        </w:rPr>
        <w:t xml:space="preserve">) </w:t>
      </w:r>
      <w:r w:rsidRPr="00FF49BD">
        <w:rPr>
          <w:rtl/>
        </w:rPr>
        <w:t>ואף ציין לחיוב</w:t>
      </w:r>
      <w:r w:rsidRPr="00C26CC3">
        <w:rPr>
          <w:rtl/>
        </w:rPr>
        <w:t xml:space="preserve"> את הצעת אותה חברת ביטוח.</w:t>
      </w:r>
      <w:r>
        <w:rPr>
          <w:rFonts w:hint="cs"/>
          <w:rtl/>
        </w:rPr>
        <w:t xml:space="preserve"> </w:t>
      </w:r>
      <w:r w:rsidRPr="00C26CC3">
        <w:rPr>
          <w:rtl/>
        </w:rPr>
        <w:t xml:space="preserve">בסיום הדיון ביקש יו"ר הלשכה </w:t>
      </w:r>
      <w:r>
        <w:rPr>
          <w:rFonts w:hint="cs"/>
          <w:rtl/>
        </w:rPr>
        <w:t xml:space="preserve">דאז </w:t>
      </w:r>
      <w:r w:rsidRPr="00C26CC3">
        <w:rPr>
          <w:rtl/>
        </w:rPr>
        <w:t xml:space="preserve">לרשום בפרוטוקול כי הוא אינו משתתף בהצבעה מכיוון שמשרדו "עוסק </w:t>
      </w:r>
      <w:r w:rsidRPr="00C26CC3">
        <w:rPr>
          <w:rtl/>
        </w:rPr>
        <w:lastRenderedPageBreak/>
        <w:t xml:space="preserve">בתחום הביטוח וחלק מהחברות שהשתתפו במכרז המשרד שלי מצוי או היה מצוי איתן בקשרי עבודה". </w:t>
      </w:r>
      <w:r w:rsidRPr="00C26CC3">
        <w:rPr>
          <w:rFonts w:hint="cs"/>
          <w:rtl/>
        </w:rPr>
        <w:t xml:space="preserve">יצוין כי </w:t>
      </w:r>
      <w:r w:rsidRPr="00C26CC3">
        <w:rPr>
          <w:rtl/>
        </w:rPr>
        <w:t xml:space="preserve">החברה </w:t>
      </w:r>
      <w:r w:rsidRPr="00C26CC3">
        <w:rPr>
          <w:rFonts w:hint="cs"/>
          <w:rtl/>
        </w:rPr>
        <w:t>אשר הומלצה ע</w:t>
      </w:r>
      <w:r>
        <w:rPr>
          <w:rFonts w:hint="cs"/>
          <w:rtl/>
        </w:rPr>
        <w:t xml:space="preserve">ל ידי יועץ הביטוח ועל ידי </w:t>
      </w:r>
      <w:r w:rsidRPr="00C26CC3">
        <w:rPr>
          <w:rFonts w:hint="cs"/>
          <w:rtl/>
        </w:rPr>
        <w:t>ועדת המכרזים ו</w:t>
      </w:r>
      <w:r>
        <w:rPr>
          <w:rFonts w:hint="cs"/>
          <w:rtl/>
        </w:rPr>
        <w:t>שאליה</w:t>
      </w:r>
      <w:r w:rsidRPr="00C26CC3">
        <w:rPr>
          <w:rFonts w:hint="cs"/>
          <w:rtl/>
        </w:rPr>
        <w:t xml:space="preserve"> התייחס יו"ר הלשכה </w:t>
      </w:r>
      <w:r>
        <w:rPr>
          <w:rFonts w:hint="cs"/>
          <w:rtl/>
        </w:rPr>
        <w:t xml:space="preserve">דאז </w:t>
      </w:r>
      <w:r w:rsidRPr="00C26CC3">
        <w:rPr>
          <w:rFonts w:hint="cs"/>
          <w:rtl/>
        </w:rPr>
        <w:t>בדבריו בישיבת הוועד</w:t>
      </w:r>
      <w:r w:rsidRPr="00C26CC3">
        <w:rPr>
          <w:rtl/>
        </w:rPr>
        <w:t>, נבחרה לבסוף</w:t>
      </w:r>
      <w:r>
        <w:rPr>
          <w:rFonts w:hint="cs"/>
          <w:rtl/>
        </w:rPr>
        <w:t xml:space="preserve"> פה אחד</w:t>
      </w:r>
      <w:r w:rsidRPr="00C26CC3">
        <w:rPr>
          <w:rtl/>
        </w:rPr>
        <w:t>.</w:t>
      </w:r>
    </w:p>
    <w:p w14:paraId="151A9704" w14:textId="77777777" w:rsidR="00387987" w:rsidRDefault="00387987" w:rsidP="008511EC">
      <w:pPr>
        <w:pStyle w:val="a1"/>
      </w:pPr>
      <w:r w:rsidRPr="008511EC">
        <w:rPr>
          <w:rStyle w:val="Heading7Char"/>
          <w:rFonts w:hint="eastAsia"/>
          <w:color w:val="004E6C"/>
          <w:spacing w:val="0"/>
          <w:rtl/>
        </w:rPr>
        <w:t>מינוי</w:t>
      </w:r>
      <w:r w:rsidRPr="008511EC">
        <w:rPr>
          <w:rStyle w:val="Heading7Char"/>
          <w:color w:val="004E6C"/>
          <w:spacing w:val="0"/>
          <w:rtl/>
        </w:rPr>
        <w:t xml:space="preserve"> </w:t>
      </w:r>
      <w:r w:rsidRPr="008511EC">
        <w:rPr>
          <w:rStyle w:val="Heading7Char"/>
          <w:rFonts w:hint="eastAsia"/>
          <w:color w:val="004E6C"/>
          <w:spacing w:val="0"/>
          <w:rtl/>
        </w:rPr>
        <w:t>בוררים</w:t>
      </w:r>
      <w:r w:rsidRPr="008511EC">
        <w:rPr>
          <w:rStyle w:val="Heading7Char"/>
          <w:color w:val="004E6C"/>
          <w:spacing w:val="0"/>
          <w:rtl/>
        </w:rPr>
        <w:t>:</w:t>
      </w:r>
      <w:r w:rsidRPr="008511EC">
        <w:rPr>
          <w:rFonts w:hint="cs"/>
          <w:color w:val="004E6C"/>
          <w:rtl/>
        </w:rPr>
        <w:t xml:space="preserve"> </w:t>
      </w:r>
      <w:r>
        <w:rPr>
          <w:rFonts w:hint="cs"/>
          <w:rtl/>
        </w:rPr>
        <w:t xml:space="preserve">מעת לעת מגיעות ללשכת עורכי הדין בקשות כי יו"ר הלשכה, ועד מחוזי או יו"ר ועד מחוז ימנו בורר במחלוקת בין צדדים להליך. בנובמבר 2007 אישרה הלשכה נוהל מינוי בוררים. </w:t>
      </w:r>
      <w:r w:rsidRPr="00E07367">
        <w:rPr>
          <w:rtl/>
        </w:rPr>
        <w:t>בנוהל</w:t>
      </w:r>
      <w:r>
        <w:rPr>
          <w:rtl/>
        </w:rPr>
        <w:t xml:space="preserve"> </w:t>
      </w:r>
      <w:r w:rsidRPr="00E07367">
        <w:rPr>
          <w:rtl/>
        </w:rPr>
        <w:t>אין התייחסות לסוגיית ניגוד עניינ</w:t>
      </w:r>
      <w:r>
        <w:rPr>
          <w:rFonts w:hint="cs"/>
          <w:rtl/>
        </w:rPr>
        <w:t>י</w:t>
      </w:r>
      <w:r w:rsidRPr="00E07367">
        <w:rPr>
          <w:rtl/>
        </w:rPr>
        <w:t>ם למעט הקביעה כי לא ימונה כבורר מי שחבר באחד ממוסדות הלשכה שחבריו נבחרים בבחירות (וע</w:t>
      </w:r>
      <w:r>
        <w:rPr>
          <w:rtl/>
        </w:rPr>
        <w:t>ד מרכזי, מועצה ארצית, ועד מחוז)</w:t>
      </w:r>
      <w:r>
        <w:rPr>
          <w:rFonts w:hint="cs"/>
          <w:rtl/>
        </w:rPr>
        <w:t>.</w:t>
      </w:r>
      <w:r w:rsidRPr="00E07367">
        <w:rPr>
          <w:rtl/>
        </w:rPr>
        <w:t xml:space="preserve"> </w:t>
      </w:r>
      <w:r>
        <w:rPr>
          <w:rFonts w:hint="cs"/>
          <w:rtl/>
        </w:rPr>
        <w:t>הנוהל אינו מתייחס ל</w:t>
      </w:r>
      <w:r w:rsidRPr="00E07367">
        <w:rPr>
          <w:rtl/>
        </w:rPr>
        <w:t xml:space="preserve">בעלי תפקידים אחרים בלשכה. </w:t>
      </w:r>
      <w:r>
        <w:rPr>
          <w:rFonts w:hint="cs"/>
          <w:rtl/>
        </w:rPr>
        <w:t>בהתאם לנוהל מציע מנגנון הלשכה לוועד המרכזי חמישה מועמדים שייבחרו מתוך מאגר בוררים שיוקם, בהתחשב בוותק שלהם, בניסיונם ובכישוריהם, ומהם יבחר הוועד את הבורר.</w:t>
      </w:r>
    </w:p>
    <w:p w14:paraId="468E7147" w14:textId="77777777" w:rsidR="00387987" w:rsidRPr="00E8011A" w:rsidRDefault="00387987" w:rsidP="008511EC">
      <w:pPr>
        <w:pStyle w:val="12"/>
        <w:rPr>
          <w:rtl/>
        </w:rPr>
      </w:pPr>
      <w:r w:rsidRPr="00E8011A">
        <w:rPr>
          <w:rFonts w:hint="eastAsia"/>
          <w:rtl/>
        </w:rPr>
        <w:t>בהזדמנויות</w:t>
      </w:r>
      <w:r w:rsidRPr="00E8011A">
        <w:rPr>
          <w:rtl/>
        </w:rPr>
        <w:t xml:space="preserve"> </w:t>
      </w:r>
      <w:r w:rsidRPr="00E8011A">
        <w:rPr>
          <w:rFonts w:hint="eastAsia"/>
          <w:rtl/>
        </w:rPr>
        <w:t>שונות</w:t>
      </w:r>
      <w:r w:rsidRPr="00E8011A">
        <w:rPr>
          <w:rtl/>
        </w:rPr>
        <w:t xml:space="preserve"> </w:t>
      </w:r>
      <w:r w:rsidRPr="00E8011A">
        <w:rPr>
          <w:rFonts w:hint="eastAsia"/>
          <w:rtl/>
        </w:rPr>
        <w:t>נשמעו</w:t>
      </w:r>
      <w:r w:rsidRPr="00E8011A">
        <w:rPr>
          <w:rtl/>
        </w:rPr>
        <w:t xml:space="preserve"> </w:t>
      </w:r>
      <w:r>
        <w:rPr>
          <w:rFonts w:hint="cs"/>
          <w:rtl/>
        </w:rPr>
        <w:t xml:space="preserve">בוועד המרכזי </w:t>
      </w:r>
      <w:r w:rsidRPr="00E8011A">
        <w:rPr>
          <w:rFonts w:hint="eastAsia"/>
          <w:rtl/>
        </w:rPr>
        <w:t>ביקורות</w:t>
      </w:r>
      <w:r w:rsidRPr="00E8011A">
        <w:rPr>
          <w:rtl/>
        </w:rPr>
        <w:t xml:space="preserve"> </w:t>
      </w:r>
      <w:r w:rsidRPr="00E8011A">
        <w:rPr>
          <w:rFonts w:hint="eastAsia"/>
          <w:rtl/>
        </w:rPr>
        <w:t>על</w:t>
      </w:r>
      <w:r w:rsidRPr="00E8011A">
        <w:rPr>
          <w:rtl/>
        </w:rPr>
        <w:t xml:space="preserve"> </w:t>
      </w:r>
      <w:r w:rsidRPr="00E8011A">
        <w:rPr>
          <w:rFonts w:hint="eastAsia"/>
          <w:rtl/>
        </w:rPr>
        <w:t>היעדר</w:t>
      </w:r>
      <w:r w:rsidRPr="00E8011A">
        <w:rPr>
          <w:rtl/>
        </w:rPr>
        <w:t xml:space="preserve"> </w:t>
      </w:r>
      <w:r w:rsidRPr="00E8011A">
        <w:rPr>
          <w:rFonts w:hint="eastAsia"/>
          <w:rtl/>
        </w:rPr>
        <w:t>כללים</w:t>
      </w:r>
      <w:r w:rsidRPr="00E8011A">
        <w:rPr>
          <w:rtl/>
        </w:rPr>
        <w:t xml:space="preserve"> </w:t>
      </w:r>
      <w:r>
        <w:rPr>
          <w:rFonts w:hint="cs"/>
          <w:rtl/>
        </w:rPr>
        <w:t>בדבר</w:t>
      </w:r>
      <w:r w:rsidRPr="00E8011A">
        <w:rPr>
          <w:rtl/>
        </w:rPr>
        <w:t xml:space="preserve"> </w:t>
      </w:r>
      <w:r w:rsidRPr="00E8011A">
        <w:rPr>
          <w:rFonts w:hint="eastAsia"/>
          <w:rtl/>
        </w:rPr>
        <w:t>מינוי</w:t>
      </w:r>
      <w:r w:rsidRPr="00E8011A">
        <w:rPr>
          <w:rtl/>
        </w:rPr>
        <w:t xml:space="preserve"> </w:t>
      </w:r>
      <w:r w:rsidRPr="00E8011A">
        <w:rPr>
          <w:rFonts w:hint="eastAsia"/>
          <w:rtl/>
        </w:rPr>
        <w:t>הבוררים</w:t>
      </w:r>
      <w:r w:rsidRPr="00E8011A">
        <w:rPr>
          <w:rtl/>
        </w:rPr>
        <w:t xml:space="preserve"> </w:t>
      </w:r>
      <w:r w:rsidRPr="00E8011A">
        <w:rPr>
          <w:rFonts w:hint="eastAsia"/>
          <w:rtl/>
        </w:rPr>
        <w:t>וחלוקת</w:t>
      </w:r>
      <w:r w:rsidRPr="00E8011A">
        <w:rPr>
          <w:rtl/>
        </w:rPr>
        <w:t xml:space="preserve"> </w:t>
      </w:r>
      <w:r w:rsidRPr="00E8011A">
        <w:rPr>
          <w:rFonts w:hint="eastAsia"/>
          <w:rtl/>
        </w:rPr>
        <w:t>התיקים</w:t>
      </w:r>
      <w:r w:rsidRPr="00E8011A">
        <w:rPr>
          <w:rtl/>
        </w:rPr>
        <w:t xml:space="preserve"> </w:t>
      </w:r>
      <w:r w:rsidRPr="00E8011A">
        <w:rPr>
          <w:rFonts w:hint="eastAsia"/>
          <w:rtl/>
        </w:rPr>
        <w:t>ביניהם</w:t>
      </w:r>
      <w:r w:rsidRPr="00E8011A">
        <w:rPr>
          <w:rtl/>
        </w:rPr>
        <w:t xml:space="preserve">. </w:t>
      </w:r>
      <w:r w:rsidRPr="00E8011A">
        <w:rPr>
          <w:rFonts w:hint="eastAsia"/>
          <w:rtl/>
        </w:rPr>
        <w:t>עיון</w:t>
      </w:r>
      <w:r w:rsidRPr="00E8011A">
        <w:rPr>
          <w:rtl/>
        </w:rPr>
        <w:t xml:space="preserve"> </w:t>
      </w:r>
      <w:r w:rsidRPr="00E8011A">
        <w:rPr>
          <w:rFonts w:hint="eastAsia"/>
          <w:rtl/>
        </w:rPr>
        <w:t>בפרוטוקולים</w:t>
      </w:r>
      <w:r w:rsidRPr="00E8011A">
        <w:rPr>
          <w:rtl/>
        </w:rPr>
        <w:t xml:space="preserve"> </w:t>
      </w:r>
      <w:r w:rsidRPr="00E8011A">
        <w:rPr>
          <w:rFonts w:hint="eastAsia"/>
          <w:rtl/>
        </w:rPr>
        <w:t>של</w:t>
      </w:r>
      <w:r w:rsidRPr="00E8011A">
        <w:rPr>
          <w:rtl/>
        </w:rPr>
        <w:t xml:space="preserve"> </w:t>
      </w:r>
      <w:r w:rsidRPr="00E8011A">
        <w:rPr>
          <w:rFonts w:hint="eastAsia"/>
          <w:rtl/>
        </w:rPr>
        <w:t>הוועד</w:t>
      </w:r>
      <w:r w:rsidRPr="00E8011A">
        <w:rPr>
          <w:rtl/>
        </w:rPr>
        <w:t xml:space="preserve"> </w:t>
      </w:r>
      <w:r w:rsidRPr="00E8011A">
        <w:rPr>
          <w:rFonts w:hint="eastAsia"/>
          <w:rtl/>
        </w:rPr>
        <w:t>המרכזי</w:t>
      </w:r>
      <w:r w:rsidRPr="00E8011A">
        <w:rPr>
          <w:rtl/>
        </w:rPr>
        <w:t xml:space="preserve"> </w:t>
      </w:r>
      <w:r w:rsidRPr="00E8011A">
        <w:rPr>
          <w:rFonts w:hint="eastAsia"/>
          <w:rtl/>
        </w:rPr>
        <w:t>מלמד</w:t>
      </w:r>
      <w:r w:rsidRPr="00E8011A">
        <w:rPr>
          <w:rtl/>
        </w:rPr>
        <w:t xml:space="preserve"> </w:t>
      </w:r>
      <w:r w:rsidRPr="00E8011A">
        <w:rPr>
          <w:rFonts w:hint="eastAsia"/>
          <w:rtl/>
        </w:rPr>
        <w:t>כי</w:t>
      </w:r>
      <w:r w:rsidRPr="00E8011A">
        <w:rPr>
          <w:rtl/>
        </w:rPr>
        <w:t xml:space="preserve"> </w:t>
      </w:r>
      <w:r w:rsidRPr="00E8011A">
        <w:rPr>
          <w:rFonts w:hint="eastAsia"/>
          <w:rtl/>
        </w:rPr>
        <w:t>פעמים</w:t>
      </w:r>
      <w:r w:rsidRPr="00E8011A">
        <w:rPr>
          <w:rtl/>
        </w:rPr>
        <w:t xml:space="preserve"> </w:t>
      </w:r>
      <w:r w:rsidRPr="00E8011A">
        <w:rPr>
          <w:rFonts w:hint="eastAsia"/>
          <w:rtl/>
        </w:rPr>
        <w:t>רבות</w:t>
      </w:r>
      <w:r w:rsidRPr="00E8011A">
        <w:rPr>
          <w:rtl/>
        </w:rPr>
        <w:t xml:space="preserve"> </w:t>
      </w:r>
      <w:r w:rsidRPr="00E8011A">
        <w:rPr>
          <w:rFonts w:hint="eastAsia"/>
          <w:rtl/>
        </w:rPr>
        <w:t>הדיון</w:t>
      </w:r>
      <w:r w:rsidRPr="00E8011A">
        <w:rPr>
          <w:rtl/>
        </w:rPr>
        <w:t xml:space="preserve"> </w:t>
      </w:r>
      <w:r w:rsidRPr="00E8011A">
        <w:rPr>
          <w:rFonts w:hint="eastAsia"/>
          <w:rtl/>
        </w:rPr>
        <w:t>במינוי</w:t>
      </w:r>
      <w:r w:rsidRPr="00E8011A">
        <w:rPr>
          <w:rtl/>
        </w:rPr>
        <w:t xml:space="preserve"> </w:t>
      </w:r>
      <w:r w:rsidRPr="00E8011A">
        <w:rPr>
          <w:rFonts w:hint="eastAsia"/>
          <w:rtl/>
        </w:rPr>
        <w:t>הבוררים</w:t>
      </w:r>
      <w:r w:rsidRPr="00E8011A">
        <w:rPr>
          <w:rtl/>
        </w:rPr>
        <w:t xml:space="preserve"> </w:t>
      </w:r>
      <w:r w:rsidRPr="00E8011A">
        <w:rPr>
          <w:rFonts w:hint="eastAsia"/>
          <w:rtl/>
        </w:rPr>
        <w:t>לקוני</w:t>
      </w:r>
      <w:r w:rsidRPr="00E8011A">
        <w:rPr>
          <w:rtl/>
        </w:rPr>
        <w:t xml:space="preserve"> </w:t>
      </w:r>
      <w:r w:rsidRPr="00E8011A">
        <w:rPr>
          <w:rFonts w:hint="eastAsia"/>
          <w:rtl/>
        </w:rPr>
        <w:t>ואינו</w:t>
      </w:r>
      <w:r w:rsidRPr="00E8011A">
        <w:rPr>
          <w:rtl/>
        </w:rPr>
        <w:t xml:space="preserve"> </w:t>
      </w:r>
      <w:r w:rsidRPr="00E8011A">
        <w:rPr>
          <w:rFonts w:hint="eastAsia"/>
          <w:rtl/>
        </w:rPr>
        <w:t>כולל</w:t>
      </w:r>
      <w:r w:rsidRPr="00E8011A">
        <w:rPr>
          <w:rtl/>
        </w:rPr>
        <w:t xml:space="preserve"> </w:t>
      </w:r>
      <w:r w:rsidRPr="00E8011A">
        <w:rPr>
          <w:rFonts w:hint="eastAsia"/>
          <w:rtl/>
        </w:rPr>
        <w:t>נימוקים</w:t>
      </w:r>
      <w:r w:rsidRPr="00E8011A">
        <w:rPr>
          <w:rtl/>
        </w:rPr>
        <w:t xml:space="preserve"> </w:t>
      </w:r>
      <w:r w:rsidRPr="00E8011A">
        <w:rPr>
          <w:rFonts w:hint="eastAsia"/>
          <w:rtl/>
        </w:rPr>
        <w:t>להחלטה</w:t>
      </w:r>
      <w:r w:rsidRPr="00E8011A">
        <w:rPr>
          <w:rtl/>
        </w:rPr>
        <w:t xml:space="preserve">. </w:t>
      </w:r>
      <w:r w:rsidRPr="00E8011A">
        <w:rPr>
          <w:rFonts w:hint="eastAsia"/>
          <w:rtl/>
        </w:rPr>
        <w:t>מעת</w:t>
      </w:r>
      <w:r w:rsidRPr="00E8011A">
        <w:rPr>
          <w:rtl/>
        </w:rPr>
        <w:t xml:space="preserve"> </w:t>
      </w:r>
      <w:r w:rsidRPr="00E8011A">
        <w:rPr>
          <w:rFonts w:hint="eastAsia"/>
          <w:rtl/>
        </w:rPr>
        <w:t>לעת</w:t>
      </w:r>
      <w:r w:rsidRPr="00E8011A">
        <w:rPr>
          <w:rtl/>
        </w:rPr>
        <w:t xml:space="preserve"> </w:t>
      </w:r>
      <w:r w:rsidRPr="00E8011A">
        <w:rPr>
          <w:rFonts w:hint="eastAsia"/>
          <w:rtl/>
        </w:rPr>
        <w:t>העלתה</w:t>
      </w:r>
      <w:r w:rsidRPr="00E8011A">
        <w:rPr>
          <w:rtl/>
        </w:rPr>
        <w:t xml:space="preserve"> </w:t>
      </w:r>
      <w:r w:rsidRPr="00E8011A">
        <w:rPr>
          <w:rFonts w:hint="eastAsia"/>
          <w:rtl/>
        </w:rPr>
        <w:t>בחירת הבורר</w:t>
      </w:r>
      <w:r w:rsidRPr="00E8011A">
        <w:rPr>
          <w:rtl/>
        </w:rPr>
        <w:t xml:space="preserve"> </w:t>
      </w:r>
      <w:r w:rsidRPr="00E8011A">
        <w:rPr>
          <w:rFonts w:hint="eastAsia"/>
          <w:rtl/>
        </w:rPr>
        <w:t>גם</w:t>
      </w:r>
      <w:r w:rsidRPr="00E8011A">
        <w:rPr>
          <w:rtl/>
        </w:rPr>
        <w:t xml:space="preserve"> </w:t>
      </w:r>
      <w:r w:rsidRPr="00E8011A">
        <w:rPr>
          <w:rFonts w:hint="eastAsia"/>
          <w:rtl/>
        </w:rPr>
        <w:t>שאלות</w:t>
      </w:r>
      <w:r w:rsidRPr="00E8011A">
        <w:rPr>
          <w:rtl/>
        </w:rPr>
        <w:t xml:space="preserve"> </w:t>
      </w:r>
      <w:r w:rsidRPr="00E8011A">
        <w:rPr>
          <w:rFonts w:hint="eastAsia"/>
          <w:rtl/>
        </w:rPr>
        <w:t>מתחום</w:t>
      </w:r>
      <w:r w:rsidRPr="00E8011A">
        <w:rPr>
          <w:rtl/>
        </w:rPr>
        <w:t xml:space="preserve"> </w:t>
      </w:r>
      <w:r w:rsidRPr="00E8011A">
        <w:rPr>
          <w:rFonts w:hint="eastAsia"/>
          <w:rtl/>
        </w:rPr>
        <w:t>ניגוד</w:t>
      </w:r>
      <w:r w:rsidRPr="00E8011A">
        <w:rPr>
          <w:rtl/>
        </w:rPr>
        <w:t xml:space="preserve"> </w:t>
      </w:r>
      <w:r w:rsidRPr="00E8011A">
        <w:rPr>
          <w:rFonts w:hint="eastAsia"/>
          <w:rtl/>
        </w:rPr>
        <w:t>העניינים</w:t>
      </w:r>
      <w:r w:rsidRPr="00E8011A">
        <w:rPr>
          <w:rtl/>
        </w:rPr>
        <w:t xml:space="preserve">. </w:t>
      </w:r>
    </w:p>
    <w:p w14:paraId="4C8AE584" w14:textId="77777777" w:rsidR="00387987" w:rsidRDefault="00387987" w:rsidP="008511EC">
      <w:pPr>
        <w:pStyle w:val="af2"/>
        <w:rPr>
          <w:rtl/>
        </w:rPr>
      </w:pPr>
      <w:r>
        <w:rPr>
          <w:rFonts w:hint="cs"/>
          <w:rtl/>
        </w:rPr>
        <w:t xml:space="preserve">הלשכה אישרה בספטמבר 2019 נוהל חדש בנושא מינוי בוררים, הקובע כללים להקמת מאגר למינוי בוררים ולמינוי בוררים בתיקים. </w:t>
      </w:r>
    </w:p>
    <w:p w14:paraId="4DB9DF87" w14:textId="77777777" w:rsidR="00387987" w:rsidRDefault="00387987" w:rsidP="008511EC">
      <w:pPr>
        <w:pStyle w:val="12"/>
        <w:rPr>
          <w:rtl/>
        </w:rPr>
      </w:pPr>
      <w:r>
        <w:rPr>
          <w:rFonts w:hint="cs"/>
          <w:rtl/>
        </w:rPr>
        <w:t xml:space="preserve">ראוי כי </w:t>
      </w:r>
      <w:r w:rsidRPr="007213CE">
        <w:rPr>
          <w:rFonts w:hint="cs"/>
          <w:rtl/>
        </w:rPr>
        <w:t>במס</w:t>
      </w:r>
      <w:r>
        <w:rPr>
          <w:rFonts w:hint="cs"/>
          <w:rtl/>
        </w:rPr>
        <w:t>ג</w:t>
      </w:r>
      <w:r w:rsidRPr="007213CE">
        <w:rPr>
          <w:rFonts w:hint="cs"/>
          <w:rtl/>
        </w:rPr>
        <w:t xml:space="preserve">רת </w:t>
      </w:r>
      <w:r>
        <w:rPr>
          <w:rFonts w:hint="cs"/>
          <w:rtl/>
        </w:rPr>
        <w:t>הנוהל החדש, תיתן הלשכה</w:t>
      </w:r>
      <w:r w:rsidRPr="007213CE">
        <w:rPr>
          <w:rFonts w:hint="cs"/>
          <w:rtl/>
        </w:rPr>
        <w:t xml:space="preserve"> את הדעת גם </w:t>
      </w:r>
      <w:r>
        <w:rPr>
          <w:rFonts w:hint="cs"/>
          <w:rtl/>
        </w:rPr>
        <w:t xml:space="preserve">על הצורך בהסדרת </w:t>
      </w:r>
      <w:r w:rsidRPr="007213CE">
        <w:rPr>
          <w:rFonts w:hint="cs"/>
          <w:rtl/>
        </w:rPr>
        <w:t xml:space="preserve">סוגיית ניגוד העניינים </w:t>
      </w:r>
      <w:r>
        <w:rPr>
          <w:rFonts w:hint="cs"/>
          <w:rtl/>
        </w:rPr>
        <w:t>של הגורמים בלשכה העוסקים בהמלצה ואישור מינוי של ה</w:t>
      </w:r>
      <w:r w:rsidRPr="007213CE">
        <w:rPr>
          <w:rFonts w:hint="cs"/>
          <w:rtl/>
        </w:rPr>
        <w:t xml:space="preserve">בוררים. </w:t>
      </w:r>
    </w:p>
    <w:p w14:paraId="033F0DF0" w14:textId="77777777" w:rsidR="00387987" w:rsidRDefault="00387987" w:rsidP="008511EC">
      <w:pPr>
        <w:pStyle w:val="a1"/>
      </w:pPr>
      <w:r w:rsidRPr="008511EC">
        <w:rPr>
          <w:rStyle w:val="Heading7Char"/>
          <w:rFonts w:hint="eastAsia"/>
          <w:color w:val="004E6C"/>
          <w:spacing w:val="0"/>
          <w:rtl/>
        </w:rPr>
        <w:t>קיום</w:t>
      </w:r>
      <w:r w:rsidRPr="008511EC">
        <w:rPr>
          <w:rStyle w:val="Heading7Char"/>
          <w:color w:val="004E6C"/>
          <w:spacing w:val="0"/>
          <w:rtl/>
        </w:rPr>
        <w:t xml:space="preserve"> דיוני ועדת האתיקה הארצית בעילום שם </w:t>
      </w:r>
      <w:r w:rsidRPr="008511EC">
        <w:rPr>
          <w:rStyle w:val="Heading7Char"/>
          <w:rFonts w:hint="eastAsia"/>
          <w:color w:val="004E6C"/>
          <w:spacing w:val="0"/>
          <w:rtl/>
        </w:rPr>
        <w:t>הנילון</w:t>
      </w:r>
      <w:r w:rsidRPr="008511EC">
        <w:rPr>
          <w:rStyle w:val="Heading7Char"/>
          <w:color w:val="004E6C"/>
          <w:spacing w:val="0"/>
          <w:rtl/>
        </w:rPr>
        <w:t>:</w:t>
      </w:r>
      <w:r w:rsidRPr="0093437D">
        <w:rPr>
          <w:rStyle w:val="Heading5Char"/>
          <w:rFonts w:hint="cs"/>
          <w:rtl/>
        </w:rPr>
        <w:t xml:space="preserve"> </w:t>
      </w:r>
      <w:r w:rsidRPr="0093437D">
        <w:rPr>
          <w:rFonts w:hint="cs"/>
          <w:rtl/>
        </w:rPr>
        <w:t xml:space="preserve">ועדת האתיקה הארצית </w:t>
      </w:r>
      <w:r>
        <w:rPr>
          <w:rFonts w:hint="cs"/>
          <w:rtl/>
        </w:rPr>
        <w:t xml:space="preserve">נוהגת לדון במקרים המובאים בפניה </w:t>
      </w:r>
      <w:r w:rsidRPr="00955EDB">
        <w:rPr>
          <w:rFonts w:hint="cs"/>
          <w:rtl/>
        </w:rPr>
        <w:t xml:space="preserve">בלי שחברי </w:t>
      </w:r>
      <w:r>
        <w:rPr>
          <w:rFonts w:hint="cs"/>
          <w:rtl/>
        </w:rPr>
        <w:t>הוועד</w:t>
      </w:r>
      <w:r w:rsidRPr="00955EDB">
        <w:rPr>
          <w:rFonts w:hint="cs"/>
          <w:rtl/>
        </w:rPr>
        <w:t>ה יודעים את שמו של הנילון</w:t>
      </w:r>
      <w:r>
        <w:rPr>
          <w:rFonts w:hint="cs"/>
          <w:rtl/>
        </w:rPr>
        <w:t xml:space="preserve">. עמדת הוועדה היא שכך ניתן לקיים דיון אובייקטיבי שאינו מתייחס לזהותו של הנילון אלא לגופו של עניין. יחד עם זאת, לא פעם ניתן לזהות את הנילון מתוכן התלונה או בדרך אחרת והדבר עלול להביא למצב שניגוד עניינים אפשרי לא יוצף לדיון. בפנייה מדצמבר 2015 הסב פרקליט ועדת האתיקה של מחוז תל אביב את תשומת לב מרכזת ועדת האתיקה הארצית לחשש זה וציין כי לדעתו "עניין זה יכול להיחשב כפגם מנהלי עד כדי אתי". </w:t>
      </w:r>
      <w:r w:rsidRPr="008154E0">
        <w:rPr>
          <w:rFonts w:hint="cs"/>
          <w:rtl/>
        </w:rPr>
        <w:t xml:space="preserve">בישיבת פורום </w:t>
      </w:r>
      <w:r>
        <w:rPr>
          <w:rFonts w:hint="cs"/>
          <w:rtl/>
        </w:rPr>
        <w:t>יושבי ראש</w:t>
      </w:r>
      <w:r w:rsidRPr="008154E0">
        <w:rPr>
          <w:rFonts w:hint="cs"/>
          <w:rtl/>
        </w:rPr>
        <w:t xml:space="preserve"> ועדות האתיקה </w:t>
      </w:r>
      <w:r>
        <w:rPr>
          <w:rFonts w:hint="cs"/>
          <w:rtl/>
        </w:rPr>
        <w:t xml:space="preserve">מדצמבר 2016 </w:t>
      </w:r>
      <w:r w:rsidRPr="008154E0">
        <w:rPr>
          <w:rFonts w:hint="cs"/>
          <w:rtl/>
        </w:rPr>
        <w:t xml:space="preserve">העלה הפרקליט את הנושא לדיון. </w:t>
      </w:r>
      <w:r>
        <w:rPr>
          <w:rFonts w:hint="cs"/>
          <w:rtl/>
        </w:rPr>
        <w:t>נציגת</w:t>
      </w:r>
      <w:r w:rsidRPr="008154E0">
        <w:rPr>
          <w:rFonts w:hint="cs"/>
          <w:rtl/>
        </w:rPr>
        <w:t xml:space="preserve"> ועדת האתיקה של מחוז חיפה ציינה כי גם המשטרה והפרקליטות דנות בתיקים בציון שמות וכי כל ועדה סוברנית להחליט בעצמה כיצד לנהוג. יו"ר ועדת האתיקה הארצית ציין כי הוא תומך בדיון בעילום שם אך אין בכוונתו להוציא גילוי דעת בעניין לוועדות המחוזיות.</w:t>
      </w:r>
      <w:r>
        <w:rPr>
          <w:rFonts w:hint="cs"/>
          <w:rtl/>
        </w:rPr>
        <w:t xml:space="preserve"> </w:t>
      </w:r>
    </w:p>
    <w:p w14:paraId="015E001C" w14:textId="77777777" w:rsidR="00387987" w:rsidRDefault="00387987" w:rsidP="008511EC">
      <w:pPr>
        <w:pStyle w:val="12"/>
        <w:rPr>
          <w:rtl/>
        </w:rPr>
      </w:pPr>
      <w:r>
        <w:rPr>
          <w:rFonts w:hint="cs"/>
          <w:rtl/>
        </w:rPr>
        <w:t>ראוי כי ועדות האתיקה יגבשו הסדר אחיד בנושא קיום דיונים בעילום שם הנילון ויישמו אותו.</w:t>
      </w:r>
    </w:p>
    <w:p w14:paraId="00CA5D87" w14:textId="77777777" w:rsidR="008511EC" w:rsidRDefault="008511EC">
      <w:pPr>
        <w:bidi w:val="0"/>
        <w:spacing w:after="200" w:line="276" w:lineRule="auto"/>
        <w:rPr>
          <w:rFonts w:ascii="Tahoma" w:hAnsi="Tahoma" w:cs="Tahoma"/>
          <w:szCs w:val="20"/>
          <w:rtl/>
        </w:rPr>
      </w:pPr>
      <w:r>
        <w:rPr>
          <w:rtl/>
        </w:rPr>
        <w:br w:type="page"/>
      </w:r>
    </w:p>
    <w:p w14:paraId="691819DE" w14:textId="5EF89072" w:rsidR="00387987" w:rsidRDefault="00387987" w:rsidP="008511EC">
      <w:pPr>
        <w:pStyle w:val="af2"/>
        <w:rPr>
          <w:rtl/>
        </w:rPr>
      </w:pPr>
      <w:r>
        <w:rPr>
          <w:rFonts w:hint="cs"/>
          <w:rtl/>
        </w:rPr>
        <w:lastRenderedPageBreak/>
        <w:t xml:space="preserve">הלשכה מסרה בתשובתה כי לגישת ועדת האתיקה הארצית, קיום הדיון בעילום שם מייעל את הדיונים בוועדה וכי בכוונת הלשכה להסדיר בכללים את קיום הדיונים בעילום שם. עוד הוסיפה הלשכה כי מקום שבו חבר ועדה מזהה את פרטי התיק מידיעה אישית, הרי שבהתאם לנוהל עליו להימנע מהשתתפות בדיון. </w:t>
      </w:r>
    </w:p>
    <w:p w14:paraId="4A713010" w14:textId="77777777" w:rsidR="00387987" w:rsidRPr="00B07ED2" w:rsidRDefault="00387987" w:rsidP="008511EC">
      <w:pPr>
        <w:pStyle w:val="af2"/>
        <w:rPr>
          <w:rtl/>
        </w:rPr>
      </w:pPr>
      <w:r>
        <w:rPr>
          <w:rFonts w:hint="cs"/>
          <w:rtl/>
        </w:rPr>
        <w:t>בהקשר זה יצוין כי במחוז תל אביב נהוג ש</w:t>
      </w:r>
      <w:r w:rsidRPr="001535B9">
        <w:rPr>
          <w:rtl/>
        </w:rPr>
        <w:t xml:space="preserve">כל חבר ועדת אתיקה </w:t>
      </w:r>
      <w:r>
        <w:rPr>
          <w:rFonts w:hint="cs"/>
          <w:rtl/>
        </w:rPr>
        <w:t xml:space="preserve">חותם </w:t>
      </w:r>
      <w:r w:rsidRPr="001535B9">
        <w:rPr>
          <w:rtl/>
        </w:rPr>
        <w:t>על כתב התחייבות על שמירת סודיות וניגוד עניינים</w:t>
      </w:r>
      <w:r>
        <w:rPr>
          <w:rFonts w:hint="cs"/>
          <w:rtl/>
        </w:rPr>
        <w:t>, ש</w:t>
      </w:r>
      <w:r w:rsidRPr="001535B9">
        <w:rPr>
          <w:rtl/>
        </w:rPr>
        <w:t xml:space="preserve">בו </w:t>
      </w:r>
      <w:r>
        <w:rPr>
          <w:rFonts w:hint="cs"/>
          <w:rtl/>
        </w:rPr>
        <w:t xml:space="preserve">הוא </w:t>
      </w:r>
      <w:r w:rsidRPr="001535B9">
        <w:rPr>
          <w:rtl/>
        </w:rPr>
        <w:t xml:space="preserve">מתחייב להודיע על מצבים של ניגוד עניינים או חשש לניגוד עניינים המתעוררים אצלו אגב טיפול בתיקים וכן במקרה שבו צד הנוגע להליך פנה אליו בבקשה לסיוע או </w:t>
      </w:r>
      <w:r>
        <w:rPr>
          <w:rFonts w:hint="cs"/>
          <w:rtl/>
        </w:rPr>
        <w:t>ב</w:t>
      </w:r>
      <w:r w:rsidRPr="001535B9">
        <w:rPr>
          <w:rtl/>
        </w:rPr>
        <w:t>נ</w:t>
      </w:r>
      <w:r>
        <w:rPr>
          <w:rFonts w:hint="cs"/>
          <w:rtl/>
        </w:rPr>
        <w:t>י</w:t>
      </w:r>
      <w:r w:rsidRPr="001535B9">
        <w:rPr>
          <w:rtl/>
        </w:rPr>
        <w:t>סיונות שכנוע בעניינו.</w:t>
      </w:r>
      <w:r>
        <w:rPr>
          <w:rFonts w:hint="cs"/>
          <w:rtl/>
        </w:rPr>
        <w:t xml:space="preserve"> </w:t>
      </w:r>
    </w:p>
    <w:p w14:paraId="0813176D" w14:textId="77777777" w:rsidR="00387987" w:rsidRDefault="00387987" w:rsidP="008511EC">
      <w:pPr>
        <w:pStyle w:val="12"/>
        <w:rPr>
          <w:rtl/>
        </w:rPr>
      </w:pPr>
      <w:r w:rsidRPr="009F65CC">
        <w:rPr>
          <w:rFonts w:hint="eastAsia"/>
          <w:rtl/>
        </w:rPr>
        <w:t>משרד</w:t>
      </w:r>
      <w:r w:rsidRPr="009F65CC">
        <w:rPr>
          <w:rtl/>
        </w:rPr>
        <w:t xml:space="preserve"> </w:t>
      </w:r>
      <w:r w:rsidRPr="009F65CC">
        <w:rPr>
          <w:rFonts w:hint="eastAsia"/>
          <w:rtl/>
        </w:rPr>
        <w:t>מבקר</w:t>
      </w:r>
      <w:r w:rsidRPr="009F65CC">
        <w:rPr>
          <w:rtl/>
        </w:rPr>
        <w:t xml:space="preserve"> </w:t>
      </w:r>
      <w:r w:rsidRPr="009F65CC">
        <w:rPr>
          <w:rFonts w:hint="eastAsia"/>
          <w:rtl/>
        </w:rPr>
        <w:t>המדינה</w:t>
      </w:r>
      <w:r w:rsidRPr="009F65CC">
        <w:rPr>
          <w:rtl/>
        </w:rPr>
        <w:t xml:space="preserve"> </w:t>
      </w:r>
      <w:r>
        <w:rPr>
          <w:rFonts w:hint="cs"/>
          <w:rtl/>
        </w:rPr>
        <w:t>ממליץ</w:t>
      </w:r>
      <w:r>
        <w:rPr>
          <w:rtl/>
        </w:rPr>
        <w:t xml:space="preserve"> </w:t>
      </w:r>
      <w:r>
        <w:rPr>
          <w:rFonts w:hint="cs"/>
          <w:rtl/>
        </w:rPr>
        <w:t>ללשכת עורכי הדין לבחון את הנושא לרבות יוזמת מחוז תל אביב ולהסדיר את הדברים בצורה מפורטת שתחול בכל המחוזות</w:t>
      </w:r>
      <w:r w:rsidRPr="009F65CC">
        <w:rPr>
          <w:rtl/>
        </w:rPr>
        <w:t>.</w:t>
      </w:r>
    </w:p>
    <w:p w14:paraId="5E796116" w14:textId="77777777" w:rsidR="00387987" w:rsidRPr="00BE6B82" w:rsidRDefault="00387987" w:rsidP="008511EC">
      <w:pPr>
        <w:pStyle w:val="a1"/>
        <w:rPr>
          <w:b/>
          <w:bCs/>
        </w:rPr>
      </w:pPr>
      <w:r w:rsidRPr="008511EC">
        <w:rPr>
          <w:rStyle w:val="Heading7Char"/>
          <w:rFonts w:hint="eastAsia"/>
          <w:color w:val="004E6C"/>
          <w:spacing w:val="0"/>
          <w:rtl/>
        </w:rPr>
        <w:t>הסדרת</w:t>
      </w:r>
      <w:r w:rsidRPr="008511EC">
        <w:rPr>
          <w:rStyle w:val="Heading7Char"/>
          <w:color w:val="004E6C"/>
          <w:spacing w:val="0"/>
          <w:rtl/>
        </w:rPr>
        <w:t xml:space="preserve"> </w:t>
      </w:r>
      <w:r w:rsidRPr="008511EC">
        <w:rPr>
          <w:rStyle w:val="Heading7Char"/>
          <w:rFonts w:hint="eastAsia"/>
          <w:color w:val="004E6C"/>
          <w:spacing w:val="0"/>
          <w:rtl/>
        </w:rPr>
        <w:t>ניגודי</w:t>
      </w:r>
      <w:r w:rsidRPr="008511EC">
        <w:rPr>
          <w:rStyle w:val="Heading7Char"/>
          <w:color w:val="004E6C"/>
          <w:spacing w:val="0"/>
          <w:rtl/>
        </w:rPr>
        <w:t xml:space="preserve"> </w:t>
      </w:r>
      <w:r w:rsidRPr="008511EC">
        <w:rPr>
          <w:rStyle w:val="Heading7Char"/>
          <w:rFonts w:hint="eastAsia"/>
          <w:color w:val="004E6C"/>
          <w:spacing w:val="0"/>
          <w:rtl/>
        </w:rPr>
        <w:t>עניינים</w:t>
      </w:r>
      <w:r w:rsidRPr="008511EC">
        <w:rPr>
          <w:rStyle w:val="Heading7Char"/>
          <w:color w:val="004E6C"/>
          <w:spacing w:val="0"/>
          <w:rtl/>
        </w:rPr>
        <w:t xml:space="preserve"> </w:t>
      </w:r>
      <w:r w:rsidRPr="008511EC">
        <w:rPr>
          <w:rStyle w:val="Heading7Char"/>
          <w:rFonts w:hint="eastAsia"/>
          <w:color w:val="004E6C"/>
          <w:spacing w:val="0"/>
          <w:rtl/>
        </w:rPr>
        <w:t>בוועדות</w:t>
      </w:r>
      <w:r w:rsidRPr="008511EC">
        <w:rPr>
          <w:rStyle w:val="Heading7Char"/>
          <w:color w:val="004E6C"/>
          <w:spacing w:val="0"/>
          <w:rtl/>
        </w:rPr>
        <w:t xml:space="preserve"> </w:t>
      </w:r>
      <w:r w:rsidRPr="008511EC">
        <w:rPr>
          <w:rStyle w:val="Heading7Char"/>
          <w:rFonts w:hint="eastAsia"/>
          <w:color w:val="004E6C"/>
          <w:spacing w:val="0"/>
          <w:rtl/>
        </w:rPr>
        <w:t>המקצועיות</w:t>
      </w:r>
      <w:r w:rsidRPr="008511EC">
        <w:rPr>
          <w:rStyle w:val="Heading7Char"/>
          <w:color w:val="004E6C"/>
          <w:spacing w:val="0"/>
          <w:rtl/>
        </w:rPr>
        <w:t>:</w:t>
      </w:r>
      <w:r w:rsidRPr="008511EC">
        <w:rPr>
          <w:rFonts w:hint="cs"/>
          <w:color w:val="004E6C"/>
          <w:rtl/>
        </w:rPr>
        <w:t xml:space="preserve"> </w:t>
      </w:r>
      <w:r>
        <w:rPr>
          <w:rFonts w:hint="cs"/>
          <w:rtl/>
        </w:rPr>
        <w:t>ללשכת עורכי הדין מספר רב של ועדות העוסקות בנושאים מקצועיים משפטיים שונים, כגון ועדת מקרקעין, ועדת נזיקין, ועדת משפחה ועוד (להלן - ועדות מקצועיות). כיום יש 149 ועדות (כמה מן הוועדות אינן פעילות) וחברים בהן אלפי עורכי דין</w:t>
      </w:r>
      <w:r>
        <w:rPr>
          <w:rStyle w:val="FootnoteReference"/>
          <w:rtl/>
        </w:rPr>
        <w:footnoteReference w:id="76"/>
      </w:r>
      <w:r>
        <w:rPr>
          <w:rFonts w:hint="cs"/>
          <w:rtl/>
        </w:rPr>
        <w:t xml:space="preserve">, גם אם לא כולם נוטלים חלק פעיל בעבודתן. הוועדות מעלות נושאים לדיון בתחום עיסוקן, דנות בבעיות שהתעוררו בממשקים מול בתי המשפט וגופים ציבוריים </w:t>
      </w:r>
      <w:r w:rsidRPr="00BE6B82">
        <w:rPr>
          <w:rFonts w:hint="cs"/>
          <w:rtl/>
        </w:rPr>
        <w:t>אחרים, ממליצ</w:t>
      </w:r>
      <w:r>
        <w:rPr>
          <w:rFonts w:hint="cs"/>
          <w:rtl/>
        </w:rPr>
        <w:t>ות</w:t>
      </w:r>
      <w:r w:rsidRPr="00BE6B82">
        <w:rPr>
          <w:rFonts w:hint="cs"/>
          <w:rtl/>
        </w:rPr>
        <w:t xml:space="preserve"> ללשכה על שינויים נדרשים בהוראות הדין וכיו"ב. נשיאות </w:t>
      </w:r>
      <w:r>
        <w:rPr>
          <w:rFonts w:hint="cs"/>
          <w:rtl/>
        </w:rPr>
        <w:t>הוועד</w:t>
      </w:r>
      <w:r w:rsidRPr="00BE6B82">
        <w:rPr>
          <w:rFonts w:hint="cs"/>
          <w:rtl/>
        </w:rPr>
        <w:t xml:space="preserve">ות נבחרות על ידי </w:t>
      </w:r>
      <w:r>
        <w:rPr>
          <w:rFonts w:hint="cs"/>
          <w:rtl/>
        </w:rPr>
        <w:t>הוועד</w:t>
      </w:r>
      <w:r w:rsidRPr="00BE6B82">
        <w:rPr>
          <w:rFonts w:hint="cs"/>
          <w:rtl/>
        </w:rPr>
        <w:t xml:space="preserve"> המרכזי ואילו החברים</w:t>
      </w:r>
      <w:r w:rsidRPr="00BE6B82">
        <w:t xml:space="preserve"> </w:t>
      </w:r>
      <w:r w:rsidRPr="00BE6B82">
        <w:rPr>
          <w:rFonts w:hint="cs"/>
          <w:rtl/>
        </w:rPr>
        <w:t>ממונים לפי בקשתם ללא תנאי כשירות</w:t>
      </w:r>
      <w:r>
        <w:rPr>
          <w:rFonts w:hint="cs"/>
          <w:rtl/>
        </w:rPr>
        <w:t>,</w:t>
      </w:r>
      <w:r w:rsidRPr="00BE6B82">
        <w:rPr>
          <w:rFonts w:hint="cs"/>
          <w:rtl/>
        </w:rPr>
        <w:t xml:space="preserve"> ובלבד שיש להם מומחיות בתחום העיסוק של </w:t>
      </w:r>
      <w:r>
        <w:rPr>
          <w:rFonts w:hint="cs"/>
          <w:rtl/>
        </w:rPr>
        <w:t>הוועדה אליה הם המבקשים להתמנות. יצו</w:t>
      </w:r>
      <w:r w:rsidRPr="00BE6B82">
        <w:rPr>
          <w:rFonts w:hint="cs"/>
          <w:rtl/>
        </w:rPr>
        <w:t xml:space="preserve">ין, כי נוסף </w:t>
      </w:r>
      <w:r>
        <w:rPr>
          <w:rFonts w:hint="cs"/>
          <w:rtl/>
        </w:rPr>
        <w:t xml:space="preserve">על </w:t>
      </w:r>
      <w:r w:rsidRPr="00BE6B82">
        <w:rPr>
          <w:rFonts w:hint="cs"/>
          <w:rtl/>
        </w:rPr>
        <w:t>כך קיימות מאות ועדות מקצועיות נוספות במחוזות הלשכה העוסקות בנושאים דומים באופן מקומי.</w:t>
      </w:r>
    </w:p>
    <w:p w14:paraId="014C7635" w14:textId="77777777" w:rsidR="00387987" w:rsidRDefault="00387987" w:rsidP="008511EC">
      <w:pPr>
        <w:pStyle w:val="af2"/>
        <w:rPr>
          <w:rtl/>
        </w:rPr>
      </w:pPr>
      <w:r>
        <w:rPr>
          <w:rFonts w:hint="cs"/>
          <w:rtl/>
        </w:rPr>
        <w:t xml:space="preserve">בנוהל "עבודת גופים ממונים על ידי הוועד המרכזי" של הלשכה (להלן - נוהל הוועדות המקצועיות) נקבע כי "חבר ועדה יודיע מראש, אם יש ניגוד עניינים, המונע ממנו מלהיות חבר בוועדה או מלהשתתף בדיון או מלהידרש לנושא המובא בפני הוועדה". מעבר לכך לא נקבעו הסברים בנוגע לסוג המקרים העשויים להעלות חשש לניגוד עניינים ובדרכי הבחינה וההחלטה בעניינן של הודעות אלו. </w:t>
      </w:r>
    </w:p>
    <w:p w14:paraId="02722545" w14:textId="77777777" w:rsidR="00387987" w:rsidRDefault="00387987" w:rsidP="008511EC">
      <w:pPr>
        <w:pStyle w:val="af2"/>
        <w:rPr>
          <w:rtl/>
        </w:rPr>
      </w:pPr>
      <w:r>
        <w:rPr>
          <w:rFonts w:hint="cs"/>
          <w:rtl/>
        </w:rPr>
        <w:t>ביוני 2017</w:t>
      </w:r>
      <w:r w:rsidRPr="004177A0">
        <w:rPr>
          <w:rFonts w:hint="cs"/>
          <w:rtl/>
        </w:rPr>
        <w:t xml:space="preserve"> </w:t>
      </w:r>
      <w:r w:rsidRPr="00186E63">
        <w:rPr>
          <w:rFonts w:hint="cs"/>
          <w:rtl/>
        </w:rPr>
        <w:t xml:space="preserve">הועברה </w:t>
      </w:r>
      <w:r>
        <w:rPr>
          <w:rFonts w:hint="cs"/>
          <w:rtl/>
        </w:rPr>
        <w:t>חוות דעת ל</w:t>
      </w:r>
      <w:r w:rsidRPr="00186E63">
        <w:rPr>
          <w:rFonts w:hint="cs"/>
          <w:rtl/>
        </w:rPr>
        <w:t xml:space="preserve">מנכ"ל הלשכה </w:t>
      </w:r>
      <w:r>
        <w:rPr>
          <w:rFonts w:hint="cs"/>
          <w:rtl/>
        </w:rPr>
        <w:t xml:space="preserve">ובה </w:t>
      </w:r>
      <w:r w:rsidRPr="00186E63">
        <w:rPr>
          <w:rFonts w:hint="cs"/>
          <w:rtl/>
        </w:rPr>
        <w:t xml:space="preserve">הצעה להוסיף סעיף בנושא מניעת ניגוד עניינים </w:t>
      </w:r>
      <w:r>
        <w:rPr>
          <w:rFonts w:hint="cs"/>
          <w:rtl/>
        </w:rPr>
        <w:t>לנוהל הוועדות המקצועיות</w:t>
      </w:r>
      <w:r>
        <w:rPr>
          <w:rStyle w:val="FootnoteReference"/>
          <w:rtl/>
        </w:rPr>
        <w:footnoteReference w:id="77"/>
      </w:r>
      <w:r w:rsidRPr="00186E63">
        <w:rPr>
          <w:rFonts w:hint="cs"/>
          <w:rtl/>
        </w:rPr>
        <w:t xml:space="preserve">. על פי </w:t>
      </w:r>
      <w:r>
        <w:rPr>
          <w:rFonts w:hint="cs"/>
          <w:rtl/>
        </w:rPr>
        <w:t>ההצעה,</w:t>
      </w:r>
      <w:r w:rsidRPr="00186E63">
        <w:rPr>
          <w:rFonts w:hint="cs"/>
          <w:rtl/>
        </w:rPr>
        <w:t xml:space="preserve"> טרם מינוי המועמד לתפקיד תיבחן סוגיית ניגוד העניינים</w:t>
      </w:r>
      <w:r w:rsidRPr="004177A0">
        <w:rPr>
          <w:rFonts w:hint="cs"/>
          <w:rtl/>
        </w:rPr>
        <w:t xml:space="preserve"> ובמקרים המתאימ</w:t>
      </w:r>
      <w:r>
        <w:rPr>
          <w:rFonts w:hint="cs"/>
          <w:rtl/>
        </w:rPr>
        <w:t>ים אף תיחתם "הצהרה מתאימה למניעת</w:t>
      </w:r>
      <w:r w:rsidRPr="004177A0">
        <w:rPr>
          <w:rFonts w:hint="cs"/>
          <w:rtl/>
        </w:rPr>
        <w:t xml:space="preserve"> ניגוד עניינים". </w:t>
      </w:r>
      <w:r>
        <w:rPr>
          <w:rFonts w:hint="cs"/>
          <w:rtl/>
        </w:rPr>
        <w:t xml:space="preserve">על פי המוצע, </w:t>
      </w:r>
      <w:r w:rsidRPr="004177A0">
        <w:rPr>
          <w:rFonts w:hint="cs"/>
          <w:rtl/>
        </w:rPr>
        <w:t>מנכ"ל הלשכה יכריע בדבר אופן הטיפול בניגוד העניינים. עוד נקבע כי חובה על בעל התפקיד לעדכן את המנכ"ל על חשש לניגוד עניינים שמתעורר במהלך מילוי התפקיד.</w:t>
      </w:r>
    </w:p>
    <w:p w14:paraId="27B8EE85" w14:textId="77777777" w:rsidR="00387987" w:rsidRDefault="00387987" w:rsidP="008511EC">
      <w:pPr>
        <w:pStyle w:val="af2"/>
        <w:rPr>
          <w:rtl/>
        </w:rPr>
      </w:pPr>
      <w:r>
        <w:rPr>
          <w:rFonts w:hint="cs"/>
          <w:rtl/>
        </w:rPr>
        <w:t>מנכ"ל הלשכה מסר</w:t>
      </w:r>
      <w:r w:rsidRPr="001343E4">
        <w:rPr>
          <w:rFonts w:hint="cs"/>
          <w:rtl/>
        </w:rPr>
        <w:t xml:space="preserve"> </w:t>
      </w:r>
      <w:r>
        <w:rPr>
          <w:rFonts w:hint="cs"/>
          <w:rtl/>
        </w:rPr>
        <w:t xml:space="preserve">לצוות הביקורת </w:t>
      </w:r>
      <w:r w:rsidRPr="001343E4">
        <w:rPr>
          <w:rFonts w:hint="cs"/>
          <w:rtl/>
        </w:rPr>
        <w:t xml:space="preserve">כי ההצעה לתיקון הנוהל </w:t>
      </w:r>
      <w:r w:rsidRPr="001343E4">
        <w:rPr>
          <w:rtl/>
        </w:rPr>
        <w:t>הועברה להמשך דיון בוועד המרכזי</w:t>
      </w:r>
      <w:r w:rsidRPr="001343E4">
        <w:rPr>
          <w:rFonts w:hint="cs"/>
          <w:rtl/>
        </w:rPr>
        <w:t xml:space="preserve"> אשר דן בנושא מספר פעמים</w:t>
      </w:r>
      <w:r>
        <w:rPr>
          <w:rFonts w:hint="cs"/>
          <w:rtl/>
        </w:rPr>
        <w:t xml:space="preserve"> בשנים 2017 - 2018 </w:t>
      </w:r>
      <w:r w:rsidRPr="001343E4">
        <w:rPr>
          <w:rtl/>
        </w:rPr>
        <w:t xml:space="preserve">אך לא </w:t>
      </w:r>
      <w:r>
        <w:rPr>
          <w:rFonts w:hint="cs"/>
          <w:rtl/>
        </w:rPr>
        <w:t>קיבל</w:t>
      </w:r>
      <w:r w:rsidRPr="001343E4">
        <w:rPr>
          <w:rtl/>
        </w:rPr>
        <w:t xml:space="preserve"> החלטה לעגנו בנוהל הוועדות</w:t>
      </w:r>
      <w:r>
        <w:rPr>
          <w:rFonts w:hint="cs"/>
          <w:rtl/>
        </w:rPr>
        <w:t xml:space="preserve"> המקצועיות</w:t>
      </w:r>
      <w:r w:rsidRPr="001343E4">
        <w:rPr>
          <w:rtl/>
        </w:rPr>
        <w:t>.</w:t>
      </w:r>
      <w:r w:rsidRPr="001343E4">
        <w:rPr>
          <w:rFonts w:hint="cs"/>
          <w:rtl/>
        </w:rPr>
        <w:t xml:space="preserve"> </w:t>
      </w:r>
      <w:r w:rsidRPr="001343E4">
        <w:rPr>
          <w:rtl/>
        </w:rPr>
        <w:t>אחת הסיבות שהועלו</w:t>
      </w:r>
      <w:r>
        <w:rPr>
          <w:rFonts w:hint="cs"/>
          <w:rtl/>
        </w:rPr>
        <w:t xml:space="preserve"> היא</w:t>
      </w:r>
      <w:r w:rsidRPr="001343E4">
        <w:rPr>
          <w:rtl/>
        </w:rPr>
        <w:t xml:space="preserve"> שברור </w:t>
      </w:r>
      <w:r>
        <w:rPr>
          <w:rFonts w:hint="cs"/>
          <w:rtl/>
        </w:rPr>
        <w:t>מאליו</w:t>
      </w:r>
      <w:r w:rsidRPr="001343E4">
        <w:rPr>
          <w:rtl/>
        </w:rPr>
        <w:t xml:space="preserve"> שכל בעל תפקיד (כנבחר ציבור) עלול להימצא בניגוד עניינים והוא אמור להתריע על כך ולא לפעול במקרה שכזה.</w:t>
      </w:r>
      <w:r w:rsidRPr="001343E4">
        <w:rPr>
          <w:rFonts w:hint="cs"/>
          <w:rtl/>
        </w:rPr>
        <w:t xml:space="preserve"> </w:t>
      </w:r>
      <w:r>
        <w:rPr>
          <w:rFonts w:hint="cs"/>
          <w:rtl/>
        </w:rPr>
        <w:t xml:space="preserve">יצוין, כי בעת סקירת הפרוטוקולים של הוועד המרכזי בשנים האמורות לא אותרו דיונים כאמור. </w:t>
      </w:r>
    </w:p>
    <w:p w14:paraId="1B892DBE" w14:textId="77777777" w:rsidR="00387987" w:rsidRPr="008511EC" w:rsidRDefault="00387987" w:rsidP="008511EC">
      <w:pPr>
        <w:pStyle w:val="a8"/>
        <w:rPr>
          <w:b/>
          <w:bCs/>
          <w:rtl/>
        </w:rPr>
      </w:pPr>
      <w:r w:rsidRPr="001149C7">
        <w:rPr>
          <w:rFonts w:hint="cs"/>
          <w:rtl/>
        </w:rPr>
        <w:t xml:space="preserve">תרשים </w:t>
      </w:r>
      <w:r>
        <w:rPr>
          <w:rFonts w:hint="cs"/>
          <w:rtl/>
        </w:rPr>
        <w:t>16</w:t>
      </w:r>
      <w:r w:rsidRPr="001149C7">
        <w:rPr>
          <w:rFonts w:hint="cs"/>
          <w:rtl/>
        </w:rPr>
        <w:t xml:space="preserve">: </w:t>
      </w:r>
      <w:r w:rsidRPr="008511EC">
        <w:rPr>
          <w:rFonts w:hint="cs"/>
          <w:b/>
          <w:bCs/>
          <w:rtl/>
        </w:rPr>
        <w:t>נושאים בלשכת עורכי הדין המעוררים שאלות מתחום ניגודי עניינים</w:t>
      </w:r>
    </w:p>
    <w:p w14:paraId="10A3AD7B" w14:textId="77777777" w:rsidR="00387987" w:rsidRDefault="00387987" w:rsidP="00391776">
      <w:pPr>
        <w:pStyle w:val="a8"/>
        <w:rPr>
          <w:rtl/>
        </w:rPr>
      </w:pPr>
      <w:r>
        <w:rPr>
          <w:noProof/>
        </w:rPr>
        <w:drawing>
          <wp:inline distT="0" distB="0" distL="0" distR="0" wp14:anchorId="269691E7" wp14:editId="796816F8">
            <wp:extent cx="3609975" cy="3987324"/>
            <wp:effectExtent l="0" t="0" r="0" b="0"/>
            <wp:docPr id="43" name="תמונה 4" descr="C:\Users\itiel_ma\AppData\Local\Microsoft\Windows\INetCache\Content.Word\פעילות לשכת עורכי הדין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50934" name="Picture 1" descr="C:\Users\itiel_ma\AppData\Local\Microsoft\Windows\INetCache\Content.Word\פעילות לשכת עורכי הדין 14.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615029" cy="3992906"/>
                    </a:xfrm>
                    <a:prstGeom prst="rect">
                      <a:avLst/>
                    </a:prstGeom>
                    <a:noFill/>
                    <a:ln>
                      <a:noFill/>
                    </a:ln>
                  </pic:spPr>
                </pic:pic>
              </a:graphicData>
            </a:graphic>
          </wp:inline>
        </w:drawing>
      </w:r>
    </w:p>
    <w:p w14:paraId="72430858" w14:textId="48143160" w:rsidR="00387987" w:rsidRDefault="00387987" w:rsidP="00391776">
      <w:pPr>
        <w:pStyle w:val="100"/>
        <w:rPr>
          <w:rtl/>
        </w:rPr>
      </w:pPr>
    </w:p>
    <w:p w14:paraId="10A40ECF" w14:textId="77777777" w:rsidR="00387987" w:rsidRPr="005319B1" w:rsidRDefault="00387987" w:rsidP="00391776">
      <w:pPr>
        <w:pStyle w:val="af3"/>
        <w:rPr>
          <w:rtl/>
        </w:rPr>
      </w:pPr>
      <w:r w:rsidRPr="00C26CC3">
        <w:rPr>
          <w:rtl/>
        </w:rPr>
        <w:t xml:space="preserve">הדוגמאות </w:t>
      </w:r>
      <w:r>
        <w:rPr>
          <w:rFonts w:hint="cs"/>
          <w:rtl/>
        </w:rPr>
        <w:t>ש</w:t>
      </w:r>
      <w:r w:rsidRPr="00C26CC3">
        <w:rPr>
          <w:rtl/>
        </w:rPr>
        <w:t xml:space="preserve">לעיל ממחישות את הצורך בהסדרה כוללת של הטיפול בנושא ניגוד העניינים בלשכת עורכי הדין. </w:t>
      </w:r>
    </w:p>
    <w:p w14:paraId="18FC0ED5" w14:textId="77777777" w:rsidR="00387987" w:rsidRDefault="00387987" w:rsidP="00391776">
      <w:pPr>
        <w:pStyle w:val="100"/>
        <w:rPr>
          <w:rtl/>
        </w:rPr>
      </w:pPr>
      <w:r>
        <w:rPr>
          <w:rFonts w:hint="cs"/>
          <w:rtl/>
        </w:rPr>
        <w:t xml:space="preserve">הלשכה הודיעה בתשובתה כי היא מקבלת את הערת הביקורת </w:t>
      </w:r>
      <w:r w:rsidRPr="005319B1">
        <w:rPr>
          <w:rFonts w:hint="cs"/>
          <w:rtl/>
        </w:rPr>
        <w:t>בדבר</w:t>
      </w:r>
      <w:r w:rsidRPr="005319B1">
        <w:rPr>
          <w:rtl/>
        </w:rPr>
        <w:t xml:space="preserve"> </w:t>
      </w:r>
      <w:r w:rsidRPr="005319B1">
        <w:rPr>
          <w:rFonts w:hint="cs"/>
          <w:rtl/>
        </w:rPr>
        <w:t>הצורך</w:t>
      </w:r>
      <w:r w:rsidRPr="005319B1">
        <w:rPr>
          <w:rtl/>
        </w:rPr>
        <w:t xml:space="preserve"> </w:t>
      </w:r>
      <w:r w:rsidRPr="005319B1">
        <w:rPr>
          <w:rFonts w:hint="cs"/>
          <w:rtl/>
        </w:rPr>
        <w:t>לקבוע</w:t>
      </w:r>
      <w:r w:rsidRPr="005319B1">
        <w:rPr>
          <w:rtl/>
        </w:rPr>
        <w:t xml:space="preserve"> </w:t>
      </w:r>
      <w:r w:rsidRPr="005319B1">
        <w:rPr>
          <w:rFonts w:hint="cs"/>
          <w:rtl/>
        </w:rPr>
        <w:t>תהליך</w:t>
      </w:r>
      <w:r w:rsidRPr="005319B1">
        <w:rPr>
          <w:rtl/>
        </w:rPr>
        <w:t xml:space="preserve"> </w:t>
      </w:r>
      <w:r w:rsidRPr="005319B1">
        <w:rPr>
          <w:rFonts w:hint="cs"/>
          <w:rtl/>
        </w:rPr>
        <w:t>עבודה</w:t>
      </w:r>
      <w:r w:rsidRPr="005319B1">
        <w:rPr>
          <w:rtl/>
        </w:rPr>
        <w:t xml:space="preserve"> </w:t>
      </w:r>
      <w:r w:rsidRPr="005319B1">
        <w:rPr>
          <w:rFonts w:hint="cs"/>
          <w:rtl/>
        </w:rPr>
        <w:t>סדור</w:t>
      </w:r>
      <w:r w:rsidRPr="005319B1">
        <w:rPr>
          <w:rtl/>
        </w:rPr>
        <w:t xml:space="preserve"> </w:t>
      </w:r>
      <w:r w:rsidRPr="005319B1">
        <w:rPr>
          <w:rFonts w:hint="cs"/>
          <w:rtl/>
        </w:rPr>
        <w:t>להטמעת</w:t>
      </w:r>
      <w:r w:rsidRPr="005319B1">
        <w:rPr>
          <w:rtl/>
        </w:rPr>
        <w:t xml:space="preserve"> </w:t>
      </w:r>
      <w:r w:rsidRPr="005319B1">
        <w:rPr>
          <w:rFonts w:hint="cs"/>
          <w:rtl/>
        </w:rPr>
        <w:t>הסדרי</w:t>
      </w:r>
      <w:r w:rsidRPr="005319B1">
        <w:rPr>
          <w:rtl/>
        </w:rPr>
        <w:t xml:space="preserve"> </w:t>
      </w:r>
      <w:r w:rsidRPr="005319B1">
        <w:rPr>
          <w:rFonts w:hint="cs"/>
          <w:rtl/>
        </w:rPr>
        <w:t>ניגוד</w:t>
      </w:r>
      <w:r w:rsidRPr="005319B1">
        <w:rPr>
          <w:rtl/>
        </w:rPr>
        <w:t xml:space="preserve"> </w:t>
      </w:r>
      <w:r w:rsidRPr="005319B1">
        <w:rPr>
          <w:rFonts w:hint="cs"/>
          <w:rtl/>
        </w:rPr>
        <w:t>עניינים</w:t>
      </w:r>
      <w:r>
        <w:rPr>
          <w:rFonts w:hint="cs"/>
          <w:rtl/>
        </w:rPr>
        <w:t xml:space="preserve"> ואכיפתם</w:t>
      </w:r>
      <w:r w:rsidRPr="005319B1">
        <w:rPr>
          <w:rtl/>
        </w:rPr>
        <w:t>.</w:t>
      </w:r>
      <w:r>
        <w:rPr>
          <w:rFonts w:hint="cs"/>
          <w:rtl/>
        </w:rPr>
        <w:t xml:space="preserve"> עם זאת, היא הבחינה בין עובדי הלשכה לנבחריה. בדיון של המועצה הארצית באוקטובר 2019 הוחלט שלא לחייב את נבחרי הציבור בחתימה מראש על תצהיר ניגוד עניינים, אלא להסתפק בסעיף בנוהל הוועדות המקצועיות הנזכר לעיל.</w:t>
      </w:r>
    </w:p>
    <w:p w14:paraId="6C7EBC86" w14:textId="77777777" w:rsidR="00391776" w:rsidRDefault="00391776">
      <w:pPr>
        <w:bidi w:val="0"/>
        <w:spacing w:after="200" w:line="276" w:lineRule="auto"/>
        <w:rPr>
          <w:rFonts w:ascii="Tahoma" w:hAnsi="Tahoma" w:cs="Tahoma"/>
          <w:szCs w:val="20"/>
          <w:rtl/>
        </w:rPr>
      </w:pPr>
      <w:r>
        <w:rPr>
          <w:rtl/>
        </w:rPr>
        <w:br w:type="page"/>
      </w:r>
    </w:p>
    <w:p w14:paraId="41954167" w14:textId="63FC98CC" w:rsidR="00387987" w:rsidRDefault="00387987" w:rsidP="00391776">
      <w:pPr>
        <w:pStyle w:val="100"/>
        <w:rPr>
          <w:rtl/>
        </w:rPr>
      </w:pPr>
      <w:r>
        <w:rPr>
          <w:rFonts w:hint="cs"/>
          <w:rtl/>
        </w:rPr>
        <w:t>אשר לעובדי הלשכה, ב</w:t>
      </w:r>
      <w:r w:rsidRPr="005E7439">
        <w:rPr>
          <w:rFonts w:hint="cs"/>
          <w:rtl/>
        </w:rPr>
        <w:t>אוגוסט</w:t>
      </w:r>
      <w:r w:rsidRPr="005E7439">
        <w:rPr>
          <w:rtl/>
        </w:rPr>
        <w:t xml:space="preserve"> 2019 </w:t>
      </w:r>
      <w:r w:rsidRPr="005E7439">
        <w:rPr>
          <w:rFonts w:hint="cs"/>
          <w:rtl/>
        </w:rPr>
        <w:t>ערכה</w:t>
      </w:r>
      <w:r w:rsidRPr="005E7439">
        <w:rPr>
          <w:rtl/>
        </w:rPr>
        <w:t xml:space="preserve"> </w:t>
      </w:r>
      <w:r>
        <w:rPr>
          <w:rFonts w:hint="cs"/>
          <w:rtl/>
        </w:rPr>
        <w:t xml:space="preserve">הלשכה </w:t>
      </w:r>
      <w:r w:rsidRPr="005E7439">
        <w:rPr>
          <w:rFonts w:hint="cs"/>
          <w:rtl/>
        </w:rPr>
        <w:t>הדרכה</w:t>
      </w:r>
      <w:r w:rsidRPr="005E7439">
        <w:rPr>
          <w:rtl/>
        </w:rPr>
        <w:t xml:space="preserve"> </w:t>
      </w:r>
      <w:r w:rsidRPr="005E7439">
        <w:rPr>
          <w:rFonts w:hint="cs"/>
          <w:rtl/>
        </w:rPr>
        <w:t>לעובדי</w:t>
      </w:r>
      <w:r w:rsidRPr="005E7439">
        <w:rPr>
          <w:rtl/>
        </w:rPr>
        <w:t xml:space="preserve"> </w:t>
      </w:r>
      <w:r w:rsidRPr="005E7439">
        <w:rPr>
          <w:rFonts w:hint="cs"/>
          <w:rtl/>
        </w:rPr>
        <w:t>הלשכה</w:t>
      </w:r>
      <w:r w:rsidRPr="005E7439">
        <w:rPr>
          <w:rtl/>
        </w:rPr>
        <w:t xml:space="preserve"> </w:t>
      </w:r>
      <w:r w:rsidRPr="005E7439">
        <w:rPr>
          <w:rFonts w:hint="cs"/>
          <w:rtl/>
        </w:rPr>
        <w:t>הארצית</w:t>
      </w:r>
      <w:r w:rsidRPr="005E7439">
        <w:rPr>
          <w:rtl/>
        </w:rPr>
        <w:t xml:space="preserve"> </w:t>
      </w:r>
      <w:r>
        <w:rPr>
          <w:rFonts w:hint="cs"/>
          <w:rtl/>
        </w:rPr>
        <w:t xml:space="preserve">בנושא הסדרי </w:t>
      </w:r>
      <w:r w:rsidRPr="005E7439">
        <w:rPr>
          <w:rFonts w:hint="cs"/>
          <w:rtl/>
        </w:rPr>
        <w:t>ניגוד</w:t>
      </w:r>
      <w:r w:rsidRPr="005E7439">
        <w:rPr>
          <w:rtl/>
        </w:rPr>
        <w:t xml:space="preserve"> </w:t>
      </w:r>
      <w:r w:rsidRPr="005E7439">
        <w:rPr>
          <w:rFonts w:hint="cs"/>
          <w:rtl/>
        </w:rPr>
        <w:t>עניינים</w:t>
      </w:r>
      <w:r w:rsidRPr="005E7439">
        <w:rPr>
          <w:rFonts w:hint="eastAsia"/>
          <w:rtl/>
        </w:rPr>
        <w:t xml:space="preserve"> </w:t>
      </w:r>
      <w:r>
        <w:rPr>
          <w:rFonts w:hint="cs"/>
          <w:rtl/>
        </w:rPr>
        <w:t>ו</w:t>
      </w:r>
      <w:r w:rsidRPr="005E7439">
        <w:rPr>
          <w:rFonts w:hint="cs"/>
          <w:rtl/>
        </w:rPr>
        <w:t>הפיצה</w:t>
      </w:r>
      <w:r w:rsidRPr="005E7439">
        <w:rPr>
          <w:rtl/>
        </w:rPr>
        <w:t xml:space="preserve"> </w:t>
      </w:r>
      <w:r>
        <w:rPr>
          <w:rFonts w:hint="cs"/>
          <w:rtl/>
        </w:rPr>
        <w:t>להם</w:t>
      </w:r>
      <w:r w:rsidRPr="005E7439">
        <w:rPr>
          <w:rtl/>
        </w:rPr>
        <w:t xml:space="preserve"> </w:t>
      </w:r>
      <w:r w:rsidRPr="005E7439">
        <w:rPr>
          <w:rFonts w:hint="cs"/>
          <w:rtl/>
        </w:rPr>
        <w:t>ולמנכ</w:t>
      </w:r>
      <w:r w:rsidRPr="005E7439">
        <w:rPr>
          <w:rtl/>
        </w:rPr>
        <w:t>"</w:t>
      </w:r>
      <w:r w:rsidRPr="005E7439">
        <w:rPr>
          <w:rFonts w:hint="cs"/>
          <w:rtl/>
        </w:rPr>
        <w:t>לי</w:t>
      </w:r>
      <w:r w:rsidRPr="005E7439">
        <w:rPr>
          <w:rtl/>
        </w:rPr>
        <w:t xml:space="preserve"> </w:t>
      </w:r>
      <w:r w:rsidRPr="005E7439">
        <w:rPr>
          <w:rFonts w:hint="cs"/>
          <w:rtl/>
        </w:rPr>
        <w:t>מחוזות</w:t>
      </w:r>
      <w:r w:rsidRPr="005E7439">
        <w:rPr>
          <w:rtl/>
        </w:rPr>
        <w:t xml:space="preserve"> </w:t>
      </w:r>
      <w:r w:rsidRPr="005E7439">
        <w:rPr>
          <w:rFonts w:hint="cs"/>
          <w:rtl/>
        </w:rPr>
        <w:t>הלשכה</w:t>
      </w:r>
      <w:r w:rsidRPr="005E7439">
        <w:rPr>
          <w:rtl/>
        </w:rPr>
        <w:t xml:space="preserve"> </w:t>
      </w:r>
      <w:r w:rsidRPr="005E7439">
        <w:rPr>
          <w:rFonts w:hint="cs"/>
          <w:rtl/>
        </w:rPr>
        <w:t>מסמך</w:t>
      </w:r>
      <w:r w:rsidRPr="005E7439">
        <w:rPr>
          <w:rtl/>
        </w:rPr>
        <w:t xml:space="preserve"> </w:t>
      </w:r>
      <w:r>
        <w:rPr>
          <w:rFonts w:hint="cs"/>
          <w:rtl/>
        </w:rPr>
        <w:t xml:space="preserve">לחתימתם ובו </w:t>
      </w:r>
      <w:r w:rsidRPr="005E7439">
        <w:rPr>
          <w:rFonts w:hint="cs"/>
          <w:rtl/>
        </w:rPr>
        <w:t>הצהרה</w:t>
      </w:r>
      <w:r w:rsidRPr="005E7439">
        <w:rPr>
          <w:rtl/>
        </w:rPr>
        <w:t xml:space="preserve"> </w:t>
      </w:r>
      <w:r w:rsidRPr="005E7439">
        <w:rPr>
          <w:rFonts w:hint="cs"/>
          <w:rtl/>
        </w:rPr>
        <w:t>והתחייבות</w:t>
      </w:r>
      <w:r w:rsidRPr="005E7439">
        <w:rPr>
          <w:rtl/>
        </w:rPr>
        <w:t xml:space="preserve"> </w:t>
      </w:r>
      <w:r w:rsidRPr="005E7439">
        <w:rPr>
          <w:rFonts w:hint="cs"/>
          <w:rtl/>
        </w:rPr>
        <w:t>להימנע</w:t>
      </w:r>
      <w:r w:rsidRPr="005E7439">
        <w:rPr>
          <w:rtl/>
        </w:rPr>
        <w:t xml:space="preserve"> </w:t>
      </w:r>
      <w:r w:rsidRPr="005E7439">
        <w:rPr>
          <w:rFonts w:hint="cs"/>
          <w:rtl/>
        </w:rPr>
        <w:t>מניגודי</w:t>
      </w:r>
      <w:r w:rsidRPr="005E7439">
        <w:rPr>
          <w:rtl/>
        </w:rPr>
        <w:t xml:space="preserve"> </w:t>
      </w:r>
      <w:r w:rsidRPr="005E7439">
        <w:rPr>
          <w:rFonts w:hint="cs"/>
          <w:rtl/>
        </w:rPr>
        <w:t>עניינים</w:t>
      </w:r>
      <w:r>
        <w:rPr>
          <w:rFonts w:hint="cs"/>
          <w:rtl/>
        </w:rPr>
        <w:t xml:space="preserve"> </w:t>
      </w:r>
      <w:r w:rsidRPr="001B4C7F">
        <w:rPr>
          <w:rFonts w:hint="cs"/>
          <w:rtl/>
        </w:rPr>
        <w:t>במסגרת</w:t>
      </w:r>
      <w:r w:rsidRPr="001B4C7F">
        <w:rPr>
          <w:rtl/>
        </w:rPr>
        <w:t xml:space="preserve"> </w:t>
      </w:r>
      <w:r w:rsidRPr="001B4C7F">
        <w:rPr>
          <w:rFonts w:hint="cs"/>
          <w:rtl/>
        </w:rPr>
        <w:t>פעולותיהם</w:t>
      </w:r>
      <w:r w:rsidRPr="001B4C7F">
        <w:rPr>
          <w:rtl/>
        </w:rPr>
        <w:t xml:space="preserve"> </w:t>
      </w:r>
      <w:r w:rsidRPr="001B4C7F">
        <w:rPr>
          <w:rFonts w:hint="cs"/>
          <w:rtl/>
        </w:rPr>
        <w:t>בלשכת</w:t>
      </w:r>
      <w:r w:rsidRPr="001B4C7F">
        <w:rPr>
          <w:rtl/>
        </w:rPr>
        <w:t xml:space="preserve"> </w:t>
      </w:r>
      <w:r w:rsidRPr="001B4C7F">
        <w:rPr>
          <w:rFonts w:hint="cs"/>
          <w:rtl/>
        </w:rPr>
        <w:t>עורכי</w:t>
      </w:r>
      <w:r w:rsidRPr="001B4C7F">
        <w:rPr>
          <w:rtl/>
        </w:rPr>
        <w:t xml:space="preserve"> </w:t>
      </w:r>
      <w:r w:rsidRPr="001B4C7F">
        <w:rPr>
          <w:rFonts w:hint="cs"/>
          <w:rtl/>
        </w:rPr>
        <w:t>הדין</w:t>
      </w:r>
      <w:r w:rsidRPr="005E7439">
        <w:rPr>
          <w:rtl/>
        </w:rPr>
        <w:t xml:space="preserve">. </w:t>
      </w:r>
      <w:r>
        <w:rPr>
          <w:rFonts w:hint="cs"/>
          <w:rtl/>
        </w:rPr>
        <w:t>זאת בעקבות חוות דעת של היועץ המשפטי ללשכה ממרץ 2019</w:t>
      </w:r>
      <w:r w:rsidRPr="001B4C7F">
        <w:rPr>
          <w:rtl/>
        </w:rPr>
        <w:t xml:space="preserve"> </w:t>
      </w:r>
      <w:r w:rsidRPr="001B4C7F">
        <w:rPr>
          <w:rFonts w:hint="cs"/>
          <w:rtl/>
        </w:rPr>
        <w:t>לפיה</w:t>
      </w:r>
      <w:r w:rsidRPr="001B4C7F">
        <w:rPr>
          <w:rtl/>
        </w:rPr>
        <w:t xml:space="preserve"> </w:t>
      </w:r>
      <w:r w:rsidRPr="001B4C7F">
        <w:rPr>
          <w:rFonts w:hint="cs"/>
          <w:rtl/>
        </w:rPr>
        <w:t>ראוי</w:t>
      </w:r>
      <w:r w:rsidRPr="001B4C7F">
        <w:rPr>
          <w:rtl/>
        </w:rPr>
        <w:t xml:space="preserve"> </w:t>
      </w:r>
      <w:r w:rsidRPr="001B4C7F">
        <w:rPr>
          <w:rFonts w:hint="cs"/>
          <w:rtl/>
        </w:rPr>
        <w:t>שמעת</w:t>
      </w:r>
      <w:r w:rsidRPr="001B4C7F">
        <w:rPr>
          <w:rtl/>
        </w:rPr>
        <w:t xml:space="preserve"> </w:t>
      </w:r>
      <w:r w:rsidRPr="001B4C7F">
        <w:rPr>
          <w:rFonts w:hint="cs"/>
          <w:rtl/>
        </w:rPr>
        <w:t>לעת</w:t>
      </w:r>
      <w:r>
        <w:rPr>
          <w:rFonts w:hint="cs"/>
          <w:rtl/>
        </w:rPr>
        <w:t xml:space="preserve"> יועברו תזכורות לעובדי הלשכה ולפועלים מטעמה בדבר האיסור ואף יינתנו להם הנחיות </w:t>
      </w:r>
      <w:r w:rsidRPr="001B4C7F">
        <w:rPr>
          <w:rFonts w:hint="cs"/>
          <w:rtl/>
        </w:rPr>
        <w:t>למניעת</w:t>
      </w:r>
      <w:r w:rsidRPr="001B4C7F">
        <w:rPr>
          <w:rtl/>
        </w:rPr>
        <w:t xml:space="preserve"> </w:t>
      </w:r>
      <w:r w:rsidRPr="001B4C7F">
        <w:rPr>
          <w:rFonts w:hint="cs"/>
          <w:rtl/>
        </w:rPr>
        <w:t>ניגוד</w:t>
      </w:r>
      <w:r w:rsidRPr="001B4C7F">
        <w:rPr>
          <w:rtl/>
        </w:rPr>
        <w:t xml:space="preserve"> </w:t>
      </w:r>
      <w:r w:rsidRPr="001B4C7F">
        <w:rPr>
          <w:rFonts w:hint="cs"/>
          <w:rtl/>
        </w:rPr>
        <w:t>עניינים</w:t>
      </w:r>
      <w:r>
        <w:rPr>
          <w:rFonts w:hint="cs"/>
          <w:rtl/>
        </w:rPr>
        <w:t xml:space="preserve">. </w:t>
      </w:r>
    </w:p>
    <w:p w14:paraId="2C8A9161" w14:textId="77777777" w:rsidR="00391776" w:rsidRDefault="00387987" w:rsidP="00391776">
      <w:pPr>
        <w:pStyle w:val="af3"/>
        <w:rPr>
          <w:rtl/>
        </w:rPr>
      </w:pPr>
      <w:r w:rsidRPr="007B5B83">
        <w:rPr>
          <w:rFonts w:hint="cs"/>
          <w:rtl/>
        </w:rPr>
        <w:t>משרד</w:t>
      </w:r>
      <w:r>
        <w:rPr>
          <w:rFonts w:hint="cs"/>
          <w:rtl/>
        </w:rPr>
        <w:t xml:space="preserve"> </w:t>
      </w:r>
      <w:r w:rsidRPr="007B5B83">
        <w:rPr>
          <w:rFonts w:hint="cs"/>
          <w:rtl/>
        </w:rPr>
        <w:t xml:space="preserve">מבקר המדינה ממליץ כי לצד קביעת תהליך עבודה סדור להטמעת הסדרי ניגוד עניינים </w:t>
      </w:r>
      <w:r w:rsidRPr="00410B06">
        <w:rPr>
          <w:rFonts w:hint="eastAsia"/>
          <w:rtl/>
        </w:rPr>
        <w:t>הלשכה</w:t>
      </w:r>
      <w:r w:rsidRPr="00410B06">
        <w:rPr>
          <w:rtl/>
        </w:rPr>
        <w:t xml:space="preserve"> </w:t>
      </w:r>
      <w:r>
        <w:rPr>
          <w:rFonts w:hint="cs"/>
          <w:rtl/>
        </w:rPr>
        <w:t>תגבש</w:t>
      </w:r>
      <w:r w:rsidRPr="00410B06">
        <w:rPr>
          <w:rtl/>
        </w:rPr>
        <w:t xml:space="preserve"> </w:t>
      </w:r>
      <w:r w:rsidRPr="00410B06">
        <w:rPr>
          <w:rFonts w:hint="eastAsia"/>
          <w:rtl/>
        </w:rPr>
        <w:t>הנחיות</w:t>
      </w:r>
      <w:r w:rsidRPr="00410B06">
        <w:rPr>
          <w:rtl/>
        </w:rPr>
        <w:t xml:space="preserve"> </w:t>
      </w:r>
      <w:r w:rsidRPr="00410B06">
        <w:rPr>
          <w:rFonts w:hint="eastAsia"/>
          <w:rtl/>
        </w:rPr>
        <w:t>בנוגע</w:t>
      </w:r>
      <w:r w:rsidRPr="00410B06">
        <w:rPr>
          <w:rtl/>
        </w:rPr>
        <w:t xml:space="preserve"> </w:t>
      </w:r>
      <w:r w:rsidRPr="00410B06">
        <w:rPr>
          <w:rFonts w:hint="eastAsia"/>
          <w:rtl/>
        </w:rPr>
        <w:t>לכללי</w:t>
      </w:r>
      <w:r w:rsidRPr="00410B06">
        <w:rPr>
          <w:rtl/>
        </w:rPr>
        <w:t xml:space="preserve"> </w:t>
      </w:r>
      <w:r w:rsidRPr="00410B06">
        <w:rPr>
          <w:rFonts w:hint="eastAsia"/>
          <w:rtl/>
        </w:rPr>
        <w:t>ניגודי</w:t>
      </w:r>
      <w:r w:rsidRPr="00410B06">
        <w:rPr>
          <w:rtl/>
        </w:rPr>
        <w:t xml:space="preserve"> </w:t>
      </w:r>
      <w:r w:rsidRPr="00410B06">
        <w:rPr>
          <w:rFonts w:hint="eastAsia"/>
          <w:rtl/>
        </w:rPr>
        <w:t>עניינים</w:t>
      </w:r>
      <w:r w:rsidRPr="00410B06">
        <w:rPr>
          <w:rtl/>
        </w:rPr>
        <w:t xml:space="preserve"> כאמור בחוות הדעת. </w:t>
      </w:r>
      <w:r w:rsidRPr="00410B06">
        <w:rPr>
          <w:rFonts w:hint="eastAsia"/>
          <w:rtl/>
        </w:rPr>
        <w:t>אשר</w:t>
      </w:r>
      <w:r w:rsidRPr="00410B06">
        <w:rPr>
          <w:rtl/>
        </w:rPr>
        <w:t xml:space="preserve"> </w:t>
      </w:r>
      <w:r>
        <w:rPr>
          <w:rFonts w:hint="cs"/>
          <w:rtl/>
        </w:rPr>
        <w:t>להסדרי</w:t>
      </w:r>
      <w:r w:rsidRPr="00410B06">
        <w:rPr>
          <w:rtl/>
        </w:rPr>
        <w:t xml:space="preserve"> </w:t>
      </w:r>
      <w:r w:rsidRPr="00410B06">
        <w:rPr>
          <w:rFonts w:hint="eastAsia"/>
          <w:rtl/>
        </w:rPr>
        <w:t>ניגודי</w:t>
      </w:r>
      <w:r w:rsidRPr="00410B06">
        <w:rPr>
          <w:rtl/>
        </w:rPr>
        <w:t xml:space="preserve"> </w:t>
      </w:r>
      <w:r w:rsidRPr="00410B06">
        <w:rPr>
          <w:rFonts w:hint="eastAsia"/>
          <w:rtl/>
        </w:rPr>
        <w:t>עניינים</w:t>
      </w:r>
      <w:r w:rsidRPr="00410B06">
        <w:rPr>
          <w:rtl/>
        </w:rPr>
        <w:t xml:space="preserve">, </w:t>
      </w:r>
      <w:r w:rsidRPr="00410B06">
        <w:rPr>
          <w:rFonts w:hint="eastAsia"/>
          <w:rtl/>
        </w:rPr>
        <w:t>אלה</w:t>
      </w:r>
      <w:r w:rsidRPr="00410B06">
        <w:rPr>
          <w:rtl/>
        </w:rPr>
        <w:t xml:space="preserve"> </w:t>
      </w:r>
      <w:r w:rsidRPr="00410B06">
        <w:rPr>
          <w:rFonts w:hint="eastAsia"/>
          <w:rtl/>
        </w:rPr>
        <w:t>נחתמו</w:t>
      </w:r>
      <w:r>
        <w:rPr>
          <w:rtl/>
        </w:rPr>
        <w:t xml:space="preserve"> </w:t>
      </w:r>
      <w:r w:rsidRPr="00410B06">
        <w:rPr>
          <w:rtl/>
        </w:rPr>
        <w:t>רק</w:t>
      </w:r>
      <w:r>
        <w:rPr>
          <w:rFonts w:hint="cs"/>
          <w:rtl/>
        </w:rPr>
        <w:t xml:space="preserve"> </w:t>
      </w:r>
      <w:r w:rsidRPr="00410B06">
        <w:rPr>
          <w:rFonts w:hint="eastAsia"/>
          <w:rtl/>
        </w:rPr>
        <w:t>בחמש</w:t>
      </w:r>
      <w:r w:rsidRPr="00410B06">
        <w:rPr>
          <w:rtl/>
        </w:rPr>
        <w:t xml:space="preserve"> </w:t>
      </w:r>
      <w:r w:rsidRPr="00410B06">
        <w:rPr>
          <w:rFonts w:hint="eastAsia"/>
          <w:rtl/>
        </w:rPr>
        <w:t>התקשרויות</w:t>
      </w:r>
      <w:r w:rsidRPr="00410B06">
        <w:rPr>
          <w:rtl/>
        </w:rPr>
        <w:t xml:space="preserve"> </w:t>
      </w:r>
      <w:r w:rsidRPr="00410B06">
        <w:rPr>
          <w:rFonts w:hint="eastAsia"/>
          <w:rtl/>
        </w:rPr>
        <w:t>של</w:t>
      </w:r>
      <w:r w:rsidRPr="00410B06">
        <w:rPr>
          <w:rtl/>
        </w:rPr>
        <w:t xml:space="preserve"> </w:t>
      </w:r>
      <w:r w:rsidRPr="00410B06">
        <w:rPr>
          <w:rFonts w:hint="eastAsia"/>
          <w:rtl/>
        </w:rPr>
        <w:t>הלשכה</w:t>
      </w:r>
      <w:r w:rsidRPr="00410B06">
        <w:rPr>
          <w:rtl/>
        </w:rPr>
        <w:t xml:space="preserve"> </w:t>
      </w:r>
      <w:r w:rsidRPr="00410B06">
        <w:rPr>
          <w:rFonts w:hint="eastAsia"/>
          <w:rtl/>
        </w:rPr>
        <w:t>עם</w:t>
      </w:r>
      <w:r w:rsidRPr="00410B06">
        <w:rPr>
          <w:rtl/>
        </w:rPr>
        <w:t xml:space="preserve"> </w:t>
      </w:r>
      <w:r w:rsidRPr="00410B06">
        <w:rPr>
          <w:rFonts w:hint="eastAsia"/>
          <w:rtl/>
        </w:rPr>
        <w:t>נותני</w:t>
      </w:r>
      <w:r w:rsidRPr="00410B06">
        <w:rPr>
          <w:rtl/>
        </w:rPr>
        <w:t xml:space="preserve"> </w:t>
      </w:r>
      <w:r w:rsidRPr="00410B06">
        <w:rPr>
          <w:rFonts w:hint="eastAsia"/>
          <w:rtl/>
        </w:rPr>
        <w:t>שירותים</w:t>
      </w:r>
      <w:r w:rsidRPr="00410B06">
        <w:rPr>
          <w:rtl/>
        </w:rPr>
        <w:t xml:space="preserve"> </w:t>
      </w:r>
      <w:r w:rsidRPr="00410B06">
        <w:rPr>
          <w:rFonts w:hint="eastAsia"/>
          <w:rtl/>
        </w:rPr>
        <w:t>ולא</w:t>
      </w:r>
      <w:r w:rsidRPr="00410B06">
        <w:rPr>
          <w:rtl/>
        </w:rPr>
        <w:t xml:space="preserve"> </w:t>
      </w:r>
      <w:r w:rsidRPr="00410B06">
        <w:rPr>
          <w:rFonts w:hint="eastAsia"/>
          <w:rtl/>
        </w:rPr>
        <w:t>עם</w:t>
      </w:r>
      <w:r w:rsidRPr="00410B06">
        <w:rPr>
          <w:rtl/>
        </w:rPr>
        <w:t xml:space="preserve"> </w:t>
      </w:r>
      <w:r w:rsidRPr="00410B06">
        <w:rPr>
          <w:rFonts w:hint="eastAsia"/>
          <w:rtl/>
        </w:rPr>
        <w:t>עובדי</w:t>
      </w:r>
      <w:r w:rsidRPr="00410B06">
        <w:rPr>
          <w:rtl/>
        </w:rPr>
        <w:t xml:space="preserve"> </w:t>
      </w:r>
      <w:r w:rsidRPr="00410B06">
        <w:rPr>
          <w:rFonts w:hint="eastAsia"/>
          <w:rtl/>
        </w:rPr>
        <w:t>ונבחרי</w:t>
      </w:r>
      <w:r w:rsidRPr="00410B06">
        <w:rPr>
          <w:rtl/>
        </w:rPr>
        <w:t xml:space="preserve"> </w:t>
      </w:r>
      <w:r w:rsidRPr="00410B06">
        <w:rPr>
          <w:rFonts w:hint="eastAsia"/>
          <w:rtl/>
        </w:rPr>
        <w:t>הלשכה</w:t>
      </w:r>
      <w:r w:rsidRPr="00410B06">
        <w:rPr>
          <w:rtl/>
        </w:rPr>
        <w:t>.</w:t>
      </w:r>
      <w:r>
        <w:rPr>
          <w:rFonts w:hint="cs"/>
          <w:rtl/>
        </w:rPr>
        <w:t xml:space="preserve"> על לשכת עורכי הדין לקיים דיון בנושא ולבחון אותו על כלל היבטיו. </w:t>
      </w:r>
    </w:p>
    <w:p w14:paraId="0CDA7C93" w14:textId="0A02E7FD" w:rsidR="00387987" w:rsidRPr="003C0B66" w:rsidRDefault="00387987" w:rsidP="00391776">
      <w:pPr>
        <w:pStyle w:val="aff"/>
        <w:rPr>
          <w:rFonts w:ascii="Arial" w:hAnsi="Arial" w:cs="Arial"/>
          <w:rtl/>
        </w:rPr>
      </w:pPr>
      <w:r>
        <w:rPr>
          <w:rFonts w:hint="cs"/>
          <w:rtl/>
        </w:rPr>
        <w:t>✰</w:t>
      </w:r>
    </w:p>
    <w:p w14:paraId="09204741" w14:textId="77777777" w:rsidR="00387987" w:rsidRDefault="00387987" w:rsidP="00391776">
      <w:pPr>
        <w:pStyle w:val="af3"/>
        <w:rPr>
          <w:rtl/>
        </w:rPr>
      </w:pPr>
      <w:r>
        <w:rPr>
          <w:rFonts w:hint="cs"/>
          <w:rtl/>
        </w:rPr>
        <w:t>מטרת האיסור להימצא במצב של חשש לניגוד עניינים היא למנוע את הרע בטרם יארע</w:t>
      </w:r>
      <w:r w:rsidRPr="00674A96">
        <w:rPr>
          <w:rStyle w:val="FootnoteReference"/>
          <w:rtl/>
        </w:rPr>
        <w:footnoteReference w:id="78"/>
      </w:r>
      <w:r>
        <w:rPr>
          <w:rFonts w:hint="cs"/>
          <w:rtl/>
        </w:rPr>
        <w:t>. מהאמור לעיל עולה כי החשש לניגוד עניינים עלול לעלות במצבים רבים ומגוונים במסגרת פעילות גורמי הלשכה. לאור זאת על הלשכה לדון בנושא, לבחון את מיפוי המקרים הפוטנציאליים, לבחון קביעת כללים לפעילות הלשכה והנבחרים בכלל מוסדותיה ובסוגיות פרטניות להיוועץ עם היועץ המשפטי של הלשכה, כמפורט בתרשים שלהלן:</w:t>
      </w:r>
    </w:p>
    <w:p w14:paraId="3D41C13A" w14:textId="77777777" w:rsidR="00387987" w:rsidRPr="00674A96" w:rsidRDefault="00387987" w:rsidP="00674A96">
      <w:pPr>
        <w:pStyle w:val="a8"/>
        <w:rPr>
          <w:b/>
          <w:bCs/>
          <w:rtl/>
        </w:rPr>
      </w:pPr>
      <w:r w:rsidRPr="00541392">
        <w:rPr>
          <w:rFonts w:hint="eastAsia"/>
          <w:rtl/>
        </w:rPr>
        <w:t>תרשים</w:t>
      </w:r>
      <w:r w:rsidRPr="00541392">
        <w:rPr>
          <w:rtl/>
        </w:rPr>
        <w:t xml:space="preserve"> </w:t>
      </w:r>
      <w:r>
        <w:rPr>
          <w:rFonts w:hint="cs"/>
          <w:rtl/>
        </w:rPr>
        <w:t>17</w:t>
      </w:r>
      <w:r w:rsidRPr="00541392">
        <w:rPr>
          <w:rtl/>
        </w:rPr>
        <w:t xml:space="preserve">: </w:t>
      </w:r>
      <w:r w:rsidRPr="00674A96">
        <w:rPr>
          <w:rFonts w:hint="eastAsia"/>
          <w:b/>
          <w:bCs/>
          <w:rtl/>
        </w:rPr>
        <w:t>פעולות</w:t>
      </w:r>
      <w:r w:rsidRPr="00674A96">
        <w:rPr>
          <w:b/>
          <w:bCs/>
          <w:rtl/>
        </w:rPr>
        <w:t xml:space="preserve"> </w:t>
      </w:r>
      <w:r w:rsidRPr="00674A96">
        <w:rPr>
          <w:rFonts w:hint="eastAsia"/>
          <w:b/>
          <w:bCs/>
          <w:rtl/>
        </w:rPr>
        <w:t>מוצעות</w:t>
      </w:r>
      <w:r w:rsidRPr="00674A96">
        <w:rPr>
          <w:b/>
          <w:bCs/>
          <w:rtl/>
        </w:rPr>
        <w:t xml:space="preserve"> </w:t>
      </w:r>
      <w:r w:rsidRPr="00674A96">
        <w:rPr>
          <w:rFonts w:hint="eastAsia"/>
          <w:b/>
          <w:bCs/>
          <w:rtl/>
        </w:rPr>
        <w:t>להסדרת</w:t>
      </w:r>
      <w:r w:rsidRPr="00674A96">
        <w:rPr>
          <w:b/>
          <w:bCs/>
          <w:rtl/>
        </w:rPr>
        <w:t xml:space="preserve"> </w:t>
      </w:r>
      <w:r w:rsidRPr="00674A96">
        <w:rPr>
          <w:rFonts w:hint="eastAsia"/>
          <w:b/>
          <w:bCs/>
          <w:rtl/>
        </w:rPr>
        <w:t>מניעת</w:t>
      </w:r>
      <w:r w:rsidRPr="00674A96">
        <w:rPr>
          <w:b/>
          <w:bCs/>
          <w:rtl/>
        </w:rPr>
        <w:t xml:space="preserve"> </w:t>
      </w:r>
      <w:r w:rsidRPr="00674A96">
        <w:rPr>
          <w:rFonts w:hint="eastAsia"/>
          <w:b/>
          <w:bCs/>
          <w:rtl/>
        </w:rPr>
        <w:t>ניגודי</w:t>
      </w:r>
      <w:r w:rsidRPr="00674A96">
        <w:rPr>
          <w:b/>
          <w:bCs/>
          <w:rtl/>
        </w:rPr>
        <w:t xml:space="preserve"> </w:t>
      </w:r>
      <w:r w:rsidRPr="00674A96">
        <w:rPr>
          <w:rFonts w:hint="eastAsia"/>
          <w:b/>
          <w:bCs/>
          <w:rtl/>
        </w:rPr>
        <w:t>עניינים</w:t>
      </w:r>
      <w:r w:rsidRPr="00674A96">
        <w:rPr>
          <w:b/>
          <w:bCs/>
          <w:rtl/>
        </w:rPr>
        <w:t xml:space="preserve"> </w:t>
      </w:r>
      <w:r w:rsidRPr="00674A96">
        <w:rPr>
          <w:rFonts w:hint="eastAsia"/>
          <w:b/>
          <w:bCs/>
          <w:rtl/>
        </w:rPr>
        <w:t>בלשכה</w:t>
      </w:r>
    </w:p>
    <w:p w14:paraId="1E9EB27A" w14:textId="544D8F84" w:rsidR="00387987" w:rsidRDefault="00387987" w:rsidP="00674A96">
      <w:pPr>
        <w:pStyle w:val="a8"/>
        <w:rPr>
          <w:rtl/>
        </w:rPr>
      </w:pPr>
      <w:r>
        <w:rPr>
          <w:noProof/>
        </w:rPr>
        <w:drawing>
          <wp:inline distT="0" distB="0" distL="0" distR="0" wp14:anchorId="29460FF2" wp14:editId="7FDE8775">
            <wp:extent cx="4788628" cy="4267200"/>
            <wp:effectExtent l="0" t="0" r="0" b="0"/>
            <wp:docPr id="44" name="תמונה 18" descr="C:\Users\itiel_ma\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iel_ma\AppData\Local\Microsoft\Windows\INetCache\Content.Word\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0753" cy="4269094"/>
                    </a:xfrm>
                    <a:prstGeom prst="rect">
                      <a:avLst/>
                    </a:prstGeom>
                    <a:noFill/>
                    <a:ln>
                      <a:noFill/>
                    </a:ln>
                  </pic:spPr>
                </pic:pic>
              </a:graphicData>
            </a:graphic>
          </wp:inline>
        </w:drawing>
      </w:r>
    </w:p>
    <w:p w14:paraId="12FCBA67" w14:textId="77777777" w:rsidR="00387987" w:rsidRPr="00674A96" w:rsidRDefault="00387987" w:rsidP="00674A96">
      <w:pPr>
        <w:pStyle w:val="af3"/>
        <w:rPr>
          <w:rtl/>
        </w:rPr>
      </w:pPr>
      <w:r w:rsidRPr="00674A96">
        <w:rPr>
          <w:rFonts w:hint="cs"/>
          <w:rtl/>
        </w:rPr>
        <w:t>האמור נדרש על מנת לסייע בקבלת החלטות ענייניות ומקצועיות שיגבירו את אמון הציבור בלשכה ומוסדותיה.</w:t>
      </w:r>
    </w:p>
    <w:p w14:paraId="0487B7BF" w14:textId="77777777" w:rsidR="00387987" w:rsidRDefault="00387987" w:rsidP="00387987">
      <w:pPr>
        <w:spacing w:line="269" w:lineRule="auto"/>
        <w:rPr>
          <w:b/>
          <w:bCs/>
          <w:rtl/>
        </w:rPr>
      </w:pPr>
    </w:p>
    <w:p w14:paraId="65A0C1F2" w14:textId="77777777" w:rsidR="00387987" w:rsidRDefault="00387987" w:rsidP="00387987">
      <w:pPr>
        <w:bidi w:val="0"/>
        <w:spacing w:after="200" w:line="276" w:lineRule="auto"/>
        <w:rPr>
          <w:rFonts w:eastAsiaTheme="majorEastAsia"/>
          <w:bCs/>
          <w:szCs w:val="32"/>
          <w:rtl/>
        </w:rPr>
      </w:pPr>
      <w:bookmarkStart w:id="34" w:name="_Toc23155601"/>
      <w:bookmarkStart w:id="35" w:name="_Toc23159790"/>
      <w:bookmarkStart w:id="36" w:name="_Toc23155605"/>
      <w:r>
        <w:rPr>
          <w:rtl/>
        </w:rPr>
        <w:br w:type="page"/>
      </w:r>
    </w:p>
    <w:p w14:paraId="633D5D85" w14:textId="77777777" w:rsidR="00387987" w:rsidRDefault="00387987" w:rsidP="00674A96">
      <w:pPr>
        <w:pStyle w:val="218"/>
        <w:rPr>
          <w:rtl/>
        </w:rPr>
      </w:pPr>
      <w:r>
        <w:rPr>
          <w:rFonts w:hint="cs"/>
          <w:rtl/>
        </w:rPr>
        <w:t>מערך הביקורת הפנימית בלשכת עורכי הדין</w:t>
      </w:r>
      <w:bookmarkEnd w:id="34"/>
      <w:bookmarkEnd w:id="35"/>
      <w:r>
        <w:rPr>
          <w:rFonts w:hint="cs"/>
          <w:rtl/>
        </w:rPr>
        <w:t xml:space="preserve"> </w:t>
      </w:r>
    </w:p>
    <w:bookmarkEnd w:id="36"/>
    <w:p w14:paraId="6FE718AD" w14:textId="77777777" w:rsidR="00387987" w:rsidRDefault="00387987" w:rsidP="00674A96">
      <w:pPr>
        <w:pStyle w:val="100"/>
        <w:rPr>
          <w:rtl/>
        </w:rPr>
      </w:pPr>
      <w:r>
        <w:rPr>
          <w:rFonts w:hint="cs"/>
          <w:rtl/>
        </w:rPr>
        <w:t>כאמור, הלשכה היא תאגיד ציבורי ומוקנות לו גמישות ועצמאות ניהולית. במצב דברים זה "</w:t>
      </w:r>
      <w:r w:rsidRPr="00307B6E">
        <w:rPr>
          <w:rFonts w:hint="cs"/>
          <w:rtl/>
        </w:rPr>
        <w:t xml:space="preserve">הפיקוח החיצוני של </w:t>
      </w:r>
      <w:r>
        <w:rPr>
          <w:rFonts w:hint="cs"/>
          <w:rtl/>
        </w:rPr>
        <w:t xml:space="preserve">הממשלה על </w:t>
      </w:r>
      <w:r w:rsidRPr="00307B6E">
        <w:rPr>
          <w:rFonts w:hint="cs"/>
          <w:rtl/>
        </w:rPr>
        <w:t>תאגידים ציבוריים מוגבל ומצומצם</w:t>
      </w:r>
      <w:r>
        <w:rPr>
          <w:rFonts w:hint="cs"/>
          <w:rtl/>
        </w:rPr>
        <w:t>...</w:t>
      </w:r>
      <w:r w:rsidRPr="00307B6E">
        <w:rPr>
          <w:rFonts w:hint="cs"/>
          <w:rtl/>
        </w:rPr>
        <w:t>הדבר מעצים את חשיבותם של מנגנוני הפיקוח הפנימיים של התאגיד - ובייחוד את חשיבותם של המועצה, שהיא הגוף העליון המפקח על מכלול הפעילות של התאגיד ועל הנהלתו, של ועדת</w:t>
      </w:r>
      <w:r>
        <w:rPr>
          <w:rFonts w:hint="cs"/>
          <w:rtl/>
        </w:rPr>
        <w:t xml:space="preserve"> הביקורת מטעמה ושל המבקר הפנימי"</w:t>
      </w:r>
      <w:r>
        <w:rPr>
          <w:rStyle w:val="FootnoteReference"/>
          <w:rtl/>
        </w:rPr>
        <w:footnoteReference w:id="79"/>
      </w:r>
      <w:r>
        <w:rPr>
          <w:rFonts w:hint="cs"/>
          <w:rtl/>
        </w:rPr>
        <w:t>.</w:t>
      </w:r>
    </w:p>
    <w:p w14:paraId="1C1B487B" w14:textId="77777777" w:rsidR="00387987" w:rsidRDefault="00387987" w:rsidP="00674A96">
      <w:pPr>
        <w:pStyle w:val="100"/>
        <w:rPr>
          <w:rtl/>
        </w:rPr>
      </w:pPr>
      <w:r>
        <w:rPr>
          <w:rFonts w:hint="cs"/>
          <w:rtl/>
        </w:rPr>
        <w:t>הביקורת הפנימית היא אחד מתפקידי הליבה בארגון ציבורי, והמבקר הפנימי הוא אחד משומרי הסף במערכת של איזונים ובלמים בארגון. הביקורת הפנימית תורמת לשיפור המינהל התקין, שומרת על טוהר המידות בארגון, מסייעת בניהול מיטבי של כספים ובכוחה אף לסייע לדירקטוריון, למנכ"ל ולהנהלת הארגון למלא את תפקידם ביעילות</w:t>
      </w:r>
      <w:r>
        <w:rPr>
          <w:rStyle w:val="FootnoteReference"/>
          <w:rtl/>
        </w:rPr>
        <w:footnoteReference w:id="80"/>
      </w:r>
      <w:r>
        <w:rPr>
          <w:rFonts w:hint="cs"/>
          <w:rtl/>
        </w:rPr>
        <w:t xml:space="preserve">. </w:t>
      </w:r>
    </w:p>
    <w:p w14:paraId="046BDCC4" w14:textId="77777777" w:rsidR="00387987" w:rsidRDefault="00387987" w:rsidP="00674A96">
      <w:pPr>
        <w:pStyle w:val="100"/>
        <w:rPr>
          <w:rtl/>
        </w:rPr>
      </w:pPr>
      <w:r w:rsidRPr="00743D86">
        <w:rPr>
          <w:rFonts w:hint="cs"/>
          <w:rtl/>
        </w:rPr>
        <w:t xml:space="preserve">בשנת </w:t>
      </w:r>
      <w:r w:rsidRPr="00743D86">
        <w:rPr>
          <w:rtl/>
        </w:rPr>
        <w:t>1995, בעקבות המלצותיה של ועדה ציבורית בראשות שופט בית המשפט העליון (בדימוס) יעקב מלץ</w:t>
      </w:r>
      <w:r>
        <w:rPr>
          <w:rFonts w:hint="cs"/>
          <w:rtl/>
        </w:rPr>
        <w:t>,</w:t>
      </w:r>
      <w:r w:rsidRPr="00743D86">
        <w:rPr>
          <w:rtl/>
        </w:rPr>
        <w:t xml:space="preserve"> תוקן חוק לשכ</w:t>
      </w:r>
      <w:r w:rsidRPr="00743D86">
        <w:rPr>
          <w:rFonts w:hint="cs"/>
          <w:rtl/>
        </w:rPr>
        <w:t>ת עורכי הדין</w:t>
      </w:r>
      <w:r w:rsidRPr="00743D86">
        <w:rPr>
          <w:rtl/>
        </w:rPr>
        <w:t xml:space="preserve"> ונקבע </w:t>
      </w:r>
      <w:r w:rsidRPr="00743D86">
        <w:rPr>
          <w:rFonts w:hint="cs"/>
          <w:rtl/>
        </w:rPr>
        <w:t xml:space="preserve">בו כי ללשכה יהיה </w:t>
      </w:r>
      <w:r w:rsidRPr="00743D86">
        <w:rPr>
          <w:rtl/>
        </w:rPr>
        <w:t>מבקר פני</w:t>
      </w:r>
      <w:r w:rsidRPr="00743D86">
        <w:rPr>
          <w:rFonts w:hint="cs"/>
          <w:rtl/>
        </w:rPr>
        <w:t>מי</w:t>
      </w:r>
      <w:r w:rsidRPr="00743D86">
        <w:rPr>
          <w:rtl/>
        </w:rPr>
        <w:t xml:space="preserve"> אשר יהיה </w:t>
      </w:r>
      <w:r>
        <w:rPr>
          <w:rFonts w:hint="cs"/>
          <w:rtl/>
        </w:rPr>
        <w:t>אחד</w:t>
      </w:r>
      <w:r w:rsidRPr="00743D86">
        <w:rPr>
          <w:rtl/>
        </w:rPr>
        <w:t xml:space="preserve"> ממוסדות הלשכה </w:t>
      </w:r>
      <w:r w:rsidRPr="00743D86">
        <w:rPr>
          <w:rFonts w:hint="cs"/>
          <w:rtl/>
        </w:rPr>
        <w:t>ושייבחר על ידי המועצה הארצית לתקופה שלא תפחת מחמש שנים. החוק החיל על הלשכה את חוק הביקורת הפנימית, התשנ"ב-1992 (להלן - חוק הביקורת הפנימית)</w:t>
      </w:r>
      <w:r>
        <w:rPr>
          <w:rFonts w:hint="cs"/>
          <w:rtl/>
        </w:rPr>
        <w:t>,</w:t>
      </w:r>
      <w:r w:rsidRPr="00743D86">
        <w:rPr>
          <w:rFonts w:hint="cs"/>
          <w:rtl/>
        </w:rPr>
        <w:t xml:space="preserve"> בשינויים המחויבים. בעקבות החובה שנקבעה בחוק למינוי מבקר פנימי, גובש בשנת 1997 "נוהל הביקורת הפנימית בלשכת עורכי הדין" (להלן - נוהל הביקורת הפנימית)</w:t>
      </w:r>
      <w:r>
        <w:rPr>
          <w:rStyle w:val="FootnoteReference"/>
          <w:rtl/>
        </w:rPr>
        <w:footnoteReference w:id="81"/>
      </w:r>
      <w:r>
        <w:rPr>
          <w:rFonts w:hint="cs"/>
          <w:rtl/>
        </w:rPr>
        <w:t xml:space="preserve">, </w:t>
      </w:r>
      <w:r w:rsidRPr="00743D86">
        <w:rPr>
          <w:rFonts w:hint="cs"/>
          <w:rtl/>
        </w:rPr>
        <w:t>המפרט את תפקידי הביקורת הפנימית</w:t>
      </w:r>
      <w:r>
        <w:rPr>
          <w:rFonts w:hint="cs"/>
          <w:rtl/>
        </w:rPr>
        <w:t>.</w:t>
      </w:r>
      <w:r w:rsidRPr="00743D86">
        <w:rPr>
          <w:rFonts w:hint="cs"/>
          <w:rtl/>
        </w:rPr>
        <w:t xml:space="preserve"> </w:t>
      </w:r>
    </w:p>
    <w:p w14:paraId="759911FE" w14:textId="77777777" w:rsidR="00387987" w:rsidRDefault="00387987" w:rsidP="00674A96">
      <w:pPr>
        <w:pStyle w:val="100"/>
        <w:rPr>
          <w:rtl/>
        </w:rPr>
      </w:pPr>
      <w:r>
        <w:rPr>
          <w:rFonts w:hint="cs"/>
          <w:rtl/>
        </w:rPr>
        <w:t>ביוני</w:t>
      </w:r>
      <w:r w:rsidRPr="0029489B">
        <w:rPr>
          <w:rFonts w:hint="cs"/>
          <w:rtl/>
        </w:rPr>
        <w:t xml:space="preserve"> </w:t>
      </w:r>
      <w:r w:rsidRPr="009A1611">
        <w:rPr>
          <w:rFonts w:hint="cs"/>
          <w:rtl/>
        </w:rPr>
        <w:t>2012 מינתה המועצה הארצית של לשכת עורכי הדין לראשונה</w:t>
      </w:r>
      <w:r>
        <w:rPr>
          <w:rStyle w:val="FootnoteReference"/>
          <w:rtl/>
        </w:rPr>
        <w:footnoteReference w:id="82"/>
      </w:r>
      <w:r w:rsidRPr="009A1611">
        <w:rPr>
          <w:rFonts w:hint="cs"/>
          <w:rtl/>
        </w:rPr>
        <w:t xml:space="preserve"> מבקרת פני</w:t>
      </w:r>
      <w:r>
        <w:rPr>
          <w:rFonts w:hint="cs"/>
          <w:rtl/>
        </w:rPr>
        <w:t>מית</w:t>
      </w:r>
      <w:r w:rsidRPr="009A1611">
        <w:rPr>
          <w:rFonts w:hint="cs"/>
          <w:rtl/>
        </w:rPr>
        <w:t xml:space="preserve"> בשכר לתקופה של חמש שנים ובהיקף משרה של 70%</w:t>
      </w:r>
      <w:r>
        <w:rPr>
          <w:rStyle w:val="FootnoteReference"/>
          <w:rtl/>
        </w:rPr>
        <w:footnoteReference w:id="83"/>
      </w:r>
      <w:r w:rsidRPr="009A1611">
        <w:rPr>
          <w:rFonts w:hint="cs"/>
          <w:rtl/>
        </w:rPr>
        <w:t>. על פי חוזה ההעסקה של המבקרת הפנימית היא כפופה ליו"ר הלשכה ואת ת</w:t>
      </w:r>
      <w:r>
        <w:rPr>
          <w:rFonts w:hint="cs"/>
          <w:rtl/>
        </w:rPr>
        <w:t>ו</w:t>
      </w:r>
      <w:r w:rsidRPr="009A1611">
        <w:rPr>
          <w:rFonts w:hint="cs"/>
          <w:rtl/>
        </w:rPr>
        <w:t>כנית עבודתה מאשרת ועדת הביקורת</w:t>
      </w:r>
      <w:r>
        <w:rPr>
          <w:rFonts w:hint="cs"/>
          <w:rtl/>
        </w:rPr>
        <w:t>,</w:t>
      </w:r>
      <w:r w:rsidRPr="009A1611">
        <w:rPr>
          <w:rFonts w:hint="cs"/>
          <w:rtl/>
        </w:rPr>
        <w:t xml:space="preserve"> </w:t>
      </w:r>
      <w:r>
        <w:rPr>
          <w:rFonts w:hint="cs"/>
          <w:rtl/>
        </w:rPr>
        <w:t>ו</w:t>
      </w:r>
      <w:r w:rsidRPr="009A1611">
        <w:rPr>
          <w:rFonts w:hint="cs"/>
          <w:rtl/>
        </w:rPr>
        <w:t>בה</w:t>
      </w:r>
      <w:r>
        <w:rPr>
          <w:rFonts w:hint="cs"/>
          <w:rtl/>
        </w:rPr>
        <w:t>י</w:t>
      </w:r>
      <w:r w:rsidRPr="009A1611">
        <w:rPr>
          <w:rFonts w:hint="cs"/>
          <w:rtl/>
        </w:rPr>
        <w:t xml:space="preserve">עדרה - הוועד המרכזי. תקופת העסקת המבקרת הפנימית הוארכה עד </w:t>
      </w:r>
      <w:r>
        <w:rPr>
          <w:rFonts w:hint="cs"/>
          <w:rtl/>
        </w:rPr>
        <w:t xml:space="preserve">תחילת אוקטובר 2019 (להלן </w:t>
      </w:r>
      <w:r>
        <w:rPr>
          <w:rtl/>
        </w:rPr>
        <w:t>-</w:t>
      </w:r>
      <w:r>
        <w:rPr>
          <w:rFonts w:hint="cs"/>
          <w:rtl/>
        </w:rPr>
        <w:t xml:space="preserve"> המבקרת הפנימית לשעבר). בדצמבר 2019 אישרה המועצה את מינויו של מבקר פנימי חדש. </w:t>
      </w:r>
    </w:p>
    <w:p w14:paraId="162EEA00" w14:textId="77777777" w:rsidR="00387987" w:rsidRDefault="00387987" w:rsidP="00674A96">
      <w:pPr>
        <w:pStyle w:val="100"/>
        <w:rPr>
          <w:rtl/>
        </w:rPr>
      </w:pPr>
      <w:r>
        <w:rPr>
          <w:rFonts w:hint="cs"/>
          <w:rtl/>
        </w:rPr>
        <w:t>יצוין כי תיקון 38 לחוק לשכת עורכי הדין</w:t>
      </w:r>
      <w:r>
        <w:rPr>
          <w:rStyle w:val="FootnoteReference"/>
          <w:rtl/>
        </w:rPr>
        <w:footnoteReference w:id="84"/>
      </w:r>
      <w:r>
        <w:rPr>
          <w:rFonts w:hint="cs"/>
          <w:rtl/>
        </w:rPr>
        <w:t xml:space="preserve"> קבע כי ללשכה יהיה מבקר פנימי</w:t>
      </w:r>
      <w:r w:rsidRPr="00990FE9">
        <w:rPr>
          <w:rFonts w:hint="cs"/>
          <w:rtl/>
        </w:rPr>
        <w:t xml:space="preserve"> שיהיה עובד הלשכה</w:t>
      </w:r>
      <w:r>
        <w:rPr>
          <w:rFonts w:hint="cs"/>
          <w:rtl/>
        </w:rPr>
        <w:t>,</w:t>
      </w:r>
      <w:r w:rsidRPr="00990FE9">
        <w:rPr>
          <w:rFonts w:hint="cs"/>
          <w:rtl/>
        </w:rPr>
        <w:t xml:space="preserve"> </w:t>
      </w:r>
      <w:r>
        <w:rPr>
          <w:rFonts w:hint="cs"/>
          <w:rtl/>
        </w:rPr>
        <w:t xml:space="preserve">וכי הוא ימונה על ידי המועצה הארצית של הלשכה לפי המלצת ועדת המינויים לתקופה של שבע שנים. עוד נקבע כי </w:t>
      </w:r>
      <w:r>
        <w:rPr>
          <w:rtl/>
        </w:rPr>
        <w:t>המבקר הפנימי יהיה כפוף ארגונית למועצה הארצית</w:t>
      </w:r>
      <w:r>
        <w:rPr>
          <w:rStyle w:val="FootnoteReference"/>
          <w:rtl/>
        </w:rPr>
        <w:footnoteReference w:id="85"/>
      </w:r>
      <w:r>
        <w:rPr>
          <w:rtl/>
        </w:rPr>
        <w:t xml:space="preserve"> ויגיש לה את דוחותיו והמלצותיו</w:t>
      </w:r>
      <w:r>
        <w:rPr>
          <w:rFonts w:hint="cs"/>
          <w:rtl/>
        </w:rPr>
        <w:t xml:space="preserve">; כי הוא </w:t>
      </w:r>
      <w:r>
        <w:rPr>
          <w:rtl/>
        </w:rPr>
        <w:t xml:space="preserve">ישמש </w:t>
      </w:r>
      <w:r>
        <w:rPr>
          <w:rFonts w:hint="cs"/>
          <w:rtl/>
        </w:rPr>
        <w:t xml:space="preserve">גם </w:t>
      </w:r>
      <w:r>
        <w:rPr>
          <w:rtl/>
        </w:rPr>
        <w:t>נציב פניות הציבור של הלשכה</w:t>
      </w:r>
      <w:r>
        <w:rPr>
          <w:rFonts w:hint="cs"/>
          <w:rtl/>
        </w:rPr>
        <w:t xml:space="preserve"> וכי הוא יג</w:t>
      </w:r>
      <w:r w:rsidRPr="006C7EC4">
        <w:rPr>
          <w:rFonts w:hint="cs"/>
          <w:rtl/>
        </w:rPr>
        <w:t>יש לוועדת הביקורת הצעה לת</w:t>
      </w:r>
      <w:r>
        <w:rPr>
          <w:rFonts w:hint="cs"/>
          <w:rtl/>
        </w:rPr>
        <w:t>ו</w:t>
      </w:r>
      <w:r w:rsidRPr="006C7EC4">
        <w:rPr>
          <w:rFonts w:hint="cs"/>
          <w:rtl/>
        </w:rPr>
        <w:t>כנית עבודה שנתית או תקופתית</w:t>
      </w:r>
      <w:r>
        <w:rPr>
          <w:rFonts w:hint="cs"/>
          <w:rtl/>
        </w:rPr>
        <w:t>, וו</w:t>
      </w:r>
      <w:r w:rsidRPr="006C7EC4">
        <w:rPr>
          <w:rFonts w:hint="cs"/>
          <w:rtl/>
        </w:rPr>
        <w:t>עדת הביקורת תגיש את ת</w:t>
      </w:r>
      <w:r>
        <w:rPr>
          <w:rFonts w:hint="cs"/>
          <w:rtl/>
        </w:rPr>
        <w:t>ו</w:t>
      </w:r>
      <w:r w:rsidRPr="006C7EC4">
        <w:rPr>
          <w:rFonts w:hint="cs"/>
          <w:rtl/>
        </w:rPr>
        <w:t>כנית העבודה</w:t>
      </w:r>
      <w:r>
        <w:rPr>
          <w:rFonts w:hint="cs"/>
          <w:rtl/>
        </w:rPr>
        <w:t xml:space="preserve"> </w:t>
      </w:r>
      <w:r w:rsidRPr="006C7EC4">
        <w:rPr>
          <w:rFonts w:hint="cs"/>
          <w:rtl/>
        </w:rPr>
        <w:t>לאישור המועצה הארצית</w:t>
      </w:r>
      <w:r>
        <w:rPr>
          <w:rFonts w:hint="cs"/>
          <w:rtl/>
        </w:rPr>
        <w:t>. תחילת תוקפו של התיקון לעניין המבקר הפנימי -</w:t>
      </w:r>
      <w:r w:rsidRPr="001A6C5F">
        <w:rPr>
          <w:rFonts w:hint="cs"/>
          <w:rtl/>
        </w:rPr>
        <w:t xml:space="preserve"> בתום תקופת כהונתו של מי שכיהן כמבקר הפנימי של הלשכה</w:t>
      </w:r>
      <w:r>
        <w:rPr>
          <w:rFonts w:hint="cs"/>
          <w:rtl/>
        </w:rPr>
        <w:t xml:space="preserve"> טרם התיקון.</w:t>
      </w:r>
      <w:r w:rsidRPr="00C02A11">
        <w:rPr>
          <w:rFonts w:hint="cs"/>
          <w:rtl/>
        </w:rPr>
        <w:t xml:space="preserve"> </w:t>
      </w:r>
    </w:p>
    <w:p w14:paraId="7527F804" w14:textId="77777777" w:rsidR="00387987" w:rsidRDefault="00387987" w:rsidP="00DB5CC0">
      <w:pPr>
        <w:pStyle w:val="316"/>
        <w:rPr>
          <w:rtl/>
        </w:rPr>
      </w:pPr>
      <w:bookmarkStart w:id="37" w:name="_Toc23155602"/>
      <w:r>
        <w:rPr>
          <w:rFonts w:hint="cs"/>
          <w:rtl/>
        </w:rPr>
        <w:t>פעילות המבקרת הפני</w:t>
      </w:r>
      <w:bookmarkEnd w:id="37"/>
      <w:r>
        <w:rPr>
          <w:rFonts w:hint="cs"/>
          <w:rtl/>
        </w:rPr>
        <w:t xml:space="preserve">מית </w:t>
      </w:r>
    </w:p>
    <w:p w14:paraId="77804BA5" w14:textId="77777777" w:rsidR="00387987" w:rsidRDefault="00387987" w:rsidP="00DB5CC0">
      <w:pPr>
        <w:pStyle w:val="100"/>
        <w:rPr>
          <w:rtl/>
        </w:rPr>
      </w:pPr>
      <w:r>
        <w:rPr>
          <w:rFonts w:hint="cs"/>
          <w:rtl/>
        </w:rPr>
        <w:t>חוק הביקורת הפנימית קובע את תפקידי המבקר הפנימי. להלן כמה מתפקידיו: לבדוק אם פעולותיהם של הגוף הציבורי, נושאי המשרה וממלאי התפקיד בו תקינות מבחינת השמירה על החוק, הניהול התקין, טוהר המידות, החיסכון והיעילות, ואם הן מועילות להשגת יעדי הגוף הציבורי; לבדוק אם מקוימות ההוראות המחייבות; לבדוק את ניהול הנכסים וההתחייבויות של הגוף. החוק קובע כי המבקר יגיש לממונה עליו דוח על ממצאיו, וכי כל דוח שיגיש יהיה בכתב, ייכללו בו מסקנותיו והוא רשאי להוסיף בו המלצות.</w:t>
      </w:r>
      <w:r w:rsidRPr="002B17A0">
        <w:rPr>
          <w:rFonts w:hint="cs"/>
          <w:rtl/>
        </w:rPr>
        <w:t xml:space="preserve"> </w:t>
      </w:r>
      <w:r>
        <w:rPr>
          <w:rFonts w:hint="cs"/>
          <w:rtl/>
        </w:rPr>
        <w:t xml:space="preserve">נוהל הביקורת הפנימית מוסיף וקובע כי על המבקר הפנימי לבדוק כל נושא הקשור לפעילות הלשכה או מוסדותיה. </w:t>
      </w:r>
    </w:p>
    <w:p w14:paraId="0EBC91F4" w14:textId="77777777" w:rsidR="00387987" w:rsidRPr="00671D17" w:rsidRDefault="00387987" w:rsidP="00DB5CC0">
      <w:pPr>
        <w:pStyle w:val="100"/>
        <w:rPr>
          <w:rtl/>
        </w:rPr>
      </w:pPr>
      <w:r w:rsidRPr="00183343">
        <w:rPr>
          <w:rFonts w:hint="cs"/>
          <w:rtl/>
        </w:rPr>
        <w:t xml:space="preserve">לשכת עורכי הדין </w:t>
      </w:r>
      <w:r>
        <w:rPr>
          <w:rFonts w:hint="cs"/>
          <w:rtl/>
        </w:rPr>
        <w:t xml:space="preserve">מפרסמת </w:t>
      </w:r>
      <w:r w:rsidRPr="00183343">
        <w:rPr>
          <w:rFonts w:hint="cs"/>
          <w:rtl/>
        </w:rPr>
        <w:t>דוח</w:t>
      </w:r>
      <w:r>
        <w:rPr>
          <w:rFonts w:hint="cs"/>
          <w:rtl/>
        </w:rPr>
        <w:t>ות</w:t>
      </w:r>
      <w:r w:rsidRPr="00183343">
        <w:rPr>
          <w:rFonts w:hint="cs"/>
          <w:rtl/>
        </w:rPr>
        <w:t xml:space="preserve"> פעיל</w:t>
      </w:r>
      <w:r>
        <w:rPr>
          <w:rFonts w:hint="cs"/>
          <w:rtl/>
        </w:rPr>
        <w:t>ות שנתיים ובהם תיאור של מבנה הלשכה</w:t>
      </w:r>
      <w:r w:rsidRPr="00183343">
        <w:rPr>
          <w:rFonts w:hint="cs"/>
          <w:rtl/>
        </w:rPr>
        <w:t xml:space="preserve"> </w:t>
      </w:r>
      <w:r>
        <w:rPr>
          <w:rFonts w:hint="cs"/>
          <w:rtl/>
        </w:rPr>
        <w:t>ו</w:t>
      </w:r>
      <w:r w:rsidRPr="00183343">
        <w:rPr>
          <w:rFonts w:hint="cs"/>
          <w:rtl/>
        </w:rPr>
        <w:t>פעילותה</w:t>
      </w:r>
      <w:r>
        <w:rPr>
          <w:rFonts w:hint="cs"/>
          <w:rtl/>
        </w:rPr>
        <w:t>.</w:t>
      </w:r>
      <w:r w:rsidRPr="00183343">
        <w:rPr>
          <w:rFonts w:hint="cs"/>
          <w:rtl/>
        </w:rPr>
        <w:t xml:space="preserve"> </w:t>
      </w:r>
      <w:r>
        <w:rPr>
          <w:rFonts w:hint="cs"/>
          <w:rtl/>
        </w:rPr>
        <w:t xml:space="preserve">בדוח פעילות שפורסם בשנת 2017 נכתב, בין השאר, כי במסגרת הביקורת הפנימית נבחנו עניינים נקודתיים כמפורט להלן: פעילות של ועדות בלשכה; ניהול נכסי הלשכה, התנהלות כספית שוטפת, הוצאות ותשלומים לנותני שירותים, הרשאות וסמכויות חתימה; הקמתו של מועדון הצרכנות של הלשכה ותחילת פעילותו; סוגיות בחברה הכלכלית; שיתוף מידע בין המחוזות בנוגע להשעיות עורכי דין. </w:t>
      </w:r>
    </w:p>
    <w:p w14:paraId="4244136D" w14:textId="77777777" w:rsidR="00387987" w:rsidRDefault="00387987" w:rsidP="00DB5CC0">
      <w:pPr>
        <w:pStyle w:val="af3"/>
        <w:rPr>
          <w:rtl/>
        </w:rPr>
      </w:pPr>
      <w:r w:rsidRPr="00F04661">
        <w:rPr>
          <w:rFonts w:hint="cs"/>
          <w:rtl/>
        </w:rPr>
        <w:t xml:space="preserve">נמצא כי </w:t>
      </w:r>
      <w:r>
        <w:rPr>
          <w:rFonts w:hint="cs"/>
          <w:rtl/>
        </w:rPr>
        <w:t>בשנים 2012 עד 2019 הגישה המבקרת הפנימית לשעבר שני דוחות ביקורת בלבד.</w:t>
      </w:r>
    </w:p>
    <w:p w14:paraId="41004ECA" w14:textId="77777777" w:rsidR="00387987" w:rsidRDefault="00387987" w:rsidP="00DB5CC0">
      <w:pPr>
        <w:pStyle w:val="100"/>
        <w:rPr>
          <w:rtl/>
        </w:rPr>
      </w:pPr>
      <w:r>
        <w:rPr>
          <w:rFonts w:hint="cs"/>
          <w:rtl/>
        </w:rPr>
        <w:t xml:space="preserve">בתשובה שמסרה </w:t>
      </w:r>
      <w:r w:rsidRPr="00D71F5B">
        <w:rPr>
          <w:rFonts w:hint="cs"/>
          <w:rtl/>
        </w:rPr>
        <w:t xml:space="preserve">המבקרת הפנימית לשעבר </w:t>
      </w:r>
      <w:r>
        <w:rPr>
          <w:rFonts w:hint="cs"/>
          <w:rtl/>
        </w:rPr>
        <w:t>למשרד מבקר המדינה בינואר 2020 היא הסבירה כי נקטה מתודה של ליווי תהליכים בזמן אמת וביקורת פעילה שבה "התרעתי, הערתי וביקרתי תוך כדי תנועה" ולא ביקורת בדיעבד. עוד היא הוסיפה כי לא כל ביקורת שביצעה הסתיימה בדוח, וכי היא נמנעה מהוצאת דוחות שישמשו גורם כזה או אחר בלשכה "ככלי לניגוח פוליטי או אישי, כשאין ממצאים ראויים לציון". המבקרת הפנימית לשעבר הסבירה על הקשיים שבהם נתקלה בעבודתה, ובהם עבודה במשרה חלקית (70%), וטענה כי ביצעה פעולות נוספות שתפסו נפח גדול מעבודתה, כגון טיפול ב</w:t>
      </w:r>
      <w:r w:rsidRPr="00D71F5B">
        <w:rPr>
          <w:rFonts w:hint="cs"/>
          <w:rtl/>
        </w:rPr>
        <w:t>תלונות</w:t>
      </w:r>
      <w:r w:rsidRPr="00D71F5B">
        <w:t xml:space="preserve"> </w:t>
      </w:r>
      <w:r w:rsidRPr="00D71F5B">
        <w:rPr>
          <w:rFonts w:hint="cs"/>
          <w:rtl/>
        </w:rPr>
        <w:t>ציבור</w:t>
      </w:r>
      <w:r w:rsidRPr="00D71F5B">
        <w:t xml:space="preserve"> </w:t>
      </w:r>
      <w:r w:rsidRPr="00D71F5B">
        <w:rPr>
          <w:rFonts w:hint="cs"/>
          <w:rtl/>
        </w:rPr>
        <w:t>רבות</w:t>
      </w:r>
      <w:r>
        <w:rPr>
          <w:rFonts w:hint="cs"/>
          <w:rtl/>
        </w:rPr>
        <w:t xml:space="preserve">, הכנת ניירות עמדה בענייני חקיקה שהועברו לכנסת ולמשרד המשפטים, השתתפות בישיבות הנהלה, הכנת ישיבות כספים והשתתפות בהן, מעקב אחר דוחות ביצוע תקציב הלשכה וליווי תהליכים נוספים. </w:t>
      </w:r>
    </w:p>
    <w:p w14:paraId="55665ACB" w14:textId="77777777" w:rsidR="00387987" w:rsidRDefault="00387987" w:rsidP="00DB5CC0">
      <w:pPr>
        <w:pStyle w:val="100"/>
        <w:rPr>
          <w:rtl/>
        </w:rPr>
      </w:pPr>
      <w:r>
        <w:rPr>
          <w:rFonts w:hint="cs"/>
          <w:rtl/>
        </w:rPr>
        <w:t xml:space="preserve">הלשכה השיבה בינואר 2020 כי היקף משרת המבקר הפנימי נקבע בהתאם לגודלה של הלשכה, הפעילות והמשימות המוטלות על המבקר וכי לא ידוע ללשכה על היקף פעילות "אשר היה בו כדי להגדיל את נפח עבודת המבקרת". </w:t>
      </w:r>
    </w:p>
    <w:p w14:paraId="52852EF2" w14:textId="77777777" w:rsidR="00DB5CC0" w:rsidRDefault="00DB5CC0">
      <w:pPr>
        <w:bidi w:val="0"/>
        <w:spacing w:after="200" w:line="276" w:lineRule="auto"/>
        <w:rPr>
          <w:b/>
          <w:bCs/>
          <w:rtl/>
        </w:rPr>
      </w:pPr>
      <w:r>
        <w:rPr>
          <w:b/>
          <w:bCs/>
          <w:rtl/>
        </w:rPr>
        <w:br w:type="page"/>
      </w:r>
    </w:p>
    <w:p w14:paraId="28FC51C5" w14:textId="789DA30D" w:rsidR="00387987" w:rsidRDefault="00387987" w:rsidP="00DB5CC0">
      <w:pPr>
        <w:pStyle w:val="af3"/>
        <w:rPr>
          <w:rtl/>
        </w:rPr>
      </w:pPr>
      <w:r>
        <w:rPr>
          <w:rFonts w:hint="cs"/>
          <w:rtl/>
        </w:rPr>
        <w:t xml:space="preserve">משרד מבקר המדינה מעיר כי על פי חוק הביקורת הפנימית ביצוע ביקורות וכתיבת </w:t>
      </w:r>
      <w:r w:rsidRPr="00A646EE">
        <w:rPr>
          <w:rFonts w:hint="eastAsia"/>
          <w:rtl/>
        </w:rPr>
        <w:t>דוחות</w:t>
      </w:r>
      <w:r w:rsidRPr="00A646EE">
        <w:rPr>
          <w:rtl/>
        </w:rPr>
        <w:t xml:space="preserve"> </w:t>
      </w:r>
      <w:r w:rsidRPr="00A646EE">
        <w:rPr>
          <w:rFonts w:hint="eastAsia"/>
          <w:rtl/>
        </w:rPr>
        <w:t>ביקורת</w:t>
      </w:r>
      <w:r w:rsidRPr="00A646EE">
        <w:rPr>
          <w:rtl/>
        </w:rPr>
        <w:t xml:space="preserve"> </w:t>
      </w:r>
      <w:r w:rsidRPr="00A646EE">
        <w:rPr>
          <w:rFonts w:hint="eastAsia"/>
          <w:rtl/>
        </w:rPr>
        <w:t>ה</w:t>
      </w:r>
      <w:r>
        <w:rPr>
          <w:rFonts w:hint="cs"/>
          <w:rtl/>
        </w:rPr>
        <w:t>ם</w:t>
      </w:r>
      <w:r w:rsidRPr="00A646EE">
        <w:rPr>
          <w:rtl/>
        </w:rPr>
        <w:t xml:space="preserve"> </w:t>
      </w:r>
      <w:r w:rsidRPr="00A646EE">
        <w:rPr>
          <w:rFonts w:hint="eastAsia"/>
          <w:rtl/>
        </w:rPr>
        <w:t>מרכיב</w:t>
      </w:r>
      <w:r w:rsidRPr="00A646EE">
        <w:rPr>
          <w:rtl/>
        </w:rPr>
        <w:t xml:space="preserve"> </w:t>
      </w:r>
      <w:r w:rsidRPr="00A646EE">
        <w:rPr>
          <w:rFonts w:hint="eastAsia"/>
          <w:rtl/>
        </w:rPr>
        <w:t>מרכזי</w:t>
      </w:r>
      <w:r w:rsidRPr="00A646EE">
        <w:rPr>
          <w:rtl/>
        </w:rPr>
        <w:t xml:space="preserve"> </w:t>
      </w:r>
      <w:r w:rsidRPr="00A646EE">
        <w:rPr>
          <w:rFonts w:hint="eastAsia"/>
          <w:rtl/>
        </w:rPr>
        <w:t>בעבודתו</w:t>
      </w:r>
      <w:r w:rsidRPr="00A646EE">
        <w:rPr>
          <w:rtl/>
        </w:rPr>
        <w:t xml:space="preserve"> </w:t>
      </w:r>
      <w:r w:rsidRPr="00A646EE">
        <w:rPr>
          <w:rFonts w:hint="eastAsia"/>
          <w:rtl/>
        </w:rPr>
        <w:t>של</w:t>
      </w:r>
      <w:r w:rsidRPr="00A646EE">
        <w:rPr>
          <w:rtl/>
        </w:rPr>
        <w:t xml:space="preserve"> </w:t>
      </w:r>
      <w:r w:rsidRPr="00A646EE">
        <w:rPr>
          <w:rFonts w:hint="eastAsia"/>
          <w:rtl/>
        </w:rPr>
        <w:t>מבקר</w:t>
      </w:r>
      <w:r w:rsidRPr="00A646EE">
        <w:rPr>
          <w:rtl/>
        </w:rPr>
        <w:t xml:space="preserve"> </w:t>
      </w:r>
      <w:r w:rsidRPr="00A646EE">
        <w:rPr>
          <w:rFonts w:hint="eastAsia"/>
          <w:rtl/>
        </w:rPr>
        <w:t>פני</w:t>
      </w:r>
      <w:r>
        <w:rPr>
          <w:rFonts w:hint="cs"/>
          <w:rtl/>
        </w:rPr>
        <w:t>מי</w:t>
      </w:r>
      <w:r w:rsidRPr="00A646EE">
        <w:rPr>
          <w:rtl/>
        </w:rPr>
        <w:t>.</w:t>
      </w:r>
      <w:r>
        <w:rPr>
          <w:rFonts w:hint="cs"/>
          <w:rtl/>
        </w:rPr>
        <w:t xml:space="preserve"> על המבקר הפנימי בלשכה להקפיד על הגשת דוחות ביקורת לממונה עליו. על המועצה הארצית,</w:t>
      </w:r>
      <w:r w:rsidRPr="00A34C27">
        <w:rPr>
          <w:rFonts w:hint="cs"/>
          <w:rtl/>
        </w:rPr>
        <w:t xml:space="preserve"> כממונה על המבקר הפנימי</w:t>
      </w:r>
      <w:r>
        <w:rPr>
          <w:rFonts w:hint="cs"/>
          <w:rtl/>
        </w:rPr>
        <w:t>,</w:t>
      </w:r>
      <w:r w:rsidRPr="00A34C27">
        <w:rPr>
          <w:rFonts w:hint="cs"/>
          <w:rtl/>
        </w:rPr>
        <w:t xml:space="preserve"> להקפיד על כך ש</w:t>
      </w:r>
      <w:r>
        <w:rPr>
          <w:rFonts w:hint="cs"/>
          <w:rtl/>
        </w:rPr>
        <w:t xml:space="preserve">המבקר </w:t>
      </w:r>
      <w:r w:rsidRPr="00A34C27">
        <w:rPr>
          <w:rFonts w:hint="cs"/>
          <w:rtl/>
        </w:rPr>
        <w:t>יבצע את ליבת תפקידו</w:t>
      </w:r>
      <w:r>
        <w:rPr>
          <w:rFonts w:hint="cs"/>
          <w:rtl/>
        </w:rPr>
        <w:t>, וכי יש לו הכלים לצורך כך</w:t>
      </w:r>
      <w:r w:rsidRPr="00A34C27">
        <w:rPr>
          <w:rFonts w:hint="cs"/>
          <w:rtl/>
        </w:rPr>
        <w:t>.</w:t>
      </w:r>
      <w:r>
        <w:rPr>
          <w:rFonts w:hint="cs"/>
          <w:rtl/>
        </w:rPr>
        <w:t xml:space="preserve"> </w:t>
      </w:r>
    </w:p>
    <w:p w14:paraId="275890E8" w14:textId="5A66D241" w:rsidR="00387987" w:rsidRPr="00E5696C" w:rsidRDefault="00387987" w:rsidP="00DB5CC0">
      <w:pPr>
        <w:pStyle w:val="316"/>
        <w:rPr>
          <w:rtl/>
        </w:rPr>
      </w:pPr>
      <w:bookmarkStart w:id="38" w:name="_Toc23155603"/>
      <w:r w:rsidRPr="00E5696C">
        <w:rPr>
          <w:rFonts w:hint="cs"/>
          <w:rtl/>
        </w:rPr>
        <w:t>ת</w:t>
      </w:r>
      <w:r>
        <w:rPr>
          <w:rFonts w:hint="cs"/>
          <w:rtl/>
        </w:rPr>
        <w:t>ו</w:t>
      </w:r>
      <w:r w:rsidRPr="00E5696C">
        <w:rPr>
          <w:rFonts w:hint="cs"/>
          <w:rtl/>
        </w:rPr>
        <w:t>כניות עבודה לב</w:t>
      </w:r>
      <w:r>
        <w:rPr>
          <w:rFonts w:hint="cs"/>
          <w:rtl/>
        </w:rPr>
        <w:t>י</w:t>
      </w:r>
      <w:r w:rsidRPr="00E5696C">
        <w:rPr>
          <w:rFonts w:hint="cs"/>
          <w:rtl/>
        </w:rPr>
        <w:t>ק</w:t>
      </w:r>
      <w:r>
        <w:rPr>
          <w:rFonts w:hint="cs"/>
          <w:rtl/>
        </w:rPr>
        <w:t>ו</w:t>
      </w:r>
      <w:r w:rsidRPr="00E5696C">
        <w:rPr>
          <w:rFonts w:hint="cs"/>
          <w:rtl/>
        </w:rPr>
        <w:t>ר</w:t>
      </w:r>
      <w:r>
        <w:rPr>
          <w:rFonts w:hint="cs"/>
          <w:rtl/>
        </w:rPr>
        <w:t>ת</w:t>
      </w:r>
      <w:r w:rsidRPr="00E5696C">
        <w:rPr>
          <w:rFonts w:hint="cs"/>
          <w:rtl/>
        </w:rPr>
        <w:t xml:space="preserve"> </w:t>
      </w:r>
      <w:r>
        <w:rPr>
          <w:rFonts w:hint="cs"/>
          <w:rtl/>
        </w:rPr>
        <w:t>ה</w:t>
      </w:r>
      <w:r w:rsidRPr="00E5696C">
        <w:rPr>
          <w:rFonts w:hint="cs"/>
          <w:rtl/>
        </w:rPr>
        <w:t>פני</w:t>
      </w:r>
      <w:r>
        <w:rPr>
          <w:rFonts w:hint="cs"/>
          <w:rtl/>
        </w:rPr>
        <w:t>מית</w:t>
      </w:r>
      <w:r w:rsidRPr="00E5696C">
        <w:rPr>
          <w:rFonts w:hint="cs"/>
          <w:rtl/>
        </w:rPr>
        <w:t xml:space="preserve"> ותקצוב</w:t>
      </w:r>
      <w:r>
        <w:rPr>
          <w:rFonts w:hint="cs"/>
          <w:rtl/>
        </w:rPr>
        <w:t>ה</w:t>
      </w:r>
      <w:bookmarkEnd w:id="38"/>
    </w:p>
    <w:p w14:paraId="3EDCA449" w14:textId="77777777" w:rsidR="00387987" w:rsidRDefault="00387987" w:rsidP="00DB5CC0">
      <w:pPr>
        <w:pStyle w:val="100"/>
        <w:rPr>
          <w:rtl/>
        </w:rPr>
      </w:pPr>
      <w:r>
        <w:rPr>
          <w:rFonts w:hint="cs"/>
          <w:rtl/>
        </w:rPr>
        <w:t>חוק הביקורת הפנימית קובע כי על המבקר הפנימי להגיש הצעה לתוכניות עבודה שנתיות או תקופתיות לאישור הממונה עליו. נוסף על כך, החוק מאפשר ל</w:t>
      </w:r>
      <w:r w:rsidRPr="00F521A0">
        <w:rPr>
          <w:rFonts w:hint="cs"/>
          <w:rtl/>
        </w:rPr>
        <w:t>יושב ראש של גוף הממלא תפקיד מקביל לשל דירקטוריון</w:t>
      </w:r>
      <w:r>
        <w:rPr>
          <w:rFonts w:hint="cs"/>
          <w:rtl/>
        </w:rPr>
        <w:t xml:space="preserve"> (יו"ר המועצה הארצית)</w:t>
      </w:r>
      <w:r w:rsidRPr="00F521A0">
        <w:rPr>
          <w:rFonts w:hint="cs"/>
          <w:rtl/>
        </w:rPr>
        <w:t xml:space="preserve"> וכן </w:t>
      </w:r>
      <w:r>
        <w:rPr>
          <w:rFonts w:hint="cs"/>
          <w:rtl/>
        </w:rPr>
        <w:t>ל</w:t>
      </w:r>
      <w:r w:rsidRPr="00F521A0">
        <w:rPr>
          <w:rFonts w:hint="cs"/>
          <w:rtl/>
        </w:rPr>
        <w:t>ממונה</w:t>
      </w:r>
      <w:r>
        <w:rPr>
          <w:rFonts w:hint="cs"/>
          <w:rtl/>
        </w:rPr>
        <w:t xml:space="preserve"> על המבקר הפנימי </w:t>
      </w:r>
      <w:r w:rsidRPr="00F521A0">
        <w:rPr>
          <w:rFonts w:hint="cs"/>
          <w:rtl/>
        </w:rPr>
        <w:t xml:space="preserve">להטיל על </w:t>
      </w:r>
      <w:r>
        <w:rPr>
          <w:rFonts w:hint="cs"/>
          <w:rtl/>
        </w:rPr>
        <w:t>ה</w:t>
      </w:r>
      <w:r w:rsidRPr="00F521A0">
        <w:rPr>
          <w:rFonts w:hint="cs"/>
          <w:rtl/>
        </w:rPr>
        <w:t>מבקר משימות נוספות </w:t>
      </w:r>
      <w:r>
        <w:rPr>
          <w:rFonts w:hint="cs"/>
          <w:rtl/>
        </w:rPr>
        <w:t xml:space="preserve">על המשימות שבתוכנית העבודה. </w:t>
      </w:r>
    </w:p>
    <w:p w14:paraId="16D8036D" w14:textId="77777777" w:rsidR="00387987" w:rsidRDefault="00387987" w:rsidP="00DB5CC0">
      <w:pPr>
        <w:pStyle w:val="100"/>
        <w:rPr>
          <w:rtl/>
        </w:rPr>
      </w:pPr>
      <w:r>
        <w:rPr>
          <w:rFonts w:hint="cs"/>
          <w:rtl/>
        </w:rPr>
        <w:t xml:space="preserve">בנוהל הביקורת הפנימית נקבע כי תוכנית העבודה של הביקורת הפנימית תאושר על ידי ועדת הביקורת של לשכת עורכי הדין. הסכם העסקתה של המבקרת הפנימית לשעבר קובע כי במקרה שוועדת הביקורת אינה פעילה, עליה להגיש תוכנית עבודה לאישור הוועד המרכזי. עוד קובע הנוהל כי על המבקר הפנימי להכין הצעת תקציב לביצוע תוכנית העבודה לביקורת שתידון בוועדת הביקורת ותובא לאישור המועצה הארצית. יצוין כי על פי החוק (תיקון 38, שחל רק לאחר מינויו של מבקר פנימי חדש) על המבקר הפנימי להגיש לוועדת הביקורת הצעה לתוכנית עבודה שנתית או תקופתית, ועל ועדת הביקורת להעביר את תוכנית העבודה לאישור המועצה הארצית. </w:t>
      </w:r>
    </w:p>
    <w:p w14:paraId="6A504FBF" w14:textId="77777777" w:rsidR="00387987" w:rsidRDefault="00387987" w:rsidP="00DB5CC0">
      <w:pPr>
        <w:pStyle w:val="100"/>
        <w:rPr>
          <w:rtl/>
        </w:rPr>
      </w:pPr>
      <w:r>
        <w:rPr>
          <w:rFonts w:hint="cs"/>
          <w:rtl/>
        </w:rPr>
        <w:t>התקנים המקצועיים המקובלים בביקורת הפנימית קובעים כי תוכנית העבודה תהיה מורכבת ממטלות ביקורת, לוח זמנים לביצוען ומידע על המשאבים הדרושים לביצוען</w:t>
      </w:r>
      <w:r>
        <w:rPr>
          <w:rStyle w:val="FootnoteReference"/>
          <w:rtl/>
        </w:rPr>
        <w:footnoteReference w:id="86"/>
      </w:r>
      <w:r>
        <w:rPr>
          <w:rFonts w:hint="cs"/>
          <w:rtl/>
        </w:rPr>
        <w:t xml:space="preserve">. </w:t>
      </w:r>
    </w:p>
    <w:p w14:paraId="5726EB9A" w14:textId="77777777" w:rsidR="00387987" w:rsidRDefault="00387987" w:rsidP="00DB5CC0">
      <w:pPr>
        <w:pStyle w:val="100"/>
        <w:rPr>
          <w:rtl/>
        </w:rPr>
      </w:pPr>
      <w:r>
        <w:rPr>
          <w:rFonts w:hint="cs"/>
          <w:rtl/>
        </w:rPr>
        <w:t xml:space="preserve">אחד הכלים לבניית תוכנית עבודה אפקטיבית הוא ביסוסה על סקר </w:t>
      </w:r>
      <w:r w:rsidRPr="0004086F">
        <w:rPr>
          <w:rFonts w:hint="cs"/>
          <w:rtl/>
        </w:rPr>
        <w:t>סיכונים</w:t>
      </w:r>
      <w:r>
        <w:rPr>
          <w:rStyle w:val="FootnoteReference"/>
          <w:rtl/>
        </w:rPr>
        <w:footnoteReference w:id="87"/>
      </w:r>
      <w:r w:rsidRPr="0004086F">
        <w:rPr>
          <w:rFonts w:hint="cs"/>
          <w:rtl/>
        </w:rPr>
        <w:t>: בדיקה</w:t>
      </w:r>
      <w:r>
        <w:rPr>
          <w:rFonts w:hint="cs"/>
          <w:rtl/>
        </w:rPr>
        <w:t xml:space="preserve"> שנועדה לזהות נקודות רגישות בפעולות של הארגון אשר מצריכות התייחסות של הביקורת הפנימית. אולם סקר הסיכונים העדכני ביותר נערך בלשכה </w:t>
      </w:r>
      <w:r w:rsidRPr="00230F30">
        <w:rPr>
          <w:rFonts w:hint="cs"/>
          <w:rtl/>
        </w:rPr>
        <w:t xml:space="preserve">בשנת 2010 </w:t>
      </w:r>
      <w:r>
        <w:rPr>
          <w:rFonts w:hint="cs"/>
          <w:rtl/>
        </w:rPr>
        <w:t xml:space="preserve">רק בעניינן של </w:t>
      </w:r>
      <w:r w:rsidRPr="00230F30">
        <w:rPr>
          <w:rFonts w:hint="cs"/>
          <w:rtl/>
        </w:rPr>
        <w:t xml:space="preserve">חלק מיחידות הוועד המרכזי </w:t>
      </w:r>
      <w:r>
        <w:rPr>
          <w:rFonts w:hint="cs"/>
          <w:rtl/>
        </w:rPr>
        <w:t>ו</w:t>
      </w:r>
      <w:r w:rsidRPr="00230F30">
        <w:rPr>
          <w:rFonts w:hint="cs"/>
          <w:rtl/>
        </w:rPr>
        <w:t xml:space="preserve">ללא </w:t>
      </w:r>
      <w:r>
        <w:rPr>
          <w:rFonts w:hint="cs"/>
          <w:rtl/>
        </w:rPr>
        <w:t>בדיקה ב</w:t>
      </w:r>
      <w:r w:rsidRPr="00230F30">
        <w:rPr>
          <w:rFonts w:hint="cs"/>
          <w:rtl/>
        </w:rPr>
        <w:t>מחוזות הלשכה</w:t>
      </w:r>
      <w:r>
        <w:rPr>
          <w:rFonts w:hint="cs"/>
          <w:rtl/>
        </w:rPr>
        <w:t xml:space="preserve">. </w:t>
      </w:r>
    </w:p>
    <w:p w14:paraId="4AF7C6BE" w14:textId="77777777" w:rsidR="00387987" w:rsidRDefault="00387987" w:rsidP="00DB5CC0">
      <w:pPr>
        <w:pStyle w:val="100"/>
      </w:pPr>
      <w:r w:rsidRPr="00E64BA0">
        <w:rPr>
          <w:rFonts w:hint="cs"/>
          <w:rtl/>
        </w:rPr>
        <w:t xml:space="preserve">לאחר מינויה לתפקיד החלה </w:t>
      </w:r>
      <w:r>
        <w:rPr>
          <w:rFonts w:hint="cs"/>
          <w:rtl/>
        </w:rPr>
        <w:t xml:space="preserve">המבקרת הפנימית לשעבר </w:t>
      </w:r>
      <w:r w:rsidRPr="00E64BA0">
        <w:rPr>
          <w:rFonts w:hint="cs"/>
          <w:rtl/>
        </w:rPr>
        <w:t>לבצע פעולות לבניית ת</w:t>
      </w:r>
      <w:r>
        <w:rPr>
          <w:rFonts w:hint="cs"/>
          <w:rtl/>
        </w:rPr>
        <w:t>ו</w:t>
      </w:r>
      <w:r w:rsidRPr="00E64BA0">
        <w:rPr>
          <w:rFonts w:hint="cs"/>
          <w:rtl/>
        </w:rPr>
        <w:t>כנית עבודה</w:t>
      </w:r>
      <w:r>
        <w:rPr>
          <w:rFonts w:hint="cs"/>
          <w:rtl/>
        </w:rPr>
        <w:t xml:space="preserve"> והכינה מסמך של שלבי ביצוע ביקורת (סקר סיכונים לוגי),</w:t>
      </w:r>
      <w:r w:rsidRPr="00E64BA0">
        <w:rPr>
          <w:rFonts w:hint="cs"/>
          <w:rtl/>
        </w:rPr>
        <w:t xml:space="preserve"> עיינה בפרוטוקולים של ישי</w:t>
      </w:r>
      <w:r>
        <w:rPr>
          <w:rFonts w:hint="cs"/>
          <w:rtl/>
        </w:rPr>
        <w:t xml:space="preserve">בות המועצה הארצית והוועד המרכזי </w:t>
      </w:r>
      <w:r w:rsidRPr="00566C53">
        <w:rPr>
          <w:rFonts w:hint="cs"/>
          <w:rtl/>
        </w:rPr>
        <w:t>והכינה רשימ</w:t>
      </w:r>
      <w:r>
        <w:rPr>
          <w:rFonts w:hint="cs"/>
          <w:rtl/>
        </w:rPr>
        <w:t>ה</w:t>
      </w:r>
      <w:r w:rsidRPr="00566C53">
        <w:rPr>
          <w:rFonts w:hint="cs"/>
          <w:rtl/>
        </w:rPr>
        <w:t xml:space="preserve"> </w:t>
      </w:r>
      <w:r>
        <w:rPr>
          <w:rFonts w:hint="cs"/>
          <w:rtl/>
        </w:rPr>
        <w:t xml:space="preserve">של </w:t>
      </w:r>
      <w:r w:rsidRPr="00566C53">
        <w:rPr>
          <w:rFonts w:hint="cs"/>
          <w:rtl/>
        </w:rPr>
        <w:t xml:space="preserve">נושאים לביקורת. </w:t>
      </w:r>
    </w:p>
    <w:p w14:paraId="1F5A2CDB" w14:textId="77777777" w:rsidR="00387987" w:rsidRDefault="00387987" w:rsidP="00DB5CC0">
      <w:pPr>
        <w:pStyle w:val="af3"/>
        <w:rPr>
          <w:rtl/>
        </w:rPr>
      </w:pPr>
      <w:r>
        <w:rPr>
          <w:rFonts w:hint="cs"/>
          <w:rtl/>
        </w:rPr>
        <w:t xml:space="preserve">בהיעדר ועדת ביקורת, בשנים 2012 - 2019 לא הובאה לאישור הוועד המרכזי הצעה לתוכנית עבודה לביקורת הפנימית של הלשכה ולמותר לציין שתוכנית כאמור לא אושרה. </w:t>
      </w:r>
    </w:p>
    <w:p w14:paraId="75ED587A" w14:textId="77777777" w:rsidR="00DB5CC0" w:rsidRDefault="00DB5CC0">
      <w:pPr>
        <w:bidi w:val="0"/>
        <w:spacing w:after="200" w:line="276" w:lineRule="auto"/>
        <w:rPr>
          <w:rtl/>
        </w:rPr>
      </w:pPr>
      <w:r>
        <w:rPr>
          <w:rtl/>
        </w:rPr>
        <w:br w:type="page"/>
      </w:r>
    </w:p>
    <w:p w14:paraId="42F9ACC8" w14:textId="2137D4D9" w:rsidR="00387987" w:rsidRPr="00DB5CC0" w:rsidRDefault="00387987" w:rsidP="00DB5CC0">
      <w:pPr>
        <w:pStyle w:val="100"/>
        <w:rPr>
          <w:rtl/>
        </w:rPr>
      </w:pPr>
      <w:r>
        <w:rPr>
          <w:rFonts w:hint="cs"/>
          <w:rtl/>
        </w:rPr>
        <w:t xml:space="preserve">המבקרת הפנימית לשעבר הסבירה כי ביצעה </w:t>
      </w:r>
      <w:r w:rsidRPr="00D71F5B">
        <w:rPr>
          <w:rFonts w:hint="cs"/>
          <w:rtl/>
        </w:rPr>
        <w:t>סקר</w:t>
      </w:r>
      <w:r>
        <w:t xml:space="preserve"> </w:t>
      </w:r>
      <w:r w:rsidRPr="00D71F5B">
        <w:rPr>
          <w:rFonts w:hint="cs"/>
          <w:rtl/>
        </w:rPr>
        <w:t>סיכונים</w:t>
      </w:r>
      <w:r w:rsidRPr="00D71F5B">
        <w:t xml:space="preserve"> </w:t>
      </w:r>
      <w:r>
        <w:rPr>
          <w:rFonts w:hint="cs"/>
          <w:rtl/>
        </w:rPr>
        <w:t>לוגי</w:t>
      </w:r>
      <w:r w:rsidRPr="00D71F5B">
        <w:t xml:space="preserve"> </w:t>
      </w:r>
      <w:r w:rsidRPr="00D71F5B">
        <w:rPr>
          <w:rFonts w:hint="cs"/>
          <w:rtl/>
        </w:rPr>
        <w:t>לצורך</w:t>
      </w:r>
      <w:r>
        <w:rPr>
          <w:rFonts w:hint="cs"/>
          <w:rtl/>
        </w:rPr>
        <w:t xml:space="preserve"> קבלת תקציב לביצוע סקר סיכונים שישמש בסיס להכנת</w:t>
      </w:r>
      <w:r w:rsidRPr="00D71F5B">
        <w:t xml:space="preserve"> </w:t>
      </w:r>
      <w:r w:rsidRPr="00D71F5B">
        <w:rPr>
          <w:rFonts w:hint="cs"/>
          <w:rtl/>
        </w:rPr>
        <w:t>ת</w:t>
      </w:r>
      <w:r>
        <w:rPr>
          <w:rFonts w:hint="cs"/>
          <w:rtl/>
        </w:rPr>
        <w:t>ו</w:t>
      </w:r>
      <w:r w:rsidRPr="00D71F5B">
        <w:rPr>
          <w:rFonts w:hint="cs"/>
          <w:rtl/>
        </w:rPr>
        <w:t>כנית</w:t>
      </w:r>
      <w:r>
        <w:rPr>
          <w:rFonts w:hint="cs"/>
          <w:rtl/>
        </w:rPr>
        <w:t xml:space="preserve"> עבודה שנתית ורב-שנתית, והציגה אותו לראש המועצה, </w:t>
      </w:r>
      <w:r w:rsidRPr="00DB5CC0">
        <w:rPr>
          <w:rFonts w:hint="cs"/>
          <w:rtl/>
        </w:rPr>
        <w:t xml:space="preserve">למנכ"ל לשעבר וליו"ר ועדת הביקורת הזמני, אך התקציב לא אושר. בהיעדר תקציב לסקר סיכונים, היא תיעדפה על בסיס הסקר הלוגי שעשתה את רשימת הנושאים לביקורת וכללה אותם בתוכנית העבודה שאותה הציגה לבעלי תפקיד שונים בלשכה. אולם היא לא קיבלה מבעלי התפקיד בלשכה אישור להתחיל ביקורת אף לא באחד מהנושאים. </w:t>
      </w:r>
    </w:p>
    <w:p w14:paraId="1556935C" w14:textId="77777777" w:rsidR="00387987" w:rsidRPr="00DB5CC0" w:rsidRDefault="00387987" w:rsidP="00DB5CC0">
      <w:pPr>
        <w:pStyle w:val="100"/>
        <w:rPr>
          <w:rtl/>
        </w:rPr>
      </w:pPr>
      <w:r w:rsidRPr="00DB5CC0">
        <w:rPr>
          <w:rFonts w:hint="cs"/>
          <w:rtl/>
        </w:rPr>
        <w:t xml:space="preserve">המבקרת הפנימית הוסיפה והסבירה כי ועדת הביקורת היא הגוף המתאים לאשר את תוכנית העבודה והתקציב של הביקורת הפנימית, אולם היעדרה של ועדת ביקורת בלשכה והיעדר משאבים שהיה צריך להקצות למבקר הפנימי מרוקנים את נוהל הביקורת הפנימית מתוכן. לדבריה, אף שהתריעה לפני בעלי תפקיד בלשכה וכן בדוח על פעילות הלשכה לשנת 2013 על החוסר בתקציב ובתקנים, הלשכה לא הקצתה תקציב ולא הוסיפה תקנים למערך הביקורת הפנימית. עוד ציינה כי היקף העבודה והמבנה הארגוני המבוזר של הלשכה מחייבים תקצוב וכוח אדם, ובהיעדרם מערך הביקורת הפנימית אינו יכול לתפקד באופן מיטבי. </w:t>
      </w:r>
    </w:p>
    <w:p w14:paraId="3CC7A86E" w14:textId="2BC3B35F" w:rsidR="00387987" w:rsidRPr="00DB5CC0" w:rsidRDefault="00387987" w:rsidP="00DB5CC0">
      <w:pPr>
        <w:pStyle w:val="100"/>
        <w:rPr>
          <w:rtl/>
        </w:rPr>
      </w:pPr>
      <w:r w:rsidRPr="00DB5CC0">
        <w:rPr>
          <w:rFonts w:hint="cs"/>
          <w:rtl/>
        </w:rPr>
        <w:t>בתשובת הלשכה מינואר 2020 הוסבר, כי המבקרת לא ביקשה תקציב ייעודי לביקורת וכי</w:t>
      </w:r>
      <w:r w:rsidR="00DB5CC0">
        <w:rPr>
          <w:rtl/>
        </w:rPr>
        <w:br/>
      </w:r>
      <w:r w:rsidRPr="00DB5CC0">
        <w:rPr>
          <w:rFonts w:hint="cs"/>
          <w:rtl/>
        </w:rPr>
        <w:t xml:space="preserve">ב-2017, הועמד לרשות המבקרת הפנימית תקציב ייעודי לביצוע ביקורת שהתעוררה בעקבות תלונה. עוד הוסיפה הלשכה כי אין בהיעדרה של ועדת ביקורת, כדי למנוע את קיום פעילות הביקורת והיה על המבקרת הפנימית לפעול ישירות מול הוועד המרכזי. </w:t>
      </w:r>
    </w:p>
    <w:p w14:paraId="48840467" w14:textId="77777777" w:rsidR="00387987" w:rsidRDefault="00387987" w:rsidP="00DB5CC0">
      <w:pPr>
        <w:pStyle w:val="100"/>
        <w:rPr>
          <w:rtl/>
        </w:rPr>
      </w:pPr>
      <w:r w:rsidRPr="00DB5CC0">
        <w:rPr>
          <w:rFonts w:hint="cs"/>
          <w:rtl/>
        </w:rPr>
        <w:t>משרד מבקר המדינה העיר ללשכה כבר בשנת 2011</w:t>
      </w:r>
      <w:r w:rsidRPr="00DB5CC0">
        <w:rPr>
          <w:rStyle w:val="FootnoteReference"/>
          <w:rtl/>
        </w:rPr>
        <w:footnoteReference w:id="88"/>
      </w:r>
      <w:r w:rsidRPr="00DB5CC0">
        <w:rPr>
          <w:rFonts w:hint="cs"/>
          <w:vertAlign w:val="superscript"/>
          <w:rtl/>
        </w:rPr>
        <w:t xml:space="preserve"> </w:t>
      </w:r>
      <w:r w:rsidRPr="00DB5CC0">
        <w:rPr>
          <w:rFonts w:hint="cs"/>
          <w:rtl/>
        </w:rPr>
        <w:t>כי עליה לתקנן את משרת המבקר הפנימי כך שתהיה</w:t>
      </w:r>
      <w:r>
        <w:rPr>
          <w:rFonts w:hint="cs"/>
          <w:rtl/>
        </w:rPr>
        <w:t xml:space="preserve"> משרה בשכר כחלק ממנגנון הלשכה. זאת, על מנת שהעוסק בתפקיד זה יוכל להקדיש לו את מרב הזמן הדרוש כדי למלאו כראוי. עוד נאמר כי על הלשכה לגבש את צורכי הביקורת הפנימית ולקבוע את תקציבה בהתאם. </w:t>
      </w:r>
    </w:p>
    <w:p w14:paraId="0852EFB9" w14:textId="77777777" w:rsidR="00387987" w:rsidRDefault="00387987" w:rsidP="00DB5CC0">
      <w:pPr>
        <w:pStyle w:val="af3"/>
        <w:rPr>
          <w:rtl/>
        </w:rPr>
      </w:pPr>
      <w:r>
        <w:rPr>
          <w:rFonts w:hint="cs"/>
          <w:rtl/>
        </w:rPr>
        <w:t>אומנם הלשכה תקננה את משרת המבקרת הפנימית</w:t>
      </w:r>
      <w:r w:rsidRPr="00600BC4">
        <w:rPr>
          <w:rFonts w:hint="cs"/>
          <w:rtl/>
        </w:rPr>
        <w:t xml:space="preserve"> </w:t>
      </w:r>
      <w:r>
        <w:rPr>
          <w:rFonts w:hint="cs"/>
          <w:rtl/>
        </w:rPr>
        <w:t>ו</w:t>
      </w:r>
      <w:r w:rsidRPr="00406FE5">
        <w:rPr>
          <w:rFonts w:hint="cs"/>
          <w:rtl/>
        </w:rPr>
        <w:t>תקצבה</w:t>
      </w:r>
      <w:r>
        <w:rPr>
          <w:rFonts w:hint="cs"/>
          <w:rtl/>
        </w:rPr>
        <w:t xml:space="preserve"> את שכרה, אך </w:t>
      </w:r>
      <w:r w:rsidRPr="005C360E">
        <w:rPr>
          <w:rFonts w:hint="eastAsia"/>
          <w:rtl/>
        </w:rPr>
        <w:t>נמצא</w:t>
      </w:r>
      <w:r w:rsidRPr="005C360E">
        <w:rPr>
          <w:rtl/>
        </w:rPr>
        <w:t xml:space="preserve"> </w:t>
      </w:r>
      <w:r w:rsidRPr="005C360E">
        <w:rPr>
          <w:rFonts w:hint="eastAsia"/>
          <w:rtl/>
        </w:rPr>
        <w:t>כי</w:t>
      </w:r>
      <w:r w:rsidRPr="005C360E">
        <w:rPr>
          <w:rtl/>
        </w:rPr>
        <w:t xml:space="preserve"> </w:t>
      </w:r>
      <w:r w:rsidRPr="005C360E">
        <w:rPr>
          <w:rFonts w:hint="eastAsia"/>
          <w:rtl/>
        </w:rPr>
        <w:t>בשנים</w:t>
      </w:r>
      <w:r w:rsidRPr="005C360E">
        <w:rPr>
          <w:rtl/>
        </w:rPr>
        <w:t xml:space="preserve"> </w:t>
      </w:r>
      <w:r w:rsidRPr="005C360E">
        <w:rPr>
          <w:rFonts w:hint="eastAsia"/>
          <w:rtl/>
        </w:rPr>
        <w:t>האחרונות</w:t>
      </w:r>
      <w:r w:rsidRPr="005C360E">
        <w:rPr>
          <w:rtl/>
        </w:rPr>
        <w:t xml:space="preserve"> </w:t>
      </w:r>
      <w:r>
        <w:rPr>
          <w:rFonts w:hint="cs"/>
          <w:rtl/>
        </w:rPr>
        <w:t xml:space="preserve">היא לא גיבשה את צורכי הביקורת ואת התקציב הנגזר מכך. מן הראוי כי הלשכה תקבע את צורכי הביקורת הפנימית ותקבע את התקציב הנדרש לשם כך. פעולה זו תסייע למבקר הפנימי למלא את תפקידו כראוי. </w:t>
      </w:r>
    </w:p>
    <w:p w14:paraId="0E662321" w14:textId="77777777" w:rsidR="00387987" w:rsidRDefault="00387987" w:rsidP="00DB5CC0">
      <w:pPr>
        <w:pStyle w:val="af3"/>
        <w:rPr>
          <w:rtl/>
        </w:rPr>
      </w:pPr>
      <w:r>
        <w:rPr>
          <w:rFonts w:hint="cs"/>
          <w:rtl/>
        </w:rPr>
        <w:t xml:space="preserve">על ועדת הביקורת שמונתה לאחרונה (ראו להלן) להקפיד לדון בתוכנית העבודה של הביקורת הפנימית ולהעבירה לאישור המועצה הארצית. מוצע כי לצורך כך יוכן בלשכה סקר סיכונים עדכני. </w:t>
      </w:r>
    </w:p>
    <w:p w14:paraId="1212D167" w14:textId="77777777" w:rsidR="00387987" w:rsidRDefault="00387987" w:rsidP="00DB5CC0">
      <w:pPr>
        <w:pStyle w:val="100"/>
        <w:rPr>
          <w:rtl/>
        </w:rPr>
      </w:pPr>
      <w:r>
        <w:rPr>
          <w:rFonts w:hint="cs"/>
          <w:rtl/>
        </w:rPr>
        <w:t xml:space="preserve">הלשכה עדכנה בינואר 2020, כי עם מינויה של ועדת הביקורת, היא ביקשה תקציב לפעילותה ואף אושר לה תקציב ראשוני לצורך כך. לאחר כניסתו לתפקיד של המבקר הפנימי החדש (ראו להלן), ועדת הביקורת ומבקר הפנים החדש יבחנו יחדיו מהם הצרכים התקציביים של הביקורת בלשכה. </w:t>
      </w:r>
    </w:p>
    <w:p w14:paraId="76F81F8D" w14:textId="77777777" w:rsidR="00387987" w:rsidRDefault="00387987" w:rsidP="00387987">
      <w:pPr>
        <w:spacing w:line="269" w:lineRule="auto"/>
        <w:rPr>
          <w:b/>
          <w:bCs/>
          <w:rtl/>
        </w:rPr>
      </w:pPr>
    </w:p>
    <w:p w14:paraId="27DF5AD6" w14:textId="77777777" w:rsidR="00387987" w:rsidRPr="009C78CF" w:rsidRDefault="00387987" w:rsidP="006609B1">
      <w:pPr>
        <w:pStyle w:val="316"/>
        <w:rPr>
          <w:rtl/>
        </w:rPr>
      </w:pPr>
      <w:bookmarkStart w:id="39" w:name="_Toc23155604"/>
      <w:r w:rsidRPr="009C78CF">
        <w:rPr>
          <w:rFonts w:hint="cs"/>
          <w:rtl/>
        </w:rPr>
        <w:t xml:space="preserve">אחריות מוסדות הלשכה להובלת פעולות </w:t>
      </w:r>
      <w:r>
        <w:rPr>
          <w:rFonts w:hint="cs"/>
          <w:rtl/>
        </w:rPr>
        <w:t>ה</w:t>
      </w:r>
      <w:r w:rsidRPr="009C78CF">
        <w:rPr>
          <w:rFonts w:hint="cs"/>
          <w:rtl/>
        </w:rPr>
        <w:t>ביקורת הפני</w:t>
      </w:r>
      <w:bookmarkEnd w:id="39"/>
      <w:r>
        <w:rPr>
          <w:rFonts w:hint="cs"/>
          <w:rtl/>
        </w:rPr>
        <w:t>מית</w:t>
      </w:r>
    </w:p>
    <w:p w14:paraId="7C7FCD51" w14:textId="77777777" w:rsidR="00387987" w:rsidRDefault="00387987" w:rsidP="006609B1">
      <w:pPr>
        <w:pStyle w:val="100"/>
        <w:rPr>
          <w:rtl/>
        </w:rPr>
      </w:pPr>
      <w:r w:rsidRPr="006D57E6">
        <w:rPr>
          <w:rFonts w:hint="cs"/>
          <w:rtl/>
        </w:rPr>
        <w:t>בתאגידים ציבוריים</w:t>
      </w:r>
      <w:r>
        <w:rPr>
          <w:rFonts w:hint="cs"/>
          <w:rtl/>
        </w:rPr>
        <w:t>,</w:t>
      </w:r>
      <w:r w:rsidRPr="006D57E6">
        <w:rPr>
          <w:rFonts w:hint="cs"/>
          <w:rtl/>
        </w:rPr>
        <w:t xml:space="preserve"> </w:t>
      </w:r>
      <w:r>
        <w:rPr>
          <w:rFonts w:hint="cs"/>
          <w:rtl/>
        </w:rPr>
        <w:t>כגון לשכת עורכי הדין, יכולתה</w:t>
      </w:r>
      <w:r w:rsidRPr="00F25455">
        <w:rPr>
          <w:rFonts w:hint="cs"/>
          <w:rtl/>
        </w:rPr>
        <w:t xml:space="preserve"> </w:t>
      </w:r>
      <w:r w:rsidRPr="006D57E6">
        <w:rPr>
          <w:rtl/>
        </w:rPr>
        <w:t xml:space="preserve">של עבודת הביקורת הפנימית </w:t>
      </w:r>
      <w:r>
        <w:rPr>
          <w:rFonts w:hint="cs"/>
          <w:rtl/>
        </w:rPr>
        <w:t>ל</w:t>
      </w:r>
      <w:r w:rsidRPr="006D57E6">
        <w:rPr>
          <w:rtl/>
        </w:rPr>
        <w:t>שפר</w:t>
      </w:r>
      <w:r>
        <w:rPr>
          <w:rFonts w:hint="cs"/>
          <w:rtl/>
        </w:rPr>
        <w:t xml:space="preserve"> את</w:t>
      </w:r>
      <w:r w:rsidRPr="006D57E6">
        <w:rPr>
          <w:rtl/>
        </w:rPr>
        <w:t xml:space="preserve"> סדרי הניהול והפיקוח בתאגיד</w:t>
      </w:r>
      <w:r w:rsidRPr="00F25455">
        <w:rPr>
          <w:rFonts w:hint="cs"/>
          <w:rtl/>
        </w:rPr>
        <w:t xml:space="preserve"> תלוי</w:t>
      </w:r>
      <w:r>
        <w:rPr>
          <w:rFonts w:hint="cs"/>
          <w:rtl/>
        </w:rPr>
        <w:t>ה</w:t>
      </w:r>
      <w:r w:rsidRPr="00F25455">
        <w:rPr>
          <w:rFonts w:hint="cs"/>
          <w:rtl/>
        </w:rPr>
        <w:t xml:space="preserve"> במידה רבה </w:t>
      </w:r>
      <w:r>
        <w:rPr>
          <w:rFonts w:hint="cs"/>
          <w:rtl/>
        </w:rPr>
        <w:t>ב</w:t>
      </w:r>
      <w:r w:rsidRPr="006D57E6">
        <w:rPr>
          <w:rtl/>
        </w:rPr>
        <w:t>מועצה</w:t>
      </w:r>
      <w:r w:rsidRPr="006D57E6">
        <w:rPr>
          <w:rFonts w:hint="cs"/>
          <w:rtl/>
        </w:rPr>
        <w:t xml:space="preserve"> ו</w:t>
      </w:r>
      <w:r>
        <w:rPr>
          <w:rFonts w:hint="cs"/>
          <w:rtl/>
        </w:rPr>
        <w:t>בו</w:t>
      </w:r>
      <w:r w:rsidRPr="006D57E6">
        <w:rPr>
          <w:rtl/>
        </w:rPr>
        <w:t>ועדת ביקורת</w:t>
      </w:r>
      <w:r>
        <w:rPr>
          <w:rFonts w:hint="cs"/>
          <w:rtl/>
        </w:rPr>
        <w:t>.</w:t>
      </w:r>
      <w:r w:rsidRPr="00F25455">
        <w:rPr>
          <w:rFonts w:hint="cs"/>
          <w:rtl/>
        </w:rPr>
        <w:t xml:space="preserve"> </w:t>
      </w:r>
      <w:r>
        <w:rPr>
          <w:rFonts w:hint="cs"/>
          <w:rtl/>
        </w:rPr>
        <w:t>באחריותם ו</w:t>
      </w:r>
      <w:r w:rsidRPr="00F25455">
        <w:rPr>
          <w:rFonts w:hint="cs"/>
          <w:rtl/>
        </w:rPr>
        <w:t xml:space="preserve">בכוחם </w:t>
      </w:r>
      <w:r>
        <w:rPr>
          <w:rFonts w:hint="cs"/>
          <w:rtl/>
        </w:rPr>
        <w:t xml:space="preserve">של שני </w:t>
      </w:r>
      <w:r w:rsidRPr="00F25455">
        <w:rPr>
          <w:rFonts w:hint="cs"/>
          <w:rtl/>
        </w:rPr>
        <w:t>גורמים אלו לפקח על הביקורת הפנימית, על הקצאת המשאבים למבקר הפנימי ועל פעילות הארגון לתיקון הליקויים שעלו בדוחות הביקורת הפנימית</w:t>
      </w:r>
      <w:r>
        <w:rPr>
          <w:rStyle w:val="FootnoteReference"/>
          <w:rtl/>
        </w:rPr>
        <w:footnoteReference w:id="89"/>
      </w:r>
      <w:r w:rsidRPr="004437D0">
        <w:rPr>
          <w:rFonts w:hint="cs"/>
          <w:rtl/>
        </w:rPr>
        <w:t>.</w:t>
      </w:r>
    </w:p>
    <w:p w14:paraId="3E1DC7BC" w14:textId="77777777" w:rsidR="00387987" w:rsidRDefault="00387987" w:rsidP="006609B1">
      <w:pPr>
        <w:pStyle w:val="a1"/>
        <w:numPr>
          <w:ilvl w:val="0"/>
          <w:numId w:val="23"/>
        </w:numPr>
      </w:pPr>
      <w:r w:rsidRPr="006609B1">
        <w:rPr>
          <w:rStyle w:val="Heading5Char"/>
          <w:rFonts w:hint="cs"/>
          <w:color w:val="387026"/>
          <w:spacing w:val="0"/>
          <w:rtl/>
        </w:rPr>
        <w:t>ועדת ביקורת</w:t>
      </w:r>
      <w:r w:rsidRPr="006609B1">
        <w:rPr>
          <w:rFonts w:hint="cs"/>
          <w:color w:val="387026"/>
          <w:rtl/>
        </w:rPr>
        <w:t>:</w:t>
      </w:r>
      <w:r>
        <w:rPr>
          <w:rFonts w:hint="cs"/>
          <w:rtl/>
        </w:rPr>
        <w:t xml:space="preserve"> נוהל הביקורת הפנימית של הלשכה קובע שהמועצה הארצית תמנה ועדת ביקורת ובה שלושה חברים לפחות. הוועדה תאשר את הצעת תוכנית העבודה של המבקר הפנימי ותקצובה לפני שתעבירה לעיון המועצה. הנוהל קובע כי המבקר הפנימי נדרש להעביר לוועדה את דוחות הביקורת שחיבר, היחידה המבוקרת תעביר לוועדה דיווח על תיקון הליקויים שנמצאו בדוחות וועדת הביקורת רשאית לבקש מהמבקר לערוך ביקורת בנושא שאינו נכלל בתוכנית העבודה. </w:t>
      </w:r>
    </w:p>
    <w:p w14:paraId="4729FFEB" w14:textId="77777777" w:rsidR="00387987" w:rsidRDefault="00387987" w:rsidP="006609B1">
      <w:pPr>
        <w:pStyle w:val="af2"/>
        <w:rPr>
          <w:rtl/>
        </w:rPr>
      </w:pPr>
      <w:r>
        <w:rPr>
          <w:rFonts w:hint="cs"/>
          <w:rtl/>
        </w:rPr>
        <w:t xml:space="preserve">באוגוסט 2016 נכנס לתוקף סעיף בתיקון 38 לחוק אשר קובע כי על המועצה הארצית למנות ועדת ביקורת. הסעיף קובע כי הוועדה תעמוד על ליקויים בניהול הלשכה ותציע למועצה דרכים לתיקונם; הוועדה תבחן את מערך הביקורת הפנימית, את תפקוד המבקר הפנימי ואת המשאבים העומדים לרשותו ותדון בדוחות ביקורת פנימיים; הוועדה תבחן את תוכנית העבודה של הביקורת הפנימית; הוועדה תגיש דוח על פעילותה לפחות אחת לשנה. </w:t>
      </w:r>
    </w:p>
    <w:p w14:paraId="3E678325" w14:textId="77777777" w:rsidR="00387987" w:rsidRDefault="00387987" w:rsidP="006609B1">
      <w:pPr>
        <w:pStyle w:val="af2"/>
        <w:rPr>
          <w:rtl/>
        </w:rPr>
      </w:pPr>
      <w:r w:rsidRPr="00F10ABE">
        <w:rPr>
          <w:rFonts w:hint="cs"/>
          <w:rtl/>
        </w:rPr>
        <w:t>ב</w:t>
      </w:r>
      <w:r>
        <w:rPr>
          <w:rFonts w:hint="cs"/>
          <w:rtl/>
        </w:rPr>
        <w:t xml:space="preserve">פברואר 2013 ביקשה המועצה הארצית למנות </w:t>
      </w:r>
      <w:r w:rsidRPr="00F10ABE">
        <w:rPr>
          <w:rFonts w:hint="cs"/>
          <w:rtl/>
        </w:rPr>
        <w:t>חברים לוועדת הביקורת של הלשכה</w:t>
      </w:r>
      <w:r>
        <w:rPr>
          <w:rFonts w:hint="cs"/>
          <w:rtl/>
        </w:rPr>
        <w:t>.</w:t>
      </w:r>
      <w:r w:rsidRPr="00F10ABE">
        <w:rPr>
          <w:rFonts w:hint="cs"/>
          <w:rtl/>
        </w:rPr>
        <w:t xml:space="preserve"> </w:t>
      </w:r>
      <w:r>
        <w:rPr>
          <w:rFonts w:hint="cs"/>
          <w:rtl/>
        </w:rPr>
        <w:t>המועצה לא הצליחה לאתר מספר מספיק של מועמדים ולמנותם לוועדת הביקורת.</w:t>
      </w:r>
    </w:p>
    <w:p w14:paraId="5492FE63" w14:textId="77777777" w:rsidR="00387987" w:rsidRDefault="00387987" w:rsidP="006609B1">
      <w:pPr>
        <w:pStyle w:val="af2"/>
        <w:rPr>
          <w:rtl/>
        </w:rPr>
      </w:pPr>
      <w:r w:rsidRPr="002D0723">
        <w:rPr>
          <w:rFonts w:hint="cs"/>
          <w:rtl/>
        </w:rPr>
        <w:t>במרץ 2019, לראשונה</w:t>
      </w:r>
      <w:r>
        <w:rPr>
          <w:rFonts w:hint="cs"/>
          <w:rtl/>
        </w:rPr>
        <w:t xml:space="preserve"> </w:t>
      </w:r>
      <w:r w:rsidRPr="002D0723">
        <w:rPr>
          <w:rFonts w:hint="cs"/>
          <w:rtl/>
        </w:rPr>
        <w:t>מאז</w:t>
      </w:r>
      <w:r>
        <w:rPr>
          <w:rFonts w:hint="cs"/>
          <w:rtl/>
        </w:rPr>
        <w:t xml:space="preserve"> </w:t>
      </w:r>
      <w:r w:rsidRPr="002D0723">
        <w:rPr>
          <w:rFonts w:hint="cs"/>
          <w:rtl/>
        </w:rPr>
        <w:t>סוף שנת 2013</w:t>
      </w:r>
      <w:r>
        <w:rPr>
          <w:rFonts w:hint="cs"/>
          <w:rtl/>
        </w:rPr>
        <w:t>,</w:t>
      </w:r>
      <w:r w:rsidRPr="002D0723">
        <w:rPr>
          <w:rFonts w:hint="cs"/>
          <w:rtl/>
        </w:rPr>
        <w:t xml:space="preserve"> דן הוועד המרכזי</w:t>
      </w:r>
      <w:r>
        <w:rPr>
          <w:rFonts w:hint="cs"/>
          <w:rtl/>
        </w:rPr>
        <w:t xml:space="preserve"> </w:t>
      </w:r>
      <w:r w:rsidRPr="002D0723">
        <w:rPr>
          <w:rFonts w:hint="cs"/>
          <w:rtl/>
        </w:rPr>
        <w:t xml:space="preserve">בצורך </w:t>
      </w:r>
      <w:r>
        <w:rPr>
          <w:rFonts w:hint="cs"/>
          <w:rtl/>
        </w:rPr>
        <w:t xml:space="preserve">למנות </w:t>
      </w:r>
      <w:r w:rsidRPr="002D0723">
        <w:rPr>
          <w:rFonts w:hint="cs"/>
          <w:rtl/>
        </w:rPr>
        <w:t xml:space="preserve">ועדת ביקורת בלשכה. </w:t>
      </w:r>
      <w:r>
        <w:rPr>
          <w:rFonts w:hint="cs"/>
          <w:rtl/>
        </w:rPr>
        <w:t>יו"ר</w:t>
      </w:r>
      <w:r w:rsidRPr="002D0723">
        <w:rPr>
          <w:rFonts w:hint="cs"/>
          <w:rtl/>
        </w:rPr>
        <w:t xml:space="preserve"> לשכת עורכי הדין הזמני דאז ציין בדיון: "אי אפשר להשתהות עם המינוי</w:t>
      </w:r>
      <w:r>
        <w:rPr>
          <w:rFonts w:hint="cs"/>
          <w:rtl/>
        </w:rPr>
        <w:t>"</w:t>
      </w:r>
      <w:r w:rsidRPr="002D0723">
        <w:rPr>
          <w:rFonts w:hint="cs"/>
          <w:rtl/>
        </w:rPr>
        <w:t xml:space="preserve"> והציע שתוקם ועדת ביקורת לאלתר. בסיום הישיבה הוחלט להוציא קול קורא למתנדבים להיבח</w:t>
      </w:r>
      <w:r>
        <w:rPr>
          <w:rFonts w:hint="cs"/>
          <w:rtl/>
        </w:rPr>
        <w:t>ר לוועדת ביקורת של הלשכה ו</w:t>
      </w:r>
      <w:r w:rsidRPr="002D0723">
        <w:rPr>
          <w:rFonts w:hint="cs"/>
          <w:rtl/>
        </w:rPr>
        <w:t xml:space="preserve">לבחור ועדת ביקורת </w:t>
      </w:r>
      <w:r>
        <w:rPr>
          <w:rFonts w:hint="cs"/>
          <w:rtl/>
        </w:rPr>
        <w:t>ש</w:t>
      </w:r>
      <w:r w:rsidRPr="002D0723">
        <w:rPr>
          <w:rFonts w:hint="cs"/>
          <w:rtl/>
        </w:rPr>
        <w:t>ב</w:t>
      </w:r>
      <w:r>
        <w:rPr>
          <w:rFonts w:hint="cs"/>
          <w:rtl/>
        </w:rPr>
        <w:t>ה יהיו</w:t>
      </w:r>
      <w:r w:rsidRPr="002D0723">
        <w:rPr>
          <w:rFonts w:hint="cs"/>
          <w:rtl/>
        </w:rPr>
        <w:t xml:space="preserve"> חמישה </w:t>
      </w:r>
      <w:r>
        <w:rPr>
          <w:rFonts w:hint="cs"/>
          <w:rtl/>
        </w:rPr>
        <w:t>חברים</w:t>
      </w:r>
      <w:r>
        <w:rPr>
          <w:rStyle w:val="FootnoteReference"/>
          <w:sz w:val="24"/>
          <w:rtl/>
        </w:rPr>
        <w:footnoteReference w:id="90"/>
      </w:r>
      <w:r w:rsidRPr="002D0723">
        <w:rPr>
          <w:rFonts w:hint="cs"/>
          <w:sz w:val="24"/>
          <w:rtl/>
        </w:rPr>
        <w:t>.</w:t>
      </w:r>
      <w:r>
        <w:rPr>
          <w:rFonts w:hint="cs"/>
          <w:rtl/>
        </w:rPr>
        <w:t xml:space="preserve"> </w:t>
      </w:r>
    </w:p>
    <w:p w14:paraId="7FFB47CE" w14:textId="77777777" w:rsidR="00387987" w:rsidRDefault="00387987" w:rsidP="006609B1">
      <w:pPr>
        <w:pStyle w:val="12"/>
        <w:rPr>
          <w:rtl/>
        </w:rPr>
      </w:pPr>
      <w:r>
        <w:rPr>
          <w:rFonts w:hint="cs"/>
          <w:rtl/>
        </w:rPr>
        <w:t xml:space="preserve">לשכת עורכי הדין פעלה יותר מעשרים שנה ללא ועדת ביקורת, אף שזו חשובה לדיון בדוחות הביקורת הפנימית, לזיהוי ליקויים והצעת דרכים לתיקונם, לבחינת מערך הביקורת הפנימית, לאישור תוכנית העבודה של המבקר הפנימי ולפיקוח על תפקודו והמשאבים העומדים לרשותו. </w:t>
      </w:r>
    </w:p>
    <w:p w14:paraId="756977D4" w14:textId="5B613B9A" w:rsidR="006609B1" w:rsidRDefault="00387987" w:rsidP="006609B1">
      <w:pPr>
        <w:pStyle w:val="af2"/>
        <w:rPr>
          <w:rtl/>
        </w:rPr>
      </w:pPr>
      <w:r w:rsidRPr="003C2C16">
        <w:rPr>
          <w:rFonts w:hint="eastAsia"/>
          <w:rtl/>
        </w:rPr>
        <w:t>בת</w:t>
      </w:r>
      <w:r>
        <w:rPr>
          <w:rFonts w:hint="cs"/>
          <w:rtl/>
        </w:rPr>
        <w:t>שו</w:t>
      </w:r>
      <w:r w:rsidRPr="003C2C16">
        <w:rPr>
          <w:rFonts w:hint="eastAsia"/>
          <w:rtl/>
        </w:rPr>
        <w:t>בתה</w:t>
      </w:r>
      <w:r w:rsidRPr="003C2C16">
        <w:rPr>
          <w:rtl/>
        </w:rPr>
        <w:t xml:space="preserve"> הודיעה הלשכה כי </w:t>
      </w:r>
      <w:r>
        <w:rPr>
          <w:rFonts w:hint="cs"/>
          <w:rtl/>
        </w:rPr>
        <w:t>ב</w:t>
      </w:r>
      <w:r w:rsidRPr="003C2C16">
        <w:rPr>
          <w:rFonts w:hint="eastAsia"/>
          <w:rtl/>
        </w:rPr>
        <w:t>יולי</w:t>
      </w:r>
      <w:r w:rsidRPr="003C2C16">
        <w:rPr>
          <w:rtl/>
        </w:rPr>
        <w:t xml:space="preserve"> 2019, </w:t>
      </w:r>
      <w:r w:rsidRPr="003C2C16">
        <w:rPr>
          <w:rFonts w:hint="eastAsia"/>
          <w:rtl/>
        </w:rPr>
        <w:t>לאחר</w:t>
      </w:r>
      <w:r w:rsidRPr="003C2C16">
        <w:rPr>
          <w:rtl/>
        </w:rPr>
        <w:t xml:space="preserve"> כינונה של מועצה </w:t>
      </w:r>
      <w:r w:rsidRPr="003C2C16">
        <w:rPr>
          <w:rFonts w:hint="eastAsia"/>
          <w:rtl/>
        </w:rPr>
        <w:t>ארצית</w:t>
      </w:r>
      <w:r w:rsidRPr="003C2C16">
        <w:rPr>
          <w:rtl/>
        </w:rPr>
        <w:t xml:space="preserve"> </w:t>
      </w:r>
      <w:r w:rsidRPr="003C2C16">
        <w:rPr>
          <w:rFonts w:hint="eastAsia"/>
          <w:rtl/>
        </w:rPr>
        <w:t>חדשה</w:t>
      </w:r>
      <w:r w:rsidRPr="003C2C16">
        <w:rPr>
          <w:rtl/>
        </w:rPr>
        <w:t xml:space="preserve"> </w:t>
      </w:r>
      <w:r>
        <w:rPr>
          <w:rFonts w:hint="cs"/>
          <w:rtl/>
        </w:rPr>
        <w:t>ב</w:t>
      </w:r>
      <w:r w:rsidRPr="003C2C16">
        <w:rPr>
          <w:rFonts w:hint="eastAsia"/>
          <w:rtl/>
        </w:rPr>
        <w:t>לשכה</w:t>
      </w:r>
      <w:r w:rsidRPr="003C2C16">
        <w:rPr>
          <w:rtl/>
        </w:rPr>
        <w:t xml:space="preserve">, </w:t>
      </w:r>
      <w:r w:rsidRPr="003C2C16">
        <w:rPr>
          <w:rFonts w:hint="eastAsia"/>
          <w:rtl/>
        </w:rPr>
        <w:t>אישרה</w:t>
      </w:r>
      <w:r w:rsidRPr="003C2C16">
        <w:rPr>
          <w:rtl/>
        </w:rPr>
        <w:t xml:space="preserve"> המועצה </w:t>
      </w:r>
      <w:r>
        <w:rPr>
          <w:rFonts w:hint="cs"/>
          <w:rtl/>
        </w:rPr>
        <w:t>את מינויה</w:t>
      </w:r>
      <w:r w:rsidRPr="003C2C16">
        <w:rPr>
          <w:rtl/>
        </w:rPr>
        <w:t xml:space="preserve"> </w:t>
      </w:r>
      <w:r>
        <w:rPr>
          <w:rFonts w:hint="cs"/>
          <w:rtl/>
        </w:rPr>
        <w:t xml:space="preserve">של </w:t>
      </w:r>
      <w:r w:rsidRPr="003C2C16">
        <w:rPr>
          <w:rFonts w:hint="eastAsia"/>
          <w:rtl/>
        </w:rPr>
        <w:t>ועדת</w:t>
      </w:r>
      <w:r w:rsidRPr="003C2C16">
        <w:rPr>
          <w:rtl/>
        </w:rPr>
        <w:t xml:space="preserve"> ביקורת</w:t>
      </w:r>
      <w:r>
        <w:rPr>
          <w:rFonts w:hint="cs"/>
          <w:rtl/>
        </w:rPr>
        <w:t>, והיא</w:t>
      </w:r>
      <w:r w:rsidRPr="003C2C16">
        <w:rPr>
          <w:rtl/>
        </w:rPr>
        <w:t xml:space="preserve"> </w:t>
      </w:r>
      <w:r>
        <w:rPr>
          <w:rFonts w:hint="cs"/>
          <w:rtl/>
        </w:rPr>
        <w:t>החלה את תפקידה באופן מיידי.</w:t>
      </w:r>
    </w:p>
    <w:p w14:paraId="3C386913" w14:textId="77777777" w:rsidR="006609B1" w:rsidRDefault="006609B1">
      <w:pPr>
        <w:bidi w:val="0"/>
        <w:spacing w:after="200" w:line="276" w:lineRule="auto"/>
        <w:rPr>
          <w:rFonts w:ascii="Tahoma" w:hAnsi="Tahoma" w:cs="Tahoma"/>
          <w:szCs w:val="20"/>
          <w:rtl/>
        </w:rPr>
      </w:pPr>
      <w:r>
        <w:rPr>
          <w:rtl/>
        </w:rPr>
        <w:br w:type="page"/>
      </w:r>
    </w:p>
    <w:p w14:paraId="0E43D579" w14:textId="77777777" w:rsidR="00387987" w:rsidRDefault="00387987" w:rsidP="006609B1">
      <w:pPr>
        <w:pStyle w:val="af2"/>
        <w:rPr>
          <w:rtl/>
        </w:rPr>
      </w:pPr>
    </w:p>
    <w:p w14:paraId="73CD66D8" w14:textId="77777777" w:rsidR="00387987" w:rsidRDefault="00387987" w:rsidP="006609B1">
      <w:pPr>
        <w:pStyle w:val="af2"/>
        <w:rPr>
          <w:rtl/>
        </w:rPr>
      </w:pPr>
      <w:r>
        <w:rPr>
          <w:rFonts w:hint="cs"/>
          <w:rtl/>
        </w:rPr>
        <w:t xml:space="preserve">המבקרת הפנימית לשעבר הסבירה כי בהיעדר ועדת ביקורת, לא היה אורגן שאליו יכולה הייתה להגיש דוחות ביקורת. עוד הסבירה כי לאחר שמונתה ועדת ביקורת חדשה בשנת 2019, היא נפגשה עם חברי הוועדה וציינה לפניהם את האתגרים שעימם היא מתמודדת, לרבות היעדר תקציב, הצורך לבצע סקר סיכונים והכנת תוכניות עבודה שנתית ורב-שנתית. </w:t>
      </w:r>
    </w:p>
    <w:p w14:paraId="625C6677" w14:textId="77777777" w:rsidR="00387987" w:rsidRPr="00555E24" w:rsidRDefault="00387987" w:rsidP="0032765C">
      <w:pPr>
        <w:pStyle w:val="a1"/>
      </w:pPr>
      <w:r w:rsidRPr="0032765C">
        <w:rPr>
          <w:rStyle w:val="Heading5Char"/>
          <w:rFonts w:hint="cs"/>
          <w:color w:val="387026"/>
          <w:spacing w:val="0"/>
          <w:rtl/>
        </w:rPr>
        <w:t>המוסדות ובעלי התפקידים בלשכה:</w:t>
      </w:r>
      <w:r w:rsidRPr="0028627B">
        <w:rPr>
          <w:rFonts w:hint="cs"/>
          <w:rtl/>
        </w:rPr>
        <w:t xml:space="preserve"> חוק הביקורת הפנימית ונוהל הביקורת הפנימית של הלשכה מטילים </w:t>
      </w:r>
      <w:r>
        <w:rPr>
          <w:rFonts w:hint="cs"/>
          <w:rtl/>
        </w:rPr>
        <w:t>את ה</w:t>
      </w:r>
      <w:r w:rsidRPr="0028627B">
        <w:rPr>
          <w:rFonts w:hint="cs"/>
          <w:rtl/>
        </w:rPr>
        <w:t xml:space="preserve">אחריות למערך </w:t>
      </w:r>
      <w:r>
        <w:rPr>
          <w:rFonts w:hint="cs"/>
          <w:rtl/>
        </w:rPr>
        <w:t>ה</w:t>
      </w:r>
      <w:r w:rsidRPr="0028627B">
        <w:rPr>
          <w:rFonts w:hint="cs"/>
          <w:rtl/>
        </w:rPr>
        <w:t>ביקורת הפני</w:t>
      </w:r>
      <w:r>
        <w:rPr>
          <w:rFonts w:hint="cs"/>
          <w:rtl/>
        </w:rPr>
        <w:t>מית</w:t>
      </w:r>
      <w:r w:rsidRPr="0028627B">
        <w:rPr>
          <w:rFonts w:hint="cs"/>
          <w:rtl/>
        </w:rPr>
        <w:t xml:space="preserve"> על </w:t>
      </w:r>
      <w:r>
        <w:rPr>
          <w:rFonts w:hint="cs"/>
          <w:rtl/>
        </w:rPr>
        <w:t>ה</w:t>
      </w:r>
      <w:r w:rsidRPr="0028627B">
        <w:rPr>
          <w:rFonts w:hint="cs"/>
          <w:rtl/>
        </w:rPr>
        <w:t xml:space="preserve">גורמים </w:t>
      </w:r>
      <w:r>
        <w:rPr>
          <w:rFonts w:hint="cs"/>
          <w:rtl/>
        </w:rPr>
        <w:t>ה</w:t>
      </w:r>
      <w:r w:rsidRPr="0028627B">
        <w:rPr>
          <w:rFonts w:hint="cs"/>
          <w:rtl/>
        </w:rPr>
        <w:t>אלו בלשכת עורכי הדין: יו"ר המועצה הארצית, הוועד המרכזי, מנכ"ל הלשכה ו</w:t>
      </w:r>
      <w:r>
        <w:rPr>
          <w:rFonts w:hint="cs"/>
          <w:rtl/>
        </w:rPr>
        <w:t>יו"ר</w:t>
      </w:r>
      <w:r w:rsidRPr="0028627B">
        <w:rPr>
          <w:rFonts w:hint="cs"/>
          <w:rtl/>
        </w:rPr>
        <w:t xml:space="preserve"> הלשכה. עליהם לקבל החלטות שיבטיחו פעולה מקצועית ותקינה של מערך הביקורת הפנימית, לקבל דיווח על ממצאי הביקורת, לדון בהם ולערוך מעקב אחר תיקון הליקויים</w:t>
      </w:r>
      <w:r>
        <w:rPr>
          <w:rFonts w:hint="cs"/>
          <w:rtl/>
        </w:rPr>
        <w:t>.</w:t>
      </w:r>
    </w:p>
    <w:p w14:paraId="13F71471" w14:textId="77777777" w:rsidR="00387987" w:rsidRPr="00EB315E" w:rsidRDefault="00387987" w:rsidP="00F563CD">
      <w:pPr>
        <w:pStyle w:val="af3"/>
        <w:rPr>
          <w:rtl/>
        </w:rPr>
      </w:pPr>
      <w:r w:rsidRPr="008F72EC">
        <w:rPr>
          <w:rFonts w:hint="cs"/>
          <w:rtl/>
        </w:rPr>
        <w:t>בשנים</w:t>
      </w:r>
      <w:r>
        <w:rPr>
          <w:rFonts w:hint="cs"/>
          <w:rtl/>
        </w:rPr>
        <w:t xml:space="preserve"> 2012 עד 2019,</w:t>
      </w:r>
      <w:r w:rsidRPr="008F72EC">
        <w:rPr>
          <w:rFonts w:hint="cs"/>
          <w:rtl/>
        </w:rPr>
        <w:t xml:space="preserve"> מערך </w:t>
      </w:r>
      <w:r>
        <w:rPr>
          <w:rFonts w:hint="cs"/>
          <w:rtl/>
        </w:rPr>
        <w:t>ה</w:t>
      </w:r>
      <w:r w:rsidRPr="008F72EC">
        <w:rPr>
          <w:rFonts w:hint="cs"/>
          <w:rtl/>
        </w:rPr>
        <w:t xml:space="preserve">ביקורת </w:t>
      </w:r>
      <w:r>
        <w:rPr>
          <w:rFonts w:hint="cs"/>
          <w:rtl/>
        </w:rPr>
        <w:t>ה</w:t>
      </w:r>
      <w:r w:rsidRPr="008F72EC">
        <w:rPr>
          <w:rFonts w:hint="cs"/>
          <w:rtl/>
        </w:rPr>
        <w:t>פני</w:t>
      </w:r>
      <w:r>
        <w:rPr>
          <w:rFonts w:hint="cs"/>
          <w:rtl/>
        </w:rPr>
        <w:t>מית</w:t>
      </w:r>
      <w:r w:rsidRPr="008F72EC">
        <w:rPr>
          <w:rFonts w:hint="cs"/>
          <w:rtl/>
        </w:rPr>
        <w:t xml:space="preserve"> בלשכת עורכי הדין </w:t>
      </w:r>
      <w:r>
        <w:rPr>
          <w:rFonts w:hint="cs"/>
          <w:rtl/>
        </w:rPr>
        <w:t xml:space="preserve">תפקד באופן חלקי: לא אושרה תוכנית עבודה שנתית של הביקורת הפנימית, הוגשו מעט דוחות ביקורת פנימית ולא מונתה ועדת ביקורת. ליקויים אלה </w:t>
      </w:r>
      <w:r w:rsidRPr="00EB315E">
        <w:rPr>
          <w:rFonts w:hint="cs"/>
          <w:rtl/>
        </w:rPr>
        <w:t>הי</w:t>
      </w:r>
      <w:r>
        <w:rPr>
          <w:rFonts w:hint="cs"/>
          <w:rtl/>
        </w:rPr>
        <w:t>ו</w:t>
      </w:r>
      <w:r w:rsidRPr="00EB315E">
        <w:rPr>
          <w:rFonts w:hint="cs"/>
          <w:rtl/>
        </w:rPr>
        <w:t xml:space="preserve"> ידוע</w:t>
      </w:r>
      <w:r>
        <w:rPr>
          <w:rFonts w:hint="cs"/>
          <w:rtl/>
        </w:rPr>
        <w:t>ים</w:t>
      </w:r>
      <w:r w:rsidRPr="00EB315E">
        <w:rPr>
          <w:rFonts w:hint="cs"/>
          <w:rtl/>
        </w:rPr>
        <w:t xml:space="preserve"> </w:t>
      </w:r>
      <w:r>
        <w:rPr>
          <w:rFonts w:hint="cs"/>
          <w:rtl/>
        </w:rPr>
        <w:t>במשך</w:t>
      </w:r>
      <w:r w:rsidRPr="00EB315E">
        <w:rPr>
          <w:rFonts w:hint="cs"/>
          <w:rtl/>
        </w:rPr>
        <w:t xml:space="preserve"> השנים למוסדות ו</w:t>
      </w:r>
      <w:r>
        <w:rPr>
          <w:rFonts w:hint="cs"/>
          <w:rtl/>
        </w:rPr>
        <w:t>ל</w:t>
      </w:r>
      <w:r w:rsidRPr="00EB315E">
        <w:rPr>
          <w:rFonts w:hint="cs"/>
          <w:rtl/>
        </w:rPr>
        <w:t>בעלי תפקיד</w:t>
      </w:r>
      <w:r>
        <w:rPr>
          <w:rFonts w:hint="cs"/>
          <w:rtl/>
        </w:rPr>
        <w:t>ים</w:t>
      </w:r>
      <w:r w:rsidRPr="00EB315E">
        <w:rPr>
          <w:rFonts w:hint="cs"/>
          <w:rtl/>
        </w:rPr>
        <w:t xml:space="preserve"> בלשכה</w:t>
      </w:r>
      <w:r>
        <w:rPr>
          <w:rFonts w:hint="cs"/>
          <w:rtl/>
        </w:rPr>
        <w:t>, והמידע בנושא אף</w:t>
      </w:r>
      <w:r w:rsidRPr="00EB315E">
        <w:rPr>
          <w:rFonts w:hint="cs"/>
          <w:rtl/>
        </w:rPr>
        <w:t xml:space="preserve"> על</w:t>
      </w:r>
      <w:r>
        <w:rPr>
          <w:rFonts w:hint="cs"/>
          <w:rtl/>
        </w:rPr>
        <w:t>ה</w:t>
      </w:r>
      <w:r w:rsidRPr="00EB315E">
        <w:rPr>
          <w:rFonts w:hint="cs"/>
          <w:rtl/>
        </w:rPr>
        <w:t xml:space="preserve"> בצורה ברורה ונוקבת בישיבות המועצה הארצית והוועד המרכזי</w:t>
      </w:r>
      <w:r>
        <w:rPr>
          <w:rFonts w:hint="cs"/>
          <w:rtl/>
        </w:rPr>
        <w:t xml:space="preserve">, אולם הגורמים הללו לא נקטו פעולות בתחום זה. </w:t>
      </w:r>
    </w:p>
    <w:p w14:paraId="5CB985F7" w14:textId="77777777" w:rsidR="00387987" w:rsidRDefault="00387987" w:rsidP="00F563CD">
      <w:pPr>
        <w:pStyle w:val="af3"/>
        <w:rPr>
          <w:rtl/>
        </w:rPr>
      </w:pPr>
      <w:r>
        <w:rPr>
          <w:rFonts w:hint="cs"/>
          <w:rtl/>
        </w:rPr>
        <w:t xml:space="preserve">האחריות לביקורת הפנימית בלשכה מבוזרת בין כמה בעלי תפקידים: יו"ר </w:t>
      </w:r>
      <w:r w:rsidRPr="008F72EC">
        <w:rPr>
          <w:rFonts w:hint="cs"/>
          <w:rtl/>
        </w:rPr>
        <w:t>המועצה הארצית,</w:t>
      </w:r>
      <w:r>
        <w:rPr>
          <w:rFonts w:hint="cs"/>
          <w:rtl/>
        </w:rPr>
        <w:t xml:space="preserve"> </w:t>
      </w:r>
      <w:r w:rsidRPr="008F72EC">
        <w:rPr>
          <w:rFonts w:hint="cs"/>
          <w:rtl/>
        </w:rPr>
        <w:t>מנכ"ל הלשכה ו</w:t>
      </w:r>
      <w:r>
        <w:rPr>
          <w:rFonts w:hint="cs"/>
          <w:rtl/>
        </w:rPr>
        <w:t>ר</w:t>
      </w:r>
      <w:r w:rsidRPr="008F72EC">
        <w:rPr>
          <w:rFonts w:hint="cs"/>
          <w:rtl/>
        </w:rPr>
        <w:t>אש הלשכה</w:t>
      </w:r>
      <w:r>
        <w:rPr>
          <w:rFonts w:hint="cs"/>
          <w:rtl/>
        </w:rPr>
        <w:t>.</w:t>
      </w:r>
      <w:r w:rsidRPr="001C6406">
        <w:rPr>
          <w:rFonts w:hint="cs"/>
          <w:rtl/>
        </w:rPr>
        <w:t xml:space="preserve"> </w:t>
      </w:r>
      <w:r>
        <w:rPr>
          <w:rFonts w:hint="cs"/>
          <w:rtl/>
        </w:rPr>
        <w:t>גורמים אלה לא עשו דבר כדי להבטיח את פעילותו המיטבית של אחד משומרי הסף המרכזיים של הלשכה. על הלשכה לבחון כיצד ניתן לייעל את פעילות מערך הביקורת הפנימית והאחראים לו.</w:t>
      </w:r>
    </w:p>
    <w:p w14:paraId="64D3F298" w14:textId="77777777" w:rsidR="00387987" w:rsidRPr="00E91BD3" w:rsidRDefault="00387987" w:rsidP="00F563CD">
      <w:pPr>
        <w:pStyle w:val="100"/>
        <w:rPr>
          <w:rtl/>
        </w:rPr>
      </w:pPr>
      <w:r w:rsidRPr="00E91BD3">
        <w:rPr>
          <w:rFonts w:hint="cs"/>
          <w:rtl/>
        </w:rPr>
        <w:t>בת</w:t>
      </w:r>
      <w:r>
        <w:rPr>
          <w:rFonts w:hint="cs"/>
          <w:rtl/>
        </w:rPr>
        <w:t>שו</w:t>
      </w:r>
      <w:r w:rsidRPr="00E91BD3">
        <w:rPr>
          <w:rFonts w:hint="cs"/>
          <w:rtl/>
        </w:rPr>
        <w:t xml:space="preserve">בתה לביקורת </w:t>
      </w:r>
      <w:r>
        <w:rPr>
          <w:rFonts w:hint="cs"/>
          <w:rtl/>
        </w:rPr>
        <w:t xml:space="preserve">הודיעה </w:t>
      </w:r>
      <w:r w:rsidRPr="00E91BD3">
        <w:rPr>
          <w:rFonts w:hint="cs"/>
          <w:rtl/>
        </w:rPr>
        <w:t xml:space="preserve">הלשכה כי </w:t>
      </w:r>
      <w:r>
        <w:rPr>
          <w:rFonts w:hint="cs"/>
          <w:rtl/>
        </w:rPr>
        <w:t>בדצמבר 2019 אישרה המועצה את מינויו של מבקר פנימי חדש שהחל את עבודתו בינואר 2020</w:t>
      </w:r>
      <w:r w:rsidRPr="00E91BD3">
        <w:rPr>
          <w:rFonts w:hint="cs"/>
          <w:rtl/>
        </w:rPr>
        <w:t>.</w:t>
      </w:r>
      <w:r>
        <w:rPr>
          <w:rFonts w:hint="cs"/>
          <w:rtl/>
        </w:rPr>
        <w:t xml:space="preserve"> </w:t>
      </w:r>
    </w:p>
    <w:p w14:paraId="7688C71F" w14:textId="77777777" w:rsidR="00387987" w:rsidRPr="00F32256" w:rsidRDefault="00387987" w:rsidP="00F563CD">
      <w:pPr>
        <w:pStyle w:val="af3"/>
        <w:rPr>
          <w:rtl/>
        </w:rPr>
      </w:pPr>
      <w:r w:rsidRPr="005E1308">
        <w:rPr>
          <w:rtl/>
        </w:rPr>
        <w:t xml:space="preserve">על הלשכה לפעול עם ועדת הביקורת, </w:t>
      </w:r>
      <w:r>
        <w:rPr>
          <w:rFonts w:hint="cs"/>
          <w:rtl/>
        </w:rPr>
        <w:t>ה</w:t>
      </w:r>
      <w:r w:rsidRPr="005E1308">
        <w:rPr>
          <w:rtl/>
        </w:rPr>
        <w:t>מבקר הפני</w:t>
      </w:r>
      <w:r>
        <w:rPr>
          <w:rFonts w:hint="cs"/>
          <w:rtl/>
        </w:rPr>
        <w:t>מי</w:t>
      </w:r>
      <w:r w:rsidRPr="005E1308">
        <w:rPr>
          <w:rtl/>
        </w:rPr>
        <w:t xml:space="preserve"> </w:t>
      </w:r>
      <w:r>
        <w:rPr>
          <w:rFonts w:hint="cs"/>
          <w:rtl/>
        </w:rPr>
        <w:t xml:space="preserve">החדש </w:t>
      </w:r>
      <w:r w:rsidRPr="005E1308">
        <w:rPr>
          <w:rtl/>
        </w:rPr>
        <w:t>של הלשכה ומוסדות הלשכה</w:t>
      </w:r>
      <w:r>
        <w:rPr>
          <w:rtl/>
        </w:rPr>
        <w:t xml:space="preserve"> לשיקום מערך הביקורת הפנימית</w:t>
      </w:r>
      <w:r w:rsidRPr="00E57FAB">
        <w:rPr>
          <w:rtl/>
        </w:rPr>
        <w:t xml:space="preserve">. </w:t>
      </w:r>
      <w:r w:rsidRPr="00E57FAB">
        <w:rPr>
          <w:rFonts w:hint="eastAsia"/>
          <w:rtl/>
        </w:rPr>
        <w:t>יישום</w:t>
      </w:r>
      <w:r w:rsidRPr="00E57FAB">
        <w:rPr>
          <w:rtl/>
        </w:rPr>
        <w:t xml:space="preserve"> המלצה זו יסייע לקיים ביקורת פנימית </w:t>
      </w:r>
      <w:r>
        <w:rPr>
          <w:rFonts w:hint="cs"/>
          <w:rtl/>
        </w:rPr>
        <w:t>אפקטיבית</w:t>
      </w:r>
      <w:r w:rsidRPr="00E57FAB">
        <w:rPr>
          <w:rtl/>
        </w:rPr>
        <w:t xml:space="preserve"> המכסה את כל הסיכונים המהותיים בארגון. </w:t>
      </w:r>
    </w:p>
    <w:p w14:paraId="26A26AFB" w14:textId="77777777" w:rsidR="00F563CD" w:rsidRDefault="00F563CD">
      <w:pPr>
        <w:bidi w:val="0"/>
        <w:spacing w:after="200" w:line="276" w:lineRule="auto"/>
        <w:rPr>
          <w:rFonts w:ascii="Arial Bold" w:eastAsia="Times New Roman" w:hAnsi="Arial Bold" w:cs="Tahoma"/>
          <w:color w:val="365F91"/>
          <w:sz w:val="36"/>
          <w:szCs w:val="36"/>
          <w:rtl/>
        </w:rPr>
      </w:pPr>
      <w:bookmarkStart w:id="40" w:name="_Toc23159791"/>
      <w:r>
        <w:rPr>
          <w:rtl/>
        </w:rPr>
        <w:br w:type="page"/>
      </w:r>
    </w:p>
    <w:p w14:paraId="13F5FB53" w14:textId="0669DF26" w:rsidR="00387987" w:rsidRDefault="00387987" w:rsidP="00F563CD">
      <w:pPr>
        <w:pStyle w:val="218"/>
        <w:rPr>
          <w:rtl/>
        </w:rPr>
      </w:pPr>
      <w:r>
        <w:rPr>
          <w:rFonts w:hint="cs"/>
          <w:rtl/>
        </w:rPr>
        <w:t>החברה הכלכלית של לשכת עורכי הדין בע"מ</w:t>
      </w:r>
      <w:bookmarkEnd w:id="40"/>
    </w:p>
    <w:p w14:paraId="395442E3" w14:textId="0A0D3C15" w:rsidR="00387987" w:rsidRPr="00F563CD" w:rsidRDefault="00387987" w:rsidP="00F563CD">
      <w:pPr>
        <w:pStyle w:val="a1"/>
        <w:numPr>
          <w:ilvl w:val="0"/>
          <w:numId w:val="24"/>
        </w:numPr>
        <w:rPr>
          <w:color w:val="000000"/>
          <w:sz w:val="24"/>
          <w:rtl/>
        </w:rPr>
      </w:pPr>
      <w:r w:rsidRPr="00E52A5B">
        <w:rPr>
          <w:rFonts w:hint="cs"/>
          <w:rtl/>
        </w:rPr>
        <w:t xml:space="preserve">בשנת </w:t>
      </w:r>
      <w:r>
        <w:rPr>
          <w:rFonts w:hint="cs"/>
          <w:rtl/>
        </w:rPr>
        <w:t>1995</w:t>
      </w:r>
      <w:r w:rsidRPr="00E52A5B">
        <w:rPr>
          <w:rFonts w:hint="cs"/>
          <w:rtl/>
        </w:rPr>
        <w:t xml:space="preserve"> הקימה לשכת עורכי הדין חברה מוגבלת במניות בשם "ההוצאה לאור של לשכת עורכי הדין" </w:t>
      </w:r>
      <w:r>
        <w:rPr>
          <w:rFonts w:hint="cs"/>
          <w:rtl/>
        </w:rPr>
        <w:t xml:space="preserve">והיא הבעלים של כל מניות החברה. במרץ 2014 שונה שמה של החברה ל"החברה הכלכלית של לשכת עורכי הדין בע"מ". בדצמבר 2018 הועסקו </w:t>
      </w:r>
      <w:r w:rsidRPr="00032E69">
        <w:rPr>
          <w:rFonts w:hint="cs"/>
          <w:rtl/>
        </w:rPr>
        <w:t xml:space="preserve">בחברה </w:t>
      </w:r>
      <w:r>
        <w:rPr>
          <w:rFonts w:hint="cs"/>
          <w:rtl/>
        </w:rPr>
        <w:t xml:space="preserve">הכלכלית 57 </w:t>
      </w:r>
      <w:r w:rsidRPr="00032E69">
        <w:rPr>
          <w:rFonts w:hint="cs"/>
          <w:rtl/>
        </w:rPr>
        <w:t>עובדים</w:t>
      </w:r>
      <w:r>
        <w:rPr>
          <w:rStyle w:val="FootnoteReference"/>
          <w:rtl/>
        </w:rPr>
        <w:footnoteReference w:id="91"/>
      </w:r>
      <w:r>
        <w:rPr>
          <w:rFonts w:hint="cs"/>
          <w:rtl/>
        </w:rPr>
        <w:t xml:space="preserve">. </w:t>
      </w:r>
    </w:p>
    <w:p w14:paraId="63825633" w14:textId="77777777" w:rsidR="00387987" w:rsidRDefault="00387987" w:rsidP="00F563CD">
      <w:pPr>
        <w:pStyle w:val="af2"/>
      </w:pPr>
      <w:r w:rsidRPr="00834D23">
        <w:rPr>
          <w:rFonts w:hint="cs"/>
          <w:rtl/>
        </w:rPr>
        <w:t xml:space="preserve">החברה מציעה לקהילה המשפטית </w:t>
      </w:r>
      <w:r>
        <w:rPr>
          <w:rFonts w:hint="cs"/>
          <w:rtl/>
        </w:rPr>
        <w:t>כמה</w:t>
      </w:r>
      <w:r w:rsidRPr="00834D23">
        <w:rPr>
          <w:rFonts w:hint="cs"/>
          <w:rtl/>
        </w:rPr>
        <w:t xml:space="preserve"> מוצרים</w:t>
      </w:r>
      <w:r>
        <w:rPr>
          <w:rStyle w:val="FootnoteReference"/>
          <w:color w:val="000000"/>
          <w:sz w:val="24"/>
          <w:rtl/>
        </w:rPr>
        <w:footnoteReference w:id="92"/>
      </w:r>
      <w:r w:rsidRPr="00834D23">
        <w:rPr>
          <w:rFonts w:hint="cs"/>
          <w:rtl/>
        </w:rPr>
        <w:t xml:space="preserve">: </w:t>
      </w:r>
    </w:p>
    <w:p w14:paraId="036A18ED" w14:textId="77777777" w:rsidR="00387987" w:rsidRPr="00F563CD" w:rsidRDefault="00387987" w:rsidP="00F563CD">
      <w:pPr>
        <w:pStyle w:val="a4"/>
      </w:pPr>
      <w:r w:rsidRPr="00F563CD">
        <w:rPr>
          <w:rFonts w:hint="cs"/>
          <w:rtl/>
        </w:rPr>
        <w:t>"המתמחה" - קורסי הכנה של מתמחים לבחינות ההסמכה של לשכת עורכי הדין וערכות לימוד תומכות.</w:t>
      </w:r>
    </w:p>
    <w:p w14:paraId="184AE1F0" w14:textId="77777777" w:rsidR="00387987" w:rsidRPr="00F563CD" w:rsidRDefault="00387987" w:rsidP="00F563CD">
      <w:pPr>
        <w:pStyle w:val="a4"/>
      </w:pPr>
      <w:r w:rsidRPr="00F563CD">
        <w:rPr>
          <w:rFonts w:hint="cs"/>
          <w:rtl/>
        </w:rPr>
        <w:t>מוצרי ההוצאה לאור - הוצאת ספרים של ספרות משפטית מקצועית.</w:t>
      </w:r>
    </w:p>
    <w:p w14:paraId="0BCA839D" w14:textId="77777777" w:rsidR="00387987" w:rsidRPr="00F563CD" w:rsidRDefault="00387987" w:rsidP="00F563CD">
      <w:pPr>
        <w:pStyle w:val="a4"/>
      </w:pPr>
      <w:r w:rsidRPr="00F563CD">
        <w:rPr>
          <w:rFonts w:hint="cs"/>
          <w:rtl/>
        </w:rPr>
        <w:t>תוכנת הפדאו"ר - תוכנה משפטית לאחזור מידע.</w:t>
      </w:r>
    </w:p>
    <w:p w14:paraId="7327E630" w14:textId="641D06D4" w:rsidR="00387987" w:rsidRPr="00F563CD" w:rsidRDefault="00387987" w:rsidP="00F563CD">
      <w:pPr>
        <w:pStyle w:val="a4"/>
      </w:pPr>
      <w:r w:rsidRPr="00F563CD">
        <w:rPr>
          <w:rFonts w:hint="cs"/>
          <w:rtl/>
        </w:rPr>
        <w:t xml:space="preserve">כרטיס חכם שבעזרתו מתחברים עורכי דין למערכת הממוחשבת של בתי המשפט. </w:t>
      </w:r>
    </w:p>
    <w:p w14:paraId="696CEDB3" w14:textId="77777777" w:rsidR="00387987" w:rsidRDefault="00387987" w:rsidP="00F563CD">
      <w:pPr>
        <w:pStyle w:val="af2"/>
        <w:rPr>
          <w:rtl/>
        </w:rPr>
      </w:pPr>
      <w:r w:rsidRPr="00C359A7">
        <w:rPr>
          <w:rFonts w:hint="cs"/>
          <w:rtl/>
        </w:rPr>
        <w:t xml:space="preserve">בשנת 2015 החלה החברה לפתח מנוע חיפוש ממוחשב </w:t>
      </w:r>
      <w:r>
        <w:rPr>
          <w:rFonts w:hint="cs"/>
          <w:rtl/>
        </w:rPr>
        <w:t>לפסקי דין וכתבים משפטיים אחרים</w:t>
      </w:r>
      <w:r w:rsidRPr="00C359A7">
        <w:rPr>
          <w:rFonts w:hint="cs"/>
          <w:rtl/>
        </w:rPr>
        <w:t xml:space="preserve"> המיועד לעורכי דין, מתמחים וסטודנטים למשפטים. על פי התכנון המקורי </w:t>
      </w:r>
      <w:r>
        <w:rPr>
          <w:rFonts w:hint="cs"/>
          <w:rtl/>
        </w:rPr>
        <w:t>נקבעה</w:t>
      </w:r>
      <w:r w:rsidRPr="00C359A7">
        <w:rPr>
          <w:rFonts w:hint="cs"/>
          <w:rtl/>
        </w:rPr>
        <w:t xml:space="preserve"> השקת גרסת בטא</w:t>
      </w:r>
      <w:r>
        <w:rPr>
          <w:rStyle w:val="FootnoteReference"/>
          <w:color w:val="000000"/>
          <w:sz w:val="24"/>
          <w:rtl/>
        </w:rPr>
        <w:footnoteReference w:id="93"/>
      </w:r>
      <w:r w:rsidRPr="00C359A7">
        <w:rPr>
          <w:rFonts w:hint="cs"/>
          <w:rtl/>
        </w:rPr>
        <w:t xml:space="preserve"> של המוצר לבודקים חיצוניים לדצמבר 2016, והשקת הגרסה המסחרית הראשונה של המוצר למאי 2017. </w:t>
      </w:r>
    </w:p>
    <w:p w14:paraId="64F71545" w14:textId="77777777" w:rsidR="00387987" w:rsidRDefault="00387987" w:rsidP="00F563CD">
      <w:pPr>
        <w:pStyle w:val="af2"/>
        <w:rPr>
          <w:rtl/>
        </w:rPr>
      </w:pPr>
      <w:r>
        <w:rPr>
          <w:rFonts w:hint="cs"/>
          <w:rtl/>
        </w:rPr>
        <w:t xml:space="preserve">לאחר שהחברה השקיעה במוצר מכספה כ- 3 מיליון ש"ח, לא הייתה לה יכולת </w:t>
      </w:r>
      <w:r w:rsidRPr="00C359A7">
        <w:rPr>
          <w:rFonts w:hint="cs"/>
          <w:rtl/>
        </w:rPr>
        <w:t>מימון להמשך הפרויקט</w:t>
      </w:r>
      <w:r>
        <w:rPr>
          <w:rFonts w:hint="cs"/>
          <w:rtl/>
        </w:rPr>
        <w:t>. החברה</w:t>
      </w:r>
      <w:r w:rsidRPr="00C359A7">
        <w:rPr>
          <w:rFonts w:hint="cs"/>
          <w:rtl/>
        </w:rPr>
        <w:t xml:space="preserve"> </w:t>
      </w:r>
      <w:r>
        <w:rPr>
          <w:rFonts w:hint="cs"/>
          <w:rtl/>
        </w:rPr>
        <w:t xml:space="preserve">נאלצה </w:t>
      </w:r>
      <w:r w:rsidRPr="00C359A7">
        <w:rPr>
          <w:rFonts w:hint="cs"/>
          <w:rtl/>
        </w:rPr>
        <w:t>לפנות ללשכת עורכי הדין בבקש</w:t>
      </w:r>
      <w:r>
        <w:rPr>
          <w:rFonts w:hint="cs"/>
          <w:rtl/>
        </w:rPr>
        <w:t>ה</w:t>
      </w:r>
      <w:r w:rsidRPr="00C359A7">
        <w:rPr>
          <w:rFonts w:hint="cs"/>
          <w:rtl/>
        </w:rPr>
        <w:t xml:space="preserve"> </w:t>
      </w:r>
      <w:r>
        <w:rPr>
          <w:rFonts w:hint="cs"/>
          <w:rtl/>
        </w:rPr>
        <w:t>ל</w:t>
      </w:r>
      <w:r w:rsidRPr="00C359A7">
        <w:rPr>
          <w:rFonts w:hint="cs"/>
          <w:rtl/>
        </w:rPr>
        <w:t>ממן</w:t>
      </w:r>
      <w:r>
        <w:rPr>
          <w:rFonts w:hint="cs"/>
          <w:rtl/>
        </w:rPr>
        <w:t xml:space="preserve"> 1.4 מיליון ש"ח בפרויקט </w:t>
      </w:r>
      <w:r w:rsidRPr="00C359A7">
        <w:rPr>
          <w:rFonts w:hint="cs"/>
          <w:rtl/>
        </w:rPr>
        <w:t>ולשלב משקיע חיצוני בפרויקט</w:t>
      </w:r>
      <w:r>
        <w:rPr>
          <w:rFonts w:hint="cs"/>
          <w:rtl/>
        </w:rPr>
        <w:t xml:space="preserve"> שיישא ביתרת ההשקעה הצפויה עד לסיומו. לבסוף, הושקה </w:t>
      </w:r>
      <w:r w:rsidRPr="00C359A7">
        <w:rPr>
          <w:rFonts w:hint="cs"/>
          <w:rtl/>
        </w:rPr>
        <w:t>גרסת הבטא בפברואר 2017</w:t>
      </w:r>
      <w:r>
        <w:rPr>
          <w:rFonts w:hint="cs"/>
          <w:rtl/>
        </w:rPr>
        <w:t xml:space="preserve">. במועד סיום הביקורת הפרויקט נמצא במרכזו של סכסוך משפטי. </w:t>
      </w:r>
    </w:p>
    <w:p w14:paraId="500EBED1" w14:textId="77777777" w:rsidR="00387987" w:rsidRDefault="00387987" w:rsidP="00A47902">
      <w:pPr>
        <w:pStyle w:val="a1"/>
      </w:pPr>
      <w:r>
        <w:rPr>
          <w:rFonts w:hint="cs"/>
          <w:rtl/>
        </w:rPr>
        <w:t xml:space="preserve">בכל חברה שלושה אורגנים מרכזיים: המנהל הכללי של החברה, הדירקטוריון, ואסיפת בעלי </w:t>
      </w:r>
      <w:r w:rsidRPr="00E41B8E">
        <w:rPr>
          <w:rFonts w:hint="cs"/>
          <w:rtl/>
        </w:rPr>
        <w:t>מניות של החברה (האסיפה הכללית)</w:t>
      </w:r>
      <w:r>
        <w:rPr>
          <w:rFonts w:hint="cs"/>
          <w:rtl/>
        </w:rPr>
        <w:t>.</w:t>
      </w:r>
      <w:r w:rsidRPr="00E41B8E">
        <w:rPr>
          <w:rFonts w:hint="cs"/>
          <w:rtl/>
        </w:rPr>
        <w:t xml:space="preserve"> </w:t>
      </w:r>
      <w:r w:rsidRPr="00772E90">
        <w:rPr>
          <w:rFonts w:hint="cs"/>
          <w:rtl/>
        </w:rPr>
        <w:t xml:space="preserve">אורגנים אלו נושאים באחריות לתפקוד החברה שכן </w:t>
      </w:r>
      <w:r>
        <w:rPr>
          <w:rtl/>
        </w:rPr>
        <w:t xml:space="preserve">חוק החברות, התשנ"ט-1999 (להלן - חוק החברות), </w:t>
      </w:r>
      <w:r w:rsidRPr="00772E90">
        <w:rPr>
          <w:rFonts w:hint="cs"/>
          <w:rtl/>
        </w:rPr>
        <w:t xml:space="preserve">קובע </w:t>
      </w:r>
      <w:r>
        <w:rPr>
          <w:rFonts w:hint="cs"/>
          <w:rtl/>
        </w:rPr>
        <w:t xml:space="preserve">בין היתר </w:t>
      </w:r>
      <w:r w:rsidRPr="00772E90">
        <w:rPr>
          <w:rFonts w:hint="cs"/>
          <w:rtl/>
        </w:rPr>
        <w:t>ש</w:t>
      </w:r>
      <w:r w:rsidRPr="00772E90">
        <w:rPr>
          <w:rFonts w:ascii="FrankRuehl" w:hAnsi="FrankRuehl"/>
          <w:rtl/>
        </w:rPr>
        <w:t>פעולותיו של אורגן וכוונותיו הן פעולותיה של החברה וכוונותיה</w:t>
      </w:r>
      <w:r w:rsidRPr="00E41B8E">
        <w:rPr>
          <w:rFonts w:hint="cs"/>
          <w:rtl/>
        </w:rPr>
        <w:t>.</w:t>
      </w:r>
      <w:r>
        <w:rPr>
          <w:rFonts w:hint="cs"/>
          <w:rtl/>
        </w:rPr>
        <w:t xml:space="preserve"> </w:t>
      </w:r>
    </w:p>
    <w:p w14:paraId="0834A098" w14:textId="77777777" w:rsidR="00387987" w:rsidRPr="00FF4430" w:rsidRDefault="00387987" w:rsidP="00A47902">
      <w:pPr>
        <w:pStyle w:val="af2"/>
        <w:rPr>
          <w:rtl/>
        </w:rPr>
      </w:pPr>
      <w:r>
        <w:rPr>
          <w:rFonts w:ascii="FrankRuehl" w:hAnsi="FrankRuehl" w:hint="cs"/>
          <w:color w:val="000000"/>
          <w:sz w:val="24"/>
          <w:rtl/>
        </w:rPr>
        <w:t>על פי חוק החברות, המנכ"ל</w:t>
      </w:r>
      <w:r w:rsidRPr="00E41B8E">
        <w:rPr>
          <w:rFonts w:ascii="FrankRuehl" w:hAnsi="FrankRuehl"/>
          <w:color w:val="000000"/>
          <w:sz w:val="24"/>
          <w:rtl/>
        </w:rPr>
        <w:t xml:space="preserve"> אחראי לניהול השוטף של עני</w:t>
      </w:r>
      <w:r>
        <w:rPr>
          <w:rFonts w:ascii="FrankRuehl" w:hAnsi="FrankRuehl" w:hint="cs"/>
          <w:color w:val="000000"/>
          <w:sz w:val="24"/>
          <w:rtl/>
        </w:rPr>
        <w:t>י</w:t>
      </w:r>
      <w:r w:rsidRPr="00E41B8E">
        <w:rPr>
          <w:rFonts w:ascii="FrankRuehl" w:hAnsi="FrankRuehl"/>
          <w:color w:val="000000"/>
          <w:sz w:val="24"/>
          <w:rtl/>
        </w:rPr>
        <w:t>ני החברה במסגרת המדיניות שקבע הדירקטוריון וכפוף להנחיותי</w:t>
      </w:r>
      <w:r w:rsidRPr="00E41B8E">
        <w:rPr>
          <w:rFonts w:ascii="FrankRuehl" w:hAnsi="FrankRuehl" w:hint="cs"/>
          <w:color w:val="000000"/>
          <w:sz w:val="24"/>
          <w:rtl/>
        </w:rPr>
        <w:t>ו.</w:t>
      </w:r>
      <w:r w:rsidRPr="00E41B8E">
        <w:rPr>
          <w:rFonts w:hint="cs"/>
          <w:rtl/>
        </w:rPr>
        <w:t xml:space="preserve"> דירקטוריון החברה אחראי לפקח על ביצועי </w:t>
      </w:r>
      <w:r>
        <w:rPr>
          <w:rFonts w:hint="cs"/>
          <w:rtl/>
        </w:rPr>
        <w:t>המנכ"ל</w:t>
      </w:r>
      <w:r w:rsidRPr="00E41B8E">
        <w:rPr>
          <w:rFonts w:hint="cs"/>
          <w:rtl/>
        </w:rPr>
        <w:t xml:space="preserve"> ופעולותיו ולבדוק את מצבה הכספי של החברה</w:t>
      </w:r>
      <w:r w:rsidRPr="00E41B8E">
        <w:rPr>
          <w:rtl/>
        </w:rPr>
        <w:t>.</w:t>
      </w:r>
      <w:r w:rsidRPr="00E41B8E">
        <w:rPr>
          <w:rFonts w:hint="cs"/>
          <w:rtl/>
        </w:rPr>
        <w:t xml:space="preserve"> האסיפה ה</w:t>
      </w:r>
      <w:r>
        <w:rPr>
          <w:rFonts w:hint="cs"/>
          <w:rtl/>
        </w:rPr>
        <w:t>כללית בחברה ממנה את הדירקטוריון.</w:t>
      </w:r>
      <w:r w:rsidRPr="00E41B8E">
        <w:rPr>
          <w:rFonts w:hint="cs"/>
          <w:rtl/>
        </w:rPr>
        <w:t xml:space="preserve"> בחברה הכלכלית</w:t>
      </w:r>
      <w:r>
        <w:rPr>
          <w:rFonts w:hint="cs"/>
          <w:rtl/>
        </w:rPr>
        <w:t xml:space="preserve"> </w:t>
      </w:r>
      <w:r w:rsidRPr="00E41B8E">
        <w:rPr>
          <w:rFonts w:hint="cs"/>
          <w:rtl/>
        </w:rPr>
        <w:t>האסיפה הכללית היא הוועד המרכזי של לשכת עורכי הדין</w:t>
      </w:r>
      <w:r>
        <w:rPr>
          <w:rStyle w:val="FootnoteReference"/>
          <w:rtl/>
        </w:rPr>
        <w:footnoteReference w:id="94"/>
      </w:r>
      <w:r w:rsidRPr="00E41B8E">
        <w:rPr>
          <w:rFonts w:hint="cs"/>
          <w:rtl/>
        </w:rPr>
        <w:t xml:space="preserve">. </w:t>
      </w:r>
    </w:p>
    <w:p w14:paraId="67FFC02B" w14:textId="77777777" w:rsidR="00387987" w:rsidRDefault="00387987" w:rsidP="00A47902">
      <w:pPr>
        <w:pStyle w:val="af2"/>
        <w:rPr>
          <w:rtl/>
        </w:rPr>
      </w:pPr>
      <w:bookmarkStart w:id="41" w:name="Rov869"/>
      <w:bookmarkEnd w:id="41"/>
      <w:r>
        <w:rPr>
          <w:rFonts w:hint="cs"/>
          <w:rtl/>
        </w:rPr>
        <w:t>הביקורת בחנה כמה היבטים בפעילות החברה משנת 2015 ועד מרץ 2019 בנושאים הבאים: מהימנות המידע החשבונאי בחברה; אישור דוחות כספיים; תוכניות עבודה בחברה; ביצוע תוכניות ההתייעלות בחברה; פעולות הדירקטוריון לפיקוח על פעילות החברה. בתקופה הנבחנת בביקורת כיהנו שני דירקטוריונים שונים בחברה הכלכלית והתחלפו ארבעה מנהלים כלליים,</w:t>
      </w:r>
      <w:r w:rsidRPr="005E6423">
        <w:rPr>
          <w:rFonts w:hint="cs"/>
          <w:color w:val="000000"/>
          <w:sz w:val="24"/>
          <w:rtl/>
        </w:rPr>
        <w:t xml:space="preserve"> </w:t>
      </w:r>
      <w:r>
        <w:rPr>
          <w:rFonts w:hint="cs"/>
          <w:rtl/>
        </w:rPr>
        <w:t xml:space="preserve">הנתונים מתוארים בתרשים שלהלן: </w:t>
      </w:r>
    </w:p>
    <w:p w14:paraId="0A097A6D" w14:textId="77777777" w:rsidR="00387987" w:rsidRPr="00A47902" w:rsidRDefault="00387987" w:rsidP="00A47902">
      <w:pPr>
        <w:pStyle w:val="a8"/>
        <w:rPr>
          <w:b/>
          <w:bCs/>
        </w:rPr>
      </w:pPr>
      <w:r w:rsidRPr="00E7182A">
        <w:rPr>
          <w:rFonts w:hint="eastAsia"/>
          <w:rtl/>
        </w:rPr>
        <w:t>תרשים</w:t>
      </w:r>
      <w:r w:rsidRPr="00E7182A">
        <w:rPr>
          <w:rtl/>
        </w:rPr>
        <w:t xml:space="preserve"> </w:t>
      </w:r>
      <w:r>
        <w:rPr>
          <w:rFonts w:hint="cs"/>
          <w:rtl/>
        </w:rPr>
        <w:t>18</w:t>
      </w:r>
      <w:r w:rsidRPr="00E7182A">
        <w:rPr>
          <w:rtl/>
        </w:rPr>
        <w:t xml:space="preserve">: </w:t>
      </w:r>
      <w:r w:rsidRPr="00A47902">
        <w:rPr>
          <w:b/>
          <w:bCs/>
          <w:rtl/>
        </w:rPr>
        <w:t xml:space="preserve">מועדי תחלופת האורגנים בחברה </w:t>
      </w:r>
      <w:r w:rsidRPr="00A47902">
        <w:rPr>
          <w:rFonts w:hint="eastAsia"/>
          <w:b/>
          <w:bCs/>
          <w:rtl/>
        </w:rPr>
        <w:t>הכלכלית</w:t>
      </w:r>
    </w:p>
    <w:p w14:paraId="28AA6125" w14:textId="77777777" w:rsidR="00387987" w:rsidRDefault="00387987" w:rsidP="00A47902">
      <w:pPr>
        <w:pStyle w:val="a8"/>
        <w:rPr>
          <w:color w:val="000000"/>
          <w:rtl/>
        </w:rPr>
      </w:pPr>
      <w:r>
        <w:rPr>
          <w:noProof/>
        </w:rPr>
        <w:drawing>
          <wp:inline distT="0" distB="0" distL="0" distR="0" wp14:anchorId="16FF9DD3" wp14:editId="6756671D">
            <wp:extent cx="5220335" cy="2123526"/>
            <wp:effectExtent l="0" t="0" r="0" b="0"/>
            <wp:docPr id="45" name="תמונה 11" descr="C:\Users\ofir_gil\AppData\Local\Microsoft\Windows\INetCache\Content.Word\ציר זמ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r_gil\AppData\Local\Microsoft\Windows\INetCache\Content.Word\ציר זמן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0335" cy="2123526"/>
                    </a:xfrm>
                    <a:prstGeom prst="rect">
                      <a:avLst/>
                    </a:prstGeom>
                    <a:noFill/>
                    <a:ln>
                      <a:noFill/>
                    </a:ln>
                  </pic:spPr>
                </pic:pic>
              </a:graphicData>
            </a:graphic>
          </wp:inline>
        </w:drawing>
      </w:r>
    </w:p>
    <w:p w14:paraId="2B5D8F1A" w14:textId="6BE437BD" w:rsidR="00387987" w:rsidRDefault="00387987" w:rsidP="00A47902">
      <w:pPr>
        <w:pStyle w:val="aa"/>
        <w:rPr>
          <w:rtl/>
        </w:rPr>
      </w:pPr>
      <w:r>
        <w:rPr>
          <w:rFonts w:hint="cs"/>
          <w:rtl/>
        </w:rPr>
        <w:t>על פי</w:t>
      </w:r>
      <w:r w:rsidRPr="001728F1">
        <w:rPr>
          <w:rFonts w:hint="cs"/>
          <w:rtl/>
        </w:rPr>
        <w:t xml:space="preserve"> נתוני </w:t>
      </w:r>
      <w:r>
        <w:rPr>
          <w:rFonts w:hint="cs"/>
          <w:rtl/>
        </w:rPr>
        <w:t>החברה הכלכלית,</w:t>
      </w:r>
      <w:r w:rsidRPr="001728F1">
        <w:rPr>
          <w:rFonts w:hint="cs"/>
          <w:rtl/>
        </w:rPr>
        <w:t xml:space="preserve"> בעיבוד משרד מבקר המדינה</w:t>
      </w:r>
      <w:r>
        <w:rPr>
          <w:rFonts w:hint="cs"/>
          <w:rtl/>
        </w:rPr>
        <w:t>.</w:t>
      </w:r>
    </w:p>
    <w:p w14:paraId="3C473167" w14:textId="77777777" w:rsidR="00A47902" w:rsidRPr="001728F1" w:rsidRDefault="00A47902" w:rsidP="00A47902">
      <w:pPr>
        <w:pStyle w:val="100"/>
        <w:rPr>
          <w:rtl/>
        </w:rPr>
      </w:pPr>
    </w:p>
    <w:p w14:paraId="38763B65" w14:textId="77777777" w:rsidR="00387987" w:rsidRDefault="00387987" w:rsidP="00A47902">
      <w:pPr>
        <w:pStyle w:val="a1"/>
      </w:pPr>
      <w:r>
        <w:rPr>
          <w:rFonts w:hint="cs"/>
          <w:rtl/>
        </w:rPr>
        <w:t xml:space="preserve">בשנים 2014 - 2017 </w:t>
      </w:r>
      <w:r w:rsidRPr="001905A1">
        <w:rPr>
          <w:rFonts w:hint="cs"/>
          <w:rtl/>
        </w:rPr>
        <w:t>גדלו הכנסות החברה וכן גדלו גם הוצאותיה, כך שבכל שנה</w:t>
      </w:r>
      <w:r>
        <w:rPr>
          <w:rFonts w:hint="cs"/>
          <w:rtl/>
        </w:rPr>
        <w:t xml:space="preserve"> פרט לשנת 2016</w:t>
      </w:r>
      <w:r w:rsidRPr="001905A1">
        <w:rPr>
          <w:rFonts w:hint="cs"/>
          <w:rtl/>
        </w:rPr>
        <w:t xml:space="preserve"> היה גידול בהפסד השוטף של החברה</w:t>
      </w:r>
      <w:r>
        <w:rPr>
          <w:rFonts w:hint="cs"/>
          <w:rtl/>
        </w:rPr>
        <w:t>. בין שנת 2016 לשנת 2017</w:t>
      </w:r>
      <w:r>
        <w:rPr>
          <w:rStyle w:val="FootnoteReference"/>
          <w:rtl/>
        </w:rPr>
        <w:footnoteReference w:id="95"/>
      </w:r>
      <w:r>
        <w:rPr>
          <w:rFonts w:hint="cs"/>
          <w:rtl/>
        </w:rPr>
        <w:t xml:space="preserve"> כמעט הוכפל ההפסד השוטף,</w:t>
      </w:r>
      <w:r w:rsidRPr="001905A1">
        <w:rPr>
          <w:rFonts w:hint="cs"/>
          <w:rtl/>
        </w:rPr>
        <w:t xml:space="preserve"> כמפורט</w:t>
      </w:r>
      <w:r>
        <w:rPr>
          <w:rFonts w:hint="cs"/>
          <w:rtl/>
        </w:rPr>
        <w:t xml:space="preserve"> בתרשים שלהלן:</w:t>
      </w:r>
    </w:p>
    <w:p w14:paraId="74E5299C" w14:textId="77777777" w:rsidR="00387987" w:rsidRPr="00275FBB" w:rsidRDefault="00387987" w:rsidP="00803CE5">
      <w:pPr>
        <w:pStyle w:val="a8"/>
        <w:rPr>
          <w:rtl/>
        </w:rPr>
      </w:pPr>
      <w:r w:rsidRPr="00275FBB">
        <w:rPr>
          <w:rFonts w:hint="eastAsia"/>
          <w:rtl/>
        </w:rPr>
        <w:t>תרשים</w:t>
      </w:r>
      <w:r w:rsidRPr="00275FBB">
        <w:rPr>
          <w:rtl/>
        </w:rPr>
        <w:t xml:space="preserve"> </w:t>
      </w:r>
      <w:r w:rsidRPr="00275FBB">
        <w:rPr>
          <w:rFonts w:hint="cs"/>
          <w:rtl/>
        </w:rPr>
        <w:t>19</w:t>
      </w:r>
      <w:r w:rsidRPr="00275FBB">
        <w:rPr>
          <w:rtl/>
        </w:rPr>
        <w:t xml:space="preserve">: </w:t>
      </w:r>
      <w:r w:rsidRPr="00803CE5">
        <w:rPr>
          <w:rFonts w:hint="eastAsia"/>
          <w:b/>
          <w:bCs/>
          <w:rtl/>
        </w:rPr>
        <w:t>ה</w:t>
      </w:r>
      <w:r w:rsidRPr="00803CE5">
        <w:rPr>
          <w:rFonts w:hint="cs"/>
          <w:b/>
          <w:bCs/>
          <w:rtl/>
        </w:rPr>
        <w:t>ה</w:t>
      </w:r>
      <w:r w:rsidRPr="00803CE5">
        <w:rPr>
          <w:rFonts w:hint="eastAsia"/>
          <w:b/>
          <w:bCs/>
          <w:rtl/>
        </w:rPr>
        <w:t>כנסות</w:t>
      </w:r>
      <w:r w:rsidRPr="00803CE5">
        <w:rPr>
          <w:b/>
          <w:bCs/>
          <w:rtl/>
        </w:rPr>
        <w:t xml:space="preserve"> </w:t>
      </w:r>
      <w:r w:rsidRPr="00803CE5">
        <w:rPr>
          <w:rFonts w:hint="eastAsia"/>
          <w:b/>
          <w:bCs/>
          <w:rtl/>
        </w:rPr>
        <w:t>וה</w:t>
      </w:r>
      <w:r w:rsidRPr="00803CE5">
        <w:rPr>
          <w:rFonts w:hint="cs"/>
          <w:b/>
          <w:bCs/>
          <w:rtl/>
        </w:rPr>
        <w:t>ה</w:t>
      </w:r>
      <w:r w:rsidRPr="00803CE5">
        <w:rPr>
          <w:rFonts w:hint="eastAsia"/>
          <w:b/>
          <w:bCs/>
          <w:rtl/>
        </w:rPr>
        <w:t>פסדים</w:t>
      </w:r>
      <w:r w:rsidRPr="00803CE5">
        <w:rPr>
          <w:b/>
          <w:bCs/>
          <w:rtl/>
        </w:rPr>
        <w:t xml:space="preserve"> </w:t>
      </w:r>
      <w:r w:rsidRPr="00803CE5">
        <w:rPr>
          <w:rFonts w:hint="eastAsia"/>
          <w:b/>
          <w:bCs/>
          <w:rtl/>
        </w:rPr>
        <w:t>של</w:t>
      </w:r>
      <w:r w:rsidRPr="00803CE5">
        <w:rPr>
          <w:b/>
          <w:bCs/>
          <w:rtl/>
        </w:rPr>
        <w:t xml:space="preserve"> </w:t>
      </w:r>
      <w:r w:rsidRPr="00803CE5">
        <w:rPr>
          <w:rFonts w:hint="eastAsia"/>
          <w:b/>
          <w:bCs/>
          <w:rtl/>
        </w:rPr>
        <w:t>החברה</w:t>
      </w:r>
      <w:r w:rsidRPr="00803CE5">
        <w:rPr>
          <w:b/>
          <w:bCs/>
          <w:rtl/>
        </w:rPr>
        <w:t xml:space="preserve"> </w:t>
      </w:r>
      <w:r w:rsidRPr="00803CE5">
        <w:rPr>
          <w:rFonts w:hint="eastAsia"/>
          <w:b/>
          <w:bCs/>
          <w:rtl/>
        </w:rPr>
        <w:t>הכלכלית</w:t>
      </w:r>
      <w:r w:rsidRPr="00803CE5">
        <w:rPr>
          <w:rFonts w:hint="cs"/>
          <w:b/>
          <w:bCs/>
          <w:rtl/>
        </w:rPr>
        <w:t>,</w:t>
      </w:r>
      <w:r w:rsidRPr="00803CE5">
        <w:rPr>
          <w:b/>
          <w:bCs/>
          <w:rtl/>
        </w:rPr>
        <w:t xml:space="preserve"> 2014 - 2017 </w:t>
      </w:r>
      <w:r w:rsidRPr="00803CE5">
        <w:rPr>
          <w:rFonts w:hint="cs"/>
          <w:b/>
          <w:bCs/>
          <w:rtl/>
        </w:rPr>
        <w:t>(</w:t>
      </w:r>
      <w:r w:rsidRPr="00803CE5">
        <w:rPr>
          <w:rFonts w:hint="eastAsia"/>
          <w:b/>
          <w:bCs/>
          <w:rtl/>
        </w:rPr>
        <w:t>באלפי</w:t>
      </w:r>
      <w:r w:rsidRPr="00803CE5">
        <w:rPr>
          <w:b/>
          <w:bCs/>
          <w:rtl/>
        </w:rPr>
        <w:t xml:space="preserve"> </w:t>
      </w:r>
      <w:r w:rsidRPr="00803CE5">
        <w:rPr>
          <w:rFonts w:hint="eastAsia"/>
          <w:b/>
          <w:bCs/>
          <w:rtl/>
        </w:rPr>
        <w:t>ש</w:t>
      </w:r>
      <w:r w:rsidRPr="00803CE5">
        <w:rPr>
          <w:b/>
          <w:bCs/>
          <w:rtl/>
        </w:rPr>
        <w:t>"ח</w:t>
      </w:r>
      <w:r w:rsidRPr="00803CE5">
        <w:rPr>
          <w:rFonts w:hint="cs"/>
          <w:b/>
          <w:bCs/>
          <w:rtl/>
        </w:rPr>
        <w:t>)</w:t>
      </w:r>
      <w:r w:rsidRPr="00803CE5">
        <w:rPr>
          <w:rStyle w:val="FootnoteReference"/>
          <w:b/>
          <w:bCs/>
          <w:sz w:val="24"/>
          <w:rtl/>
        </w:rPr>
        <w:footnoteReference w:id="96"/>
      </w:r>
    </w:p>
    <w:p w14:paraId="167A39BD" w14:textId="77777777" w:rsidR="00387987" w:rsidRDefault="00387987" w:rsidP="00803CE5">
      <w:pPr>
        <w:pStyle w:val="a8"/>
        <w:rPr>
          <w:rtl/>
        </w:rPr>
      </w:pPr>
      <w:r>
        <w:rPr>
          <w:noProof/>
        </w:rPr>
        <w:drawing>
          <wp:inline distT="0" distB="0" distL="0" distR="0" wp14:anchorId="78BEBDF7" wp14:editId="488AA54A">
            <wp:extent cx="4619625" cy="2733675"/>
            <wp:effectExtent l="0" t="0" r="9525" b="9525"/>
            <wp:docPr id="46"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05C912" w14:textId="77777777" w:rsidR="00387987" w:rsidRPr="00CB2934" w:rsidRDefault="00387987" w:rsidP="00803CE5">
      <w:pPr>
        <w:pStyle w:val="aa"/>
        <w:rPr>
          <w:rtl/>
        </w:rPr>
      </w:pPr>
      <w:r>
        <w:rPr>
          <w:rFonts w:hint="cs"/>
          <w:rtl/>
        </w:rPr>
        <w:t>על פי</w:t>
      </w:r>
      <w:r w:rsidRPr="00CB2934">
        <w:rPr>
          <w:rtl/>
        </w:rPr>
        <w:t xml:space="preserve"> </w:t>
      </w:r>
      <w:r>
        <w:rPr>
          <w:rFonts w:hint="cs"/>
          <w:rtl/>
        </w:rPr>
        <w:t>נתוני ה</w:t>
      </w:r>
      <w:r w:rsidRPr="00CB2934">
        <w:rPr>
          <w:rtl/>
        </w:rPr>
        <w:t xml:space="preserve">דוחות </w:t>
      </w:r>
      <w:r>
        <w:rPr>
          <w:rFonts w:hint="cs"/>
          <w:rtl/>
        </w:rPr>
        <w:t>ה</w:t>
      </w:r>
      <w:r w:rsidRPr="00CB2934">
        <w:rPr>
          <w:rtl/>
        </w:rPr>
        <w:t xml:space="preserve">כספיים </w:t>
      </w:r>
      <w:r>
        <w:rPr>
          <w:rFonts w:hint="cs"/>
          <w:rtl/>
        </w:rPr>
        <w:t>ה</w:t>
      </w:r>
      <w:r w:rsidRPr="00CB2934">
        <w:rPr>
          <w:rtl/>
        </w:rPr>
        <w:t>מבוקרים של החברה הכלכלית לשנים</w:t>
      </w:r>
      <w:r>
        <w:rPr>
          <w:rFonts w:hint="cs"/>
          <w:rtl/>
        </w:rPr>
        <w:t xml:space="preserve"> 2014 - 2017, בעיבוד משרד מבקר המדינה.</w:t>
      </w:r>
      <w:r w:rsidRPr="00CB2934">
        <w:rPr>
          <w:rtl/>
        </w:rPr>
        <w:t xml:space="preserve"> </w:t>
      </w:r>
    </w:p>
    <w:p w14:paraId="7AFFA754" w14:textId="3BC8B81F" w:rsidR="00387987" w:rsidRDefault="00387987" w:rsidP="00803CE5">
      <w:pPr>
        <w:pStyle w:val="af2"/>
        <w:rPr>
          <w:rtl/>
        </w:rPr>
      </w:pPr>
    </w:p>
    <w:p w14:paraId="3CC34205" w14:textId="77777777" w:rsidR="00387987" w:rsidRDefault="00387987" w:rsidP="00803CE5">
      <w:pPr>
        <w:pStyle w:val="af2"/>
        <w:rPr>
          <w:rtl/>
        </w:rPr>
      </w:pPr>
      <w:r>
        <w:rPr>
          <w:rFonts w:hint="cs"/>
          <w:rtl/>
        </w:rPr>
        <w:t>בתום שנת 2014 הון החברה נטו היה חיובי והסתכם ב-1,295,000 ש"ח. סכום זה מבטא את הערך החשבונאי של נכסי החברה בניכוי התחייבויותיה. בשלוש השנים שלאחר מכן</w:t>
      </w:r>
      <w:r>
        <w:rPr>
          <w:rStyle w:val="FootnoteReference"/>
          <w:rtl/>
        </w:rPr>
        <w:footnoteReference w:id="97"/>
      </w:r>
      <w:r>
        <w:rPr>
          <w:rFonts w:hint="cs"/>
          <w:rtl/>
        </w:rPr>
        <w:t xml:space="preserve"> נוצר לחברה גירעון והונה הפך לשלילי, משמע התחייבויותיה של החברה היו גדולות יותר מהערך החשבונאי של הנכסים שלה. הגירעון המצטבר בהון החברה גדל משנה לשנה, כמפורט בלוח שלהלן: </w:t>
      </w:r>
    </w:p>
    <w:p w14:paraId="0C0C85C8" w14:textId="77777777" w:rsidR="00387987" w:rsidRPr="00803CE5" w:rsidRDefault="00387987" w:rsidP="00803CE5">
      <w:pPr>
        <w:pStyle w:val="a8"/>
        <w:rPr>
          <w:b/>
          <w:bCs/>
          <w:rtl/>
        </w:rPr>
      </w:pPr>
      <w:r>
        <w:rPr>
          <w:rFonts w:hint="cs"/>
          <w:rtl/>
        </w:rPr>
        <w:t>לוח</w:t>
      </w:r>
      <w:r w:rsidRPr="00CB2934">
        <w:rPr>
          <w:rtl/>
        </w:rPr>
        <w:t xml:space="preserve"> </w:t>
      </w:r>
      <w:r>
        <w:rPr>
          <w:rFonts w:hint="cs"/>
          <w:rtl/>
        </w:rPr>
        <w:t>5</w:t>
      </w:r>
      <w:r w:rsidRPr="00CB2934">
        <w:rPr>
          <w:rtl/>
        </w:rPr>
        <w:t xml:space="preserve">: </w:t>
      </w:r>
      <w:r w:rsidRPr="00803CE5">
        <w:rPr>
          <w:rFonts w:hint="eastAsia"/>
          <w:b/>
          <w:bCs/>
          <w:rtl/>
        </w:rPr>
        <w:t>הגירעון</w:t>
      </w:r>
      <w:r w:rsidRPr="00803CE5">
        <w:rPr>
          <w:b/>
          <w:bCs/>
          <w:rtl/>
        </w:rPr>
        <w:t xml:space="preserve"> </w:t>
      </w:r>
      <w:r w:rsidRPr="00803CE5">
        <w:rPr>
          <w:rFonts w:hint="eastAsia"/>
          <w:b/>
          <w:bCs/>
          <w:rtl/>
        </w:rPr>
        <w:t>המצטבר</w:t>
      </w:r>
      <w:r w:rsidRPr="00803CE5">
        <w:rPr>
          <w:b/>
          <w:bCs/>
          <w:rtl/>
        </w:rPr>
        <w:t xml:space="preserve"> </w:t>
      </w:r>
      <w:r w:rsidRPr="00803CE5">
        <w:rPr>
          <w:rFonts w:hint="eastAsia"/>
          <w:b/>
          <w:bCs/>
          <w:rtl/>
        </w:rPr>
        <w:t>בהון</w:t>
      </w:r>
      <w:r w:rsidRPr="00803CE5">
        <w:rPr>
          <w:b/>
          <w:bCs/>
          <w:rtl/>
        </w:rPr>
        <w:t xml:space="preserve"> </w:t>
      </w:r>
      <w:r w:rsidRPr="00803CE5">
        <w:rPr>
          <w:rFonts w:hint="eastAsia"/>
          <w:b/>
          <w:bCs/>
          <w:rtl/>
        </w:rPr>
        <w:t>החברה</w:t>
      </w:r>
      <w:r w:rsidRPr="00803CE5">
        <w:rPr>
          <w:rFonts w:hint="cs"/>
          <w:b/>
          <w:bCs/>
          <w:rtl/>
        </w:rPr>
        <w:t>,</w:t>
      </w:r>
      <w:r w:rsidRPr="00803CE5">
        <w:rPr>
          <w:b/>
          <w:bCs/>
          <w:rtl/>
        </w:rPr>
        <w:t xml:space="preserve"> 2015 - 2017 </w:t>
      </w:r>
      <w:r w:rsidRPr="00803CE5">
        <w:rPr>
          <w:rFonts w:hint="cs"/>
          <w:b/>
          <w:bCs/>
          <w:rtl/>
        </w:rPr>
        <w:t>(</w:t>
      </w:r>
      <w:r w:rsidRPr="00803CE5">
        <w:rPr>
          <w:rFonts w:hint="eastAsia"/>
          <w:b/>
          <w:bCs/>
          <w:rtl/>
        </w:rPr>
        <w:t>באלפי</w:t>
      </w:r>
      <w:r w:rsidRPr="00803CE5">
        <w:rPr>
          <w:b/>
          <w:bCs/>
          <w:rtl/>
        </w:rPr>
        <w:t xml:space="preserve"> </w:t>
      </w:r>
      <w:r w:rsidRPr="00803CE5">
        <w:rPr>
          <w:rFonts w:hint="eastAsia"/>
          <w:b/>
          <w:bCs/>
          <w:rtl/>
        </w:rPr>
        <w:t>ש</w:t>
      </w:r>
      <w:r w:rsidRPr="00803CE5">
        <w:rPr>
          <w:b/>
          <w:bCs/>
          <w:rtl/>
        </w:rPr>
        <w:t>"</w:t>
      </w:r>
      <w:r w:rsidRPr="00803CE5">
        <w:rPr>
          <w:rFonts w:hint="eastAsia"/>
          <w:b/>
          <w:bCs/>
          <w:rtl/>
        </w:rPr>
        <w:t>ח</w:t>
      </w:r>
      <w:r w:rsidRPr="00803CE5">
        <w:rPr>
          <w:rFonts w:hint="cs"/>
          <w:b/>
          <w:bCs/>
          <w:rtl/>
        </w:rPr>
        <w:t>)</w:t>
      </w:r>
    </w:p>
    <w:tbl>
      <w:tblPr>
        <w:tblStyle w:val="4-41"/>
        <w:bidiVisual/>
        <w:tblW w:w="4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3268"/>
      </w:tblGrid>
      <w:tr w:rsidR="00387987" w:rsidRPr="003F0956" w14:paraId="0DACCF59" w14:textId="77777777" w:rsidTr="004976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tcBorders>
              <w:top w:val="none" w:sz="0" w:space="0" w:color="auto"/>
              <w:left w:val="none" w:sz="0" w:space="0" w:color="auto"/>
              <w:bottom w:val="none" w:sz="0" w:space="0" w:color="auto"/>
              <w:right w:val="none" w:sz="0" w:space="0" w:color="auto"/>
            </w:tcBorders>
            <w:shd w:val="clear" w:color="auto" w:fill="C6D9F1"/>
          </w:tcPr>
          <w:p w14:paraId="5774EEE5" w14:textId="77777777" w:rsidR="00387987" w:rsidRPr="004976B0" w:rsidRDefault="00387987" w:rsidP="004976B0">
            <w:pPr>
              <w:pStyle w:val="af"/>
              <w:rPr>
                <w:b/>
                <w:bCs/>
                <w:rtl/>
              </w:rPr>
            </w:pPr>
            <w:r w:rsidRPr="004976B0">
              <w:rPr>
                <w:rFonts w:hint="cs"/>
                <w:b/>
                <w:bCs/>
                <w:rtl/>
              </w:rPr>
              <w:t>השנה</w:t>
            </w:r>
          </w:p>
        </w:tc>
        <w:tc>
          <w:tcPr>
            <w:tcW w:w="3268" w:type="dxa"/>
            <w:tcBorders>
              <w:top w:val="none" w:sz="0" w:space="0" w:color="auto"/>
              <w:left w:val="none" w:sz="0" w:space="0" w:color="auto"/>
              <w:bottom w:val="none" w:sz="0" w:space="0" w:color="auto"/>
              <w:right w:val="none" w:sz="0" w:space="0" w:color="auto"/>
            </w:tcBorders>
            <w:shd w:val="clear" w:color="auto" w:fill="C6D9F1"/>
          </w:tcPr>
          <w:p w14:paraId="3BFDAB99" w14:textId="77777777" w:rsidR="00387987" w:rsidRPr="004976B0" w:rsidRDefault="00387987" w:rsidP="004976B0">
            <w:pPr>
              <w:pStyle w:val="af"/>
              <w:cnfStyle w:val="100000000000" w:firstRow="1" w:lastRow="0" w:firstColumn="0" w:lastColumn="0" w:oddVBand="0" w:evenVBand="0" w:oddHBand="0" w:evenHBand="0" w:firstRowFirstColumn="0" w:firstRowLastColumn="0" w:lastRowFirstColumn="0" w:lastRowLastColumn="0"/>
              <w:rPr>
                <w:b/>
                <w:bCs/>
                <w:rtl/>
              </w:rPr>
            </w:pPr>
            <w:r w:rsidRPr="004976B0">
              <w:rPr>
                <w:rFonts w:hint="cs"/>
                <w:b/>
                <w:bCs/>
                <w:rtl/>
              </w:rPr>
              <w:t xml:space="preserve">הגירעון המצטבר בהון החברה </w:t>
            </w:r>
          </w:p>
        </w:tc>
      </w:tr>
      <w:tr w:rsidR="00387987" w:rsidRPr="003F0956" w14:paraId="31C59D42"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399B36BD" w14:textId="77777777" w:rsidR="00387987" w:rsidRPr="004976B0" w:rsidRDefault="00387987" w:rsidP="004976B0">
            <w:pPr>
              <w:pStyle w:val="R"/>
              <w:rPr>
                <w:rtl/>
              </w:rPr>
            </w:pPr>
            <w:r w:rsidRPr="004976B0">
              <w:rPr>
                <w:rFonts w:hint="cs"/>
                <w:rtl/>
              </w:rPr>
              <w:t>2015</w:t>
            </w:r>
          </w:p>
        </w:tc>
        <w:tc>
          <w:tcPr>
            <w:tcW w:w="3268" w:type="dxa"/>
            <w:shd w:val="clear" w:color="auto" w:fill="auto"/>
          </w:tcPr>
          <w:p w14:paraId="128FCD59" w14:textId="77777777" w:rsidR="00387987" w:rsidRPr="004976B0" w:rsidRDefault="00387987" w:rsidP="004976B0">
            <w:pPr>
              <w:pStyle w:val="R"/>
              <w:cnfStyle w:val="000000100000" w:firstRow="0" w:lastRow="0" w:firstColumn="0" w:lastColumn="0" w:oddVBand="0" w:evenVBand="0" w:oddHBand="1" w:evenHBand="0" w:firstRowFirstColumn="0" w:firstRowLastColumn="0" w:lastRowFirstColumn="0" w:lastRowLastColumn="0"/>
              <w:rPr>
                <w:rtl/>
              </w:rPr>
            </w:pPr>
            <w:r w:rsidRPr="004976B0">
              <w:rPr>
                <w:rFonts w:hint="cs"/>
                <w:rtl/>
              </w:rPr>
              <w:t>558</w:t>
            </w:r>
          </w:p>
        </w:tc>
      </w:tr>
      <w:tr w:rsidR="00387987" w:rsidRPr="003F0956" w14:paraId="2E121939"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052EC339" w14:textId="77777777" w:rsidR="00387987" w:rsidRPr="004976B0" w:rsidRDefault="00387987" w:rsidP="004976B0">
            <w:pPr>
              <w:pStyle w:val="R"/>
              <w:rPr>
                <w:rtl/>
              </w:rPr>
            </w:pPr>
            <w:r w:rsidRPr="004976B0">
              <w:rPr>
                <w:rFonts w:hint="cs"/>
                <w:rtl/>
              </w:rPr>
              <w:t>2016</w:t>
            </w:r>
          </w:p>
        </w:tc>
        <w:tc>
          <w:tcPr>
            <w:tcW w:w="3268" w:type="dxa"/>
            <w:shd w:val="clear" w:color="auto" w:fill="auto"/>
          </w:tcPr>
          <w:p w14:paraId="6E0417CE" w14:textId="77777777" w:rsidR="00387987" w:rsidRPr="004976B0" w:rsidRDefault="00387987" w:rsidP="004976B0">
            <w:pPr>
              <w:pStyle w:val="R"/>
              <w:cnfStyle w:val="000000000000" w:firstRow="0" w:lastRow="0" w:firstColumn="0" w:lastColumn="0" w:oddVBand="0" w:evenVBand="0" w:oddHBand="0" w:evenHBand="0" w:firstRowFirstColumn="0" w:firstRowLastColumn="0" w:lastRowFirstColumn="0" w:lastRowLastColumn="0"/>
              <w:rPr>
                <w:rtl/>
              </w:rPr>
            </w:pPr>
            <w:r w:rsidRPr="004976B0">
              <w:rPr>
                <w:rFonts w:hint="cs"/>
                <w:rtl/>
              </w:rPr>
              <w:t>2,197</w:t>
            </w:r>
          </w:p>
        </w:tc>
      </w:tr>
      <w:tr w:rsidR="00387987" w:rsidRPr="003F0956" w14:paraId="11D35EE1"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075E5C07" w14:textId="77777777" w:rsidR="00387987" w:rsidRPr="004976B0" w:rsidRDefault="00387987" w:rsidP="004976B0">
            <w:pPr>
              <w:pStyle w:val="R"/>
              <w:rPr>
                <w:rtl/>
              </w:rPr>
            </w:pPr>
            <w:r w:rsidRPr="004976B0">
              <w:rPr>
                <w:rFonts w:hint="cs"/>
                <w:rtl/>
              </w:rPr>
              <w:t>2017</w:t>
            </w:r>
          </w:p>
        </w:tc>
        <w:tc>
          <w:tcPr>
            <w:tcW w:w="3268" w:type="dxa"/>
            <w:shd w:val="clear" w:color="auto" w:fill="auto"/>
          </w:tcPr>
          <w:p w14:paraId="49FD347C" w14:textId="77777777" w:rsidR="00387987" w:rsidRPr="004976B0" w:rsidRDefault="00387987" w:rsidP="004976B0">
            <w:pPr>
              <w:pStyle w:val="R"/>
              <w:cnfStyle w:val="000000100000" w:firstRow="0" w:lastRow="0" w:firstColumn="0" w:lastColumn="0" w:oddVBand="0" w:evenVBand="0" w:oddHBand="1" w:evenHBand="0" w:firstRowFirstColumn="0" w:firstRowLastColumn="0" w:lastRowFirstColumn="0" w:lastRowLastColumn="0"/>
              <w:rPr>
                <w:rtl/>
              </w:rPr>
            </w:pPr>
            <w:r w:rsidRPr="004976B0">
              <w:rPr>
                <w:rFonts w:hint="cs"/>
                <w:rtl/>
              </w:rPr>
              <w:t>5,140</w:t>
            </w:r>
          </w:p>
        </w:tc>
      </w:tr>
    </w:tbl>
    <w:p w14:paraId="74EB8B71" w14:textId="77777777" w:rsidR="00387987" w:rsidRDefault="00387987" w:rsidP="004976B0">
      <w:pPr>
        <w:pStyle w:val="aa"/>
        <w:rPr>
          <w:rtl/>
        </w:rPr>
      </w:pPr>
      <w:r>
        <w:rPr>
          <w:rFonts w:hint="cs"/>
          <w:rtl/>
        </w:rPr>
        <w:t xml:space="preserve"> על פי נתוני ה</w:t>
      </w:r>
      <w:r w:rsidRPr="00CB2934">
        <w:rPr>
          <w:rtl/>
        </w:rPr>
        <w:t xml:space="preserve">דוחות </w:t>
      </w:r>
      <w:r>
        <w:rPr>
          <w:rFonts w:hint="cs"/>
          <w:rtl/>
        </w:rPr>
        <w:t>ה</w:t>
      </w:r>
      <w:r w:rsidRPr="00CB2934">
        <w:rPr>
          <w:rtl/>
        </w:rPr>
        <w:t xml:space="preserve">כספיים </w:t>
      </w:r>
      <w:r>
        <w:rPr>
          <w:rFonts w:hint="cs"/>
          <w:rtl/>
        </w:rPr>
        <w:t>ה</w:t>
      </w:r>
      <w:r w:rsidRPr="00CB2934">
        <w:rPr>
          <w:rtl/>
        </w:rPr>
        <w:t>מבוקרים של החברה לשנים</w:t>
      </w:r>
      <w:r>
        <w:rPr>
          <w:rFonts w:hint="cs"/>
          <w:rtl/>
        </w:rPr>
        <w:t xml:space="preserve"> 2015 - 2017.</w:t>
      </w:r>
    </w:p>
    <w:p w14:paraId="0B51669D" w14:textId="77777777" w:rsidR="00387987" w:rsidRDefault="00387987" w:rsidP="00387987">
      <w:pPr>
        <w:bidi w:val="0"/>
        <w:spacing w:after="200" w:line="276" w:lineRule="auto"/>
        <w:rPr>
          <w:szCs w:val="20"/>
          <w:rtl/>
        </w:rPr>
      </w:pPr>
      <w:r>
        <w:rPr>
          <w:rtl/>
        </w:rPr>
        <w:br w:type="page"/>
      </w:r>
    </w:p>
    <w:p w14:paraId="6E9DC9EE" w14:textId="77777777" w:rsidR="00387987" w:rsidRDefault="00387987" w:rsidP="00923216">
      <w:pPr>
        <w:pStyle w:val="af2"/>
      </w:pPr>
      <w:r>
        <w:rPr>
          <w:rFonts w:hint="cs"/>
          <w:rtl/>
        </w:rPr>
        <w:t xml:space="preserve">הכנסותיה של החברה הכלכלית בשנים 2013 - 2018 מפורטות בתרשים שלהלן: </w:t>
      </w:r>
    </w:p>
    <w:p w14:paraId="0101F969" w14:textId="77777777" w:rsidR="00387987" w:rsidRPr="00923216" w:rsidRDefault="00387987" w:rsidP="00923216">
      <w:pPr>
        <w:pStyle w:val="a8"/>
        <w:rPr>
          <w:b/>
          <w:bCs/>
          <w:rtl/>
        </w:rPr>
      </w:pPr>
      <w:r w:rsidRPr="00CB2934">
        <w:rPr>
          <w:rFonts w:hint="eastAsia"/>
          <w:rtl/>
        </w:rPr>
        <w:t>תרשים</w:t>
      </w:r>
      <w:r w:rsidRPr="00CB2934">
        <w:rPr>
          <w:rtl/>
        </w:rPr>
        <w:t xml:space="preserve"> </w:t>
      </w:r>
      <w:r>
        <w:rPr>
          <w:rFonts w:hint="cs"/>
          <w:rtl/>
        </w:rPr>
        <w:t>20</w:t>
      </w:r>
      <w:r w:rsidRPr="00CB2934">
        <w:rPr>
          <w:rtl/>
        </w:rPr>
        <w:t xml:space="preserve">: </w:t>
      </w:r>
      <w:r w:rsidRPr="00923216">
        <w:rPr>
          <w:rFonts w:hint="eastAsia"/>
          <w:b/>
          <w:bCs/>
          <w:rtl/>
        </w:rPr>
        <w:t>הכנסות</w:t>
      </w:r>
      <w:r w:rsidRPr="00923216">
        <w:rPr>
          <w:b/>
          <w:bCs/>
          <w:rtl/>
        </w:rPr>
        <w:t xml:space="preserve"> </w:t>
      </w:r>
      <w:r w:rsidRPr="00923216">
        <w:rPr>
          <w:rFonts w:hint="eastAsia"/>
          <w:b/>
          <w:bCs/>
          <w:rtl/>
        </w:rPr>
        <w:t>החברה</w:t>
      </w:r>
      <w:r w:rsidRPr="00923216">
        <w:rPr>
          <w:b/>
          <w:bCs/>
          <w:rtl/>
        </w:rPr>
        <w:t xml:space="preserve"> </w:t>
      </w:r>
      <w:r w:rsidRPr="00923216">
        <w:rPr>
          <w:rFonts w:hint="eastAsia"/>
          <w:b/>
          <w:bCs/>
          <w:rtl/>
        </w:rPr>
        <w:t>הכלכלית</w:t>
      </w:r>
      <w:r w:rsidRPr="00923216">
        <w:rPr>
          <w:rFonts w:hint="cs"/>
          <w:b/>
          <w:bCs/>
          <w:rtl/>
        </w:rPr>
        <w:t>,</w:t>
      </w:r>
      <w:r w:rsidRPr="00923216">
        <w:rPr>
          <w:b/>
          <w:bCs/>
          <w:rtl/>
        </w:rPr>
        <w:t xml:space="preserve"> 2013 - </w:t>
      </w:r>
      <w:r w:rsidRPr="00923216">
        <w:rPr>
          <w:rFonts w:hint="cs"/>
          <w:b/>
          <w:bCs/>
          <w:rtl/>
        </w:rPr>
        <w:t>2018</w:t>
      </w:r>
      <w:r w:rsidRPr="00923216">
        <w:rPr>
          <w:rStyle w:val="FootnoteReference"/>
          <w:b/>
          <w:bCs/>
          <w:sz w:val="24"/>
          <w:rtl/>
        </w:rPr>
        <w:footnoteReference w:id="98"/>
      </w:r>
      <w:r w:rsidRPr="00923216">
        <w:rPr>
          <w:b/>
          <w:bCs/>
          <w:rtl/>
        </w:rPr>
        <w:t xml:space="preserve"> (באלפי </w:t>
      </w:r>
      <w:r w:rsidRPr="00923216">
        <w:rPr>
          <w:rFonts w:hint="eastAsia"/>
          <w:b/>
          <w:bCs/>
          <w:rtl/>
        </w:rPr>
        <w:t>ש</w:t>
      </w:r>
      <w:r w:rsidRPr="00923216">
        <w:rPr>
          <w:rFonts w:hint="cs"/>
          <w:b/>
          <w:bCs/>
          <w:rtl/>
        </w:rPr>
        <w:t>"ח)</w:t>
      </w:r>
    </w:p>
    <w:p w14:paraId="43C9D1F7" w14:textId="77777777" w:rsidR="00387987" w:rsidRDefault="00387987" w:rsidP="00923216">
      <w:pPr>
        <w:pStyle w:val="a8"/>
        <w:rPr>
          <w:noProof/>
          <w:rtl/>
        </w:rPr>
      </w:pPr>
      <w:r>
        <w:rPr>
          <w:noProof/>
        </w:rPr>
        <w:drawing>
          <wp:inline distT="0" distB="0" distL="0" distR="0" wp14:anchorId="09F3EBC4" wp14:editId="6DA8768C">
            <wp:extent cx="4572000" cy="2743200"/>
            <wp:effectExtent l="0" t="0" r="0" b="0"/>
            <wp:docPr id="47" name="תרשים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88B9A3" w14:textId="77777777" w:rsidR="00387987" w:rsidRPr="000263BA" w:rsidRDefault="00387987" w:rsidP="00923216">
      <w:pPr>
        <w:pStyle w:val="aa"/>
        <w:rPr>
          <w:rtl/>
        </w:rPr>
      </w:pPr>
      <w:r w:rsidRPr="006F0346">
        <w:rPr>
          <w:rFonts w:hint="eastAsia"/>
          <w:rtl/>
        </w:rPr>
        <w:t>על</w:t>
      </w:r>
      <w:r w:rsidRPr="006F0346">
        <w:rPr>
          <w:rtl/>
        </w:rPr>
        <w:t xml:space="preserve"> פי נתוני </w:t>
      </w:r>
      <w:r w:rsidRPr="006F0346">
        <w:rPr>
          <w:rFonts w:hint="eastAsia"/>
          <w:rtl/>
        </w:rPr>
        <w:t>הדוחות</w:t>
      </w:r>
      <w:r w:rsidRPr="006F0346">
        <w:rPr>
          <w:rtl/>
        </w:rPr>
        <w:t xml:space="preserve"> </w:t>
      </w:r>
      <w:r w:rsidRPr="006F0346">
        <w:rPr>
          <w:rFonts w:hint="eastAsia"/>
          <w:rtl/>
        </w:rPr>
        <w:t>הכספיים</w:t>
      </w:r>
      <w:r w:rsidRPr="006F0346">
        <w:rPr>
          <w:rtl/>
        </w:rPr>
        <w:t xml:space="preserve"> </w:t>
      </w:r>
      <w:r w:rsidRPr="006F0346">
        <w:rPr>
          <w:rFonts w:hint="eastAsia"/>
          <w:rtl/>
        </w:rPr>
        <w:t>המאושרים</w:t>
      </w:r>
      <w:r w:rsidRPr="006F0346">
        <w:rPr>
          <w:rtl/>
        </w:rPr>
        <w:t xml:space="preserve"> </w:t>
      </w:r>
      <w:r>
        <w:rPr>
          <w:rFonts w:hint="cs"/>
          <w:rtl/>
        </w:rPr>
        <w:t xml:space="preserve">(למעט שנת 2018) </w:t>
      </w:r>
      <w:r w:rsidRPr="006F0346">
        <w:rPr>
          <w:rtl/>
        </w:rPr>
        <w:t xml:space="preserve">של החברה </w:t>
      </w:r>
      <w:r w:rsidRPr="006F0346">
        <w:rPr>
          <w:rFonts w:hint="eastAsia"/>
          <w:rtl/>
        </w:rPr>
        <w:t>הכלכלית</w:t>
      </w:r>
      <w:r w:rsidRPr="006F0346">
        <w:rPr>
          <w:rtl/>
        </w:rPr>
        <w:t xml:space="preserve">, </w:t>
      </w:r>
      <w:r w:rsidRPr="006F0346">
        <w:rPr>
          <w:rFonts w:hint="eastAsia"/>
          <w:rtl/>
        </w:rPr>
        <w:t>בעיבוד</w:t>
      </w:r>
      <w:r w:rsidRPr="006F0346">
        <w:rPr>
          <w:rtl/>
        </w:rPr>
        <w:t xml:space="preserve"> </w:t>
      </w:r>
      <w:r w:rsidRPr="006F0346">
        <w:rPr>
          <w:rFonts w:hint="eastAsia"/>
          <w:rtl/>
        </w:rPr>
        <w:t>משרד</w:t>
      </w:r>
      <w:r w:rsidRPr="006F0346">
        <w:rPr>
          <w:rtl/>
        </w:rPr>
        <w:t xml:space="preserve"> </w:t>
      </w:r>
      <w:r w:rsidRPr="006F0346">
        <w:rPr>
          <w:rFonts w:hint="eastAsia"/>
          <w:rtl/>
        </w:rPr>
        <w:t>מבקר</w:t>
      </w:r>
      <w:r w:rsidRPr="006F0346">
        <w:rPr>
          <w:rtl/>
        </w:rPr>
        <w:t xml:space="preserve"> </w:t>
      </w:r>
      <w:r w:rsidRPr="006F0346">
        <w:rPr>
          <w:rFonts w:hint="eastAsia"/>
          <w:rtl/>
        </w:rPr>
        <w:t>המדינה</w:t>
      </w:r>
      <w:r w:rsidRPr="006F0346">
        <w:rPr>
          <w:rtl/>
        </w:rPr>
        <w:t>.</w:t>
      </w:r>
    </w:p>
    <w:p w14:paraId="4C9ACA56" w14:textId="77777777" w:rsidR="00923216" w:rsidRDefault="00923216" w:rsidP="00923216">
      <w:pPr>
        <w:pStyle w:val="af2"/>
        <w:rPr>
          <w:rtl/>
        </w:rPr>
      </w:pPr>
    </w:p>
    <w:p w14:paraId="1345B46F" w14:textId="605C3644" w:rsidR="00387987" w:rsidRDefault="00387987" w:rsidP="00923216">
      <w:pPr>
        <w:pStyle w:val="af2"/>
        <w:rPr>
          <w:sz w:val="22"/>
          <w:szCs w:val="22"/>
          <w:rtl/>
        </w:rPr>
      </w:pPr>
      <w:r>
        <w:rPr>
          <w:rFonts w:hint="cs"/>
          <w:rtl/>
        </w:rPr>
        <w:t>חלק ניכר מהכנסות החברה מקורן במוצרי "המתמחה" שהיקף המכירות והפעילות שלו גדלו, כך שבשנת 2017 מוצרי "המתמחה" הקיפו 85% מהפעילות בשוק ההכנה לבחינות הלשכה. ההכנסות מ"המתמחה" הן חלק ניכר מהכנסות החברה: כ-10 מיליון ש"ח - 67% מההכנסות בשנת 2016, וכ-11 מיליון ש"ח - כ-58% מההכנסות בשנת 2017</w:t>
      </w:r>
      <w:r>
        <w:rPr>
          <w:rStyle w:val="FootnoteReference"/>
          <w:color w:val="000000"/>
          <w:sz w:val="24"/>
          <w:rtl/>
        </w:rPr>
        <w:footnoteReference w:id="99"/>
      </w:r>
      <w:r>
        <w:rPr>
          <w:rFonts w:hint="cs"/>
          <w:rtl/>
        </w:rPr>
        <w:t xml:space="preserve">. מנתונים לא מבוקרים שמסרה החברה עולה כי בשנת 2018 הסתכמו הכנסותיה בכ-20 מיליון ש"ח, כמחצית מהם - הכנסות "מהמתמחה". </w:t>
      </w:r>
    </w:p>
    <w:p w14:paraId="33603B86" w14:textId="77777777" w:rsidR="00387987" w:rsidRPr="008B35E2" w:rsidRDefault="00387987" w:rsidP="00923216">
      <w:pPr>
        <w:pStyle w:val="af2"/>
        <w:rPr>
          <w:rtl/>
        </w:rPr>
      </w:pPr>
      <w:r w:rsidRPr="008B35E2">
        <w:rPr>
          <w:rFonts w:hint="cs"/>
          <w:rtl/>
        </w:rPr>
        <w:t>בת</w:t>
      </w:r>
      <w:r>
        <w:rPr>
          <w:rFonts w:hint="cs"/>
          <w:rtl/>
        </w:rPr>
        <w:t>שובתו</w:t>
      </w:r>
      <w:r w:rsidRPr="008B35E2">
        <w:rPr>
          <w:rFonts w:hint="cs"/>
          <w:rtl/>
        </w:rPr>
        <w:t xml:space="preserve"> </w:t>
      </w:r>
      <w:r>
        <w:rPr>
          <w:rFonts w:hint="cs"/>
          <w:rtl/>
        </w:rPr>
        <w:t xml:space="preserve">מדצמבר 2019 </w:t>
      </w:r>
      <w:r w:rsidRPr="008B35E2">
        <w:rPr>
          <w:rFonts w:hint="cs"/>
          <w:rtl/>
        </w:rPr>
        <w:t>הסביר יו"ר הדירקטוריון לשעבר של החברה</w:t>
      </w:r>
      <w:r>
        <w:rPr>
          <w:rFonts w:hint="cs"/>
          <w:rtl/>
        </w:rPr>
        <w:t xml:space="preserve">, </w:t>
      </w:r>
      <w:r w:rsidRPr="008B35E2">
        <w:rPr>
          <w:rFonts w:hint="cs"/>
          <w:rtl/>
        </w:rPr>
        <w:t>כי החל משנת 2014 הלך וה</w:t>
      </w:r>
      <w:r>
        <w:rPr>
          <w:rFonts w:hint="cs"/>
          <w:rtl/>
        </w:rPr>
        <w:t>י</w:t>
      </w:r>
      <w:r w:rsidRPr="008B35E2">
        <w:rPr>
          <w:rFonts w:hint="cs"/>
          <w:rtl/>
        </w:rPr>
        <w:t>דרדר מצב</w:t>
      </w:r>
      <w:r>
        <w:rPr>
          <w:rFonts w:hint="cs"/>
          <w:rtl/>
        </w:rPr>
        <w:t>ה הכלכלי של החברה מסיבות שונות כגון</w:t>
      </w:r>
      <w:r w:rsidRPr="008B35E2">
        <w:rPr>
          <w:rFonts w:hint="cs"/>
          <w:rtl/>
        </w:rPr>
        <w:t xml:space="preserve"> חוסר במוצרים</w:t>
      </w:r>
      <w:r>
        <w:rPr>
          <w:rFonts w:hint="cs"/>
          <w:rtl/>
        </w:rPr>
        <w:t>,</w:t>
      </w:r>
      <w:r w:rsidRPr="008B35E2">
        <w:rPr>
          <w:rFonts w:hint="cs"/>
          <w:rtl/>
        </w:rPr>
        <w:t xml:space="preserve"> עלויות שכר גבוהות ודעיכה של מוצרים קיימים. </w:t>
      </w:r>
    </w:p>
    <w:p w14:paraId="40718A06" w14:textId="77777777" w:rsidR="00387987" w:rsidRPr="008B35E2" w:rsidRDefault="00387987" w:rsidP="00923216">
      <w:pPr>
        <w:pStyle w:val="af2"/>
        <w:rPr>
          <w:rtl/>
        </w:rPr>
      </w:pPr>
      <w:r w:rsidRPr="008B35E2">
        <w:rPr>
          <w:rFonts w:hint="cs"/>
          <w:rtl/>
        </w:rPr>
        <w:t>בת</w:t>
      </w:r>
      <w:r>
        <w:rPr>
          <w:rFonts w:hint="cs"/>
          <w:rtl/>
        </w:rPr>
        <w:t xml:space="preserve">שובתו מדצמבר 2019 </w:t>
      </w:r>
      <w:r w:rsidRPr="008B35E2">
        <w:rPr>
          <w:rFonts w:hint="cs"/>
          <w:rtl/>
        </w:rPr>
        <w:t>הסביר המנכ"ל לשעבר של החברה</w:t>
      </w:r>
      <w:r>
        <w:rPr>
          <w:rFonts w:hint="cs"/>
          <w:rtl/>
        </w:rPr>
        <w:t xml:space="preserve">, </w:t>
      </w:r>
      <w:r w:rsidRPr="008B35E2">
        <w:rPr>
          <w:rFonts w:hint="cs"/>
          <w:rtl/>
        </w:rPr>
        <w:t xml:space="preserve">כי החל משנת 2016 חל שינוי </w:t>
      </w:r>
      <w:r>
        <w:rPr>
          <w:rFonts w:hint="cs"/>
          <w:rtl/>
        </w:rPr>
        <w:t>ב</w:t>
      </w:r>
      <w:r w:rsidRPr="008B35E2">
        <w:rPr>
          <w:rFonts w:hint="cs"/>
          <w:rtl/>
        </w:rPr>
        <w:t>מגמה ו</w:t>
      </w:r>
      <w:r>
        <w:rPr>
          <w:rFonts w:hint="cs"/>
          <w:rtl/>
        </w:rPr>
        <w:t xml:space="preserve">יש </w:t>
      </w:r>
      <w:r w:rsidRPr="008B35E2">
        <w:rPr>
          <w:rFonts w:hint="cs"/>
          <w:rtl/>
        </w:rPr>
        <w:t>על</w:t>
      </w:r>
      <w:r>
        <w:rPr>
          <w:rFonts w:hint="cs"/>
          <w:rtl/>
        </w:rPr>
        <w:t>י</w:t>
      </w:r>
      <w:r w:rsidRPr="008B35E2">
        <w:rPr>
          <w:rFonts w:hint="cs"/>
          <w:rtl/>
        </w:rPr>
        <w:t>יה בהכנסות החברה ממוצרים אחרים שאינם "המתמחה"</w:t>
      </w:r>
      <w:r>
        <w:rPr>
          <w:rFonts w:hint="cs"/>
          <w:rtl/>
        </w:rPr>
        <w:t>.</w:t>
      </w:r>
      <w:r w:rsidRPr="008B35E2">
        <w:rPr>
          <w:rFonts w:hint="cs"/>
          <w:rtl/>
        </w:rPr>
        <w:t xml:space="preserve"> </w:t>
      </w:r>
      <w:r>
        <w:rPr>
          <w:rFonts w:hint="cs"/>
          <w:rtl/>
        </w:rPr>
        <w:t>לדבריו אף ש</w:t>
      </w:r>
      <w:r w:rsidRPr="008B35E2">
        <w:rPr>
          <w:rFonts w:hint="cs"/>
          <w:rtl/>
        </w:rPr>
        <w:t>החברה התמודדה עם דעיכת חלק ממוצריה עדיין חל גידול בהכנסותיה ממוצרים אחרים.</w:t>
      </w:r>
      <w:r>
        <w:rPr>
          <w:rFonts w:hint="cs"/>
          <w:rtl/>
        </w:rPr>
        <w:t xml:space="preserve"> </w:t>
      </w:r>
    </w:p>
    <w:p w14:paraId="70A34098" w14:textId="77777777" w:rsidR="00923216" w:rsidRDefault="00923216">
      <w:pPr>
        <w:bidi w:val="0"/>
        <w:spacing w:after="200" w:line="276" w:lineRule="auto"/>
        <w:rPr>
          <w:rFonts w:eastAsiaTheme="majorEastAsia"/>
          <w:bCs/>
          <w:szCs w:val="28"/>
          <w:u w:val="single"/>
          <w:rtl/>
        </w:rPr>
      </w:pPr>
      <w:bookmarkStart w:id="42" w:name="_Toc23155606"/>
      <w:bookmarkStart w:id="43" w:name="_Toc23159792"/>
      <w:r>
        <w:rPr>
          <w:rtl/>
        </w:rPr>
        <w:br w:type="page"/>
      </w:r>
    </w:p>
    <w:p w14:paraId="5AB37593" w14:textId="66E169C3" w:rsidR="00387987" w:rsidRDefault="00387987" w:rsidP="00143FFA">
      <w:pPr>
        <w:pStyle w:val="316"/>
        <w:rPr>
          <w:rtl/>
        </w:rPr>
      </w:pPr>
      <w:r>
        <w:rPr>
          <w:rFonts w:hint="cs"/>
          <w:rtl/>
        </w:rPr>
        <w:t>סוגיות ליבה בניהולה השוטף של החברה</w:t>
      </w:r>
      <w:bookmarkEnd w:id="42"/>
      <w:bookmarkEnd w:id="43"/>
    </w:p>
    <w:p w14:paraId="258C1DE2" w14:textId="77777777" w:rsidR="00387987" w:rsidRPr="00E67CD4" w:rsidRDefault="00387987" w:rsidP="00143FFA">
      <w:pPr>
        <w:pStyle w:val="100"/>
        <w:rPr>
          <w:rtl/>
        </w:rPr>
      </w:pPr>
      <w:r>
        <w:rPr>
          <w:rFonts w:hint="cs"/>
          <w:color w:val="000000"/>
          <w:sz w:val="24"/>
          <w:rtl/>
        </w:rPr>
        <w:t xml:space="preserve">החברה התמודדה עם ארבע סוגיות ליבה משמעותיות בשנים 2016 - 2019 במסגרת ניהולה השוטף: </w:t>
      </w:r>
      <w:r>
        <w:rPr>
          <w:rFonts w:hint="cs"/>
          <w:rtl/>
        </w:rPr>
        <w:t>מהימנות המידע החשבונאי והכלכלי בחברה</w:t>
      </w:r>
      <w:r>
        <w:rPr>
          <w:rFonts w:hint="cs"/>
          <w:color w:val="000000"/>
          <w:sz w:val="24"/>
          <w:rtl/>
        </w:rPr>
        <w:t>;</w:t>
      </w:r>
      <w:r>
        <w:rPr>
          <w:rFonts w:hint="cs"/>
          <w:rtl/>
        </w:rPr>
        <w:t xml:space="preserve"> אישור דוחות כספיים; יישום תוכנית התייעלות; גיבוש והכנה של תוכניות עבודה בחברה. ארבע הסוגיות שלובות אלה באלה והשפיעו על ניהול ענייניה הכספיים והכלכליים של החברה. ראו להלן התייחסות לסוגיות אלו: </w:t>
      </w:r>
    </w:p>
    <w:p w14:paraId="0D5B9EB1" w14:textId="667D192F" w:rsidR="00387987" w:rsidRDefault="00387987" w:rsidP="00143FFA">
      <w:pPr>
        <w:pStyle w:val="414"/>
        <w:rPr>
          <w:rtl/>
        </w:rPr>
      </w:pPr>
      <w:bookmarkStart w:id="44" w:name="_Toc23155607"/>
      <w:r w:rsidRPr="00143FFA">
        <w:rPr>
          <w:rFonts w:hint="cs"/>
          <w:rtl/>
        </w:rPr>
        <w:t>מהימנות</w:t>
      </w:r>
      <w:r>
        <w:rPr>
          <w:rFonts w:hint="cs"/>
          <w:rtl/>
        </w:rPr>
        <w:t xml:space="preserve"> המידע החשבונאי והכלכלי בחברה</w:t>
      </w:r>
      <w:bookmarkEnd w:id="44"/>
    </w:p>
    <w:p w14:paraId="4B86FD35" w14:textId="77777777" w:rsidR="00387987" w:rsidRDefault="00387987" w:rsidP="007809A9">
      <w:pPr>
        <w:pStyle w:val="100"/>
        <w:rPr>
          <w:rtl/>
        </w:rPr>
      </w:pPr>
      <w:r>
        <w:rPr>
          <w:rFonts w:hint="cs"/>
          <w:rtl/>
        </w:rPr>
        <w:t>לשם ניהול שוטף תקין של חברה ועל מנת שהאורגנים בחברה יוכלו לקבל החלטות מושכלות, דרושה להם נגישות ל</w:t>
      </w:r>
      <w:r w:rsidRPr="00F9691D">
        <w:rPr>
          <w:rFonts w:hint="cs"/>
          <w:rtl/>
        </w:rPr>
        <w:t>נתונים כלכליים מדויקים ומהימנים</w:t>
      </w:r>
      <w:r>
        <w:rPr>
          <w:rFonts w:hint="cs"/>
          <w:rtl/>
        </w:rPr>
        <w:t xml:space="preserve"> שעליהם יוכלו להסתמך. אחד הכלים </w:t>
      </w:r>
      <w:r w:rsidRPr="00F9691D">
        <w:rPr>
          <w:rFonts w:hint="cs"/>
          <w:rtl/>
        </w:rPr>
        <w:t>ל</w:t>
      </w:r>
      <w:r>
        <w:rPr>
          <w:rFonts w:hint="cs"/>
          <w:rtl/>
        </w:rPr>
        <w:t xml:space="preserve">כך הם הדוחות הכספיים המבוקרים </w:t>
      </w:r>
      <w:r w:rsidRPr="00F9691D">
        <w:rPr>
          <w:rFonts w:hint="cs"/>
          <w:rtl/>
        </w:rPr>
        <w:t>של החברה</w:t>
      </w:r>
      <w:r>
        <w:rPr>
          <w:rFonts w:hint="cs"/>
          <w:rtl/>
        </w:rPr>
        <w:t xml:space="preserve">, אשר </w:t>
      </w:r>
      <w:r w:rsidRPr="00F9691D">
        <w:rPr>
          <w:rFonts w:hint="cs"/>
          <w:rtl/>
        </w:rPr>
        <w:t>מבוססים על נתוני הנהלת החשבונות שלה.</w:t>
      </w:r>
    </w:p>
    <w:p w14:paraId="4331EF9C" w14:textId="77777777" w:rsidR="00387987" w:rsidRPr="003E009E" w:rsidRDefault="00387987" w:rsidP="003E009E">
      <w:pPr>
        <w:pStyle w:val="a"/>
        <w:rPr>
          <w:rtl/>
        </w:rPr>
      </w:pPr>
      <w:r w:rsidRPr="003E009E">
        <w:rPr>
          <w:rtl/>
        </w:rPr>
        <w:t>בשנים 2015 -2017 לא נערכו רישומים כנדרש במערכת הנהלת החשבונות של החברה וכתוצאה מכך נפגעה מהימנות המידע החשבונאי שעמד בפני האורגנים של החברה.</w:t>
      </w:r>
    </w:p>
    <w:p w14:paraId="4AFA1054" w14:textId="77777777" w:rsidR="00387987" w:rsidRPr="008337B4" w:rsidRDefault="00387987" w:rsidP="00C10D63">
      <w:pPr>
        <w:pStyle w:val="af2"/>
        <w:rPr>
          <w:sz w:val="22"/>
          <w:szCs w:val="22"/>
          <w:rtl/>
        </w:rPr>
      </w:pPr>
      <w:r>
        <w:rPr>
          <w:rFonts w:hint="cs"/>
          <w:rtl/>
        </w:rPr>
        <w:t>המנכ"ל לשעבר הסביר בתשובתו כי מקור הבעיות שנוצרו במערך החשבונאי הם ניתוק החברה מגזברות הלשכה והחלפת תוכנת הנהלת החשבונות שלה - החלטה זו התקבלה לפני שהחל לכהן בחברה. עוד הוא הוסיף כי התחלפו בתדירות גבוהה בעלי תפקיד בהנהלת החשבונות של החברה. לדבריו בשנת 2016 הוא דיווח על כך לדירקטוריון החברה. עוד נטען, כי לאחר כניסתו לתפקיד ב-2015</w:t>
      </w:r>
      <w:r w:rsidRPr="0066370F">
        <w:rPr>
          <w:rFonts w:hint="cs"/>
          <w:rtl/>
        </w:rPr>
        <w:t xml:space="preserve"> </w:t>
      </w:r>
      <w:r>
        <w:rPr>
          <w:rFonts w:hint="cs"/>
          <w:rtl/>
        </w:rPr>
        <w:t xml:space="preserve">ולאור פעולות שהוא נקט, השתפר במהלך שנת 2017 המערך החשבונאי בחברה. </w:t>
      </w:r>
      <w:r w:rsidRPr="006C6B33">
        <w:rPr>
          <w:rFonts w:hint="cs"/>
          <w:rtl/>
        </w:rPr>
        <w:t xml:space="preserve">כמו כן נטען, כי הוא איתר והתריע על בעיות בחברה ודרש </w:t>
      </w:r>
      <w:r>
        <w:rPr>
          <w:rFonts w:hint="cs"/>
          <w:rtl/>
        </w:rPr>
        <w:t xml:space="preserve">מהלשכה </w:t>
      </w:r>
      <w:r w:rsidRPr="006C6B33">
        <w:rPr>
          <w:rFonts w:hint="cs"/>
          <w:rtl/>
        </w:rPr>
        <w:t>משאבים לפתרון הבעיות שנמצאו</w:t>
      </w:r>
      <w:r>
        <w:rPr>
          <w:rFonts w:hint="cs"/>
          <w:rtl/>
        </w:rPr>
        <w:t>.</w:t>
      </w:r>
      <w:r w:rsidRPr="006C6B33">
        <w:rPr>
          <w:rFonts w:hint="cs"/>
          <w:rtl/>
        </w:rPr>
        <w:t xml:space="preserve"> אולם החל מהמועד </w:t>
      </w:r>
      <w:r>
        <w:rPr>
          <w:rFonts w:hint="cs"/>
          <w:rtl/>
        </w:rPr>
        <w:t>ש</w:t>
      </w:r>
      <w:r w:rsidRPr="006C6B33">
        <w:rPr>
          <w:rFonts w:hint="cs"/>
          <w:rtl/>
        </w:rPr>
        <w:t xml:space="preserve">בו החלה הלשכה לפקח על החברה </w:t>
      </w:r>
      <w:r>
        <w:rPr>
          <w:rFonts w:hint="cs"/>
          <w:rtl/>
        </w:rPr>
        <w:t>במחצית השנייה של שנת</w:t>
      </w:r>
      <w:r w:rsidRPr="006C6B33">
        <w:rPr>
          <w:rFonts w:hint="cs"/>
          <w:rtl/>
        </w:rPr>
        <w:t xml:space="preserve"> 2017, </w:t>
      </w:r>
      <w:r>
        <w:rPr>
          <w:rFonts w:hint="cs"/>
          <w:rtl/>
        </w:rPr>
        <w:t xml:space="preserve">לא הקצתה </w:t>
      </w:r>
      <w:r w:rsidRPr="006C6B33">
        <w:rPr>
          <w:rFonts w:hint="cs"/>
          <w:rtl/>
        </w:rPr>
        <w:t xml:space="preserve">הלשכה את המשאבים </w:t>
      </w:r>
      <w:r>
        <w:rPr>
          <w:rFonts w:hint="cs"/>
          <w:rtl/>
        </w:rPr>
        <w:t>ש</w:t>
      </w:r>
      <w:r w:rsidRPr="006C6B33">
        <w:rPr>
          <w:rFonts w:hint="cs"/>
          <w:rtl/>
        </w:rPr>
        <w:t>אותם ביקש.</w:t>
      </w:r>
      <w:r w:rsidRPr="003125CB">
        <w:rPr>
          <w:rFonts w:hint="cs"/>
          <w:rtl/>
        </w:rPr>
        <w:t xml:space="preserve"> </w:t>
      </w:r>
      <w:r w:rsidRPr="00283B6F">
        <w:rPr>
          <w:rFonts w:hint="cs"/>
          <w:rtl/>
        </w:rPr>
        <w:t xml:space="preserve">לדבריו בתקופה זאת כל הוצאה כספית או גיוס עובדים </w:t>
      </w:r>
      <w:r>
        <w:rPr>
          <w:rFonts w:hint="cs"/>
          <w:rtl/>
        </w:rPr>
        <w:t xml:space="preserve">חייבו את </w:t>
      </w:r>
      <w:r w:rsidRPr="00283B6F">
        <w:rPr>
          <w:rFonts w:hint="cs"/>
          <w:rtl/>
        </w:rPr>
        <w:t xml:space="preserve">אישור הלשכה. </w:t>
      </w:r>
      <w:r>
        <w:rPr>
          <w:rFonts w:hint="cs"/>
          <w:rtl/>
        </w:rPr>
        <w:t>בתשובתו מינואר 2020 הוא הוסיף כי אילו הלשכה הייתה מאשרת משאבים נוספים לחברה, גם הדוחות הכספיים של החברה היו מובאים לאישור בשלב מוקדם יותר (ראו להלן).</w:t>
      </w:r>
    </w:p>
    <w:p w14:paraId="24E842B3" w14:textId="77777777" w:rsidR="00387987" w:rsidRDefault="00387987" w:rsidP="00C10D63">
      <w:pPr>
        <w:pStyle w:val="af2"/>
        <w:rPr>
          <w:b/>
          <w:bCs/>
          <w:rtl/>
        </w:rPr>
      </w:pPr>
      <w:r w:rsidRPr="00A82E37">
        <w:rPr>
          <w:rFonts w:hint="cs"/>
          <w:rtl/>
        </w:rPr>
        <w:t>בת</w:t>
      </w:r>
      <w:r>
        <w:rPr>
          <w:rFonts w:hint="cs"/>
          <w:rtl/>
        </w:rPr>
        <w:t>שובת</w:t>
      </w:r>
      <w:r w:rsidRPr="00A82E37">
        <w:rPr>
          <w:rFonts w:hint="cs"/>
          <w:rtl/>
        </w:rPr>
        <w:t xml:space="preserve"> הלשכה נכתב כי: "</w:t>
      </w:r>
      <w:r w:rsidRPr="00A82E37">
        <w:rPr>
          <w:rtl/>
        </w:rPr>
        <w:t>החברה הכלכלית היא חברה בע"מ, המקבלת את החלטותיה באופן עצמאי</w:t>
      </w:r>
      <w:r>
        <w:rPr>
          <w:rFonts w:hint="cs"/>
          <w:rtl/>
        </w:rPr>
        <w:t>...</w:t>
      </w:r>
      <w:r w:rsidRPr="00A82E37">
        <w:rPr>
          <w:rtl/>
        </w:rPr>
        <w:t>מעמדה של הלשכה הוא של בעלת מניות והיא אינה מנהלת באופן שוטף את החברה</w:t>
      </w:r>
      <w:r>
        <w:rPr>
          <w:rFonts w:hint="cs"/>
          <w:rtl/>
        </w:rPr>
        <w:t xml:space="preserve">" ועל כן הלשכה לא הייתה אמורה להקצות לחברה משאבים נוספים לצורך הנהלת חשבונות בחברה. עוד נכתב כי העברת </w:t>
      </w:r>
      <w:r w:rsidRPr="00A82E37">
        <w:rPr>
          <w:rtl/>
        </w:rPr>
        <w:t xml:space="preserve">המערך החשבונאי </w:t>
      </w:r>
      <w:r>
        <w:rPr>
          <w:rFonts w:hint="cs"/>
          <w:rtl/>
        </w:rPr>
        <w:t xml:space="preserve">של החברה </w:t>
      </w:r>
      <w:r w:rsidRPr="00A82E37">
        <w:rPr>
          <w:rtl/>
        </w:rPr>
        <w:t>לגורם חיצוני</w:t>
      </w:r>
      <w:r>
        <w:rPr>
          <w:rFonts w:hint="cs"/>
          <w:rtl/>
        </w:rPr>
        <w:t xml:space="preserve"> בשנת 2019</w:t>
      </w:r>
      <w:r w:rsidRPr="00A82E37">
        <w:rPr>
          <w:rtl/>
        </w:rPr>
        <w:t xml:space="preserve"> </w:t>
      </w:r>
      <w:r>
        <w:rPr>
          <w:rFonts w:hint="cs"/>
          <w:rtl/>
        </w:rPr>
        <w:t>"</w:t>
      </w:r>
      <w:r w:rsidRPr="00A82E37">
        <w:rPr>
          <w:rtl/>
        </w:rPr>
        <w:t>גרם לפתרון ושיפור משמעותי בהנהלת החשבונות</w:t>
      </w:r>
      <w:r>
        <w:rPr>
          <w:rFonts w:hint="cs"/>
          <w:rtl/>
        </w:rPr>
        <w:t>"</w:t>
      </w:r>
      <w:r w:rsidRPr="00A82E37">
        <w:rPr>
          <w:rtl/>
        </w:rPr>
        <w:t>.</w:t>
      </w:r>
      <w:r w:rsidRPr="00A82E37">
        <w:rPr>
          <w:rFonts w:hint="cs"/>
          <w:rtl/>
        </w:rPr>
        <w:t xml:space="preserve"> </w:t>
      </w:r>
    </w:p>
    <w:p w14:paraId="0ADF7F39" w14:textId="77777777" w:rsidR="00387987" w:rsidRDefault="00387987" w:rsidP="005E25F7">
      <w:pPr>
        <w:pStyle w:val="a1"/>
        <w:numPr>
          <w:ilvl w:val="0"/>
          <w:numId w:val="25"/>
        </w:numPr>
      </w:pPr>
      <w:r>
        <w:rPr>
          <w:rFonts w:hint="cs"/>
          <w:rtl/>
        </w:rPr>
        <w:t xml:space="preserve">בלוח שלהלן מוצג הפער </w:t>
      </w:r>
      <w:r w:rsidRPr="00957580">
        <w:rPr>
          <w:rFonts w:hint="cs"/>
          <w:rtl/>
        </w:rPr>
        <w:t>הניכר בין</w:t>
      </w:r>
      <w:r>
        <w:rPr>
          <w:rFonts w:hint="cs"/>
          <w:rtl/>
        </w:rPr>
        <w:t xml:space="preserve"> </w:t>
      </w:r>
      <w:r w:rsidRPr="00957580">
        <w:rPr>
          <w:rFonts w:hint="cs"/>
          <w:rtl/>
        </w:rPr>
        <w:t>ההפסדים המוערכים</w:t>
      </w:r>
      <w:r w:rsidRPr="00CF189B">
        <w:rPr>
          <w:rFonts w:hint="cs"/>
          <w:rtl/>
        </w:rPr>
        <w:t xml:space="preserve"> </w:t>
      </w:r>
      <w:r>
        <w:rPr>
          <w:rFonts w:hint="cs"/>
          <w:rtl/>
        </w:rPr>
        <w:t>לשנים 2015 ו-2016 על פי מידע שמסרה הנהלת החברה לרואה החשבון המבקר, לבין ההפסדים על פי הדוחות הכספיים המבוקרים של החברה לאותן השנים</w:t>
      </w:r>
      <w:r>
        <w:rPr>
          <w:rStyle w:val="FootnoteReference"/>
          <w:rtl/>
        </w:rPr>
        <w:footnoteReference w:id="100"/>
      </w:r>
      <w:r>
        <w:rPr>
          <w:rFonts w:hint="cs"/>
          <w:rtl/>
        </w:rPr>
        <w:t>.</w:t>
      </w:r>
    </w:p>
    <w:p w14:paraId="662B8380" w14:textId="57AEA6B9" w:rsidR="00387987" w:rsidRPr="000263BA" w:rsidRDefault="00154091" w:rsidP="00F4401D">
      <w:pPr>
        <w:pStyle w:val="a8"/>
        <w:bidi w:val="0"/>
        <w:rPr>
          <w:rtl/>
        </w:rPr>
      </w:pPr>
      <w:r>
        <w:rPr>
          <w:rtl/>
        </w:rPr>
        <w:br w:type="page"/>
      </w:r>
      <w:r w:rsidR="00387987">
        <w:rPr>
          <w:rFonts w:hint="cs"/>
          <w:rtl/>
        </w:rPr>
        <w:t>לוח</w:t>
      </w:r>
      <w:r w:rsidR="00387987" w:rsidRPr="000263BA">
        <w:rPr>
          <w:rtl/>
        </w:rPr>
        <w:t xml:space="preserve"> </w:t>
      </w:r>
      <w:r w:rsidR="00387987">
        <w:rPr>
          <w:rFonts w:hint="cs"/>
          <w:rtl/>
        </w:rPr>
        <w:t>6</w:t>
      </w:r>
      <w:r w:rsidR="00387987" w:rsidRPr="000263BA">
        <w:rPr>
          <w:rtl/>
        </w:rPr>
        <w:t xml:space="preserve">: </w:t>
      </w:r>
      <w:r w:rsidR="00387987" w:rsidRPr="00F4401D">
        <w:rPr>
          <w:rFonts w:hint="eastAsia"/>
          <w:b/>
          <w:bCs/>
          <w:rtl/>
        </w:rPr>
        <w:t>הכנסות</w:t>
      </w:r>
      <w:r w:rsidR="00387987" w:rsidRPr="00F4401D">
        <w:rPr>
          <w:b/>
          <w:bCs/>
          <w:rtl/>
        </w:rPr>
        <w:t xml:space="preserve"> </w:t>
      </w:r>
      <w:r w:rsidR="00387987" w:rsidRPr="00F4401D">
        <w:rPr>
          <w:rFonts w:hint="eastAsia"/>
          <w:b/>
          <w:bCs/>
          <w:rtl/>
        </w:rPr>
        <w:t>החברה</w:t>
      </w:r>
      <w:r w:rsidR="00387987" w:rsidRPr="00F4401D">
        <w:rPr>
          <w:b/>
          <w:bCs/>
          <w:rtl/>
        </w:rPr>
        <w:t xml:space="preserve"> </w:t>
      </w:r>
      <w:r w:rsidR="00387987" w:rsidRPr="00F4401D">
        <w:rPr>
          <w:rFonts w:hint="eastAsia"/>
          <w:b/>
          <w:bCs/>
          <w:rtl/>
        </w:rPr>
        <w:t>והפסדיה</w:t>
      </w:r>
      <w:r w:rsidR="00387987" w:rsidRPr="00F4401D">
        <w:rPr>
          <w:rFonts w:hint="cs"/>
          <w:b/>
          <w:bCs/>
          <w:rtl/>
        </w:rPr>
        <w:t>,</w:t>
      </w:r>
      <w:r w:rsidR="00387987" w:rsidRPr="00F4401D">
        <w:rPr>
          <w:b/>
          <w:bCs/>
          <w:rtl/>
        </w:rPr>
        <w:t xml:space="preserve"> 2015 - 2016 </w:t>
      </w:r>
      <w:r w:rsidR="00387987" w:rsidRPr="00F4401D">
        <w:rPr>
          <w:rFonts w:hint="cs"/>
          <w:b/>
          <w:bCs/>
          <w:rtl/>
        </w:rPr>
        <w:t>(</w:t>
      </w:r>
      <w:r w:rsidR="00387987" w:rsidRPr="00F4401D">
        <w:rPr>
          <w:rFonts w:hint="eastAsia"/>
          <w:b/>
          <w:bCs/>
          <w:rtl/>
        </w:rPr>
        <w:t>באלפי</w:t>
      </w:r>
      <w:r w:rsidR="00387987" w:rsidRPr="00F4401D">
        <w:rPr>
          <w:b/>
          <w:bCs/>
          <w:rtl/>
        </w:rPr>
        <w:t xml:space="preserve"> </w:t>
      </w:r>
      <w:r w:rsidR="00387987" w:rsidRPr="00F4401D">
        <w:rPr>
          <w:rFonts w:hint="eastAsia"/>
          <w:b/>
          <w:bCs/>
          <w:rtl/>
        </w:rPr>
        <w:t>ש</w:t>
      </w:r>
      <w:r w:rsidR="00387987" w:rsidRPr="00F4401D">
        <w:rPr>
          <w:b/>
          <w:bCs/>
          <w:rtl/>
        </w:rPr>
        <w:t>"</w:t>
      </w:r>
      <w:r w:rsidR="00387987" w:rsidRPr="00F4401D">
        <w:rPr>
          <w:rFonts w:hint="eastAsia"/>
          <w:b/>
          <w:bCs/>
          <w:rtl/>
        </w:rPr>
        <w:t>ח</w:t>
      </w:r>
      <w:r w:rsidR="00387987" w:rsidRPr="00F4401D">
        <w:rPr>
          <w:rFonts w:hint="cs"/>
          <w:b/>
          <w:bCs/>
          <w:rtl/>
        </w:rPr>
        <w:t>)</w:t>
      </w:r>
    </w:p>
    <w:tbl>
      <w:tblPr>
        <w:tblStyle w:val="4-41"/>
        <w:bidiVisual/>
        <w:tblW w:w="78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191"/>
        <w:gridCol w:w="1370"/>
        <w:gridCol w:w="944"/>
        <w:gridCol w:w="1201"/>
        <w:gridCol w:w="1499"/>
        <w:gridCol w:w="868"/>
      </w:tblGrid>
      <w:tr w:rsidR="00387987" w:rsidRPr="003F0956" w14:paraId="7C92912B" w14:textId="77777777" w:rsidTr="00615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Borders>
              <w:top w:val="none" w:sz="0" w:space="0" w:color="auto"/>
              <w:left w:val="none" w:sz="0" w:space="0" w:color="auto"/>
              <w:bottom w:val="none" w:sz="0" w:space="0" w:color="auto"/>
              <w:right w:val="none" w:sz="0" w:space="0" w:color="auto"/>
            </w:tcBorders>
            <w:shd w:val="clear" w:color="auto" w:fill="C6D9F1"/>
            <w:vAlign w:val="bottom"/>
          </w:tcPr>
          <w:p w14:paraId="2E60B2F9" w14:textId="77777777" w:rsidR="00387987" w:rsidRPr="00F4401D" w:rsidRDefault="00387987" w:rsidP="00F4401D">
            <w:pPr>
              <w:pStyle w:val="af"/>
              <w:rPr>
                <w:b/>
                <w:bCs/>
                <w:rtl/>
              </w:rPr>
            </w:pPr>
            <w:r w:rsidRPr="00F4401D">
              <w:rPr>
                <w:rFonts w:hint="cs"/>
                <w:b/>
                <w:bCs/>
                <w:rtl/>
              </w:rPr>
              <w:t>השנה</w:t>
            </w:r>
          </w:p>
        </w:tc>
        <w:tc>
          <w:tcPr>
            <w:tcW w:w="1191" w:type="dxa"/>
            <w:tcBorders>
              <w:top w:val="none" w:sz="0" w:space="0" w:color="auto"/>
              <w:left w:val="none" w:sz="0" w:space="0" w:color="auto"/>
              <w:bottom w:val="none" w:sz="0" w:space="0" w:color="auto"/>
              <w:right w:val="none" w:sz="0" w:space="0" w:color="auto"/>
            </w:tcBorders>
            <w:shd w:val="clear" w:color="auto" w:fill="C6D9F1"/>
            <w:vAlign w:val="bottom"/>
          </w:tcPr>
          <w:p w14:paraId="4EBEBC65" w14:textId="20F467F7" w:rsidR="00387987" w:rsidRPr="00F4401D" w:rsidRDefault="00387987" w:rsidP="00F4401D">
            <w:pPr>
              <w:pStyle w:val="af"/>
              <w:cnfStyle w:val="100000000000" w:firstRow="1" w:lastRow="0" w:firstColumn="0" w:lastColumn="0" w:oddVBand="0" w:evenVBand="0" w:oddHBand="0" w:evenHBand="0" w:firstRowFirstColumn="0" w:firstRowLastColumn="0" w:lastRowFirstColumn="0" w:lastRowLastColumn="0"/>
              <w:rPr>
                <w:b/>
                <w:bCs/>
                <w:rtl/>
              </w:rPr>
            </w:pPr>
            <w:r w:rsidRPr="00F4401D">
              <w:rPr>
                <w:rFonts w:hint="cs"/>
                <w:b/>
                <w:bCs/>
                <w:rtl/>
              </w:rPr>
              <w:t>הכנסות החברה</w:t>
            </w:r>
            <w:r w:rsidR="006158C1">
              <w:rPr>
                <w:b/>
                <w:bCs/>
                <w:rtl/>
              </w:rPr>
              <w:br/>
            </w:r>
            <w:r w:rsidRPr="00F4401D">
              <w:rPr>
                <w:rFonts w:hint="cs"/>
                <w:b/>
                <w:bCs/>
                <w:rtl/>
              </w:rPr>
              <w:t>על פי</w:t>
            </w:r>
            <w:r w:rsidR="006158C1">
              <w:rPr>
                <w:b/>
                <w:bCs/>
                <w:rtl/>
              </w:rPr>
              <w:br/>
            </w:r>
            <w:r w:rsidRPr="00F4401D">
              <w:rPr>
                <w:rFonts w:hint="cs"/>
                <w:b/>
                <w:bCs/>
                <w:rtl/>
              </w:rPr>
              <w:t>הנהלת החברה</w:t>
            </w:r>
          </w:p>
        </w:tc>
        <w:tc>
          <w:tcPr>
            <w:tcW w:w="1370" w:type="dxa"/>
            <w:tcBorders>
              <w:top w:val="none" w:sz="0" w:space="0" w:color="auto"/>
              <w:left w:val="none" w:sz="0" w:space="0" w:color="auto"/>
              <w:bottom w:val="none" w:sz="0" w:space="0" w:color="auto"/>
              <w:right w:val="none" w:sz="0" w:space="0" w:color="auto"/>
            </w:tcBorders>
            <w:shd w:val="clear" w:color="auto" w:fill="C6D9F1"/>
            <w:vAlign w:val="bottom"/>
          </w:tcPr>
          <w:p w14:paraId="064E428A" w14:textId="77777777" w:rsidR="00387987" w:rsidRPr="00F4401D" w:rsidRDefault="00387987" w:rsidP="00F4401D">
            <w:pPr>
              <w:pStyle w:val="af"/>
              <w:cnfStyle w:val="100000000000" w:firstRow="1" w:lastRow="0" w:firstColumn="0" w:lastColumn="0" w:oddVBand="0" w:evenVBand="0" w:oddHBand="0" w:evenHBand="0" w:firstRowFirstColumn="0" w:firstRowLastColumn="0" w:lastRowFirstColumn="0" w:lastRowLastColumn="0"/>
              <w:rPr>
                <w:b/>
                <w:bCs/>
                <w:rtl/>
              </w:rPr>
            </w:pPr>
            <w:r w:rsidRPr="00F4401D">
              <w:rPr>
                <w:rFonts w:hint="cs"/>
                <w:b/>
                <w:bCs/>
                <w:rtl/>
              </w:rPr>
              <w:t>הכנסות החברה על פי הדוחות המבוקרים של החברה</w:t>
            </w:r>
          </w:p>
        </w:tc>
        <w:tc>
          <w:tcPr>
            <w:tcW w:w="944" w:type="dxa"/>
            <w:tcBorders>
              <w:top w:val="none" w:sz="0" w:space="0" w:color="auto"/>
              <w:left w:val="none" w:sz="0" w:space="0" w:color="auto"/>
              <w:bottom w:val="none" w:sz="0" w:space="0" w:color="auto"/>
              <w:right w:val="none" w:sz="0" w:space="0" w:color="auto"/>
            </w:tcBorders>
            <w:shd w:val="clear" w:color="auto" w:fill="C6D9F1"/>
            <w:vAlign w:val="bottom"/>
          </w:tcPr>
          <w:p w14:paraId="035B656E" w14:textId="77777777" w:rsidR="00387987" w:rsidRPr="00F4401D" w:rsidRDefault="00387987" w:rsidP="00F4401D">
            <w:pPr>
              <w:pStyle w:val="af"/>
              <w:cnfStyle w:val="100000000000" w:firstRow="1" w:lastRow="0" w:firstColumn="0" w:lastColumn="0" w:oddVBand="0" w:evenVBand="0" w:oddHBand="0" w:evenHBand="0" w:firstRowFirstColumn="0" w:firstRowLastColumn="0" w:lastRowFirstColumn="0" w:lastRowLastColumn="0"/>
              <w:rPr>
                <w:b/>
                <w:bCs/>
                <w:rtl/>
              </w:rPr>
            </w:pPr>
            <w:r w:rsidRPr="00F4401D">
              <w:rPr>
                <w:rFonts w:hint="cs"/>
                <w:b/>
                <w:bCs/>
                <w:rtl/>
              </w:rPr>
              <w:t xml:space="preserve">הפער הכספי </w:t>
            </w:r>
          </w:p>
        </w:tc>
        <w:tc>
          <w:tcPr>
            <w:tcW w:w="1201" w:type="dxa"/>
            <w:tcBorders>
              <w:top w:val="none" w:sz="0" w:space="0" w:color="auto"/>
              <w:left w:val="none" w:sz="0" w:space="0" w:color="auto"/>
              <w:bottom w:val="none" w:sz="0" w:space="0" w:color="auto"/>
              <w:right w:val="none" w:sz="0" w:space="0" w:color="auto"/>
            </w:tcBorders>
            <w:shd w:val="clear" w:color="auto" w:fill="C6D9F1"/>
            <w:vAlign w:val="bottom"/>
          </w:tcPr>
          <w:p w14:paraId="644ED066" w14:textId="77777777" w:rsidR="00387987" w:rsidRPr="00F4401D" w:rsidRDefault="00387987" w:rsidP="00F4401D">
            <w:pPr>
              <w:pStyle w:val="af"/>
              <w:cnfStyle w:val="100000000000" w:firstRow="1" w:lastRow="0" w:firstColumn="0" w:lastColumn="0" w:oddVBand="0" w:evenVBand="0" w:oddHBand="0" w:evenHBand="0" w:firstRowFirstColumn="0" w:firstRowLastColumn="0" w:lastRowFirstColumn="0" w:lastRowLastColumn="0"/>
              <w:rPr>
                <w:b/>
                <w:bCs/>
                <w:rtl/>
              </w:rPr>
            </w:pPr>
            <w:r w:rsidRPr="00F4401D">
              <w:rPr>
                <w:rFonts w:hint="cs"/>
                <w:b/>
                <w:bCs/>
                <w:rtl/>
              </w:rPr>
              <w:t>ההפסד על פי הנהלת החברה</w:t>
            </w:r>
          </w:p>
        </w:tc>
        <w:tc>
          <w:tcPr>
            <w:tcW w:w="1499" w:type="dxa"/>
            <w:tcBorders>
              <w:top w:val="none" w:sz="0" w:space="0" w:color="auto"/>
              <w:left w:val="none" w:sz="0" w:space="0" w:color="auto"/>
              <w:bottom w:val="none" w:sz="0" w:space="0" w:color="auto"/>
              <w:right w:val="none" w:sz="0" w:space="0" w:color="auto"/>
            </w:tcBorders>
            <w:shd w:val="clear" w:color="auto" w:fill="C6D9F1"/>
            <w:vAlign w:val="bottom"/>
          </w:tcPr>
          <w:p w14:paraId="3E9DD609" w14:textId="77777777" w:rsidR="00387987" w:rsidRPr="00F4401D" w:rsidRDefault="00387987" w:rsidP="00F4401D">
            <w:pPr>
              <w:pStyle w:val="af"/>
              <w:cnfStyle w:val="100000000000" w:firstRow="1" w:lastRow="0" w:firstColumn="0" w:lastColumn="0" w:oddVBand="0" w:evenVBand="0" w:oddHBand="0" w:evenHBand="0" w:firstRowFirstColumn="0" w:firstRowLastColumn="0" w:lastRowFirstColumn="0" w:lastRowLastColumn="0"/>
              <w:rPr>
                <w:b/>
                <w:bCs/>
                <w:rtl/>
              </w:rPr>
            </w:pPr>
            <w:r w:rsidRPr="00F4401D">
              <w:rPr>
                <w:rFonts w:hint="cs"/>
                <w:b/>
                <w:bCs/>
                <w:rtl/>
              </w:rPr>
              <w:t>ההפסד על פי הדוחות המבוקרים של החברה</w:t>
            </w:r>
          </w:p>
        </w:tc>
        <w:tc>
          <w:tcPr>
            <w:tcW w:w="868" w:type="dxa"/>
            <w:tcBorders>
              <w:top w:val="none" w:sz="0" w:space="0" w:color="auto"/>
              <w:left w:val="none" w:sz="0" w:space="0" w:color="auto"/>
              <w:bottom w:val="none" w:sz="0" w:space="0" w:color="auto"/>
              <w:right w:val="none" w:sz="0" w:space="0" w:color="auto"/>
            </w:tcBorders>
            <w:shd w:val="clear" w:color="auto" w:fill="C6D9F1"/>
            <w:vAlign w:val="bottom"/>
          </w:tcPr>
          <w:p w14:paraId="4828F036" w14:textId="77777777" w:rsidR="00387987" w:rsidRPr="00F4401D" w:rsidRDefault="00387987" w:rsidP="00F4401D">
            <w:pPr>
              <w:pStyle w:val="af"/>
              <w:cnfStyle w:val="100000000000" w:firstRow="1" w:lastRow="0" w:firstColumn="0" w:lastColumn="0" w:oddVBand="0" w:evenVBand="0" w:oddHBand="0" w:evenHBand="0" w:firstRowFirstColumn="0" w:firstRowLastColumn="0" w:lastRowFirstColumn="0" w:lastRowLastColumn="0"/>
              <w:rPr>
                <w:b/>
                <w:bCs/>
                <w:rtl/>
              </w:rPr>
            </w:pPr>
            <w:r w:rsidRPr="00F4401D">
              <w:rPr>
                <w:rFonts w:hint="cs"/>
                <w:b/>
                <w:bCs/>
                <w:rtl/>
              </w:rPr>
              <w:t>הפער</w:t>
            </w:r>
          </w:p>
          <w:p w14:paraId="65941265" w14:textId="77777777" w:rsidR="00387987" w:rsidRPr="00F4401D" w:rsidRDefault="00387987" w:rsidP="00F4401D">
            <w:pPr>
              <w:pStyle w:val="af"/>
              <w:cnfStyle w:val="100000000000" w:firstRow="1" w:lastRow="0" w:firstColumn="0" w:lastColumn="0" w:oddVBand="0" w:evenVBand="0" w:oddHBand="0" w:evenHBand="0" w:firstRowFirstColumn="0" w:firstRowLastColumn="0" w:lastRowFirstColumn="0" w:lastRowLastColumn="0"/>
              <w:rPr>
                <w:b/>
                <w:bCs/>
                <w:rtl/>
              </w:rPr>
            </w:pPr>
            <w:r w:rsidRPr="00F4401D">
              <w:rPr>
                <w:rFonts w:hint="cs"/>
                <w:b/>
                <w:bCs/>
                <w:rtl/>
              </w:rPr>
              <w:t xml:space="preserve">הכספי </w:t>
            </w:r>
          </w:p>
        </w:tc>
      </w:tr>
      <w:tr w:rsidR="00387987" w:rsidRPr="003F0956" w14:paraId="28867732" w14:textId="77777777" w:rsidTr="00615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shd w:val="clear" w:color="auto" w:fill="auto"/>
            <w:vAlign w:val="bottom"/>
          </w:tcPr>
          <w:p w14:paraId="1DD80EB7" w14:textId="77777777" w:rsidR="00387987" w:rsidRPr="0010747A" w:rsidRDefault="00387987" w:rsidP="0010747A">
            <w:pPr>
              <w:pStyle w:val="R"/>
              <w:rPr>
                <w:rtl/>
              </w:rPr>
            </w:pPr>
            <w:r w:rsidRPr="0010747A">
              <w:rPr>
                <w:rFonts w:hint="cs"/>
                <w:rtl/>
              </w:rPr>
              <w:t>2015</w:t>
            </w:r>
          </w:p>
        </w:tc>
        <w:tc>
          <w:tcPr>
            <w:tcW w:w="1191" w:type="dxa"/>
            <w:shd w:val="clear" w:color="auto" w:fill="auto"/>
            <w:vAlign w:val="bottom"/>
          </w:tcPr>
          <w:p w14:paraId="04B95222" w14:textId="77777777" w:rsidR="00387987" w:rsidRPr="0010747A" w:rsidRDefault="00387987" w:rsidP="0010747A">
            <w:pPr>
              <w:pStyle w:val="R"/>
              <w:cnfStyle w:val="000000100000" w:firstRow="0" w:lastRow="0" w:firstColumn="0" w:lastColumn="0" w:oddVBand="0" w:evenVBand="0" w:oddHBand="1" w:evenHBand="0" w:firstRowFirstColumn="0" w:firstRowLastColumn="0" w:lastRowFirstColumn="0" w:lastRowLastColumn="0"/>
              <w:rPr>
                <w:rtl/>
              </w:rPr>
            </w:pPr>
            <w:r w:rsidRPr="0010747A">
              <w:rPr>
                <w:rFonts w:hint="cs"/>
                <w:rtl/>
              </w:rPr>
              <w:t>13,258</w:t>
            </w:r>
          </w:p>
        </w:tc>
        <w:tc>
          <w:tcPr>
            <w:tcW w:w="1370" w:type="dxa"/>
            <w:shd w:val="clear" w:color="auto" w:fill="auto"/>
            <w:vAlign w:val="bottom"/>
          </w:tcPr>
          <w:p w14:paraId="5490990C" w14:textId="77777777" w:rsidR="00387987" w:rsidRPr="0010747A" w:rsidRDefault="00387987" w:rsidP="0010747A">
            <w:pPr>
              <w:pStyle w:val="R"/>
              <w:cnfStyle w:val="000000100000" w:firstRow="0" w:lastRow="0" w:firstColumn="0" w:lastColumn="0" w:oddVBand="0" w:evenVBand="0" w:oddHBand="1" w:evenHBand="0" w:firstRowFirstColumn="0" w:firstRowLastColumn="0" w:lastRowFirstColumn="0" w:lastRowLastColumn="0"/>
              <w:rPr>
                <w:rtl/>
              </w:rPr>
            </w:pPr>
            <w:r w:rsidRPr="0010747A">
              <w:rPr>
                <w:rFonts w:hint="cs"/>
                <w:rtl/>
              </w:rPr>
              <w:t>13,191</w:t>
            </w:r>
          </w:p>
        </w:tc>
        <w:tc>
          <w:tcPr>
            <w:tcW w:w="944" w:type="dxa"/>
            <w:shd w:val="clear" w:color="auto" w:fill="auto"/>
            <w:vAlign w:val="bottom"/>
          </w:tcPr>
          <w:p w14:paraId="4A4C5220" w14:textId="77777777" w:rsidR="00387987" w:rsidRPr="0010747A" w:rsidRDefault="00387987" w:rsidP="0010747A">
            <w:pPr>
              <w:pStyle w:val="B"/>
              <w:cnfStyle w:val="000000100000" w:firstRow="0" w:lastRow="0" w:firstColumn="0" w:lastColumn="0" w:oddVBand="0" w:evenVBand="0" w:oddHBand="1" w:evenHBand="0" w:firstRowFirstColumn="0" w:firstRowLastColumn="0" w:lastRowFirstColumn="0" w:lastRowLastColumn="0"/>
              <w:rPr>
                <w:szCs w:val="20"/>
                <w:rtl/>
              </w:rPr>
            </w:pPr>
            <w:r w:rsidRPr="0010747A">
              <w:rPr>
                <w:rFonts w:hint="cs"/>
                <w:szCs w:val="20"/>
                <w:rtl/>
              </w:rPr>
              <w:t>67</w:t>
            </w:r>
          </w:p>
        </w:tc>
        <w:tc>
          <w:tcPr>
            <w:tcW w:w="1201" w:type="dxa"/>
            <w:shd w:val="clear" w:color="auto" w:fill="auto"/>
            <w:vAlign w:val="bottom"/>
          </w:tcPr>
          <w:p w14:paraId="6CF77DA0" w14:textId="77777777" w:rsidR="00387987" w:rsidRPr="0010747A" w:rsidRDefault="00387987" w:rsidP="0010747A">
            <w:pPr>
              <w:pStyle w:val="R"/>
              <w:cnfStyle w:val="000000100000" w:firstRow="0" w:lastRow="0" w:firstColumn="0" w:lastColumn="0" w:oddVBand="0" w:evenVBand="0" w:oddHBand="1" w:evenHBand="0" w:firstRowFirstColumn="0" w:firstRowLastColumn="0" w:lastRowFirstColumn="0" w:lastRowLastColumn="0"/>
              <w:rPr>
                <w:rtl/>
              </w:rPr>
            </w:pPr>
            <w:r w:rsidRPr="0010747A">
              <w:rPr>
                <w:rFonts w:hint="cs"/>
                <w:rtl/>
              </w:rPr>
              <w:t xml:space="preserve"> 124</w:t>
            </w:r>
          </w:p>
        </w:tc>
        <w:tc>
          <w:tcPr>
            <w:tcW w:w="1499" w:type="dxa"/>
            <w:shd w:val="clear" w:color="auto" w:fill="auto"/>
            <w:vAlign w:val="bottom"/>
          </w:tcPr>
          <w:p w14:paraId="6D9B4175" w14:textId="77777777" w:rsidR="00387987" w:rsidRPr="0010747A" w:rsidRDefault="00387987" w:rsidP="0010747A">
            <w:pPr>
              <w:pStyle w:val="R"/>
              <w:cnfStyle w:val="000000100000" w:firstRow="0" w:lastRow="0" w:firstColumn="0" w:lastColumn="0" w:oddVBand="0" w:evenVBand="0" w:oddHBand="1" w:evenHBand="0" w:firstRowFirstColumn="0" w:firstRowLastColumn="0" w:lastRowFirstColumn="0" w:lastRowLastColumn="0"/>
              <w:rPr>
                <w:rtl/>
              </w:rPr>
            </w:pPr>
            <w:r w:rsidRPr="0010747A">
              <w:rPr>
                <w:rFonts w:hint="cs"/>
                <w:rtl/>
              </w:rPr>
              <w:t>1,853</w:t>
            </w:r>
          </w:p>
        </w:tc>
        <w:tc>
          <w:tcPr>
            <w:tcW w:w="868" w:type="dxa"/>
            <w:shd w:val="clear" w:color="auto" w:fill="auto"/>
            <w:vAlign w:val="bottom"/>
          </w:tcPr>
          <w:p w14:paraId="782B19B7" w14:textId="77777777" w:rsidR="00387987" w:rsidRPr="0010747A" w:rsidRDefault="00387987" w:rsidP="0010747A">
            <w:pPr>
              <w:pStyle w:val="B"/>
              <w:cnfStyle w:val="000000100000" w:firstRow="0" w:lastRow="0" w:firstColumn="0" w:lastColumn="0" w:oddVBand="0" w:evenVBand="0" w:oddHBand="1" w:evenHBand="0" w:firstRowFirstColumn="0" w:firstRowLastColumn="0" w:lastRowFirstColumn="0" w:lastRowLastColumn="0"/>
              <w:rPr>
                <w:szCs w:val="20"/>
                <w:rtl/>
              </w:rPr>
            </w:pPr>
            <w:r w:rsidRPr="0010747A">
              <w:rPr>
                <w:rFonts w:hint="cs"/>
                <w:szCs w:val="20"/>
                <w:rtl/>
              </w:rPr>
              <w:t>1,729</w:t>
            </w:r>
          </w:p>
        </w:tc>
      </w:tr>
      <w:tr w:rsidR="00387987" w:rsidRPr="003F0956" w14:paraId="2726FCB6" w14:textId="77777777" w:rsidTr="006158C1">
        <w:tc>
          <w:tcPr>
            <w:cnfStyle w:val="001000000000" w:firstRow="0" w:lastRow="0" w:firstColumn="1" w:lastColumn="0" w:oddVBand="0" w:evenVBand="0" w:oddHBand="0" w:evenHBand="0" w:firstRowFirstColumn="0" w:firstRowLastColumn="0" w:lastRowFirstColumn="0" w:lastRowLastColumn="0"/>
            <w:tcW w:w="790" w:type="dxa"/>
            <w:shd w:val="clear" w:color="auto" w:fill="auto"/>
            <w:vAlign w:val="bottom"/>
          </w:tcPr>
          <w:p w14:paraId="49977A6D" w14:textId="77777777" w:rsidR="00387987" w:rsidRPr="0010747A" w:rsidRDefault="00387987" w:rsidP="0010747A">
            <w:pPr>
              <w:pStyle w:val="R"/>
              <w:rPr>
                <w:rtl/>
              </w:rPr>
            </w:pPr>
            <w:r w:rsidRPr="0010747A">
              <w:rPr>
                <w:rFonts w:hint="cs"/>
                <w:rtl/>
              </w:rPr>
              <w:t>2016</w:t>
            </w:r>
          </w:p>
        </w:tc>
        <w:tc>
          <w:tcPr>
            <w:tcW w:w="1191" w:type="dxa"/>
            <w:shd w:val="clear" w:color="auto" w:fill="auto"/>
            <w:vAlign w:val="bottom"/>
          </w:tcPr>
          <w:p w14:paraId="53408974" w14:textId="77777777" w:rsidR="00387987" w:rsidRPr="0010747A" w:rsidRDefault="00387987" w:rsidP="0010747A">
            <w:pPr>
              <w:pStyle w:val="R"/>
              <w:cnfStyle w:val="000000000000" w:firstRow="0" w:lastRow="0" w:firstColumn="0" w:lastColumn="0" w:oddVBand="0" w:evenVBand="0" w:oddHBand="0" w:evenHBand="0" w:firstRowFirstColumn="0" w:firstRowLastColumn="0" w:lastRowFirstColumn="0" w:lastRowLastColumn="0"/>
              <w:rPr>
                <w:rtl/>
              </w:rPr>
            </w:pPr>
            <w:r w:rsidRPr="0010747A">
              <w:rPr>
                <w:rFonts w:hint="cs"/>
                <w:rtl/>
              </w:rPr>
              <w:t>15,470</w:t>
            </w:r>
          </w:p>
        </w:tc>
        <w:tc>
          <w:tcPr>
            <w:tcW w:w="1370" w:type="dxa"/>
            <w:shd w:val="clear" w:color="auto" w:fill="auto"/>
            <w:vAlign w:val="bottom"/>
          </w:tcPr>
          <w:p w14:paraId="6DE60985" w14:textId="77777777" w:rsidR="00387987" w:rsidRPr="0010747A" w:rsidRDefault="00387987" w:rsidP="0010747A">
            <w:pPr>
              <w:pStyle w:val="R"/>
              <w:cnfStyle w:val="000000000000" w:firstRow="0" w:lastRow="0" w:firstColumn="0" w:lastColumn="0" w:oddVBand="0" w:evenVBand="0" w:oddHBand="0" w:evenHBand="0" w:firstRowFirstColumn="0" w:firstRowLastColumn="0" w:lastRowFirstColumn="0" w:lastRowLastColumn="0"/>
              <w:rPr>
                <w:rtl/>
              </w:rPr>
            </w:pPr>
            <w:r w:rsidRPr="0010747A">
              <w:rPr>
                <w:rFonts w:hint="cs"/>
                <w:rtl/>
              </w:rPr>
              <w:t>14,874</w:t>
            </w:r>
          </w:p>
        </w:tc>
        <w:tc>
          <w:tcPr>
            <w:tcW w:w="944" w:type="dxa"/>
            <w:shd w:val="clear" w:color="auto" w:fill="auto"/>
            <w:vAlign w:val="bottom"/>
          </w:tcPr>
          <w:p w14:paraId="2D08201D" w14:textId="77777777" w:rsidR="00387987" w:rsidRPr="0010747A" w:rsidRDefault="00387987" w:rsidP="0010747A">
            <w:pPr>
              <w:pStyle w:val="B"/>
              <w:cnfStyle w:val="000000000000" w:firstRow="0" w:lastRow="0" w:firstColumn="0" w:lastColumn="0" w:oddVBand="0" w:evenVBand="0" w:oddHBand="0" w:evenHBand="0" w:firstRowFirstColumn="0" w:firstRowLastColumn="0" w:lastRowFirstColumn="0" w:lastRowLastColumn="0"/>
              <w:rPr>
                <w:szCs w:val="20"/>
                <w:rtl/>
              </w:rPr>
            </w:pPr>
            <w:r w:rsidRPr="0010747A">
              <w:rPr>
                <w:rFonts w:hint="cs"/>
                <w:szCs w:val="20"/>
                <w:rtl/>
              </w:rPr>
              <w:t>596</w:t>
            </w:r>
          </w:p>
        </w:tc>
        <w:tc>
          <w:tcPr>
            <w:tcW w:w="1201" w:type="dxa"/>
            <w:shd w:val="clear" w:color="auto" w:fill="auto"/>
            <w:vAlign w:val="bottom"/>
          </w:tcPr>
          <w:p w14:paraId="2BC4C87C" w14:textId="77777777" w:rsidR="00387987" w:rsidRPr="0010747A" w:rsidRDefault="00387987" w:rsidP="0010747A">
            <w:pPr>
              <w:pStyle w:val="R"/>
              <w:cnfStyle w:val="000000000000" w:firstRow="0" w:lastRow="0" w:firstColumn="0" w:lastColumn="0" w:oddVBand="0" w:evenVBand="0" w:oddHBand="0" w:evenHBand="0" w:firstRowFirstColumn="0" w:firstRowLastColumn="0" w:lastRowFirstColumn="0" w:lastRowLastColumn="0"/>
              <w:rPr>
                <w:rtl/>
              </w:rPr>
            </w:pPr>
            <w:r w:rsidRPr="0010747A">
              <w:rPr>
                <w:rFonts w:hint="cs"/>
                <w:rtl/>
              </w:rPr>
              <w:t xml:space="preserve">985 </w:t>
            </w:r>
          </w:p>
        </w:tc>
        <w:tc>
          <w:tcPr>
            <w:tcW w:w="1499" w:type="dxa"/>
            <w:shd w:val="clear" w:color="auto" w:fill="auto"/>
            <w:vAlign w:val="bottom"/>
          </w:tcPr>
          <w:p w14:paraId="374C0F9E" w14:textId="77777777" w:rsidR="00387987" w:rsidRPr="0010747A" w:rsidRDefault="00387987" w:rsidP="0010747A">
            <w:pPr>
              <w:pStyle w:val="R"/>
              <w:cnfStyle w:val="000000000000" w:firstRow="0" w:lastRow="0" w:firstColumn="0" w:lastColumn="0" w:oddVBand="0" w:evenVBand="0" w:oddHBand="0" w:evenHBand="0" w:firstRowFirstColumn="0" w:firstRowLastColumn="0" w:lastRowFirstColumn="0" w:lastRowLastColumn="0"/>
              <w:rPr>
                <w:rtl/>
              </w:rPr>
            </w:pPr>
            <w:r w:rsidRPr="0010747A">
              <w:rPr>
                <w:rFonts w:hint="cs"/>
                <w:rtl/>
              </w:rPr>
              <w:t>1,639</w:t>
            </w:r>
          </w:p>
        </w:tc>
        <w:tc>
          <w:tcPr>
            <w:tcW w:w="868" w:type="dxa"/>
            <w:shd w:val="clear" w:color="auto" w:fill="auto"/>
            <w:vAlign w:val="bottom"/>
          </w:tcPr>
          <w:p w14:paraId="7C0000AE" w14:textId="77777777" w:rsidR="00387987" w:rsidRPr="0010747A" w:rsidRDefault="00387987" w:rsidP="0010747A">
            <w:pPr>
              <w:pStyle w:val="B"/>
              <w:cnfStyle w:val="000000000000" w:firstRow="0" w:lastRow="0" w:firstColumn="0" w:lastColumn="0" w:oddVBand="0" w:evenVBand="0" w:oddHBand="0" w:evenHBand="0" w:firstRowFirstColumn="0" w:firstRowLastColumn="0" w:lastRowFirstColumn="0" w:lastRowLastColumn="0"/>
              <w:rPr>
                <w:szCs w:val="20"/>
                <w:rtl/>
              </w:rPr>
            </w:pPr>
            <w:r w:rsidRPr="0010747A">
              <w:rPr>
                <w:rFonts w:hint="cs"/>
                <w:szCs w:val="20"/>
                <w:rtl/>
              </w:rPr>
              <w:t>654</w:t>
            </w:r>
          </w:p>
        </w:tc>
      </w:tr>
    </w:tbl>
    <w:p w14:paraId="1DB9A25E" w14:textId="77777777" w:rsidR="00387987" w:rsidRDefault="00387987" w:rsidP="00BC7E15">
      <w:pPr>
        <w:pStyle w:val="aa"/>
        <w:rPr>
          <w:rtl/>
        </w:rPr>
      </w:pPr>
      <w:r>
        <w:rPr>
          <w:rFonts w:hint="cs"/>
          <w:rtl/>
        </w:rPr>
        <w:t>על פי נתוני</w:t>
      </w:r>
      <w:r w:rsidRPr="009F6620">
        <w:rPr>
          <w:rFonts w:hint="cs"/>
          <w:rtl/>
        </w:rPr>
        <w:t xml:space="preserve"> דוחות פיקוח </w:t>
      </w:r>
      <w:r>
        <w:rPr>
          <w:rFonts w:hint="cs"/>
          <w:rtl/>
        </w:rPr>
        <w:t xml:space="preserve">על </w:t>
      </w:r>
      <w:r w:rsidRPr="009F6620">
        <w:rPr>
          <w:rFonts w:hint="cs"/>
          <w:rtl/>
        </w:rPr>
        <w:t>החברה ודוחות כספיים מבוקרים בעיבוד משרד מבקר המדינה</w:t>
      </w:r>
    </w:p>
    <w:p w14:paraId="7596B83A" w14:textId="6E32B6D0" w:rsidR="00387987" w:rsidRDefault="00387987" w:rsidP="00BB3D90">
      <w:pPr>
        <w:pStyle w:val="100"/>
        <w:rPr>
          <w:rtl/>
        </w:rPr>
      </w:pPr>
    </w:p>
    <w:p w14:paraId="32267F3C" w14:textId="77777777" w:rsidR="00387987" w:rsidRPr="00D230C5" w:rsidRDefault="00387987" w:rsidP="00BB3D90">
      <w:pPr>
        <w:pStyle w:val="af2"/>
      </w:pPr>
      <w:r>
        <w:rPr>
          <w:rFonts w:hint="cs"/>
          <w:rtl/>
        </w:rPr>
        <w:t>בתשובתו הסביר המנכ"ל לשעבר של החברה, כי בעת שהציג לדירקטוריון נתונים כספיים, הוא ציין בפניהם שהנתונים אינם מבוססים על דוחות מבוקרים, זאת בשל הליקויים במערכת הנהלת החשבונות.</w:t>
      </w:r>
      <w:r w:rsidRPr="00991C1E">
        <w:rPr>
          <w:rFonts w:hint="cs"/>
          <w:rtl/>
        </w:rPr>
        <w:t xml:space="preserve"> </w:t>
      </w:r>
      <w:r>
        <w:rPr>
          <w:rFonts w:hint="cs"/>
          <w:rtl/>
        </w:rPr>
        <w:t xml:space="preserve">לדבריו הדירקטוריון ידע כל העת על מצבה </w:t>
      </w:r>
      <w:r w:rsidRPr="00735950">
        <w:rPr>
          <w:rFonts w:hint="cs"/>
          <w:rtl/>
        </w:rPr>
        <w:t>הכספי</w:t>
      </w:r>
      <w:r>
        <w:rPr>
          <w:rFonts w:hint="cs"/>
          <w:rtl/>
        </w:rPr>
        <w:t xml:space="preserve"> של החברה. יתרה מזו, כל עוד לא היו דוחות כספיים שנתיים מבוקרים הוא יכול היה לדווח אך ורק על בסיס מזומן, בניגוד לבסיס מצטבר שעל פיו מדווחת החברה. </w:t>
      </w:r>
    </w:p>
    <w:p w14:paraId="79E11F9A" w14:textId="77777777" w:rsidR="00387987" w:rsidRDefault="00387987" w:rsidP="00BB3D90">
      <w:pPr>
        <w:pStyle w:val="af2"/>
        <w:rPr>
          <w:b/>
          <w:bCs/>
          <w:rtl/>
        </w:rPr>
      </w:pPr>
      <w:r>
        <w:rPr>
          <w:rFonts w:hint="cs"/>
          <w:rtl/>
        </w:rPr>
        <w:t xml:space="preserve">ניתן לזהות </w:t>
      </w:r>
      <w:r w:rsidRPr="00230517">
        <w:rPr>
          <w:rFonts w:hint="cs"/>
          <w:rtl/>
        </w:rPr>
        <w:t xml:space="preserve">פערים ניכרים גם בין המידע בדוחות הכספיים המבוקרים למידע </w:t>
      </w:r>
      <w:r>
        <w:rPr>
          <w:rFonts w:hint="cs"/>
          <w:rtl/>
        </w:rPr>
        <w:t xml:space="preserve">שהוצג </w:t>
      </w:r>
      <w:r w:rsidRPr="00230517">
        <w:rPr>
          <w:rFonts w:hint="cs"/>
          <w:rtl/>
        </w:rPr>
        <w:t xml:space="preserve">לדירקטוריון בנוגע לשנת 2017: בפברואר 2018 </w:t>
      </w:r>
      <w:r>
        <w:rPr>
          <w:rFonts w:hint="cs"/>
          <w:rtl/>
        </w:rPr>
        <w:t>נ</w:t>
      </w:r>
      <w:r w:rsidRPr="00230517">
        <w:rPr>
          <w:rFonts w:hint="cs"/>
          <w:rtl/>
        </w:rPr>
        <w:t xml:space="preserve">מסר כי בשנת 2017 הרוויחה החברה 1.28 מיליון ש"ח, ביולי 2018 </w:t>
      </w:r>
      <w:r>
        <w:rPr>
          <w:rFonts w:hint="cs"/>
          <w:rtl/>
        </w:rPr>
        <w:t>נ</w:t>
      </w:r>
      <w:r w:rsidRPr="00230517">
        <w:rPr>
          <w:rFonts w:hint="cs"/>
          <w:rtl/>
        </w:rPr>
        <w:t>מסר כי מסתמן שהחברה הפסידה בשנת 2017 כ</w:t>
      </w:r>
      <w:r>
        <w:rPr>
          <w:rFonts w:hint="cs"/>
          <w:rtl/>
        </w:rPr>
        <w:t>-</w:t>
      </w:r>
      <w:r w:rsidRPr="00230517">
        <w:rPr>
          <w:rFonts w:hint="cs"/>
          <w:rtl/>
        </w:rPr>
        <w:t>500,000 ש"ח,</w:t>
      </w:r>
      <w:r>
        <w:rPr>
          <w:rFonts w:hint="cs"/>
          <w:rtl/>
        </w:rPr>
        <w:t xml:space="preserve"> </w:t>
      </w:r>
      <w:r w:rsidRPr="00DB3449">
        <w:rPr>
          <w:rFonts w:hint="cs"/>
          <w:rtl/>
        </w:rPr>
        <w:t>ו</w:t>
      </w:r>
      <w:r>
        <w:rPr>
          <w:rFonts w:hint="cs"/>
          <w:rtl/>
        </w:rPr>
        <w:t>אילו על פי</w:t>
      </w:r>
      <w:r w:rsidRPr="00DB3449">
        <w:rPr>
          <w:rFonts w:hint="cs"/>
          <w:rtl/>
        </w:rPr>
        <w:t xml:space="preserve"> הדוחות הכספיים המבוקרים של החברה ל</w:t>
      </w:r>
      <w:r w:rsidRPr="00DB3449">
        <w:rPr>
          <w:rFonts w:hint="eastAsia"/>
          <w:rtl/>
        </w:rPr>
        <w:t>שנת</w:t>
      </w:r>
      <w:r w:rsidRPr="00DB3449">
        <w:rPr>
          <w:rtl/>
        </w:rPr>
        <w:t xml:space="preserve"> 2017</w:t>
      </w:r>
      <w:r>
        <w:rPr>
          <w:rFonts w:hint="cs"/>
          <w:rtl/>
        </w:rPr>
        <w:t xml:space="preserve"> </w:t>
      </w:r>
      <w:r w:rsidRPr="00DB3449">
        <w:rPr>
          <w:rFonts w:hint="cs"/>
          <w:rtl/>
        </w:rPr>
        <w:t xml:space="preserve">הפסידה החברה 2.943 מיליון ש"ח. </w:t>
      </w:r>
      <w:r>
        <w:rPr>
          <w:rFonts w:hint="cs"/>
          <w:rtl/>
        </w:rPr>
        <w:t>משמע,</w:t>
      </w:r>
      <w:r w:rsidRPr="00DB3449">
        <w:rPr>
          <w:rFonts w:hint="cs"/>
          <w:rtl/>
        </w:rPr>
        <w:t xml:space="preserve"> הפער במידע</w:t>
      </w:r>
      <w:r>
        <w:rPr>
          <w:rFonts w:hint="cs"/>
          <w:rtl/>
        </w:rPr>
        <w:t xml:space="preserve"> </w:t>
      </w:r>
      <w:r w:rsidRPr="00DB3449">
        <w:rPr>
          <w:rFonts w:hint="cs"/>
          <w:rtl/>
        </w:rPr>
        <w:t xml:space="preserve">הגיע </w:t>
      </w:r>
      <w:r w:rsidRPr="00DB3449">
        <w:rPr>
          <w:rFonts w:hint="eastAsia"/>
          <w:rtl/>
        </w:rPr>
        <w:t>לסך</w:t>
      </w:r>
      <w:r w:rsidRPr="00DB3449">
        <w:rPr>
          <w:rtl/>
        </w:rPr>
        <w:t xml:space="preserve"> </w:t>
      </w:r>
      <w:r w:rsidRPr="00DB3449">
        <w:rPr>
          <w:rFonts w:hint="eastAsia"/>
          <w:rtl/>
        </w:rPr>
        <w:t>של</w:t>
      </w:r>
      <w:r w:rsidRPr="00DB3449">
        <w:rPr>
          <w:rFonts w:hint="cs"/>
          <w:rtl/>
        </w:rPr>
        <w:t xml:space="preserve"> בין 2.4 ל</w:t>
      </w:r>
      <w:r>
        <w:rPr>
          <w:rFonts w:hint="cs"/>
          <w:rtl/>
        </w:rPr>
        <w:t>-</w:t>
      </w:r>
      <w:r w:rsidRPr="00DB3449">
        <w:rPr>
          <w:rtl/>
        </w:rPr>
        <w:t xml:space="preserve">4.2 </w:t>
      </w:r>
      <w:r w:rsidRPr="00DB3449">
        <w:rPr>
          <w:rFonts w:hint="eastAsia"/>
          <w:rtl/>
        </w:rPr>
        <w:t>מיליון</w:t>
      </w:r>
      <w:r w:rsidRPr="00DB3449">
        <w:rPr>
          <w:rtl/>
        </w:rPr>
        <w:t xml:space="preserve"> </w:t>
      </w:r>
      <w:r w:rsidRPr="00DB3449">
        <w:rPr>
          <w:rFonts w:hint="eastAsia"/>
          <w:rtl/>
        </w:rPr>
        <w:t>ש</w:t>
      </w:r>
      <w:r w:rsidRPr="00DB3449">
        <w:rPr>
          <w:rtl/>
        </w:rPr>
        <w:t>"ח</w:t>
      </w:r>
      <w:r>
        <w:rPr>
          <w:rFonts w:hint="cs"/>
          <w:rtl/>
        </w:rPr>
        <w:t>.</w:t>
      </w:r>
      <w:r w:rsidRPr="00DB3449">
        <w:rPr>
          <w:rFonts w:hint="cs"/>
          <w:rtl/>
        </w:rPr>
        <w:t xml:space="preserve"> </w:t>
      </w:r>
    </w:p>
    <w:p w14:paraId="5606FE5D" w14:textId="77777777" w:rsidR="00387987" w:rsidRDefault="00387987" w:rsidP="00BB3D90">
      <w:pPr>
        <w:pStyle w:val="12"/>
        <w:rPr>
          <w:rtl/>
        </w:rPr>
      </w:pPr>
      <w:r w:rsidRPr="00A413B6">
        <w:rPr>
          <w:rFonts w:hint="cs"/>
          <w:rtl/>
        </w:rPr>
        <w:t>כאשר הנהל</w:t>
      </w:r>
      <w:r>
        <w:rPr>
          <w:rFonts w:hint="cs"/>
          <w:rtl/>
        </w:rPr>
        <w:t xml:space="preserve">ה של </w:t>
      </w:r>
      <w:r w:rsidRPr="00A413B6">
        <w:rPr>
          <w:rFonts w:hint="cs"/>
          <w:rtl/>
        </w:rPr>
        <w:t>חברה מסתמכת על</w:t>
      </w:r>
      <w:r w:rsidRPr="0060256B">
        <w:rPr>
          <w:rFonts w:hint="cs"/>
          <w:rtl/>
        </w:rPr>
        <w:t xml:space="preserve"> </w:t>
      </w:r>
      <w:r w:rsidRPr="00A413B6">
        <w:rPr>
          <w:rFonts w:hint="cs"/>
          <w:rtl/>
        </w:rPr>
        <w:t xml:space="preserve">נתונים </w:t>
      </w:r>
      <w:r>
        <w:rPr>
          <w:rFonts w:hint="cs"/>
          <w:rtl/>
        </w:rPr>
        <w:t>חשבונאיים</w:t>
      </w:r>
      <w:r w:rsidRPr="00A413B6">
        <w:rPr>
          <w:rFonts w:hint="cs"/>
          <w:rtl/>
        </w:rPr>
        <w:t>, עליה לוודא שאלה נתונים מבוססים שמציגים את מצב החברה לאשורו</w:t>
      </w:r>
      <w:r>
        <w:rPr>
          <w:rFonts w:hint="cs"/>
          <w:rtl/>
        </w:rPr>
        <w:t xml:space="preserve">. במקרה האמור בשל אי-עמידה בלוח הזמנים וחלוף כשנתיים בין סיום שנת הכספים לבין אישור הדוחות הכספיים המבוקרים לשנים אלו (ראו להלן), לא יכלה הנהלת החברה לדעת את מצבה הכספי לאשורו. פער נתונים זה </w:t>
      </w:r>
      <w:r w:rsidRPr="0007269D">
        <w:rPr>
          <w:rFonts w:hint="cs"/>
          <w:rtl/>
        </w:rPr>
        <w:t>פ</w:t>
      </w:r>
      <w:r>
        <w:rPr>
          <w:rFonts w:hint="cs"/>
          <w:rtl/>
        </w:rPr>
        <w:t>ו</w:t>
      </w:r>
      <w:r w:rsidRPr="0007269D">
        <w:rPr>
          <w:rFonts w:hint="cs"/>
          <w:rtl/>
        </w:rPr>
        <w:t>גע ביכולתו של דירקטוריון ושל מנכ"ל לקבל החלטות שתואמות את מצבה הכלכלי האמ</w:t>
      </w:r>
      <w:r>
        <w:rPr>
          <w:rFonts w:hint="cs"/>
          <w:rtl/>
        </w:rPr>
        <w:t>י</w:t>
      </w:r>
      <w:r w:rsidRPr="0007269D">
        <w:rPr>
          <w:rFonts w:hint="cs"/>
          <w:rtl/>
        </w:rPr>
        <w:t xml:space="preserve">תי של החברה. </w:t>
      </w:r>
    </w:p>
    <w:p w14:paraId="2825F75B" w14:textId="77777777" w:rsidR="00387987" w:rsidRPr="00D230C5" w:rsidRDefault="00387987" w:rsidP="00BB3D90">
      <w:pPr>
        <w:pStyle w:val="af2"/>
      </w:pPr>
      <w:r>
        <w:rPr>
          <w:rFonts w:hint="cs"/>
          <w:rtl/>
        </w:rPr>
        <w:t xml:space="preserve">בתשובתו הסביר המנכ"ל לשעבר של החברה כי הדיווח בנוגע להפסד הצפוי לשנת 2017 לא מתיישב עם הממצאים בדוח של משרד רואי חשבון של החברה שקבע כי: "הפעילות השוטפת של החברה (ללא השקעות ופיתוח מוצרים) מאוזנת" ועם דוח אחר של חשב לשכת עורכי הדין שבו נקבע כי: "הפעילות השוטפת של החברה (ללא השקעות ופיתוח מוצרים) מאוזנת ואף נוטה להראות רווחיות...". עוד הוסיף כי ההפסדים של החברה בשנת 2017 הושפעו באופן משמעותי מההחלטה של הלשכה כי החברה תפתח </w:t>
      </w:r>
      <w:r>
        <w:rPr>
          <w:rFonts w:hint="cs"/>
          <w:color w:val="000000"/>
          <w:sz w:val="24"/>
          <w:rtl/>
        </w:rPr>
        <w:t>מ</w:t>
      </w:r>
      <w:r w:rsidRPr="00C359A7">
        <w:rPr>
          <w:rFonts w:hint="cs"/>
          <w:color w:val="000000"/>
          <w:sz w:val="24"/>
          <w:rtl/>
        </w:rPr>
        <w:t xml:space="preserve">נוע חיפוש ממוחשב </w:t>
      </w:r>
      <w:r>
        <w:rPr>
          <w:rFonts w:hint="cs"/>
          <w:color w:val="000000"/>
          <w:sz w:val="24"/>
          <w:rtl/>
        </w:rPr>
        <w:t xml:space="preserve">לפסקי דין. </w:t>
      </w:r>
    </w:p>
    <w:p w14:paraId="0ACAC6C7" w14:textId="77777777" w:rsidR="00BB3D90" w:rsidRDefault="00BB3D90">
      <w:pPr>
        <w:bidi w:val="0"/>
        <w:spacing w:after="200" w:line="276" w:lineRule="auto"/>
        <w:rPr>
          <w:rtl/>
        </w:rPr>
      </w:pPr>
      <w:r>
        <w:rPr>
          <w:rtl/>
        </w:rPr>
        <w:br w:type="page"/>
      </w:r>
    </w:p>
    <w:p w14:paraId="33EB1792" w14:textId="097FE6ED" w:rsidR="00387987" w:rsidRDefault="00387987" w:rsidP="00BB3D90">
      <w:pPr>
        <w:pStyle w:val="af2"/>
        <w:rPr>
          <w:rtl/>
        </w:rPr>
      </w:pPr>
      <w:r>
        <w:rPr>
          <w:rFonts w:hint="cs"/>
          <w:rtl/>
        </w:rPr>
        <w:t>יצוין</w:t>
      </w:r>
      <w:r w:rsidRPr="0094516F">
        <w:rPr>
          <w:rtl/>
        </w:rPr>
        <w:t xml:space="preserve"> כי </w:t>
      </w:r>
      <w:r>
        <w:rPr>
          <w:rFonts w:hint="cs"/>
          <w:rtl/>
        </w:rPr>
        <w:t>בשני הדוחות הנזכרים בתשובת המנכ"ל לשעבר נ</w:t>
      </w:r>
      <w:r w:rsidRPr="0094516F">
        <w:rPr>
          <w:rtl/>
        </w:rPr>
        <w:t>כלל</w:t>
      </w:r>
      <w:r>
        <w:rPr>
          <w:rFonts w:hint="cs"/>
          <w:rtl/>
        </w:rPr>
        <w:t>ו</w:t>
      </w:r>
      <w:r w:rsidRPr="0094516F">
        <w:rPr>
          <w:rtl/>
        </w:rPr>
        <w:t xml:space="preserve"> הסתייגו</w:t>
      </w:r>
      <w:r>
        <w:rPr>
          <w:rFonts w:hint="cs"/>
          <w:rtl/>
        </w:rPr>
        <w:t>יו</w:t>
      </w:r>
      <w:r w:rsidRPr="0094516F">
        <w:rPr>
          <w:rtl/>
        </w:rPr>
        <w:t>ת ולפיה</w:t>
      </w:r>
      <w:r>
        <w:rPr>
          <w:rFonts w:hint="cs"/>
          <w:rtl/>
        </w:rPr>
        <w:t>ן</w:t>
      </w:r>
      <w:r w:rsidRPr="0094516F">
        <w:rPr>
          <w:rtl/>
        </w:rPr>
        <w:t xml:space="preserve"> "החל משנת 2015 לחברה אין מידע כספי איכותי המאפשר הבנה מעמיקה לגבי מצבה הפיננסי"</w:t>
      </w:r>
      <w:r>
        <w:rPr>
          <w:rFonts w:hint="cs"/>
          <w:rtl/>
        </w:rPr>
        <w:t>;</w:t>
      </w:r>
      <w:r w:rsidRPr="0094516F">
        <w:rPr>
          <w:rtl/>
        </w:rPr>
        <w:t xml:space="preserve"> כי "הנהלת החשבונות של החברה אינה מבוצעת כנדרש"</w:t>
      </w:r>
      <w:r>
        <w:rPr>
          <w:rFonts w:hint="cs"/>
          <w:rtl/>
        </w:rPr>
        <w:t xml:space="preserve"> וכי</w:t>
      </w:r>
      <w:r w:rsidRPr="0094516F">
        <w:rPr>
          <w:rtl/>
        </w:rPr>
        <w:t xml:space="preserve"> "</w:t>
      </w:r>
      <w:r w:rsidRPr="0094516F">
        <w:rPr>
          <w:rFonts w:hint="eastAsia"/>
          <w:rtl/>
        </w:rPr>
        <w:t>סקירה</w:t>
      </w:r>
      <w:r w:rsidRPr="0094516F">
        <w:rPr>
          <w:rtl/>
        </w:rPr>
        <w:t xml:space="preserve"> </w:t>
      </w:r>
      <w:r w:rsidRPr="0094516F">
        <w:rPr>
          <w:rFonts w:hint="eastAsia"/>
          <w:rtl/>
        </w:rPr>
        <w:t>זו</w:t>
      </w:r>
      <w:r w:rsidRPr="0094516F">
        <w:rPr>
          <w:rtl/>
        </w:rPr>
        <w:t xml:space="preserve"> </w:t>
      </w:r>
      <w:r w:rsidRPr="0094516F">
        <w:rPr>
          <w:rFonts w:hint="eastAsia"/>
          <w:rtl/>
        </w:rPr>
        <w:t>נסמכת</w:t>
      </w:r>
      <w:r w:rsidRPr="0094516F">
        <w:rPr>
          <w:rtl/>
        </w:rPr>
        <w:t xml:space="preserve"> </w:t>
      </w:r>
      <w:r w:rsidRPr="0094516F">
        <w:rPr>
          <w:rFonts w:hint="eastAsia"/>
          <w:rtl/>
        </w:rPr>
        <w:t>בעיקר</w:t>
      </w:r>
      <w:r w:rsidRPr="0094516F">
        <w:rPr>
          <w:rtl/>
        </w:rPr>
        <w:t xml:space="preserve"> </w:t>
      </w:r>
      <w:r w:rsidRPr="0094516F">
        <w:rPr>
          <w:rFonts w:hint="eastAsia"/>
          <w:rtl/>
        </w:rPr>
        <w:t>על</w:t>
      </w:r>
      <w:r w:rsidRPr="0094516F">
        <w:rPr>
          <w:rtl/>
        </w:rPr>
        <w:t xml:space="preserve"> </w:t>
      </w:r>
      <w:r w:rsidRPr="0094516F">
        <w:rPr>
          <w:rFonts w:hint="eastAsia"/>
          <w:rtl/>
        </w:rPr>
        <w:t>התוצאות</w:t>
      </w:r>
      <w:r w:rsidRPr="0094516F">
        <w:rPr>
          <w:rtl/>
        </w:rPr>
        <w:t xml:space="preserve"> </w:t>
      </w:r>
      <w:r w:rsidRPr="0094516F">
        <w:rPr>
          <w:rFonts w:hint="eastAsia"/>
          <w:rtl/>
        </w:rPr>
        <w:t>כספיות</w:t>
      </w:r>
      <w:r w:rsidRPr="0094516F">
        <w:rPr>
          <w:rtl/>
        </w:rPr>
        <w:t xml:space="preserve"> </w:t>
      </w:r>
      <w:r w:rsidRPr="0094516F">
        <w:rPr>
          <w:rFonts w:hint="eastAsia"/>
          <w:rtl/>
        </w:rPr>
        <w:t>וההערכות</w:t>
      </w:r>
      <w:r w:rsidRPr="0094516F">
        <w:rPr>
          <w:rtl/>
        </w:rPr>
        <w:t xml:space="preserve"> </w:t>
      </w:r>
      <w:r w:rsidRPr="0094516F">
        <w:rPr>
          <w:rFonts w:hint="eastAsia"/>
          <w:rtl/>
        </w:rPr>
        <w:t>שמקורן</w:t>
      </w:r>
      <w:r w:rsidRPr="0094516F">
        <w:rPr>
          <w:rtl/>
        </w:rPr>
        <w:t xml:space="preserve"> </w:t>
      </w:r>
      <w:r w:rsidRPr="0094516F">
        <w:rPr>
          <w:rFonts w:hint="eastAsia"/>
          <w:rtl/>
        </w:rPr>
        <w:t>מדוחות</w:t>
      </w:r>
      <w:r w:rsidRPr="0094516F">
        <w:rPr>
          <w:rtl/>
        </w:rPr>
        <w:t xml:space="preserve"> </w:t>
      </w:r>
      <w:r w:rsidRPr="0094516F">
        <w:rPr>
          <w:rFonts w:hint="eastAsia"/>
          <w:rtl/>
        </w:rPr>
        <w:t>אקסל</w:t>
      </w:r>
      <w:r w:rsidRPr="0094516F">
        <w:rPr>
          <w:rtl/>
        </w:rPr>
        <w:t xml:space="preserve"> </w:t>
      </w:r>
      <w:r w:rsidRPr="0094516F">
        <w:rPr>
          <w:rFonts w:hint="eastAsia"/>
          <w:rtl/>
        </w:rPr>
        <w:t>שסיפק</w:t>
      </w:r>
      <w:r w:rsidRPr="0094516F">
        <w:rPr>
          <w:rtl/>
        </w:rPr>
        <w:t xml:space="preserve"> </w:t>
      </w:r>
      <w:r w:rsidRPr="0094516F">
        <w:rPr>
          <w:rFonts w:hint="eastAsia"/>
          <w:rtl/>
        </w:rPr>
        <w:t>המנכ</w:t>
      </w:r>
      <w:r w:rsidRPr="0094516F">
        <w:rPr>
          <w:rtl/>
        </w:rPr>
        <w:t>"ל...".</w:t>
      </w:r>
    </w:p>
    <w:p w14:paraId="18DEA299" w14:textId="77777777" w:rsidR="00387987" w:rsidRPr="0094516F" w:rsidRDefault="00387987" w:rsidP="00BB3D90">
      <w:pPr>
        <w:pStyle w:val="12"/>
        <w:rPr>
          <w:rtl/>
        </w:rPr>
      </w:pPr>
      <w:r w:rsidRPr="0026789E">
        <w:rPr>
          <w:rtl/>
        </w:rPr>
        <w:t xml:space="preserve">על החברה </w:t>
      </w:r>
      <w:r w:rsidRPr="0026789E">
        <w:rPr>
          <w:rFonts w:hint="eastAsia"/>
          <w:rtl/>
        </w:rPr>
        <w:t>להקפיד</w:t>
      </w:r>
      <w:r w:rsidRPr="0026789E">
        <w:rPr>
          <w:rtl/>
        </w:rPr>
        <w:t xml:space="preserve"> </w:t>
      </w:r>
      <w:r w:rsidRPr="0026789E">
        <w:rPr>
          <w:rFonts w:hint="eastAsia"/>
          <w:rtl/>
        </w:rPr>
        <w:t>על</w:t>
      </w:r>
      <w:r w:rsidRPr="0026789E">
        <w:rPr>
          <w:rtl/>
        </w:rPr>
        <w:t xml:space="preserve"> מהימנות נתוני </w:t>
      </w:r>
      <w:r w:rsidRPr="0026789E">
        <w:rPr>
          <w:rFonts w:hint="eastAsia"/>
          <w:rtl/>
        </w:rPr>
        <w:t>הנהלת</w:t>
      </w:r>
      <w:r w:rsidRPr="0026789E">
        <w:rPr>
          <w:rtl/>
        </w:rPr>
        <w:t xml:space="preserve"> החשבונות שלה</w:t>
      </w:r>
      <w:r>
        <w:rPr>
          <w:rFonts w:hint="cs"/>
          <w:rtl/>
        </w:rPr>
        <w:t>,</w:t>
      </w:r>
      <w:r w:rsidRPr="0026789E">
        <w:rPr>
          <w:rtl/>
        </w:rPr>
        <w:t xml:space="preserve"> </w:t>
      </w:r>
      <w:r w:rsidRPr="0026789E">
        <w:rPr>
          <w:rFonts w:hint="eastAsia"/>
          <w:rtl/>
        </w:rPr>
        <w:t>שכן</w:t>
      </w:r>
      <w:r w:rsidRPr="0026789E">
        <w:rPr>
          <w:rtl/>
        </w:rPr>
        <w:t xml:space="preserve"> </w:t>
      </w:r>
      <w:r w:rsidRPr="0026789E">
        <w:rPr>
          <w:rFonts w:hint="eastAsia"/>
          <w:rtl/>
        </w:rPr>
        <w:t>הסתמכות</w:t>
      </w:r>
      <w:r w:rsidRPr="0026789E">
        <w:rPr>
          <w:rtl/>
        </w:rPr>
        <w:t xml:space="preserve"> על נתונים שאינם משקפים את המצב לאשורו פוגעת ביכולתם של ההנהלה </w:t>
      </w:r>
      <w:r w:rsidRPr="0026789E">
        <w:rPr>
          <w:rFonts w:hint="eastAsia"/>
          <w:rtl/>
        </w:rPr>
        <w:t>והדירקטוריון</w:t>
      </w:r>
      <w:r w:rsidRPr="0026789E">
        <w:rPr>
          <w:rtl/>
        </w:rPr>
        <w:t xml:space="preserve"> </w:t>
      </w:r>
      <w:r w:rsidRPr="0026789E">
        <w:rPr>
          <w:rFonts w:hint="eastAsia"/>
          <w:rtl/>
        </w:rPr>
        <w:t>לקבל</w:t>
      </w:r>
      <w:r w:rsidRPr="0026789E">
        <w:rPr>
          <w:rtl/>
        </w:rPr>
        <w:t xml:space="preserve"> </w:t>
      </w:r>
      <w:r w:rsidRPr="0026789E">
        <w:rPr>
          <w:rFonts w:hint="eastAsia"/>
          <w:rtl/>
        </w:rPr>
        <w:t>החלטות</w:t>
      </w:r>
      <w:r w:rsidRPr="0026789E">
        <w:rPr>
          <w:rtl/>
        </w:rPr>
        <w:t xml:space="preserve"> </w:t>
      </w:r>
      <w:r w:rsidRPr="0026789E">
        <w:rPr>
          <w:rFonts w:hint="eastAsia"/>
          <w:rtl/>
        </w:rPr>
        <w:t>מקצועיות</w:t>
      </w:r>
      <w:r w:rsidRPr="0026789E">
        <w:rPr>
          <w:rtl/>
        </w:rPr>
        <w:t xml:space="preserve"> </w:t>
      </w:r>
      <w:r w:rsidRPr="0026789E">
        <w:rPr>
          <w:rFonts w:hint="eastAsia"/>
          <w:rtl/>
        </w:rPr>
        <w:t>מיטביות</w:t>
      </w:r>
      <w:r w:rsidRPr="0026789E">
        <w:rPr>
          <w:rtl/>
        </w:rPr>
        <w:t>.</w:t>
      </w:r>
    </w:p>
    <w:p w14:paraId="03BDDB15" w14:textId="13D12274" w:rsidR="00387987" w:rsidRDefault="00387987" w:rsidP="00BB3D90">
      <w:pPr>
        <w:pStyle w:val="af2"/>
        <w:rPr>
          <w:rtl/>
        </w:rPr>
      </w:pPr>
      <w:r>
        <w:rPr>
          <w:rFonts w:hint="cs"/>
          <w:b/>
          <w:bCs/>
          <w:rtl/>
        </w:rPr>
        <w:t xml:space="preserve"> </w:t>
      </w:r>
      <w:r w:rsidRPr="00DD4C8A">
        <w:rPr>
          <w:rFonts w:hint="cs"/>
          <w:rtl/>
        </w:rPr>
        <w:t xml:space="preserve">המבקר הפנימי של החברה הכלכלית מצא כי אין ודאות שהנתונים הקיימים </w:t>
      </w:r>
      <w:r>
        <w:rPr>
          <w:rFonts w:hint="cs"/>
          <w:rtl/>
        </w:rPr>
        <w:t>ב</w:t>
      </w:r>
      <w:r w:rsidRPr="00DD4C8A">
        <w:rPr>
          <w:rFonts w:hint="cs"/>
          <w:rtl/>
        </w:rPr>
        <w:t>ספרי החברה לשנים 2015</w:t>
      </w:r>
      <w:r>
        <w:rPr>
          <w:rFonts w:hint="cs"/>
          <w:rtl/>
        </w:rPr>
        <w:t xml:space="preserve"> </w:t>
      </w:r>
      <w:r w:rsidRPr="00DD4C8A">
        <w:rPr>
          <w:rFonts w:hint="cs"/>
          <w:rtl/>
        </w:rPr>
        <w:t>- 2016</w:t>
      </w:r>
      <w:r>
        <w:rPr>
          <w:rFonts w:hint="cs"/>
          <w:rtl/>
        </w:rPr>
        <w:t xml:space="preserve"> </w:t>
      </w:r>
      <w:r w:rsidRPr="00DD4C8A">
        <w:rPr>
          <w:rFonts w:hint="cs"/>
          <w:rtl/>
        </w:rPr>
        <w:t>אכן משקפים את מצבה הכספי; כי נתוני יתרות הזכות והחובה</w:t>
      </w:r>
      <w:r>
        <w:rPr>
          <w:rFonts w:hint="cs"/>
          <w:rtl/>
        </w:rPr>
        <w:t xml:space="preserve"> חסרים; כי במהלך חודשים ארוכים לא היה ידוע למחלקת הכספים מהו היקף ההתחייבויות של החברה ודיווחיה להנהלה נשענו על היתרות בחשבון הבנק. המבקר הפנימי התריע על כך שנתונים שהוצגו באותה השנה לדירקטוריון "לא מתאימים במלואם לנתונים שבמאזן הבוחן של החברה".</w:t>
      </w:r>
    </w:p>
    <w:p w14:paraId="48A092CD" w14:textId="77777777" w:rsidR="00387987" w:rsidRDefault="00387987" w:rsidP="00BB3D90">
      <w:pPr>
        <w:pStyle w:val="af2"/>
        <w:rPr>
          <w:rtl/>
        </w:rPr>
      </w:pPr>
      <w:r w:rsidRPr="009D1853">
        <w:rPr>
          <w:rFonts w:hint="cs"/>
          <w:color w:val="000000"/>
          <w:sz w:val="24"/>
          <w:rtl/>
        </w:rPr>
        <w:t>ב</w:t>
      </w:r>
      <w:r>
        <w:rPr>
          <w:rFonts w:hint="cs"/>
          <w:color w:val="000000"/>
          <w:sz w:val="24"/>
          <w:rtl/>
        </w:rPr>
        <w:t>שנים</w:t>
      </w:r>
      <w:r w:rsidRPr="009D1853">
        <w:rPr>
          <w:rFonts w:hint="cs"/>
          <w:color w:val="000000"/>
          <w:sz w:val="24"/>
          <w:rtl/>
        </w:rPr>
        <w:t xml:space="preserve"> 2017 - 2019 הורו </w:t>
      </w:r>
      <w:r>
        <w:rPr>
          <w:rFonts w:hint="cs"/>
          <w:color w:val="000000"/>
          <w:sz w:val="24"/>
          <w:rtl/>
        </w:rPr>
        <w:t xml:space="preserve">כמה פעמים </w:t>
      </w:r>
      <w:r w:rsidRPr="009D1853">
        <w:rPr>
          <w:rFonts w:hint="cs"/>
          <w:color w:val="000000"/>
          <w:sz w:val="24"/>
          <w:rtl/>
        </w:rPr>
        <w:t>הדירקטוריון והלשכה</w:t>
      </w:r>
      <w:r>
        <w:rPr>
          <w:rFonts w:hint="cs"/>
          <w:color w:val="000000"/>
          <w:sz w:val="24"/>
          <w:rtl/>
        </w:rPr>
        <w:t xml:space="preserve"> -</w:t>
      </w:r>
      <w:r w:rsidRPr="009D1853">
        <w:rPr>
          <w:rFonts w:hint="cs"/>
          <w:color w:val="000000"/>
          <w:sz w:val="24"/>
          <w:rtl/>
        </w:rPr>
        <w:t xml:space="preserve"> בעלת המניות, לחברה </w:t>
      </w:r>
      <w:r w:rsidRPr="00D5410C">
        <w:rPr>
          <w:rFonts w:hint="cs"/>
          <w:rtl/>
        </w:rPr>
        <w:t>להשלים ללא דיחוי את תיקון הרישום והדיווח החשבונאי</w:t>
      </w:r>
      <w:r w:rsidRPr="009D1853">
        <w:rPr>
          <w:rFonts w:hint="cs"/>
          <w:color w:val="000000"/>
          <w:sz w:val="24"/>
          <w:rtl/>
        </w:rPr>
        <w:t>.</w:t>
      </w:r>
      <w:r>
        <w:rPr>
          <w:rFonts w:hint="cs"/>
          <w:b/>
          <w:bCs/>
          <w:color w:val="000000"/>
          <w:sz w:val="24"/>
          <w:rtl/>
        </w:rPr>
        <w:t xml:space="preserve"> </w:t>
      </w:r>
      <w:r>
        <w:rPr>
          <w:rFonts w:hint="cs"/>
          <w:color w:val="000000"/>
          <w:sz w:val="24"/>
          <w:rtl/>
        </w:rPr>
        <w:t>כך למשל</w:t>
      </w:r>
      <w:r>
        <w:rPr>
          <w:rFonts w:hint="cs"/>
          <w:b/>
          <w:bCs/>
          <w:color w:val="000000"/>
          <w:sz w:val="24"/>
          <w:rtl/>
        </w:rPr>
        <w:t xml:space="preserve">, </w:t>
      </w:r>
      <w:r>
        <w:rPr>
          <w:rFonts w:hint="cs"/>
          <w:rtl/>
        </w:rPr>
        <w:t xml:space="preserve">במאי 2017 הטילה הלשכה על </w:t>
      </w:r>
      <w:r w:rsidRPr="00387604">
        <w:rPr>
          <w:rFonts w:hint="cs"/>
          <w:rtl/>
        </w:rPr>
        <w:t xml:space="preserve">רואה </w:t>
      </w:r>
      <w:r>
        <w:rPr>
          <w:rFonts w:hint="cs"/>
          <w:rtl/>
        </w:rPr>
        <w:t>ה</w:t>
      </w:r>
      <w:r w:rsidRPr="00387604">
        <w:rPr>
          <w:rFonts w:hint="cs"/>
          <w:rtl/>
        </w:rPr>
        <w:t>חשבון ו</w:t>
      </w:r>
      <w:r>
        <w:rPr>
          <w:rFonts w:hint="cs"/>
          <w:rtl/>
        </w:rPr>
        <w:t>על ה</w:t>
      </w:r>
      <w:r w:rsidRPr="00387604">
        <w:rPr>
          <w:rFonts w:hint="cs"/>
          <w:rtl/>
        </w:rPr>
        <w:t xml:space="preserve">חשב </w:t>
      </w:r>
      <w:r>
        <w:rPr>
          <w:rFonts w:hint="cs"/>
          <w:rtl/>
        </w:rPr>
        <w:t xml:space="preserve">של </w:t>
      </w:r>
      <w:r w:rsidRPr="00387604">
        <w:rPr>
          <w:rFonts w:hint="cs"/>
          <w:rtl/>
        </w:rPr>
        <w:t>הלשכה</w:t>
      </w:r>
      <w:r>
        <w:rPr>
          <w:rStyle w:val="FootnoteReference"/>
          <w:rtl/>
        </w:rPr>
        <w:t xml:space="preserve"> </w:t>
      </w:r>
      <w:r>
        <w:rPr>
          <w:rFonts w:hint="cs"/>
          <w:rtl/>
        </w:rPr>
        <w:t xml:space="preserve">לבחון את מצבה הכלכלי של החברה. השניים המליצו לדרוש מהחברה להשלים את הפערים בהנהלת החשבונות. </w:t>
      </w:r>
    </w:p>
    <w:p w14:paraId="71C3173D" w14:textId="77777777" w:rsidR="00387987" w:rsidRDefault="00387987" w:rsidP="00BB3D90">
      <w:pPr>
        <w:pStyle w:val="af2"/>
        <w:rPr>
          <w:rtl/>
        </w:rPr>
      </w:pPr>
      <w:r>
        <w:rPr>
          <w:rFonts w:hint="cs"/>
          <w:rtl/>
        </w:rPr>
        <w:t xml:space="preserve">בכמה מקרים מסר יו"ר הדירקטוריון לשעבר ללשכה כי ניהול הכספים בחברה </w:t>
      </w:r>
      <w:r w:rsidRPr="00065463">
        <w:rPr>
          <w:rFonts w:hint="cs"/>
          <w:color w:val="000000"/>
          <w:sz w:val="24"/>
          <w:rtl/>
        </w:rPr>
        <w:t>אינו מיטבי וכי הוא ביקש פעמים רבות להדביק את הפער החשבונאי בחברה</w:t>
      </w:r>
      <w:r w:rsidRPr="00065463">
        <w:rPr>
          <w:color w:val="000000"/>
          <w:sz w:val="24"/>
          <w:rtl/>
        </w:rPr>
        <w:t xml:space="preserve">. עמדה דומה בדבר </w:t>
      </w:r>
      <w:r w:rsidRPr="00065463">
        <w:rPr>
          <w:rFonts w:hint="cs"/>
          <w:color w:val="000000"/>
          <w:sz w:val="24"/>
          <w:rtl/>
        </w:rPr>
        <w:t xml:space="preserve">מהימנות הנתונים שנמסרו ללשכת עורכי הדין עלתה באותן שנים גם מדברי מנכ"ל לשכת עורכי הדין </w:t>
      </w:r>
      <w:r>
        <w:rPr>
          <w:rFonts w:hint="cs"/>
          <w:rtl/>
        </w:rPr>
        <w:t>לחברי הוועד המרכזי בלשכה ולמנכ"ל לשעבר של החברה הכלכלית.</w:t>
      </w:r>
    </w:p>
    <w:p w14:paraId="3F273EA3" w14:textId="64401278" w:rsidR="00387987" w:rsidRDefault="00387987" w:rsidP="00BB3D90">
      <w:pPr>
        <w:pStyle w:val="12"/>
        <w:rPr>
          <w:rtl/>
        </w:rPr>
      </w:pPr>
      <w:r w:rsidRPr="00942C68">
        <w:rPr>
          <w:rFonts w:hint="cs"/>
          <w:rtl/>
        </w:rPr>
        <w:t xml:space="preserve">על הנהלת החברה </w:t>
      </w:r>
      <w:r>
        <w:rPr>
          <w:rFonts w:hint="cs"/>
          <w:rtl/>
        </w:rPr>
        <w:t xml:space="preserve">לוודא כי תוקנו הליקויים שנמצאו בעבר במערכת הנהלת החשבונות </w:t>
      </w:r>
      <w:r w:rsidRPr="00942C68">
        <w:rPr>
          <w:rFonts w:hint="cs"/>
          <w:rtl/>
        </w:rPr>
        <w:t xml:space="preserve">ולהקפיד </w:t>
      </w:r>
      <w:r>
        <w:rPr>
          <w:rFonts w:hint="cs"/>
          <w:rtl/>
        </w:rPr>
        <w:t xml:space="preserve">להבא </w:t>
      </w:r>
      <w:r w:rsidRPr="00942C68">
        <w:rPr>
          <w:rFonts w:hint="cs"/>
          <w:rtl/>
        </w:rPr>
        <w:t xml:space="preserve">על קיומו של תיעוד נתונים תקין ומלא, כך </w:t>
      </w:r>
      <w:r>
        <w:rPr>
          <w:rFonts w:hint="cs"/>
          <w:rtl/>
        </w:rPr>
        <w:t>שמסד הנתונים החשבונאי שלה יהיה מהימן ו</w:t>
      </w:r>
      <w:r w:rsidRPr="00942C68">
        <w:rPr>
          <w:rFonts w:hint="cs"/>
          <w:rtl/>
        </w:rPr>
        <w:t>יועבר מידע מלא בזמן אמת גם לדירקטוריון ול</w:t>
      </w:r>
      <w:r>
        <w:rPr>
          <w:rFonts w:hint="cs"/>
          <w:rtl/>
        </w:rPr>
        <w:t xml:space="preserve">לשכת עורכי הדין - </w:t>
      </w:r>
      <w:r w:rsidRPr="00942C68">
        <w:rPr>
          <w:rFonts w:hint="cs"/>
          <w:rtl/>
        </w:rPr>
        <w:t xml:space="preserve">בעלת המניות. </w:t>
      </w:r>
    </w:p>
    <w:p w14:paraId="5F9AD2F9" w14:textId="77777777" w:rsidR="00387987" w:rsidRDefault="00387987" w:rsidP="00BB3D90">
      <w:pPr>
        <w:pStyle w:val="414"/>
        <w:rPr>
          <w:rtl/>
        </w:rPr>
      </w:pPr>
      <w:bookmarkStart w:id="45" w:name="_Toc23155608"/>
      <w:r>
        <w:rPr>
          <w:rFonts w:hint="cs"/>
          <w:rtl/>
        </w:rPr>
        <w:t>אישור הדוחות הכספיים של החברה</w:t>
      </w:r>
      <w:bookmarkEnd w:id="45"/>
    </w:p>
    <w:p w14:paraId="7AEF903A" w14:textId="5364BE24" w:rsidR="00BB3D90" w:rsidRDefault="00387987" w:rsidP="00BB3D90">
      <w:pPr>
        <w:pStyle w:val="100"/>
        <w:rPr>
          <w:rtl/>
        </w:rPr>
      </w:pPr>
      <w:r w:rsidRPr="001D7DD9">
        <w:rPr>
          <w:rFonts w:hint="eastAsia"/>
          <w:rtl/>
        </w:rPr>
        <w:t>חוק</w:t>
      </w:r>
      <w:r w:rsidRPr="001D7DD9">
        <w:rPr>
          <w:rtl/>
        </w:rPr>
        <w:t xml:space="preserve"> </w:t>
      </w:r>
      <w:r w:rsidRPr="001D7DD9">
        <w:rPr>
          <w:rFonts w:hint="eastAsia"/>
          <w:rtl/>
        </w:rPr>
        <w:t>החברות</w:t>
      </w:r>
      <w:r w:rsidRPr="001D7DD9">
        <w:rPr>
          <w:rFonts w:hint="cs"/>
          <w:rtl/>
        </w:rPr>
        <w:t xml:space="preserve"> </w:t>
      </w:r>
      <w:r w:rsidRPr="001D7DD9">
        <w:rPr>
          <w:rFonts w:hint="eastAsia"/>
          <w:rtl/>
        </w:rPr>
        <w:t>מחייב</w:t>
      </w:r>
      <w:r w:rsidRPr="001D7DD9">
        <w:rPr>
          <w:rtl/>
        </w:rPr>
        <w:t xml:space="preserve"> את החברה </w:t>
      </w:r>
      <w:r w:rsidRPr="001D7DD9">
        <w:rPr>
          <w:rFonts w:hint="eastAsia"/>
          <w:rtl/>
        </w:rPr>
        <w:t>ל</w:t>
      </w:r>
      <w:r w:rsidRPr="001D7DD9">
        <w:rPr>
          <w:rtl/>
        </w:rPr>
        <w:t>נהל חשבונות</w:t>
      </w:r>
      <w:r>
        <w:rPr>
          <w:rFonts w:hint="cs"/>
          <w:rtl/>
        </w:rPr>
        <w:t>,</w:t>
      </w:r>
      <w:r w:rsidRPr="001D7DD9">
        <w:rPr>
          <w:rtl/>
        </w:rPr>
        <w:t xml:space="preserve"> </w:t>
      </w:r>
      <w:r w:rsidRPr="001D7DD9">
        <w:rPr>
          <w:rFonts w:hint="eastAsia"/>
          <w:rtl/>
        </w:rPr>
        <w:t>ל</w:t>
      </w:r>
      <w:r w:rsidRPr="001D7DD9">
        <w:rPr>
          <w:rtl/>
        </w:rPr>
        <w:t xml:space="preserve">ערוך דוחות כספיים </w:t>
      </w:r>
      <w:r w:rsidRPr="001D7DD9">
        <w:rPr>
          <w:rFonts w:hint="eastAsia"/>
          <w:rtl/>
        </w:rPr>
        <w:t>מאושרים</w:t>
      </w:r>
      <w:r w:rsidRPr="001D7DD9">
        <w:rPr>
          <w:rtl/>
        </w:rPr>
        <w:t xml:space="preserve"> וחתומים בידי </w:t>
      </w:r>
      <w:r w:rsidRPr="001D7DD9">
        <w:rPr>
          <w:rFonts w:hint="eastAsia"/>
          <w:rtl/>
        </w:rPr>
        <w:t>ה</w:t>
      </w:r>
      <w:r w:rsidRPr="001D7DD9">
        <w:rPr>
          <w:rtl/>
        </w:rPr>
        <w:t>דירקטוריון ולהביא אותם לפני האסיפה השנתית של החברה.</w:t>
      </w:r>
      <w:r w:rsidRPr="001D7DD9">
        <w:rPr>
          <w:rFonts w:hint="cs"/>
          <w:rtl/>
        </w:rPr>
        <w:t xml:space="preserve"> </w:t>
      </w:r>
      <w:r w:rsidRPr="001D7DD9">
        <w:rPr>
          <w:rFonts w:hint="eastAsia"/>
          <w:rtl/>
        </w:rPr>
        <w:t>בכל</w:t>
      </w:r>
      <w:r w:rsidRPr="001D7DD9">
        <w:rPr>
          <w:rtl/>
        </w:rPr>
        <w:t xml:space="preserve"> שנה נדרשת החברה להגיש דוחות כספיים הכוללים מאזן ליום 31 בדצמבר של השנה הקודמת. רואה החשבון המבקר </w:t>
      </w:r>
      <w:r w:rsidRPr="001D7DD9">
        <w:rPr>
          <w:rFonts w:hint="eastAsia"/>
          <w:rtl/>
        </w:rPr>
        <w:t>של</w:t>
      </w:r>
      <w:r w:rsidRPr="001D7DD9">
        <w:rPr>
          <w:rtl/>
        </w:rPr>
        <w:t xml:space="preserve"> </w:t>
      </w:r>
      <w:r w:rsidRPr="001D7DD9">
        <w:rPr>
          <w:rFonts w:hint="eastAsia"/>
          <w:rtl/>
        </w:rPr>
        <w:t>החברה</w:t>
      </w:r>
      <w:r w:rsidRPr="001D7DD9">
        <w:rPr>
          <w:rtl/>
        </w:rPr>
        <w:t xml:space="preserve"> </w:t>
      </w:r>
      <w:r w:rsidRPr="001D7DD9">
        <w:rPr>
          <w:rFonts w:hint="eastAsia"/>
          <w:rtl/>
        </w:rPr>
        <w:t>מ</w:t>
      </w:r>
      <w:r w:rsidRPr="001D7DD9">
        <w:rPr>
          <w:rtl/>
        </w:rPr>
        <w:t>בקר את הדוחות.</w:t>
      </w:r>
      <w:r w:rsidRPr="001D7DD9">
        <w:rPr>
          <w:rFonts w:hint="cs"/>
          <w:rtl/>
        </w:rPr>
        <w:t xml:space="preserve"> </w:t>
      </w:r>
      <w:r w:rsidRPr="001D7DD9">
        <w:rPr>
          <w:rFonts w:hint="eastAsia"/>
          <w:rtl/>
        </w:rPr>
        <w:t>על</w:t>
      </w:r>
      <w:r w:rsidRPr="001D7DD9">
        <w:rPr>
          <w:rtl/>
        </w:rPr>
        <w:t xml:space="preserve"> </w:t>
      </w:r>
      <w:r w:rsidRPr="001D7DD9">
        <w:rPr>
          <w:rFonts w:hint="eastAsia"/>
          <w:rtl/>
        </w:rPr>
        <w:t>פי</w:t>
      </w:r>
      <w:r w:rsidRPr="001D7DD9">
        <w:rPr>
          <w:rtl/>
        </w:rPr>
        <w:t xml:space="preserve"> </w:t>
      </w:r>
      <w:r w:rsidRPr="001D7DD9">
        <w:rPr>
          <w:rFonts w:hint="eastAsia"/>
          <w:rtl/>
        </w:rPr>
        <w:t>חוק</w:t>
      </w:r>
      <w:r w:rsidRPr="001D7DD9">
        <w:rPr>
          <w:rtl/>
        </w:rPr>
        <w:t xml:space="preserve"> </w:t>
      </w:r>
      <w:r w:rsidRPr="001D7DD9">
        <w:rPr>
          <w:rFonts w:hint="eastAsia"/>
          <w:rtl/>
        </w:rPr>
        <w:t>החברות</w:t>
      </w:r>
      <w:r w:rsidRPr="001D7DD9">
        <w:rPr>
          <w:rtl/>
        </w:rPr>
        <w:t xml:space="preserve"> </w:t>
      </w:r>
      <w:r w:rsidRPr="001D7DD9">
        <w:rPr>
          <w:rFonts w:hint="eastAsia"/>
          <w:rtl/>
        </w:rPr>
        <w:t>המועד</w:t>
      </w:r>
      <w:r w:rsidRPr="001D7DD9">
        <w:rPr>
          <w:rtl/>
        </w:rPr>
        <w:t xml:space="preserve"> </w:t>
      </w:r>
      <w:r w:rsidRPr="001D7DD9">
        <w:rPr>
          <w:rFonts w:hint="eastAsia"/>
          <w:rtl/>
        </w:rPr>
        <w:t>שבו</w:t>
      </w:r>
      <w:r w:rsidRPr="001D7DD9">
        <w:rPr>
          <w:rtl/>
        </w:rPr>
        <w:t xml:space="preserve"> </w:t>
      </w:r>
      <w:r w:rsidRPr="001D7DD9">
        <w:rPr>
          <w:rFonts w:hint="eastAsia"/>
          <w:rtl/>
        </w:rPr>
        <w:t>על</w:t>
      </w:r>
      <w:r w:rsidRPr="001D7DD9">
        <w:rPr>
          <w:rtl/>
        </w:rPr>
        <w:t xml:space="preserve"> </w:t>
      </w:r>
      <w:r w:rsidRPr="001D7DD9">
        <w:rPr>
          <w:rFonts w:hint="eastAsia"/>
          <w:rtl/>
        </w:rPr>
        <w:t>חברה</w:t>
      </w:r>
      <w:r w:rsidRPr="001D7DD9">
        <w:rPr>
          <w:rtl/>
        </w:rPr>
        <w:t xml:space="preserve"> </w:t>
      </w:r>
      <w:r w:rsidRPr="001D7DD9">
        <w:rPr>
          <w:rFonts w:hint="eastAsia"/>
          <w:rtl/>
        </w:rPr>
        <w:t>להשלים</w:t>
      </w:r>
      <w:r w:rsidRPr="001D7DD9">
        <w:rPr>
          <w:rtl/>
        </w:rPr>
        <w:t xml:space="preserve"> </w:t>
      </w:r>
      <w:r w:rsidRPr="001D7DD9">
        <w:rPr>
          <w:rFonts w:hint="eastAsia"/>
          <w:rtl/>
        </w:rPr>
        <w:t>ולאשר</w:t>
      </w:r>
      <w:r w:rsidRPr="001D7DD9">
        <w:rPr>
          <w:rtl/>
        </w:rPr>
        <w:t xml:space="preserve"> </w:t>
      </w:r>
      <w:r w:rsidRPr="001D7DD9">
        <w:rPr>
          <w:rFonts w:hint="eastAsia"/>
          <w:rtl/>
        </w:rPr>
        <w:t>את</w:t>
      </w:r>
      <w:r w:rsidRPr="001D7DD9">
        <w:rPr>
          <w:rtl/>
        </w:rPr>
        <w:t xml:space="preserve"> </w:t>
      </w:r>
      <w:r w:rsidRPr="001D7DD9">
        <w:rPr>
          <w:rFonts w:hint="eastAsia"/>
          <w:rtl/>
        </w:rPr>
        <w:t>הדוחות</w:t>
      </w:r>
      <w:r w:rsidRPr="001D7DD9">
        <w:rPr>
          <w:rtl/>
        </w:rPr>
        <w:t xml:space="preserve"> </w:t>
      </w:r>
      <w:r w:rsidRPr="001D7DD9">
        <w:rPr>
          <w:rFonts w:hint="eastAsia"/>
          <w:rtl/>
        </w:rPr>
        <w:t>הכספיים</w:t>
      </w:r>
      <w:r w:rsidRPr="001D7DD9">
        <w:rPr>
          <w:rtl/>
        </w:rPr>
        <w:t xml:space="preserve"> </w:t>
      </w:r>
      <w:r w:rsidRPr="001D7DD9">
        <w:rPr>
          <w:rFonts w:hint="eastAsia"/>
          <w:rtl/>
        </w:rPr>
        <w:t>של</w:t>
      </w:r>
      <w:r w:rsidRPr="001D7DD9">
        <w:rPr>
          <w:rtl/>
        </w:rPr>
        <w:t xml:space="preserve"> </w:t>
      </w:r>
      <w:r w:rsidRPr="001D7DD9">
        <w:rPr>
          <w:rFonts w:hint="eastAsia"/>
          <w:rtl/>
        </w:rPr>
        <w:t>השנה</w:t>
      </w:r>
      <w:r w:rsidRPr="001D7DD9">
        <w:rPr>
          <w:rtl/>
        </w:rPr>
        <w:t xml:space="preserve"> </w:t>
      </w:r>
      <w:r w:rsidRPr="001D7DD9">
        <w:rPr>
          <w:rFonts w:hint="eastAsia"/>
          <w:rtl/>
        </w:rPr>
        <w:t>שקדמה</w:t>
      </w:r>
      <w:r w:rsidRPr="001D7DD9">
        <w:rPr>
          <w:rtl/>
        </w:rPr>
        <w:t xml:space="preserve"> </w:t>
      </w:r>
      <w:r w:rsidRPr="001D7DD9">
        <w:rPr>
          <w:rFonts w:hint="eastAsia"/>
          <w:rtl/>
        </w:rPr>
        <w:t>לה</w:t>
      </w:r>
      <w:r w:rsidRPr="001D7DD9">
        <w:rPr>
          <w:rtl/>
        </w:rPr>
        <w:t xml:space="preserve"> </w:t>
      </w:r>
      <w:r w:rsidRPr="001D7DD9">
        <w:rPr>
          <w:rFonts w:hint="eastAsia"/>
          <w:rtl/>
        </w:rPr>
        <w:t>הוא</w:t>
      </w:r>
      <w:r w:rsidRPr="001D7DD9">
        <w:rPr>
          <w:rtl/>
        </w:rPr>
        <w:t xml:space="preserve"> </w:t>
      </w:r>
      <w:r w:rsidRPr="001D7DD9">
        <w:rPr>
          <w:rFonts w:hint="eastAsia"/>
          <w:rtl/>
        </w:rPr>
        <w:t>עד</w:t>
      </w:r>
      <w:r w:rsidRPr="001D7DD9">
        <w:rPr>
          <w:rtl/>
        </w:rPr>
        <w:t xml:space="preserve"> 31 </w:t>
      </w:r>
      <w:r w:rsidRPr="001D7DD9">
        <w:rPr>
          <w:rFonts w:hint="eastAsia"/>
          <w:rtl/>
        </w:rPr>
        <w:t>בספטמבר</w:t>
      </w:r>
      <w:r w:rsidRPr="001D7DD9">
        <w:rPr>
          <w:rtl/>
        </w:rPr>
        <w:t xml:space="preserve"> </w:t>
      </w:r>
      <w:r w:rsidRPr="001D7DD9">
        <w:rPr>
          <w:rFonts w:hint="eastAsia"/>
          <w:rtl/>
        </w:rPr>
        <w:t>של</w:t>
      </w:r>
      <w:r w:rsidRPr="001D7DD9">
        <w:rPr>
          <w:rtl/>
        </w:rPr>
        <w:t xml:space="preserve"> </w:t>
      </w:r>
      <w:r w:rsidRPr="001D7DD9">
        <w:rPr>
          <w:rFonts w:hint="eastAsia"/>
          <w:rtl/>
        </w:rPr>
        <w:t>כל</w:t>
      </w:r>
      <w:r w:rsidRPr="001D7DD9">
        <w:rPr>
          <w:rtl/>
        </w:rPr>
        <w:t xml:space="preserve"> </w:t>
      </w:r>
      <w:r w:rsidRPr="001D7DD9">
        <w:rPr>
          <w:rFonts w:hint="eastAsia"/>
          <w:rtl/>
        </w:rPr>
        <w:t>שנה</w:t>
      </w:r>
      <w:r w:rsidRPr="001D7DD9">
        <w:rPr>
          <w:rtl/>
        </w:rPr>
        <w:t>.</w:t>
      </w:r>
    </w:p>
    <w:p w14:paraId="5ADF5B9F" w14:textId="77777777" w:rsidR="00BB3D90" w:rsidRDefault="00BB3D90">
      <w:pPr>
        <w:bidi w:val="0"/>
        <w:spacing w:after="200" w:line="276" w:lineRule="auto"/>
        <w:rPr>
          <w:rFonts w:ascii="Tahoma" w:hAnsi="Tahoma" w:cs="Tahoma"/>
          <w:szCs w:val="20"/>
          <w:rtl/>
        </w:rPr>
      </w:pPr>
      <w:r>
        <w:rPr>
          <w:rtl/>
        </w:rPr>
        <w:br w:type="page"/>
      </w:r>
    </w:p>
    <w:p w14:paraId="7A98CF5A" w14:textId="77777777" w:rsidR="00387987" w:rsidRPr="006A2FDA" w:rsidRDefault="00387987" w:rsidP="00BB3D90">
      <w:pPr>
        <w:pStyle w:val="100"/>
        <w:rPr>
          <w:rtl/>
        </w:rPr>
      </w:pPr>
      <w:r w:rsidRPr="006A2FDA">
        <w:rPr>
          <w:rFonts w:hint="cs"/>
          <w:rtl/>
        </w:rPr>
        <w:t xml:space="preserve">דוחות כספיים של חברה משקפים את תוצאות פעילותה, </w:t>
      </w:r>
      <w:r>
        <w:rPr>
          <w:rFonts w:hint="cs"/>
          <w:rtl/>
        </w:rPr>
        <w:t xml:space="preserve">את </w:t>
      </w:r>
      <w:r w:rsidRPr="006A2FDA">
        <w:rPr>
          <w:rFonts w:hint="cs"/>
          <w:rtl/>
        </w:rPr>
        <w:t>תזרימי המזומנים שלה ו</w:t>
      </w:r>
      <w:r>
        <w:rPr>
          <w:rFonts w:hint="cs"/>
          <w:rtl/>
        </w:rPr>
        <w:t xml:space="preserve">את </w:t>
      </w:r>
      <w:r w:rsidRPr="006A2FDA">
        <w:rPr>
          <w:rFonts w:hint="cs"/>
          <w:rtl/>
        </w:rPr>
        <w:t>מצבה הכספי. הדוחות מאפשרים למשתמשים בהם להשוות נתונים ולזהות מגמות בהתפתחות העסקית של החברה. הדוחות עשויים לשמש גורמים שונים ובהם בעלי מניות, לקוחות, ספקים ועובדים של החברה</w:t>
      </w:r>
      <w:r>
        <w:rPr>
          <w:rStyle w:val="FootnoteReference"/>
          <w:color w:val="000000"/>
          <w:sz w:val="24"/>
          <w:rtl/>
        </w:rPr>
        <w:footnoteReference w:id="101"/>
      </w:r>
      <w:r w:rsidRPr="006A2FDA">
        <w:rPr>
          <w:rFonts w:hint="cs"/>
          <w:rtl/>
        </w:rPr>
        <w:t>.</w:t>
      </w:r>
    </w:p>
    <w:p w14:paraId="628024DB" w14:textId="77777777" w:rsidR="00387987" w:rsidRDefault="00387987" w:rsidP="00BB3D90">
      <w:pPr>
        <w:pStyle w:val="af3"/>
        <w:rPr>
          <w:rtl/>
        </w:rPr>
      </w:pPr>
      <w:r>
        <w:rPr>
          <w:rFonts w:hint="cs"/>
          <w:rtl/>
        </w:rPr>
        <w:t>בשנים</w:t>
      </w:r>
      <w:r w:rsidRPr="006A2FDA">
        <w:rPr>
          <w:rFonts w:hint="cs"/>
          <w:rtl/>
        </w:rPr>
        <w:t xml:space="preserve"> </w:t>
      </w:r>
      <w:r>
        <w:rPr>
          <w:rFonts w:hint="cs"/>
          <w:rtl/>
        </w:rPr>
        <w:t>2014 - 2018</w:t>
      </w:r>
      <w:r w:rsidRPr="006A2FDA">
        <w:rPr>
          <w:rFonts w:hint="cs"/>
          <w:rtl/>
        </w:rPr>
        <w:t xml:space="preserve"> לא השלימה החברה את תהליך </w:t>
      </w:r>
      <w:r>
        <w:rPr>
          <w:rFonts w:hint="cs"/>
          <w:rtl/>
        </w:rPr>
        <w:t>הכנת</w:t>
      </w:r>
      <w:r w:rsidRPr="006A2FDA">
        <w:rPr>
          <w:rFonts w:hint="cs"/>
          <w:rtl/>
        </w:rPr>
        <w:t xml:space="preserve"> </w:t>
      </w:r>
      <w:r>
        <w:rPr>
          <w:rFonts w:hint="cs"/>
          <w:rtl/>
        </w:rPr>
        <w:t xml:space="preserve">הדוחות הכספיים שלה ואישורם </w:t>
      </w:r>
      <w:r w:rsidRPr="006A2FDA">
        <w:rPr>
          <w:rFonts w:hint="cs"/>
          <w:rtl/>
        </w:rPr>
        <w:t xml:space="preserve">במועד כנדרש, כמתואר </w:t>
      </w:r>
      <w:r>
        <w:rPr>
          <w:rFonts w:hint="cs"/>
          <w:rtl/>
        </w:rPr>
        <w:t>בלוח</w:t>
      </w:r>
      <w:r w:rsidRPr="006A2FDA">
        <w:rPr>
          <w:rFonts w:hint="cs"/>
          <w:rtl/>
        </w:rPr>
        <w:t xml:space="preserve"> </w:t>
      </w:r>
      <w:r>
        <w:rPr>
          <w:rFonts w:hint="cs"/>
          <w:rtl/>
        </w:rPr>
        <w:t>ש</w:t>
      </w:r>
      <w:r w:rsidRPr="006A2FDA">
        <w:rPr>
          <w:rFonts w:hint="cs"/>
          <w:rtl/>
        </w:rPr>
        <w:t>להלן.</w:t>
      </w:r>
    </w:p>
    <w:p w14:paraId="0F201F69" w14:textId="77777777" w:rsidR="00387987" w:rsidRPr="00BB3D90" w:rsidRDefault="00387987" w:rsidP="00BB3D90">
      <w:pPr>
        <w:pStyle w:val="a8"/>
        <w:rPr>
          <w:b/>
          <w:bCs/>
          <w:rtl/>
        </w:rPr>
      </w:pPr>
      <w:r>
        <w:rPr>
          <w:rFonts w:hint="cs"/>
          <w:rtl/>
        </w:rPr>
        <w:t>לוח</w:t>
      </w:r>
      <w:r w:rsidRPr="000263BA">
        <w:rPr>
          <w:rtl/>
        </w:rPr>
        <w:t xml:space="preserve"> </w:t>
      </w:r>
      <w:r>
        <w:rPr>
          <w:rFonts w:hint="cs"/>
          <w:rtl/>
        </w:rPr>
        <w:t>7</w:t>
      </w:r>
      <w:r w:rsidRPr="000263BA">
        <w:rPr>
          <w:rtl/>
        </w:rPr>
        <w:t xml:space="preserve">: </w:t>
      </w:r>
      <w:r w:rsidRPr="00BB3D90">
        <w:rPr>
          <w:rFonts w:hint="eastAsia"/>
          <w:b/>
          <w:bCs/>
          <w:rtl/>
        </w:rPr>
        <w:t>מועד</w:t>
      </w:r>
      <w:r w:rsidRPr="00BB3D90">
        <w:rPr>
          <w:b/>
          <w:bCs/>
          <w:rtl/>
        </w:rPr>
        <w:t xml:space="preserve"> </w:t>
      </w:r>
      <w:r w:rsidRPr="00BB3D90">
        <w:rPr>
          <w:rFonts w:hint="eastAsia"/>
          <w:b/>
          <w:bCs/>
          <w:rtl/>
        </w:rPr>
        <w:t>אישור</w:t>
      </w:r>
      <w:r w:rsidRPr="00BB3D90">
        <w:rPr>
          <w:b/>
          <w:bCs/>
          <w:rtl/>
        </w:rPr>
        <w:t xml:space="preserve"> </w:t>
      </w:r>
      <w:r w:rsidRPr="00BB3D90">
        <w:rPr>
          <w:rFonts w:hint="cs"/>
          <w:b/>
          <w:bCs/>
          <w:rtl/>
        </w:rPr>
        <w:t>ה</w:t>
      </w:r>
      <w:r w:rsidRPr="00BB3D90">
        <w:rPr>
          <w:rFonts w:hint="eastAsia"/>
          <w:b/>
          <w:bCs/>
          <w:rtl/>
        </w:rPr>
        <w:t>דוחות</w:t>
      </w:r>
      <w:r w:rsidRPr="00BB3D90">
        <w:rPr>
          <w:b/>
          <w:bCs/>
          <w:rtl/>
        </w:rPr>
        <w:t xml:space="preserve"> </w:t>
      </w:r>
      <w:r w:rsidRPr="00BB3D90">
        <w:rPr>
          <w:rFonts w:hint="cs"/>
          <w:b/>
          <w:bCs/>
          <w:rtl/>
        </w:rPr>
        <w:t>ה</w:t>
      </w:r>
      <w:r w:rsidRPr="00BB3D90">
        <w:rPr>
          <w:rFonts w:hint="eastAsia"/>
          <w:b/>
          <w:bCs/>
          <w:rtl/>
        </w:rPr>
        <w:t>כספיים</w:t>
      </w:r>
      <w:r w:rsidRPr="00BB3D90">
        <w:rPr>
          <w:b/>
          <w:bCs/>
          <w:rtl/>
        </w:rPr>
        <w:t xml:space="preserve"> </w:t>
      </w:r>
      <w:r w:rsidRPr="00BB3D90">
        <w:rPr>
          <w:rFonts w:hint="eastAsia"/>
          <w:b/>
          <w:bCs/>
          <w:rtl/>
        </w:rPr>
        <w:t>של</w:t>
      </w:r>
      <w:r w:rsidRPr="00BB3D90">
        <w:rPr>
          <w:b/>
          <w:bCs/>
          <w:rtl/>
        </w:rPr>
        <w:t xml:space="preserve"> </w:t>
      </w:r>
      <w:r w:rsidRPr="00BB3D90">
        <w:rPr>
          <w:rFonts w:hint="eastAsia"/>
          <w:b/>
          <w:bCs/>
          <w:rtl/>
        </w:rPr>
        <w:t>החברה</w:t>
      </w:r>
    </w:p>
    <w:tbl>
      <w:tblPr>
        <w:tblStyle w:val="4-41"/>
        <w:bidiVisual/>
        <w:tblW w:w="7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2408"/>
        <w:gridCol w:w="1835"/>
        <w:gridCol w:w="2406"/>
      </w:tblGrid>
      <w:tr w:rsidR="00387987" w:rsidRPr="003F0956" w14:paraId="221AD733" w14:textId="77777777" w:rsidTr="00BB3D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tcBorders>
              <w:top w:val="none" w:sz="0" w:space="0" w:color="auto"/>
              <w:left w:val="none" w:sz="0" w:space="0" w:color="auto"/>
              <w:bottom w:val="none" w:sz="0" w:space="0" w:color="auto"/>
              <w:right w:val="none" w:sz="0" w:space="0" w:color="auto"/>
            </w:tcBorders>
            <w:shd w:val="clear" w:color="auto" w:fill="C6D9F1"/>
            <w:vAlign w:val="bottom"/>
          </w:tcPr>
          <w:p w14:paraId="5E61C161" w14:textId="77777777" w:rsidR="00387987" w:rsidRPr="00BB3D90" w:rsidRDefault="00387987" w:rsidP="00BB3D90">
            <w:pPr>
              <w:pStyle w:val="af"/>
              <w:rPr>
                <w:b/>
                <w:bCs/>
                <w:rtl/>
              </w:rPr>
            </w:pPr>
            <w:r w:rsidRPr="00BB3D90">
              <w:rPr>
                <w:rFonts w:hint="cs"/>
                <w:b/>
                <w:bCs/>
                <w:rtl/>
              </w:rPr>
              <w:t xml:space="preserve">השנה </w:t>
            </w:r>
          </w:p>
        </w:tc>
        <w:tc>
          <w:tcPr>
            <w:tcW w:w="2408" w:type="dxa"/>
            <w:tcBorders>
              <w:top w:val="none" w:sz="0" w:space="0" w:color="auto"/>
              <w:left w:val="none" w:sz="0" w:space="0" w:color="auto"/>
              <w:bottom w:val="none" w:sz="0" w:space="0" w:color="auto"/>
              <w:right w:val="none" w:sz="0" w:space="0" w:color="auto"/>
            </w:tcBorders>
            <w:shd w:val="clear" w:color="auto" w:fill="C6D9F1"/>
            <w:vAlign w:val="bottom"/>
          </w:tcPr>
          <w:p w14:paraId="674495F4" w14:textId="77777777" w:rsidR="00387987" w:rsidRPr="00BB3D90" w:rsidRDefault="00387987" w:rsidP="00BB3D90">
            <w:pPr>
              <w:pStyle w:val="af"/>
              <w:cnfStyle w:val="100000000000" w:firstRow="1" w:lastRow="0" w:firstColumn="0" w:lastColumn="0" w:oddVBand="0" w:evenVBand="0" w:oddHBand="0" w:evenHBand="0" w:firstRowFirstColumn="0" w:firstRowLastColumn="0" w:lastRowFirstColumn="0" w:lastRowLastColumn="0"/>
              <w:rPr>
                <w:b/>
                <w:bCs/>
                <w:rtl/>
              </w:rPr>
            </w:pPr>
            <w:r w:rsidRPr="00BB3D90">
              <w:rPr>
                <w:rFonts w:hint="cs"/>
                <w:b/>
                <w:bCs/>
                <w:rtl/>
              </w:rPr>
              <w:t>המועד הנדרש בחוק החברות</w:t>
            </w:r>
          </w:p>
        </w:tc>
        <w:tc>
          <w:tcPr>
            <w:tcW w:w="1835" w:type="dxa"/>
            <w:tcBorders>
              <w:top w:val="none" w:sz="0" w:space="0" w:color="auto"/>
              <w:left w:val="none" w:sz="0" w:space="0" w:color="auto"/>
              <w:bottom w:val="none" w:sz="0" w:space="0" w:color="auto"/>
              <w:right w:val="none" w:sz="0" w:space="0" w:color="auto"/>
            </w:tcBorders>
            <w:shd w:val="clear" w:color="auto" w:fill="C6D9F1"/>
            <w:vAlign w:val="bottom"/>
          </w:tcPr>
          <w:p w14:paraId="4D39AB2D" w14:textId="77777777" w:rsidR="00387987" w:rsidRPr="00BB3D90" w:rsidRDefault="00387987" w:rsidP="00BB3D90">
            <w:pPr>
              <w:pStyle w:val="af"/>
              <w:cnfStyle w:val="100000000000" w:firstRow="1" w:lastRow="0" w:firstColumn="0" w:lastColumn="0" w:oddVBand="0" w:evenVBand="0" w:oddHBand="0" w:evenHBand="0" w:firstRowFirstColumn="0" w:firstRowLastColumn="0" w:lastRowFirstColumn="0" w:lastRowLastColumn="0"/>
              <w:rPr>
                <w:b/>
                <w:bCs/>
                <w:rtl/>
              </w:rPr>
            </w:pPr>
            <w:r w:rsidRPr="00BB3D90">
              <w:rPr>
                <w:rFonts w:hint="cs"/>
                <w:b/>
                <w:bCs/>
                <w:rtl/>
              </w:rPr>
              <w:t>אישור בפועל על ידי רו"ח מבקר</w:t>
            </w:r>
          </w:p>
        </w:tc>
        <w:tc>
          <w:tcPr>
            <w:tcW w:w="2406" w:type="dxa"/>
            <w:tcBorders>
              <w:top w:val="none" w:sz="0" w:space="0" w:color="auto"/>
              <w:left w:val="none" w:sz="0" w:space="0" w:color="auto"/>
              <w:bottom w:val="none" w:sz="0" w:space="0" w:color="auto"/>
              <w:right w:val="none" w:sz="0" w:space="0" w:color="auto"/>
            </w:tcBorders>
            <w:shd w:val="clear" w:color="auto" w:fill="C6D9F1"/>
            <w:vAlign w:val="bottom"/>
          </w:tcPr>
          <w:p w14:paraId="3868A8A7" w14:textId="77777777" w:rsidR="00387987" w:rsidRPr="00BB3D90" w:rsidRDefault="00387987" w:rsidP="00BB3D90">
            <w:pPr>
              <w:pStyle w:val="af"/>
              <w:cnfStyle w:val="100000000000" w:firstRow="1" w:lastRow="0" w:firstColumn="0" w:lastColumn="0" w:oddVBand="0" w:evenVBand="0" w:oddHBand="0" w:evenHBand="0" w:firstRowFirstColumn="0" w:firstRowLastColumn="0" w:lastRowFirstColumn="0" w:lastRowLastColumn="0"/>
              <w:rPr>
                <w:b/>
                <w:bCs/>
                <w:rtl/>
              </w:rPr>
            </w:pPr>
            <w:r w:rsidRPr="00BB3D90">
              <w:rPr>
                <w:rFonts w:hint="cs"/>
                <w:b/>
                <w:bCs/>
                <w:rtl/>
              </w:rPr>
              <w:t>הפער במועד הדיווח (מספר חודשים)</w:t>
            </w:r>
          </w:p>
        </w:tc>
      </w:tr>
      <w:tr w:rsidR="00387987" w:rsidRPr="003F0956" w14:paraId="45AA019F"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shd w:val="clear" w:color="auto" w:fill="auto"/>
            <w:vAlign w:val="bottom"/>
          </w:tcPr>
          <w:p w14:paraId="7ABE92C5" w14:textId="77777777" w:rsidR="00387987" w:rsidRPr="003F0956" w:rsidRDefault="00387987" w:rsidP="00BB3D90">
            <w:pPr>
              <w:pStyle w:val="R"/>
              <w:rPr>
                <w:rtl/>
              </w:rPr>
            </w:pPr>
            <w:r w:rsidRPr="003F0956">
              <w:rPr>
                <w:rFonts w:hint="cs"/>
                <w:rtl/>
              </w:rPr>
              <w:t>2014</w:t>
            </w:r>
          </w:p>
        </w:tc>
        <w:tc>
          <w:tcPr>
            <w:tcW w:w="2408" w:type="dxa"/>
            <w:shd w:val="clear" w:color="auto" w:fill="auto"/>
            <w:vAlign w:val="bottom"/>
          </w:tcPr>
          <w:p w14:paraId="7C118833" w14:textId="77777777" w:rsidR="00387987" w:rsidRPr="00BB3D90" w:rsidRDefault="00387987" w:rsidP="00BB3D90">
            <w:pPr>
              <w:pStyle w:val="R"/>
              <w:cnfStyle w:val="000000100000" w:firstRow="0" w:lastRow="0" w:firstColumn="0" w:lastColumn="0" w:oddVBand="0" w:evenVBand="0" w:oddHBand="1" w:evenHBand="0" w:firstRowFirstColumn="0" w:firstRowLastColumn="0" w:lastRowFirstColumn="0" w:lastRowLastColumn="0"/>
              <w:rPr>
                <w:rtl/>
              </w:rPr>
            </w:pPr>
            <w:r w:rsidRPr="00BB3D90">
              <w:rPr>
                <w:rFonts w:hint="cs"/>
                <w:rtl/>
              </w:rPr>
              <w:t>30 בספטמבר 2015</w:t>
            </w:r>
          </w:p>
        </w:tc>
        <w:tc>
          <w:tcPr>
            <w:tcW w:w="1835" w:type="dxa"/>
            <w:shd w:val="clear" w:color="auto" w:fill="auto"/>
            <w:vAlign w:val="bottom"/>
          </w:tcPr>
          <w:p w14:paraId="47A2F773" w14:textId="77777777" w:rsidR="00387987" w:rsidRPr="00BB3D90" w:rsidRDefault="00387987" w:rsidP="00BB3D90">
            <w:pPr>
              <w:pStyle w:val="R"/>
              <w:cnfStyle w:val="000000100000" w:firstRow="0" w:lastRow="0" w:firstColumn="0" w:lastColumn="0" w:oddVBand="0" w:evenVBand="0" w:oddHBand="1" w:evenHBand="0" w:firstRowFirstColumn="0" w:firstRowLastColumn="0" w:lastRowFirstColumn="0" w:lastRowLastColumn="0"/>
              <w:rPr>
                <w:rtl/>
              </w:rPr>
            </w:pPr>
            <w:r w:rsidRPr="00BB3D90">
              <w:rPr>
                <w:rFonts w:hint="cs"/>
                <w:rtl/>
              </w:rPr>
              <w:t>ספטמבר 2016</w:t>
            </w:r>
          </w:p>
        </w:tc>
        <w:tc>
          <w:tcPr>
            <w:tcW w:w="2406" w:type="dxa"/>
            <w:shd w:val="clear" w:color="auto" w:fill="auto"/>
            <w:vAlign w:val="bottom"/>
          </w:tcPr>
          <w:p w14:paraId="51FBD868" w14:textId="77777777" w:rsidR="00387987" w:rsidRPr="00BB3D90" w:rsidRDefault="00387987" w:rsidP="00BB3D90">
            <w:pPr>
              <w:pStyle w:val="R"/>
              <w:cnfStyle w:val="000000100000" w:firstRow="0" w:lastRow="0" w:firstColumn="0" w:lastColumn="0" w:oddVBand="0" w:evenVBand="0" w:oddHBand="1" w:evenHBand="0" w:firstRowFirstColumn="0" w:firstRowLastColumn="0" w:lastRowFirstColumn="0" w:lastRowLastColumn="0"/>
              <w:rPr>
                <w:rtl/>
              </w:rPr>
            </w:pPr>
            <w:r w:rsidRPr="00BB3D90">
              <w:rPr>
                <w:rFonts w:hint="cs"/>
                <w:rtl/>
              </w:rPr>
              <w:t>12</w:t>
            </w:r>
          </w:p>
        </w:tc>
      </w:tr>
      <w:tr w:rsidR="00387987" w:rsidRPr="003F0956" w14:paraId="116ED7BE"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1053" w:type="dxa"/>
            <w:shd w:val="clear" w:color="auto" w:fill="auto"/>
            <w:vAlign w:val="bottom"/>
          </w:tcPr>
          <w:p w14:paraId="260D038F" w14:textId="77777777" w:rsidR="00387987" w:rsidRPr="003F0956" w:rsidRDefault="00387987" w:rsidP="00BB3D90">
            <w:pPr>
              <w:pStyle w:val="R"/>
              <w:rPr>
                <w:rtl/>
              </w:rPr>
            </w:pPr>
            <w:r w:rsidRPr="003F0956">
              <w:rPr>
                <w:rFonts w:hint="cs"/>
                <w:rtl/>
              </w:rPr>
              <w:t>2015</w:t>
            </w:r>
          </w:p>
        </w:tc>
        <w:tc>
          <w:tcPr>
            <w:tcW w:w="2408" w:type="dxa"/>
            <w:shd w:val="clear" w:color="auto" w:fill="auto"/>
            <w:vAlign w:val="bottom"/>
          </w:tcPr>
          <w:p w14:paraId="5C4E53C6" w14:textId="77777777" w:rsidR="00387987" w:rsidRPr="00BB3D90" w:rsidRDefault="00387987" w:rsidP="00BB3D90">
            <w:pPr>
              <w:pStyle w:val="R"/>
              <w:cnfStyle w:val="000000000000" w:firstRow="0" w:lastRow="0" w:firstColumn="0" w:lastColumn="0" w:oddVBand="0" w:evenVBand="0" w:oddHBand="0" w:evenHBand="0" w:firstRowFirstColumn="0" w:firstRowLastColumn="0" w:lastRowFirstColumn="0" w:lastRowLastColumn="0"/>
              <w:rPr>
                <w:rtl/>
              </w:rPr>
            </w:pPr>
            <w:r w:rsidRPr="00BB3D90">
              <w:rPr>
                <w:rFonts w:hint="cs"/>
                <w:rtl/>
              </w:rPr>
              <w:t>30 בספטמבר 2016</w:t>
            </w:r>
          </w:p>
        </w:tc>
        <w:tc>
          <w:tcPr>
            <w:tcW w:w="1835" w:type="dxa"/>
            <w:shd w:val="clear" w:color="auto" w:fill="auto"/>
            <w:vAlign w:val="bottom"/>
          </w:tcPr>
          <w:p w14:paraId="43F0B011" w14:textId="77777777" w:rsidR="00387987" w:rsidRPr="00BB3D90" w:rsidRDefault="00387987" w:rsidP="00BB3D90">
            <w:pPr>
              <w:pStyle w:val="R"/>
              <w:cnfStyle w:val="000000000000" w:firstRow="0" w:lastRow="0" w:firstColumn="0" w:lastColumn="0" w:oddVBand="0" w:evenVBand="0" w:oddHBand="0" w:evenHBand="0" w:firstRowFirstColumn="0" w:firstRowLastColumn="0" w:lastRowFirstColumn="0" w:lastRowLastColumn="0"/>
              <w:rPr>
                <w:rtl/>
              </w:rPr>
            </w:pPr>
            <w:r w:rsidRPr="00BB3D90">
              <w:rPr>
                <w:rFonts w:hint="cs"/>
                <w:rtl/>
              </w:rPr>
              <w:t>נובמבר 2017</w:t>
            </w:r>
          </w:p>
        </w:tc>
        <w:tc>
          <w:tcPr>
            <w:tcW w:w="2406" w:type="dxa"/>
            <w:shd w:val="clear" w:color="auto" w:fill="auto"/>
            <w:vAlign w:val="bottom"/>
          </w:tcPr>
          <w:p w14:paraId="039F4D8D" w14:textId="77777777" w:rsidR="00387987" w:rsidRPr="00BB3D90" w:rsidRDefault="00387987" w:rsidP="00BB3D90">
            <w:pPr>
              <w:pStyle w:val="R"/>
              <w:cnfStyle w:val="000000000000" w:firstRow="0" w:lastRow="0" w:firstColumn="0" w:lastColumn="0" w:oddVBand="0" w:evenVBand="0" w:oddHBand="0" w:evenHBand="0" w:firstRowFirstColumn="0" w:firstRowLastColumn="0" w:lastRowFirstColumn="0" w:lastRowLastColumn="0"/>
              <w:rPr>
                <w:rtl/>
              </w:rPr>
            </w:pPr>
            <w:r w:rsidRPr="00BB3D90">
              <w:rPr>
                <w:rFonts w:hint="cs"/>
                <w:rtl/>
              </w:rPr>
              <w:t>14</w:t>
            </w:r>
          </w:p>
        </w:tc>
      </w:tr>
      <w:tr w:rsidR="00387987" w:rsidRPr="003F0956" w14:paraId="0830DD30"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shd w:val="clear" w:color="auto" w:fill="auto"/>
            <w:vAlign w:val="bottom"/>
          </w:tcPr>
          <w:p w14:paraId="64574C5E" w14:textId="77777777" w:rsidR="00387987" w:rsidRPr="003F0956" w:rsidRDefault="00387987" w:rsidP="00BB3D90">
            <w:pPr>
              <w:pStyle w:val="R"/>
              <w:rPr>
                <w:rtl/>
              </w:rPr>
            </w:pPr>
            <w:r w:rsidRPr="003F0956">
              <w:rPr>
                <w:rFonts w:hint="cs"/>
                <w:rtl/>
              </w:rPr>
              <w:t>2016</w:t>
            </w:r>
          </w:p>
        </w:tc>
        <w:tc>
          <w:tcPr>
            <w:tcW w:w="2408" w:type="dxa"/>
            <w:shd w:val="clear" w:color="auto" w:fill="auto"/>
            <w:vAlign w:val="bottom"/>
          </w:tcPr>
          <w:p w14:paraId="0419A2C5" w14:textId="77777777" w:rsidR="00387987" w:rsidRPr="00BB3D90" w:rsidRDefault="00387987" w:rsidP="00BB3D90">
            <w:pPr>
              <w:pStyle w:val="R"/>
              <w:cnfStyle w:val="000000100000" w:firstRow="0" w:lastRow="0" w:firstColumn="0" w:lastColumn="0" w:oddVBand="0" w:evenVBand="0" w:oddHBand="1" w:evenHBand="0" w:firstRowFirstColumn="0" w:firstRowLastColumn="0" w:lastRowFirstColumn="0" w:lastRowLastColumn="0"/>
              <w:rPr>
                <w:rtl/>
              </w:rPr>
            </w:pPr>
            <w:r w:rsidRPr="00BB3D90">
              <w:rPr>
                <w:rFonts w:hint="cs"/>
                <w:rtl/>
              </w:rPr>
              <w:t>30 בספטמבר 2017</w:t>
            </w:r>
          </w:p>
        </w:tc>
        <w:tc>
          <w:tcPr>
            <w:tcW w:w="1835" w:type="dxa"/>
            <w:shd w:val="clear" w:color="auto" w:fill="auto"/>
            <w:vAlign w:val="bottom"/>
          </w:tcPr>
          <w:p w14:paraId="66861344" w14:textId="77777777" w:rsidR="00387987" w:rsidRPr="00BB3D90" w:rsidRDefault="00387987" w:rsidP="00BB3D90">
            <w:pPr>
              <w:pStyle w:val="R"/>
              <w:cnfStyle w:val="000000100000" w:firstRow="0" w:lastRow="0" w:firstColumn="0" w:lastColumn="0" w:oddVBand="0" w:evenVBand="0" w:oddHBand="1" w:evenHBand="0" w:firstRowFirstColumn="0" w:firstRowLastColumn="0" w:lastRowFirstColumn="0" w:lastRowLastColumn="0"/>
              <w:rPr>
                <w:rtl/>
              </w:rPr>
            </w:pPr>
            <w:r w:rsidRPr="00BB3D90">
              <w:rPr>
                <w:rFonts w:hint="cs"/>
                <w:rtl/>
              </w:rPr>
              <w:t xml:space="preserve">יולי 2018 </w:t>
            </w:r>
          </w:p>
        </w:tc>
        <w:tc>
          <w:tcPr>
            <w:tcW w:w="2406" w:type="dxa"/>
            <w:shd w:val="clear" w:color="auto" w:fill="auto"/>
            <w:vAlign w:val="bottom"/>
          </w:tcPr>
          <w:p w14:paraId="409DFE48" w14:textId="77777777" w:rsidR="00387987" w:rsidRPr="00BB3D90" w:rsidRDefault="00387987" w:rsidP="00BB3D90">
            <w:pPr>
              <w:pStyle w:val="R"/>
              <w:cnfStyle w:val="000000100000" w:firstRow="0" w:lastRow="0" w:firstColumn="0" w:lastColumn="0" w:oddVBand="0" w:evenVBand="0" w:oddHBand="1" w:evenHBand="0" w:firstRowFirstColumn="0" w:firstRowLastColumn="0" w:lastRowFirstColumn="0" w:lastRowLastColumn="0"/>
              <w:rPr>
                <w:rtl/>
              </w:rPr>
            </w:pPr>
            <w:r w:rsidRPr="00BB3D90">
              <w:rPr>
                <w:rFonts w:hint="cs"/>
                <w:rtl/>
              </w:rPr>
              <w:t>10</w:t>
            </w:r>
          </w:p>
        </w:tc>
      </w:tr>
      <w:tr w:rsidR="00387987" w:rsidRPr="003F0956" w14:paraId="4C7F2914"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1053" w:type="dxa"/>
            <w:shd w:val="clear" w:color="auto" w:fill="auto"/>
            <w:vAlign w:val="bottom"/>
          </w:tcPr>
          <w:p w14:paraId="55A2236C" w14:textId="77777777" w:rsidR="00387987" w:rsidRPr="003F0956" w:rsidRDefault="00387987" w:rsidP="00BB3D90">
            <w:pPr>
              <w:pStyle w:val="R"/>
              <w:rPr>
                <w:rtl/>
              </w:rPr>
            </w:pPr>
            <w:r w:rsidRPr="003F0956">
              <w:rPr>
                <w:rFonts w:hint="cs"/>
                <w:rtl/>
              </w:rPr>
              <w:t>2017</w:t>
            </w:r>
          </w:p>
        </w:tc>
        <w:tc>
          <w:tcPr>
            <w:tcW w:w="2408" w:type="dxa"/>
            <w:shd w:val="clear" w:color="auto" w:fill="auto"/>
            <w:vAlign w:val="bottom"/>
          </w:tcPr>
          <w:p w14:paraId="4835CDC9" w14:textId="77777777" w:rsidR="00387987" w:rsidRPr="00BB3D90" w:rsidRDefault="00387987" w:rsidP="00BB3D90">
            <w:pPr>
              <w:pStyle w:val="R"/>
              <w:cnfStyle w:val="000000000000" w:firstRow="0" w:lastRow="0" w:firstColumn="0" w:lastColumn="0" w:oddVBand="0" w:evenVBand="0" w:oddHBand="0" w:evenHBand="0" w:firstRowFirstColumn="0" w:firstRowLastColumn="0" w:lastRowFirstColumn="0" w:lastRowLastColumn="0"/>
              <w:rPr>
                <w:rtl/>
              </w:rPr>
            </w:pPr>
            <w:r w:rsidRPr="00BB3D90">
              <w:rPr>
                <w:rFonts w:hint="cs"/>
                <w:rtl/>
              </w:rPr>
              <w:t>30 בספטמבר 2018</w:t>
            </w:r>
          </w:p>
        </w:tc>
        <w:tc>
          <w:tcPr>
            <w:tcW w:w="1835" w:type="dxa"/>
            <w:shd w:val="clear" w:color="auto" w:fill="auto"/>
            <w:vAlign w:val="bottom"/>
          </w:tcPr>
          <w:p w14:paraId="532472E8" w14:textId="77777777" w:rsidR="00387987" w:rsidRPr="00BB3D90" w:rsidRDefault="00387987" w:rsidP="00BB3D90">
            <w:pPr>
              <w:pStyle w:val="R"/>
              <w:cnfStyle w:val="000000000000" w:firstRow="0" w:lastRow="0" w:firstColumn="0" w:lastColumn="0" w:oddVBand="0" w:evenVBand="0" w:oddHBand="0" w:evenHBand="0" w:firstRowFirstColumn="0" w:firstRowLastColumn="0" w:lastRowFirstColumn="0" w:lastRowLastColumn="0"/>
              <w:rPr>
                <w:rtl/>
              </w:rPr>
            </w:pPr>
            <w:r w:rsidRPr="00BB3D90">
              <w:rPr>
                <w:rFonts w:hint="cs"/>
                <w:rtl/>
              </w:rPr>
              <w:t>אוגוסט 2019</w:t>
            </w:r>
          </w:p>
        </w:tc>
        <w:tc>
          <w:tcPr>
            <w:tcW w:w="2406" w:type="dxa"/>
            <w:shd w:val="clear" w:color="auto" w:fill="auto"/>
            <w:vAlign w:val="bottom"/>
          </w:tcPr>
          <w:p w14:paraId="385914C9" w14:textId="77777777" w:rsidR="00387987" w:rsidRPr="00BB3D90" w:rsidRDefault="00387987" w:rsidP="00BB3D90">
            <w:pPr>
              <w:pStyle w:val="R"/>
              <w:cnfStyle w:val="000000000000" w:firstRow="0" w:lastRow="0" w:firstColumn="0" w:lastColumn="0" w:oddVBand="0" w:evenVBand="0" w:oddHBand="0" w:evenHBand="0" w:firstRowFirstColumn="0" w:firstRowLastColumn="0" w:lastRowFirstColumn="0" w:lastRowLastColumn="0"/>
              <w:rPr>
                <w:rtl/>
              </w:rPr>
            </w:pPr>
            <w:r w:rsidRPr="00BB3D90">
              <w:rPr>
                <w:rFonts w:hint="cs"/>
                <w:rtl/>
              </w:rPr>
              <w:t>11</w:t>
            </w:r>
          </w:p>
        </w:tc>
      </w:tr>
      <w:tr w:rsidR="00387987" w:rsidRPr="003F0956" w14:paraId="2FEBDD61"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shd w:val="clear" w:color="auto" w:fill="auto"/>
            <w:vAlign w:val="bottom"/>
          </w:tcPr>
          <w:p w14:paraId="4557B7BC" w14:textId="77777777" w:rsidR="00387987" w:rsidRPr="003F0956" w:rsidRDefault="00387987" w:rsidP="00BB3D90">
            <w:pPr>
              <w:pStyle w:val="R"/>
              <w:rPr>
                <w:rtl/>
              </w:rPr>
            </w:pPr>
            <w:r w:rsidRPr="003F0956">
              <w:rPr>
                <w:rFonts w:hint="cs"/>
                <w:rtl/>
              </w:rPr>
              <w:t>2018</w:t>
            </w:r>
          </w:p>
        </w:tc>
        <w:tc>
          <w:tcPr>
            <w:tcW w:w="2408" w:type="dxa"/>
            <w:shd w:val="clear" w:color="auto" w:fill="auto"/>
            <w:vAlign w:val="bottom"/>
          </w:tcPr>
          <w:p w14:paraId="51308E79" w14:textId="77777777" w:rsidR="00387987" w:rsidRPr="00BB3D90" w:rsidRDefault="00387987" w:rsidP="00BB3D90">
            <w:pPr>
              <w:pStyle w:val="R"/>
              <w:cnfStyle w:val="000000100000" w:firstRow="0" w:lastRow="0" w:firstColumn="0" w:lastColumn="0" w:oddVBand="0" w:evenVBand="0" w:oddHBand="1" w:evenHBand="0" w:firstRowFirstColumn="0" w:firstRowLastColumn="0" w:lastRowFirstColumn="0" w:lastRowLastColumn="0"/>
              <w:rPr>
                <w:rtl/>
              </w:rPr>
            </w:pPr>
            <w:r w:rsidRPr="00BB3D90">
              <w:rPr>
                <w:rFonts w:hint="cs"/>
                <w:rtl/>
              </w:rPr>
              <w:t>30 בספטמבר 2019</w:t>
            </w:r>
          </w:p>
        </w:tc>
        <w:tc>
          <w:tcPr>
            <w:tcW w:w="1835" w:type="dxa"/>
            <w:shd w:val="clear" w:color="auto" w:fill="auto"/>
            <w:vAlign w:val="bottom"/>
          </w:tcPr>
          <w:p w14:paraId="4ED6965E" w14:textId="77777777" w:rsidR="00387987" w:rsidRPr="00BB3D90" w:rsidRDefault="00387987" w:rsidP="00BB3D90">
            <w:pPr>
              <w:pStyle w:val="R"/>
              <w:cnfStyle w:val="000000100000" w:firstRow="0" w:lastRow="0" w:firstColumn="0" w:lastColumn="0" w:oddVBand="0" w:evenVBand="0" w:oddHBand="1" w:evenHBand="0" w:firstRowFirstColumn="0" w:firstRowLastColumn="0" w:lastRowFirstColumn="0" w:lastRowLastColumn="0"/>
              <w:rPr>
                <w:rtl/>
              </w:rPr>
            </w:pPr>
            <w:r w:rsidRPr="00BB3D90">
              <w:rPr>
                <w:rFonts w:hint="cs"/>
                <w:rtl/>
              </w:rPr>
              <w:t>טרם אושר</w:t>
            </w:r>
          </w:p>
        </w:tc>
        <w:tc>
          <w:tcPr>
            <w:tcW w:w="2406" w:type="dxa"/>
            <w:shd w:val="clear" w:color="auto" w:fill="auto"/>
            <w:vAlign w:val="bottom"/>
          </w:tcPr>
          <w:p w14:paraId="195368E5" w14:textId="77777777" w:rsidR="00387987" w:rsidRPr="00BB3D90" w:rsidRDefault="00387987" w:rsidP="00BB3D90">
            <w:pPr>
              <w:pStyle w:val="R"/>
              <w:cnfStyle w:val="000000100000" w:firstRow="0" w:lastRow="0" w:firstColumn="0" w:lastColumn="0" w:oddVBand="0" w:evenVBand="0" w:oddHBand="1" w:evenHBand="0" w:firstRowFirstColumn="0" w:firstRowLastColumn="0" w:lastRowFirstColumn="0" w:lastRowLastColumn="0"/>
              <w:rPr>
                <w:rtl/>
              </w:rPr>
            </w:pPr>
            <w:r w:rsidRPr="00BB3D90">
              <w:rPr>
                <w:rFonts w:hint="cs"/>
                <w:rtl/>
              </w:rPr>
              <w:t xml:space="preserve">טרם אושר </w:t>
            </w:r>
          </w:p>
        </w:tc>
      </w:tr>
    </w:tbl>
    <w:p w14:paraId="069890F5" w14:textId="77777777" w:rsidR="00387987" w:rsidRDefault="00387987" w:rsidP="00536216">
      <w:pPr>
        <w:pStyle w:val="aa"/>
        <w:rPr>
          <w:rtl/>
        </w:rPr>
      </w:pPr>
      <w:r>
        <w:rPr>
          <w:rFonts w:hint="cs"/>
          <w:rtl/>
        </w:rPr>
        <w:t>על פי נתוני</w:t>
      </w:r>
      <w:r w:rsidRPr="008337B4">
        <w:rPr>
          <w:rtl/>
        </w:rPr>
        <w:t xml:space="preserve"> </w:t>
      </w:r>
      <w:r w:rsidRPr="008337B4">
        <w:rPr>
          <w:rFonts w:hint="eastAsia"/>
          <w:rtl/>
        </w:rPr>
        <w:t>החברה</w:t>
      </w:r>
      <w:r w:rsidRPr="008337B4">
        <w:rPr>
          <w:rtl/>
        </w:rPr>
        <w:t xml:space="preserve"> </w:t>
      </w:r>
      <w:r w:rsidRPr="008337B4">
        <w:rPr>
          <w:rFonts w:hint="eastAsia"/>
          <w:rtl/>
        </w:rPr>
        <w:t>הכלכלית</w:t>
      </w:r>
      <w:r>
        <w:rPr>
          <w:rFonts w:hint="cs"/>
          <w:rtl/>
        </w:rPr>
        <w:t>, בעיבוד משרד מבקר המדינה</w:t>
      </w:r>
      <w:r w:rsidRPr="008337B4">
        <w:rPr>
          <w:rtl/>
        </w:rPr>
        <w:t>.</w:t>
      </w:r>
    </w:p>
    <w:p w14:paraId="25FDBBC1" w14:textId="006053FF" w:rsidR="00387987" w:rsidRPr="006A2FDA" w:rsidRDefault="00387987" w:rsidP="008050AB">
      <w:pPr>
        <w:pStyle w:val="100"/>
        <w:rPr>
          <w:rtl/>
        </w:rPr>
      </w:pPr>
    </w:p>
    <w:p w14:paraId="1218B029" w14:textId="77777777" w:rsidR="00387987" w:rsidRDefault="00387987" w:rsidP="008050AB">
      <w:pPr>
        <w:pStyle w:val="100"/>
      </w:pPr>
      <w:r w:rsidRPr="006A2FDA">
        <w:rPr>
          <w:rFonts w:hint="cs"/>
          <w:rtl/>
        </w:rPr>
        <w:t xml:space="preserve">במועד סיום הביקורת </w:t>
      </w:r>
      <w:r>
        <w:rPr>
          <w:rFonts w:hint="cs"/>
          <w:rtl/>
        </w:rPr>
        <w:t>הנהלת החברה הנוכחית אישרה את</w:t>
      </w:r>
      <w:r w:rsidRPr="006A2FDA">
        <w:rPr>
          <w:rFonts w:hint="cs"/>
          <w:rtl/>
        </w:rPr>
        <w:t xml:space="preserve"> הדוח הכספי של החברה לשנת 2017</w:t>
      </w:r>
      <w:r>
        <w:rPr>
          <w:rStyle w:val="FootnoteReference"/>
          <w:rtl/>
        </w:rPr>
        <w:footnoteReference w:id="102"/>
      </w:r>
      <w:r w:rsidRPr="006A2FDA">
        <w:rPr>
          <w:rFonts w:hint="cs"/>
          <w:rtl/>
        </w:rPr>
        <w:t xml:space="preserve">. מהדוח עולה כי </w:t>
      </w:r>
      <w:r>
        <w:rPr>
          <w:rFonts w:hint="cs"/>
          <w:rtl/>
        </w:rPr>
        <w:t xml:space="preserve">בשנת 2017 </w:t>
      </w:r>
      <w:r w:rsidRPr="006A2FDA">
        <w:rPr>
          <w:rFonts w:hint="cs"/>
          <w:rtl/>
        </w:rPr>
        <w:t xml:space="preserve">החברה גבתה הכנסות מראש בסכום של 4.4 מיליון ש"ח על </w:t>
      </w:r>
      <w:r>
        <w:rPr>
          <w:rFonts w:hint="cs"/>
          <w:rtl/>
        </w:rPr>
        <w:t>הכנסות ממוצרים שיהיה עליה לספק ב</w:t>
      </w:r>
      <w:r w:rsidRPr="006A2FDA">
        <w:rPr>
          <w:rFonts w:hint="cs"/>
          <w:rtl/>
        </w:rPr>
        <w:t xml:space="preserve">שנה </w:t>
      </w:r>
      <w:r>
        <w:rPr>
          <w:rFonts w:hint="cs"/>
          <w:rtl/>
        </w:rPr>
        <w:t>שלאחר מכן</w:t>
      </w:r>
      <w:r>
        <w:rPr>
          <w:rStyle w:val="FootnoteReference"/>
          <w:color w:val="000000"/>
          <w:sz w:val="24"/>
          <w:rtl/>
        </w:rPr>
        <w:footnoteReference w:id="103"/>
      </w:r>
      <w:r w:rsidRPr="006A2FDA">
        <w:rPr>
          <w:rFonts w:hint="cs"/>
          <w:rtl/>
        </w:rPr>
        <w:t>. משמעות הדבר היא כי בשנה שלאחר מכן היא תספק את המוצרים, אך לא יהיו</w:t>
      </w:r>
      <w:r>
        <w:rPr>
          <w:rFonts w:hint="cs"/>
          <w:rtl/>
        </w:rPr>
        <w:t xml:space="preserve"> לה</w:t>
      </w:r>
      <w:r w:rsidRPr="006A2FDA">
        <w:rPr>
          <w:rFonts w:hint="cs"/>
          <w:rtl/>
        </w:rPr>
        <w:t xml:space="preserve"> הכנסות מהפעילות באותם מוצרים</w:t>
      </w:r>
      <w:r>
        <w:rPr>
          <w:rFonts w:hint="cs"/>
          <w:rtl/>
        </w:rPr>
        <w:t>,</w:t>
      </w:r>
      <w:r w:rsidRPr="003D2382">
        <w:rPr>
          <w:rFonts w:hint="cs"/>
          <w:rtl/>
        </w:rPr>
        <w:t xml:space="preserve"> </w:t>
      </w:r>
      <w:r w:rsidRPr="006A2FDA">
        <w:rPr>
          <w:rFonts w:hint="cs"/>
          <w:rtl/>
        </w:rPr>
        <w:t>שכן</w:t>
      </w:r>
      <w:r>
        <w:rPr>
          <w:rFonts w:hint="cs"/>
          <w:rtl/>
        </w:rPr>
        <w:t xml:space="preserve"> החברה כבר קיבלה אותן בשנת 2017. בדוח אף נכתב</w:t>
      </w:r>
      <w:r w:rsidRPr="006A2FDA">
        <w:rPr>
          <w:rFonts w:hint="cs"/>
          <w:rtl/>
        </w:rPr>
        <w:t xml:space="preserve"> כי לחברה יש הפסדים</w:t>
      </w:r>
      <w:r>
        <w:rPr>
          <w:rFonts w:hint="cs"/>
          <w:rtl/>
        </w:rPr>
        <w:t>, ו</w:t>
      </w:r>
      <w:r w:rsidRPr="006A2FDA">
        <w:rPr>
          <w:rFonts w:hint="cs"/>
          <w:rtl/>
        </w:rPr>
        <w:t>ללא התייעלות בפעילותה ואיתור מקורות מימון יש חשש ש</w:t>
      </w:r>
      <w:r>
        <w:rPr>
          <w:rFonts w:hint="cs"/>
          <w:rtl/>
        </w:rPr>
        <w:t xml:space="preserve">מצבה יורע עוד והיא עלולה אף לקבל </w:t>
      </w:r>
      <w:r w:rsidRPr="006A2FDA">
        <w:rPr>
          <w:rFonts w:hint="cs"/>
          <w:rtl/>
        </w:rPr>
        <w:t>"הערת עסק חי" שמשמעותה כי זוהו סימני אזהרה להמשך קיומה של החברה כעסק חי</w:t>
      </w:r>
      <w:r>
        <w:rPr>
          <w:rStyle w:val="FootnoteReference"/>
          <w:rtl/>
        </w:rPr>
        <w:footnoteReference w:id="104"/>
      </w:r>
      <w:r w:rsidRPr="006A2FDA">
        <w:rPr>
          <w:rFonts w:hint="cs"/>
          <w:rtl/>
        </w:rPr>
        <w:t>. במקרה כזה עלולה החברה אף להפוך לחדלת פרעון</w:t>
      </w:r>
      <w:r>
        <w:rPr>
          <w:rStyle w:val="FootnoteReference"/>
          <w:rtl/>
        </w:rPr>
        <w:footnoteReference w:id="105"/>
      </w:r>
      <w:r w:rsidRPr="006A2FDA">
        <w:rPr>
          <w:rFonts w:hint="cs"/>
          <w:rtl/>
        </w:rPr>
        <w:t xml:space="preserve"> </w:t>
      </w:r>
      <w:r>
        <w:rPr>
          <w:rFonts w:hint="cs"/>
          <w:rtl/>
        </w:rPr>
        <w:t>ו</w:t>
      </w:r>
      <w:r w:rsidRPr="006A2FDA">
        <w:rPr>
          <w:rFonts w:hint="cs"/>
          <w:rtl/>
        </w:rPr>
        <w:t>אזי עלולה הלשכה</w:t>
      </w:r>
      <w:r>
        <w:rPr>
          <w:rFonts w:hint="cs"/>
          <w:rtl/>
        </w:rPr>
        <w:t>,</w:t>
      </w:r>
      <w:r w:rsidRPr="006A2FDA">
        <w:rPr>
          <w:rFonts w:hint="cs"/>
          <w:rtl/>
        </w:rPr>
        <w:t xml:space="preserve"> כחברת האם ובעלת המניות היחידה, להידרש לשאת בחובותיה של החברה הכלכלית.</w:t>
      </w:r>
    </w:p>
    <w:p w14:paraId="582ACE97" w14:textId="631181BD" w:rsidR="008050AB" w:rsidRDefault="008050AB">
      <w:pPr>
        <w:bidi w:val="0"/>
        <w:spacing w:after="200" w:line="276" w:lineRule="auto"/>
        <w:rPr>
          <w:rtl/>
        </w:rPr>
      </w:pPr>
      <w:r>
        <w:rPr>
          <w:rtl/>
        </w:rPr>
        <w:br w:type="page"/>
      </w:r>
    </w:p>
    <w:p w14:paraId="7D444B72" w14:textId="77777777" w:rsidR="00387987" w:rsidRDefault="00387987" w:rsidP="008050AB">
      <w:pPr>
        <w:pStyle w:val="af3"/>
        <w:rPr>
          <w:rtl/>
        </w:rPr>
      </w:pPr>
      <w:r w:rsidRPr="006A2FDA">
        <w:rPr>
          <w:rFonts w:hint="cs"/>
          <w:rtl/>
        </w:rPr>
        <w:t xml:space="preserve">הליקויים </w:t>
      </w:r>
      <w:r>
        <w:rPr>
          <w:rFonts w:hint="cs"/>
          <w:rtl/>
        </w:rPr>
        <w:t xml:space="preserve">שנמצאו במסד הנתונים החשבונאי של החברה היו גורם משמעותי בעיכוב </w:t>
      </w:r>
      <w:r w:rsidRPr="006A2FDA">
        <w:rPr>
          <w:rFonts w:hint="cs"/>
          <w:rtl/>
        </w:rPr>
        <w:t>ער</w:t>
      </w:r>
      <w:r>
        <w:rPr>
          <w:rFonts w:hint="cs"/>
          <w:rtl/>
        </w:rPr>
        <w:t>יכת</w:t>
      </w:r>
      <w:r w:rsidRPr="006A2FDA">
        <w:rPr>
          <w:rFonts w:hint="cs"/>
          <w:rtl/>
        </w:rPr>
        <w:t xml:space="preserve"> הדוחות הכספיים של</w:t>
      </w:r>
      <w:r>
        <w:rPr>
          <w:rFonts w:hint="cs"/>
          <w:rtl/>
        </w:rPr>
        <w:t xml:space="preserve"> החבר</w:t>
      </w:r>
      <w:r w:rsidRPr="006A2FDA">
        <w:rPr>
          <w:rFonts w:hint="cs"/>
          <w:rtl/>
        </w:rPr>
        <w:t xml:space="preserve">ה. </w:t>
      </w:r>
      <w:r>
        <w:rPr>
          <w:rFonts w:hint="cs"/>
          <w:rtl/>
        </w:rPr>
        <w:t xml:space="preserve">כתוצאה מכך, </w:t>
      </w:r>
      <w:r w:rsidRPr="006A2FDA">
        <w:rPr>
          <w:rFonts w:hint="cs"/>
          <w:rtl/>
        </w:rPr>
        <w:t xml:space="preserve">בעת שהנהלת החברה, הדירקטוריון ובעלת המניות קיבלו החלטות על הפעילות העסקית של החברה, לא היה באפשרותם לדעת בוודאות אם הפעילות רווחית, מאוזנת או גירעונית, מהן </w:t>
      </w:r>
      <w:r>
        <w:rPr>
          <w:rFonts w:hint="cs"/>
          <w:rtl/>
        </w:rPr>
        <w:t>ה</w:t>
      </w:r>
      <w:r w:rsidRPr="006A2FDA">
        <w:rPr>
          <w:rFonts w:hint="cs"/>
          <w:rtl/>
        </w:rPr>
        <w:t>הוצאות ו</w:t>
      </w:r>
      <w:r>
        <w:rPr>
          <w:rFonts w:hint="cs"/>
          <w:rtl/>
        </w:rPr>
        <w:t>ה</w:t>
      </w:r>
      <w:r w:rsidRPr="006A2FDA">
        <w:rPr>
          <w:rFonts w:hint="cs"/>
          <w:rtl/>
        </w:rPr>
        <w:t xml:space="preserve">הכנסות השוטפות של החברה ואם היא יכולה לעמוד בהתחייבויותיה. </w:t>
      </w:r>
      <w:r>
        <w:rPr>
          <w:rFonts w:hint="cs"/>
          <w:rtl/>
        </w:rPr>
        <w:t>העיכוב ב</w:t>
      </w:r>
      <w:r w:rsidRPr="006A2FDA">
        <w:rPr>
          <w:rFonts w:hint="cs"/>
          <w:rtl/>
        </w:rPr>
        <w:t xml:space="preserve">תיקון פגמים אלה </w:t>
      </w:r>
      <w:r>
        <w:rPr>
          <w:rFonts w:hint="cs"/>
          <w:rtl/>
        </w:rPr>
        <w:t xml:space="preserve">מנע קיום פעולות </w:t>
      </w:r>
      <w:r w:rsidRPr="006A2FDA">
        <w:rPr>
          <w:rFonts w:hint="cs"/>
          <w:rtl/>
        </w:rPr>
        <w:t>לקידום ענייני החברה על בסיס נתונים מלאים ומהימנים.</w:t>
      </w:r>
      <w:r w:rsidRPr="006B02CA">
        <w:rPr>
          <w:rFonts w:hint="cs"/>
          <w:rtl/>
        </w:rPr>
        <w:t xml:space="preserve"> </w:t>
      </w:r>
    </w:p>
    <w:p w14:paraId="27985E49" w14:textId="77777777" w:rsidR="00387987" w:rsidRPr="00497653" w:rsidRDefault="00387987" w:rsidP="00B05E03">
      <w:pPr>
        <w:pStyle w:val="100"/>
        <w:rPr>
          <w:rtl/>
        </w:rPr>
      </w:pPr>
      <w:r>
        <w:rPr>
          <w:rFonts w:hint="cs"/>
          <w:rtl/>
        </w:rPr>
        <w:t>מתגובותיהם של המנכ"ל לשעבר ויו"ר הדירקטוריון לשעבר למול עמדת ההנהלה הנוכחית של החברה עלו חילוקי דעות לגבי פעולות חשבונאיות שנעשו בדוח הכספי המאושר של החברה לשנת 2017</w:t>
      </w:r>
      <w:r>
        <w:t>:</w:t>
      </w:r>
      <w:r>
        <w:rPr>
          <w:rtl/>
        </w:rPr>
        <w:t xml:space="preserve"> </w:t>
      </w:r>
      <w:r>
        <w:rPr>
          <w:rFonts w:hint="cs"/>
          <w:rtl/>
        </w:rPr>
        <w:t xml:space="preserve">מנכ"ל החברה לשעבר טוען כי הנהלת החברה הנוכחית ביצעה פעולות חשבונאיות "כדי להגדיל את ההפסד של שנת 2017" וכי כלל הפעולות החשבונאיות של החברה "הגדילו את הוצאות החברה ביותר מ-2 מיליון ש"ח". לדבריו טענת הנהלת החברה הנוכחית לפיה "אין להוון שכר עבודה כהשקעה" אינה נכונה ומנוגדת לכללי התקינה החשבונאית; יו"ר הדירקטוריון לשעבר השיב כי מטרת פעולות חשבונאיות אלה הייתה "לנפח" את הוצאות החברה; לעומת זאת, החברה הכלכלית השיבה כי בדוח הכספי לשנת 2017 היא ביטלה היוון של הוצאות שכר בגין פיתוח </w:t>
      </w:r>
      <w:r w:rsidRPr="00C359A7">
        <w:rPr>
          <w:rFonts w:hint="cs"/>
          <w:color w:val="000000"/>
          <w:sz w:val="24"/>
          <w:rtl/>
        </w:rPr>
        <w:t xml:space="preserve">מנוע </w:t>
      </w:r>
      <w:r>
        <w:rPr>
          <w:rFonts w:hint="cs"/>
          <w:color w:val="000000"/>
          <w:sz w:val="24"/>
          <w:rtl/>
        </w:rPr>
        <w:t>ה</w:t>
      </w:r>
      <w:r w:rsidRPr="00C359A7">
        <w:rPr>
          <w:rFonts w:hint="cs"/>
          <w:color w:val="000000"/>
          <w:sz w:val="24"/>
          <w:rtl/>
        </w:rPr>
        <w:t xml:space="preserve">חיפוש </w:t>
      </w:r>
      <w:r>
        <w:rPr>
          <w:rFonts w:hint="cs"/>
          <w:color w:val="000000"/>
          <w:sz w:val="24"/>
          <w:rtl/>
        </w:rPr>
        <w:t>ה</w:t>
      </w:r>
      <w:r w:rsidRPr="00C359A7">
        <w:rPr>
          <w:rFonts w:hint="cs"/>
          <w:color w:val="000000"/>
          <w:sz w:val="24"/>
          <w:rtl/>
        </w:rPr>
        <w:t xml:space="preserve">ממוחשב </w:t>
      </w:r>
      <w:r>
        <w:rPr>
          <w:rFonts w:hint="cs"/>
          <w:color w:val="000000"/>
          <w:sz w:val="24"/>
          <w:rtl/>
        </w:rPr>
        <w:t xml:space="preserve">כיוון </w:t>
      </w:r>
      <w:r>
        <w:rPr>
          <w:rFonts w:hint="cs"/>
          <w:rtl/>
        </w:rPr>
        <w:t>ש"אין זה מקובל מבחינה חשבונאית להוון לעלות נכס הוצאות שכר שהן נחשבות להוצאות שוטפות".</w:t>
      </w:r>
      <w:r w:rsidRPr="0045526A">
        <w:rPr>
          <w:rFonts w:hint="cs"/>
          <w:rtl/>
        </w:rPr>
        <w:t xml:space="preserve"> </w:t>
      </w:r>
      <w:r>
        <w:rPr>
          <w:rFonts w:hint="cs"/>
          <w:rtl/>
        </w:rPr>
        <w:t>בנוסף היא בי</w:t>
      </w:r>
      <w:r>
        <w:rPr>
          <w:rtl/>
        </w:rPr>
        <w:t>טל</w:t>
      </w:r>
      <w:r>
        <w:rPr>
          <w:rFonts w:hint="cs"/>
          <w:rtl/>
        </w:rPr>
        <w:t>ה</w:t>
      </w:r>
      <w:r>
        <w:rPr>
          <w:rtl/>
        </w:rPr>
        <w:t xml:space="preserve"> היוון עלויות פיתוח ערכה חדשה למתמחה</w:t>
      </w:r>
      <w:r>
        <w:rPr>
          <w:rFonts w:hint="cs"/>
          <w:rtl/>
        </w:rPr>
        <w:t>, כיוון שעל פי כללי החשבונאות המקובלים מדובר ב"</w:t>
      </w:r>
      <w:r>
        <w:rPr>
          <w:rtl/>
        </w:rPr>
        <w:t>שמירה על הקיים ושדרוג גרסאות ולא יצירת נכס חדש</w:t>
      </w:r>
      <w:r>
        <w:rPr>
          <w:rFonts w:hint="cs"/>
          <w:rtl/>
        </w:rPr>
        <w:t xml:space="preserve">". עוד הוסיפה </w:t>
      </w:r>
      <w:r w:rsidRPr="00497653">
        <w:rPr>
          <w:rtl/>
        </w:rPr>
        <w:t>החברה ש</w:t>
      </w:r>
      <w:r w:rsidRPr="00497653">
        <w:rPr>
          <w:rFonts w:hint="eastAsia"/>
          <w:rtl/>
        </w:rPr>
        <w:t>המצב</w:t>
      </w:r>
      <w:r w:rsidRPr="00497653">
        <w:rPr>
          <w:rtl/>
        </w:rPr>
        <w:t xml:space="preserve"> החשבונאי </w:t>
      </w:r>
      <w:r w:rsidRPr="00497653">
        <w:rPr>
          <w:rFonts w:hint="eastAsia"/>
          <w:rtl/>
        </w:rPr>
        <w:t>שלה</w:t>
      </w:r>
      <w:r w:rsidRPr="00497653">
        <w:rPr>
          <w:rtl/>
        </w:rPr>
        <w:t xml:space="preserve"> </w:t>
      </w:r>
      <w:r w:rsidRPr="00497653">
        <w:rPr>
          <w:rFonts w:hint="eastAsia"/>
          <w:rtl/>
        </w:rPr>
        <w:t>אילץ</w:t>
      </w:r>
      <w:r w:rsidRPr="00497653">
        <w:rPr>
          <w:rtl/>
        </w:rPr>
        <w:t xml:space="preserve"> אותה </w:t>
      </w:r>
      <w:r w:rsidRPr="00497653">
        <w:rPr>
          <w:rFonts w:hint="eastAsia"/>
          <w:rtl/>
        </w:rPr>
        <w:t>להקים</w:t>
      </w:r>
      <w:r w:rsidRPr="00497653">
        <w:rPr>
          <w:rtl/>
        </w:rPr>
        <w:t xml:space="preserve"> את </w:t>
      </w:r>
      <w:r w:rsidRPr="00497653">
        <w:rPr>
          <w:rFonts w:hint="eastAsia"/>
          <w:rtl/>
        </w:rPr>
        <w:t>המחלקה</w:t>
      </w:r>
      <w:r w:rsidRPr="00497653">
        <w:rPr>
          <w:rtl/>
        </w:rPr>
        <w:t xml:space="preserve"> </w:t>
      </w:r>
      <w:r w:rsidRPr="00497653">
        <w:rPr>
          <w:rFonts w:hint="eastAsia"/>
          <w:rtl/>
        </w:rPr>
        <w:t>הכספית</w:t>
      </w:r>
      <w:r w:rsidRPr="00497653">
        <w:rPr>
          <w:rtl/>
        </w:rPr>
        <w:t xml:space="preserve"> </w:t>
      </w:r>
      <w:r w:rsidRPr="00497653">
        <w:rPr>
          <w:rFonts w:hint="eastAsia"/>
          <w:rtl/>
        </w:rPr>
        <w:t>שלה</w:t>
      </w:r>
      <w:r w:rsidRPr="00497653">
        <w:rPr>
          <w:rtl/>
        </w:rPr>
        <w:t xml:space="preserve"> </w:t>
      </w:r>
      <w:r w:rsidRPr="00497653">
        <w:rPr>
          <w:rFonts w:hint="eastAsia"/>
          <w:rtl/>
        </w:rPr>
        <w:t>מחדש</w:t>
      </w:r>
      <w:r w:rsidRPr="00497653">
        <w:rPr>
          <w:rtl/>
        </w:rPr>
        <w:t xml:space="preserve"> </w:t>
      </w:r>
      <w:r w:rsidRPr="00497653">
        <w:rPr>
          <w:rFonts w:hint="eastAsia"/>
          <w:rtl/>
        </w:rPr>
        <w:t>והיא</w:t>
      </w:r>
      <w:r w:rsidRPr="00497653">
        <w:rPr>
          <w:rtl/>
        </w:rPr>
        <w:t xml:space="preserve"> </w:t>
      </w:r>
      <w:r w:rsidRPr="00497653">
        <w:rPr>
          <w:rFonts w:hint="eastAsia"/>
          <w:rtl/>
        </w:rPr>
        <w:t>שוקדת</w:t>
      </w:r>
      <w:r w:rsidRPr="00497653">
        <w:rPr>
          <w:rtl/>
        </w:rPr>
        <w:t xml:space="preserve"> </w:t>
      </w:r>
      <w:r w:rsidRPr="00497653">
        <w:rPr>
          <w:rFonts w:hint="eastAsia"/>
          <w:rtl/>
        </w:rPr>
        <w:t>על</w:t>
      </w:r>
      <w:r w:rsidRPr="00497653">
        <w:rPr>
          <w:rtl/>
        </w:rPr>
        <w:t xml:space="preserve"> </w:t>
      </w:r>
      <w:r w:rsidRPr="00497653">
        <w:rPr>
          <w:rFonts w:hint="eastAsia"/>
          <w:rtl/>
        </w:rPr>
        <w:t>סיומו</w:t>
      </w:r>
      <w:r w:rsidRPr="00497653">
        <w:rPr>
          <w:rtl/>
        </w:rPr>
        <w:t xml:space="preserve"> </w:t>
      </w:r>
      <w:r w:rsidRPr="00497653">
        <w:rPr>
          <w:rFonts w:hint="eastAsia"/>
          <w:rtl/>
        </w:rPr>
        <w:t>של</w:t>
      </w:r>
      <w:r w:rsidRPr="00497653">
        <w:rPr>
          <w:rtl/>
        </w:rPr>
        <w:t xml:space="preserve"> הדוח הכספי ל</w:t>
      </w:r>
      <w:r w:rsidRPr="00497653">
        <w:rPr>
          <w:rFonts w:hint="eastAsia"/>
          <w:rtl/>
        </w:rPr>
        <w:t>שנת</w:t>
      </w:r>
      <w:r w:rsidRPr="00497653">
        <w:rPr>
          <w:rtl/>
        </w:rPr>
        <w:t xml:space="preserve"> 2018. </w:t>
      </w:r>
    </w:p>
    <w:p w14:paraId="30D6EA31" w14:textId="77777777" w:rsidR="00387987" w:rsidRDefault="00387987" w:rsidP="00B05E03">
      <w:pPr>
        <w:pStyle w:val="af3"/>
        <w:rPr>
          <w:rtl/>
        </w:rPr>
      </w:pPr>
      <w:r>
        <w:rPr>
          <w:rFonts w:hint="cs"/>
          <w:rtl/>
        </w:rPr>
        <w:t>על החברה להקפיד לערוך את הדוחות הכספיים שלה על פי כללי החשבונאות המקובלים ו</w:t>
      </w:r>
      <w:r w:rsidRPr="00E47D4A">
        <w:rPr>
          <w:rFonts w:hint="cs"/>
          <w:rtl/>
        </w:rPr>
        <w:t>לאשר</w:t>
      </w:r>
      <w:r>
        <w:rPr>
          <w:rFonts w:hint="cs"/>
          <w:rtl/>
        </w:rPr>
        <w:t xml:space="preserve">ם בהתאם למועד שנקבע בחוק החברות. </w:t>
      </w:r>
    </w:p>
    <w:p w14:paraId="05DCFED2" w14:textId="77777777" w:rsidR="00387987" w:rsidRDefault="00387987" w:rsidP="00B05E03">
      <w:pPr>
        <w:pStyle w:val="100"/>
        <w:rPr>
          <w:rtl/>
        </w:rPr>
      </w:pPr>
      <w:r>
        <w:rPr>
          <w:rFonts w:hint="cs"/>
          <w:rtl/>
        </w:rPr>
        <w:t>יצוין כי המנכ"ל לשעבר ועובדים נוספים שפוטרו מהחברה במהלך 2019 העלו במסגרת הליך משפטי שמתנהל בבית הדין האזורי לעבודה בתל אביב טענות בנוגע לדוח הכספי לשנת 2017</w:t>
      </w:r>
      <w:r w:rsidRPr="00497653">
        <w:rPr>
          <w:rStyle w:val="FootnoteReference"/>
          <w:rFonts w:ascii="Arial" w:hAnsi="Arial"/>
          <w:spacing w:val="12"/>
          <w:sz w:val="24"/>
          <w:rtl/>
        </w:rPr>
        <w:footnoteReference w:id="106"/>
      </w:r>
      <w:r>
        <w:rPr>
          <w:rFonts w:hint="cs"/>
          <w:rtl/>
        </w:rPr>
        <w:t>.</w:t>
      </w:r>
    </w:p>
    <w:p w14:paraId="4C92DE85" w14:textId="77777777" w:rsidR="00387987" w:rsidRDefault="00387987" w:rsidP="00B05E03">
      <w:pPr>
        <w:pStyle w:val="316"/>
        <w:rPr>
          <w:rtl/>
        </w:rPr>
      </w:pPr>
      <w:bookmarkStart w:id="46" w:name="_Toc23155609"/>
      <w:bookmarkStart w:id="47" w:name="_Toc23159793"/>
      <w:r>
        <w:rPr>
          <w:rFonts w:hint="cs"/>
          <w:rtl/>
        </w:rPr>
        <w:t>תוכניות ההתייעלות בחברה</w:t>
      </w:r>
      <w:bookmarkEnd w:id="46"/>
      <w:bookmarkEnd w:id="47"/>
      <w:r>
        <w:rPr>
          <w:rFonts w:hint="cs"/>
          <w:rtl/>
        </w:rPr>
        <w:t xml:space="preserve"> </w:t>
      </w:r>
    </w:p>
    <w:p w14:paraId="05E7036B" w14:textId="77777777" w:rsidR="00387987" w:rsidRDefault="00387987" w:rsidP="00B05E03">
      <w:pPr>
        <w:pStyle w:val="100"/>
        <w:rPr>
          <w:rtl/>
        </w:rPr>
      </w:pPr>
      <w:r>
        <w:rPr>
          <w:rFonts w:hint="cs"/>
          <w:rtl/>
        </w:rPr>
        <w:t>במאי 2016 דווח לאסיפה הכללית כי</w:t>
      </w:r>
      <w:r w:rsidRPr="00AC52C0">
        <w:rPr>
          <w:rFonts w:hint="cs"/>
          <w:rtl/>
        </w:rPr>
        <w:t xml:space="preserve"> בסוף שנת 2015 היה המאזן של החברה מינוס מיליון ש"ח.</w:t>
      </w:r>
      <w:r>
        <w:rPr>
          <w:rFonts w:hint="cs"/>
          <w:rtl/>
        </w:rPr>
        <w:t xml:space="preserve"> האסיפה הכללית החליטה כי על החברה להציג לפניה בתוך 30 ימים </w:t>
      </w:r>
      <w:r w:rsidRPr="00AC52C0">
        <w:rPr>
          <w:rFonts w:hint="cs"/>
          <w:rtl/>
        </w:rPr>
        <w:t>ת</w:t>
      </w:r>
      <w:r>
        <w:rPr>
          <w:rFonts w:hint="cs"/>
          <w:rtl/>
        </w:rPr>
        <w:t>ו</w:t>
      </w:r>
      <w:r w:rsidRPr="00AC52C0">
        <w:rPr>
          <w:rFonts w:hint="cs"/>
          <w:rtl/>
        </w:rPr>
        <w:t xml:space="preserve">כנית התייעלות מפורטת על מנת להעביר את </w:t>
      </w:r>
      <w:r w:rsidRPr="00DC7F53">
        <w:rPr>
          <w:rFonts w:hint="cs"/>
          <w:rtl/>
        </w:rPr>
        <w:t>החברה</w:t>
      </w:r>
      <w:r w:rsidRPr="00AC52C0">
        <w:rPr>
          <w:rFonts w:hint="cs"/>
          <w:rtl/>
        </w:rPr>
        <w:t xml:space="preserve"> </w:t>
      </w:r>
      <w:r>
        <w:rPr>
          <w:rFonts w:hint="cs"/>
          <w:rtl/>
        </w:rPr>
        <w:t>ל</w:t>
      </w:r>
      <w:r w:rsidRPr="00AC52C0">
        <w:rPr>
          <w:rFonts w:hint="cs"/>
          <w:rtl/>
        </w:rPr>
        <w:t>ר</w:t>
      </w:r>
      <w:r w:rsidRPr="00DC7F53">
        <w:rPr>
          <w:rFonts w:hint="cs"/>
          <w:rtl/>
        </w:rPr>
        <w:t>ווח</w:t>
      </w:r>
      <w:r>
        <w:rPr>
          <w:rFonts w:hint="cs"/>
          <w:rtl/>
        </w:rPr>
        <w:t>ים יחד עם</w:t>
      </w:r>
      <w:r w:rsidRPr="00DC7F53">
        <w:rPr>
          <w:rFonts w:hint="cs"/>
          <w:rtl/>
        </w:rPr>
        <w:t xml:space="preserve"> ערך מוסף לציבור עורכי הדין</w:t>
      </w:r>
      <w:r>
        <w:rPr>
          <w:rStyle w:val="FootnoteReference"/>
          <w:rFonts w:ascii="Arial" w:hAnsi="Arial"/>
          <w:spacing w:val="12"/>
          <w:sz w:val="24"/>
          <w:rtl/>
        </w:rPr>
        <w:footnoteReference w:id="107"/>
      </w:r>
      <w:r w:rsidRPr="00DC7F53">
        <w:rPr>
          <w:rFonts w:hint="cs"/>
          <w:rtl/>
        </w:rPr>
        <w:t xml:space="preserve">. </w:t>
      </w:r>
      <w:r>
        <w:rPr>
          <w:rFonts w:hint="cs"/>
          <w:rtl/>
        </w:rPr>
        <w:t>בחלוף כשנה, במאי 2017, העביר מנכ"ל החברה לשעבר ללשכה תוכנית התייעלות</w:t>
      </w:r>
      <w:r w:rsidRPr="00091FD7">
        <w:rPr>
          <w:rFonts w:hint="cs"/>
          <w:rtl/>
        </w:rPr>
        <w:t xml:space="preserve"> </w:t>
      </w:r>
      <w:r>
        <w:rPr>
          <w:rFonts w:hint="cs"/>
          <w:rtl/>
        </w:rPr>
        <w:t xml:space="preserve">ולה שני מרכיבים: סיום העסקת עובדים בחברה </w:t>
      </w:r>
      <w:r w:rsidRPr="00EE3B5C">
        <w:rPr>
          <w:rFonts w:hint="cs"/>
          <w:rtl/>
        </w:rPr>
        <w:t>או צמצום הוצאות על שכר עובדים</w:t>
      </w:r>
      <w:r>
        <w:rPr>
          <w:rFonts w:hint="cs"/>
          <w:rtl/>
        </w:rPr>
        <w:t xml:space="preserve"> - </w:t>
      </w:r>
      <w:r w:rsidRPr="00EE3B5C">
        <w:rPr>
          <w:rFonts w:hint="cs"/>
          <w:rtl/>
        </w:rPr>
        <w:t>צמצ</w:t>
      </w:r>
      <w:r>
        <w:rPr>
          <w:rFonts w:hint="cs"/>
          <w:rtl/>
        </w:rPr>
        <w:t>ו</w:t>
      </w:r>
      <w:r w:rsidRPr="00EE3B5C">
        <w:rPr>
          <w:rFonts w:hint="cs"/>
          <w:rtl/>
        </w:rPr>
        <w:t xml:space="preserve">ם מספר </w:t>
      </w:r>
      <w:r>
        <w:rPr>
          <w:rFonts w:hint="cs"/>
          <w:rtl/>
        </w:rPr>
        <w:t>ה</w:t>
      </w:r>
      <w:r w:rsidRPr="00EE3B5C">
        <w:rPr>
          <w:rFonts w:hint="cs"/>
          <w:rtl/>
        </w:rPr>
        <w:t>עובד</w:t>
      </w:r>
      <w:r>
        <w:rPr>
          <w:rFonts w:hint="cs"/>
          <w:rtl/>
        </w:rPr>
        <w:t>ים</w:t>
      </w:r>
      <w:r w:rsidRPr="00EE3B5C">
        <w:rPr>
          <w:rFonts w:hint="cs"/>
          <w:rtl/>
        </w:rPr>
        <w:t xml:space="preserve"> מ-60 ל-37 עובדים קבועים בתחילת שנת 2018</w:t>
      </w:r>
      <w:r>
        <w:rPr>
          <w:rFonts w:hint="cs"/>
          <w:rtl/>
        </w:rPr>
        <w:t>;</w:t>
      </w:r>
      <w:r w:rsidRPr="00AC52C0">
        <w:rPr>
          <w:rFonts w:hint="cs"/>
          <w:rtl/>
        </w:rPr>
        <w:t xml:space="preserve"> </w:t>
      </w:r>
      <w:r>
        <w:rPr>
          <w:rFonts w:hint="cs"/>
          <w:rtl/>
        </w:rPr>
        <w:t>צמצום התקשרויות עם ארבעה ספקים.</w:t>
      </w:r>
    </w:p>
    <w:p w14:paraId="2591E8ED" w14:textId="77777777" w:rsidR="00387987" w:rsidRDefault="00387987" w:rsidP="00D54E4B">
      <w:pPr>
        <w:pStyle w:val="100"/>
        <w:rPr>
          <w:rtl/>
        </w:rPr>
      </w:pPr>
      <w:r>
        <w:rPr>
          <w:rFonts w:hint="cs"/>
          <w:rtl/>
        </w:rPr>
        <w:t>התוכנית חולקה לשלוש פעימות שיש להשלים עד לסוף שנת 2017. הלשכה התנתה מתן</w:t>
      </w:r>
      <w:r w:rsidRPr="00372EE3">
        <w:rPr>
          <w:rFonts w:hint="cs"/>
          <w:rtl/>
        </w:rPr>
        <w:t xml:space="preserve"> מימון ביניים</w:t>
      </w:r>
      <w:r>
        <w:rPr>
          <w:rFonts w:hint="cs"/>
          <w:rtl/>
        </w:rPr>
        <w:t xml:space="preserve"> לחברה הכלכלית, בהגשת התוכנית ובמימושה. באותו החודש הקימה</w:t>
      </w:r>
      <w:r w:rsidRPr="00C57684">
        <w:rPr>
          <w:rFonts w:hint="cs"/>
          <w:rtl/>
        </w:rPr>
        <w:t xml:space="preserve"> </w:t>
      </w:r>
      <w:r>
        <w:rPr>
          <w:rFonts w:hint="cs"/>
          <w:rtl/>
        </w:rPr>
        <w:t xml:space="preserve">הלשכה </w:t>
      </w:r>
      <w:r w:rsidRPr="000C4BA1">
        <w:rPr>
          <w:rFonts w:hint="cs"/>
          <w:rtl/>
        </w:rPr>
        <w:t>צוות פיקוח על הוצאות החברה שיבחן את מצבה הפיננסי</w:t>
      </w:r>
      <w:r>
        <w:rPr>
          <w:rFonts w:hint="cs"/>
          <w:rtl/>
        </w:rPr>
        <w:t xml:space="preserve">. הצוות </w:t>
      </w:r>
      <w:r w:rsidRPr="000C4BA1">
        <w:rPr>
          <w:rFonts w:hint="cs"/>
          <w:rtl/>
        </w:rPr>
        <w:t xml:space="preserve">הורכב </w:t>
      </w:r>
      <w:r>
        <w:rPr>
          <w:rFonts w:hint="cs"/>
          <w:rtl/>
        </w:rPr>
        <w:t xml:space="preserve">ממנכ"ל הלשכה, </w:t>
      </w:r>
      <w:r w:rsidRPr="000C4BA1">
        <w:rPr>
          <w:rFonts w:hint="cs"/>
          <w:rtl/>
        </w:rPr>
        <w:t xml:space="preserve">חשב הלשכה וחשב מלווה </w:t>
      </w:r>
      <w:r>
        <w:rPr>
          <w:rFonts w:hint="cs"/>
          <w:rtl/>
        </w:rPr>
        <w:t xml:space="preserve">שמונה </w:t>
      </w:r>
      <w:r w:rsidRPr="000C4BA1">
        <w:rPr>
          <w:rFonts w:hint="cs"/>
          <w:rtl/>
        </w:rPr>
        <w:t>לחברה.</w:t>
      </w:r>
      <w:r>
        <w:rPr>
          <w:rFonts w:hint="cs"/>
          <w:rtl/>
        </w:rPr>
        <w:t xml:space="preserve"> </w:t>
      </w:r>
    </w:p>
    <w:p w14:paraId="790E9DDE" w14:textId="77777777" w:rsidR="00387987" w:rsidRPr="00AC52C0" w:rsidRDefault="00387987" w:rsidP="00D54E4B">
      <w:pPr>
        <w:pStyle w:val="100"/>
        <w:rPr>
          <w:rtl/>
        </w:rPr>
      </w:pPr>
      <w:r>
        <w:rPr>
          <w:rFonts w:hint="cs"/>
          <w:rtl/>
        </w:rPr>
        <w:t>במשך השנים 2017 ו-2018 העלו חברי צוות הפיקוח ביקורת על כך שתוכנית ההתייעלות מצומצמת וחסרה מרכיבים נוספים ועל כך שהנהלת החברה אינה מיישמת אותה. גם ראש הלשכה ויו"ר הדירקטוריון פנו אף הם בביקורת דומה להנהלת החברה. ועדת הפיקוח סיימה את תפקידה בדצמבר 2018.</w:t>
      </w:r>
    </w:p>
    <w:p w14:paraId="4E8B4327" w14:textId="04B771A2" w:rsidR="00387987" w:rsidRDefault="00387987" w:rsidP="00D54E4B">
      <w:pPr>
        <w:pStyle w:val="af3"/>
        <w:rPr>
          <w:rtl/>
        </w:rPr>
      </w:pPr>
      <w:r>
        <w:rPr>
          <w:rFonts w:hint="cs"/>
          <w:rtl/>
        </w:rPr>
        <w:t xml:space="preserve">נמצא כי עד לסוף שנת 2018 לא הושלם צמצום כוח האדם בחברה בהתאם לתוכנית ההתייעלות ולא נוספו לה נדבכים משמעותיים. </w:t>
      </w:r>
      <w:r w:rsidRPr="00EB0304">
        <w:rPr>
          <w:rFonts w:hint="cs"/>
          <w:rtl/>
        </w:rPr>
        <w:t>בדצמבר 2018</w:t>
      </w:r>
      <w:r>
        <w:rPr>
          <w:rFonts w:hint="cs"/>
          <w:rtl/>
        </w:rPr>
        <w:t xml:space="preserve">, שנה ושבעה חודשים לאחר הצגת תוכנית ההתייעלות, עבדו </w:t>
      </w:r>
      <w:r w:rsidRPr="00EB0304">
        <w:rPr>
          <w:rFonts w:hint="cs"/>
          <w:rtl/>
        </w:rPr>
        <w:t xml:space="preserve">בחברה </w:t>
      </w:r>
      <w:r>
        <w:rPr>
          <w:rFonts w:hint="cs"/>
          <w:rtl/>
        </w:rPr>
        <w:t>57</w:t>
      </w:r>
      <w:r w:rsidRPr="00EB0304">
        <w:rPr>
          <w:rFonts w:hint="cs"/>
          <w:rtl/>
        </w:rPr>
        <w:t xml:space="preserve"> עובדים</w:t>
      </w:r>
      <w:r>
        <w:rPr>
          <w:rFonts w:hint="cs"/>
          <w:rtl/>
        </w:rPr>
        <w:t xml:space="preserve"> ובכך החברה </w:t>
      </w:r>
      <w:r w:rsidRPr="00EB0304">
        <w:rPr>
          <w:rFonts w:hint="cs"/>
          <w:rtl/>
        </w:rPr>
        <w:t xml:space="preserve">לא </w:t>
      </w:r>
      <w:r>
        <w:rPr>
          <w:rFonts w:hint="cs"/>
          <w:rtl/>
        </w:rPr>
        <w:t>מימשה את חלקה העיקרי של התוכנית</w:t>
      </w:r>
      <w:r w:rsidRPr="00094124">
        <w:rPr>
          <w:rFonts w:hint="cs"/>
          <w:rtl/>
        </w:rPr>
        <w:t>.</w:t>
      </w:r>
      <w:r>
        <w:rPr>
          <w:rFonts w:hint="cs"/>
          <w:rtl/>
        </w:rPr>
        <w:t xml:space="preserve"> משמעות הדבר היא כי לא מתממשת</w:t>
      </w:r>
      <w:r w:rsidRPr="000B061C">
        <w:rPr>
          <w:rFonts w:hint="cs"/>
          <w:rtl/>
        </w:rPr>
        <w:t xml:space="preserve"> </w:t>
      </w:r>
      <w:r>
        <w:rPr>
          <w:rFonts w:hint="cs"/>
          <w:rtl/>
        </w:rPr>
        <w:t xml:space="preserve">תחזית הקיטון </w:t>
      </w:r>
      <w:r w:rsidRPr="000B061C">
        <w:rPr>
          <w:rFonts w:hint="cs"/>
          <w:rtl/>
        </w:rPr>
        <w:t xml:space="preserve">בהוצאות </w:t>
      </w:r>
      <w:r w:rsidR="00396229">
        <w:rPr>
          <w:rFonts w:hint="cs"/>
          <w:rtl/>
        </w:rPr>
        <w:t>ה</w:t>
      </w:r>
      <w:r w:rsidRPr="000B061C">
        <w:rPr>
          <w:rFonts w:hint="cs"/>
          <w:rtl/>
        </w:rPr>
        <w:t xml:space="preserve">שכר </w:t>
      </w:r>
      <w:r>
        <w:rPr>
          <w:rFonts w:hint="cs"/>
          <w:rtl/>
        </w:rPr>
        <w:t>של ה</w:t>
      </w:r>
      <w:r w:rsidRPr="000B061C">
        <w:rPr>
          <w:rFonts w:hint="cs"/>
          <w:rtl/>
        </w:rPr>
        <w:t>חברה</w:t>
      </w:r>
      <w:r>
        <w:rPr>
          <w:rFonts w:hint="cs"/>
          <w:rtl/>
        </w:rPr>
        <w:t xml:space="preserve"> על פי תוכנית ההתייעלות. </w:t>
      </w:r>
    </w:p>
    <w:p w14:paraId="2F298DE0" w14:textId="77777777" w:rsidR="00387987" w:rsidRDefault="00387987" w:rsidP="00D54E4B">
      <w:pPr>
        <w:pStyle w:val="100"/>
        <w:rPr>
          <w:b/>
          <w:bCs/>
          <w:rtl/>
        </w:rPr>
      </w:pPr>
      <w:r>
        <w:rPr>
          <w:rFonts w:hint="cs"/>
          <w:rtl/>
        </w:rPr>
        <w:t xml:space="preserve">בתשובתו לביקורת טען מנכ"ל החברה לשעבר כי עמד בכל החלטות הדירקטוריון בעניין קיצוץ כוח האדם. עוד ציין כי בדצמבר 2018 קיבלו 56 עובדים משכורת, אך רק 40 מהם היו עובדים קבועים והוצאות השכר הופחתו בהתאם לדרישות התוכנית. </w:t>
      </w:r>
    </w:p>
    <w:p w14:paraId="0DDABCEF" w14:textId="77777777" w:rsidR="00387987" w:rsidRDefault="00387987" w:rsidP="00D54E4B">
      <w:pPr>
        <w:pStyle w:val="100"/>
        <w:rPr>
          <w:rtl/>
        </w:rPr>
      </w:pPr>
      <w:r>
        <w:rPr>
          <w:rFonts w:hint="cs"/>
          <w:rtl/>
        </w:rPr>
        <w:t xml:space="preserve">הנהלת החברה הנוכחית השיבה כי </w:t>
      </w:r>
      <w:r w:rsidRPr="003C0A3D">
        <w:rPr>
          <w:rFonts w:hint="cs"/>
          <w:rtl/>
        </w:rPr>
        <w:t xml:space="preserve">בדצמבר 2018, </w:t>
      </w:r>
      <w:r>
        <w:rPr>
          <w:rFonts w:hint="cs"/>
          <w:rtl/>
        </w:rPr>
        <w:t>ע</w:t>
      </w:r>
      <w:r w:rsidRPr="003C0A3D">
        <w:rPr>
          <w:rFonts w:hint="cs"/>
          <w:rtl/>
        </w:rPr>
        <w:t>בדו ב</w:t>
      </w:r>
      <w:r w:rsidRPr="003C0A3D">
        <w:rPr>
          <w:rFonts w:hint="eastAsia"/>
          <w:rtl/>
        </w:rPr>
        <w:t>חברה</w:t>
      </w:r>
      <w:r w:rsidRPr="003C0A3D">
        <w:rPr>
          <w:rFonts w:hint="cs"/>
          <w:rtl/>
        </w:rPr>
        <w:t xml:space="preserve"> </w:t>
      </w:r>
      <w:r>
        <w:rPr>
          <w:rFonts w:hint="cs"/>
          <w:rtl/>
        </w:rPr>
        <w:t>57</w:t>
      </w:r>
      <w:r w:rsidRPr="003C0A3D">
        <w:rPr>
          <w:rFonts w:hint="cs"/>
          <w:rtl/>
        </w:rPr>
        <w:t xml:space="preserve"> עובדים - מהם </w:t>
      </w:r>
      <w:r>
        <w:rPr>
          <w:rFonts w:hint="cs"/>
          <w:rtl/>
        </w:rPr>
        <w:t>55</w:t>
      </w:r>
      <w:r w:rsidRPr="003C0A3D">
        <w:rPr>
          <w:rtl/>
        </w:rPr>
        <w:t xml:space="preserve"> </w:t>
      </w:r>
      <w:r w:rsidRPr="003C0A3D">
        <w:rPr>
          <w:rFonts w:hint="eastAsia"/>
          <w:rtl/>
        </w:rPr>
        <w:t>עובדי</w:t>
      </w:r>
      <w:r w:rsidRPr="003C0A3D">
        <w:rPr>
          <w:rFonts w:hint="cs"/>
          <w:rtl/>
        </w:rPr>
        <w:t>ם קבועים והיתר - לא קבועים</w:t>
      </w:r>
      <w:r>
        <w:rPr>
          <w:rFonts w:hint="cs"/>
          <w:rtl/>
        </w:rPr>
        <w:t>. עוד היא מסרה כי היא צמצמה את כוח האדם בחברה ו</w:t>
      </w:r>
      <w:r w:rsidRPr="00C777CC">
        <w:rPr>
          <w:rFonts w:hint="cs"/>
          <w:rtl/>
        </w:rPr>
        <w:t xml:space="preserve">נכון לנובמבר 2019 </w:t>
      </w:r>
      <w:r>
        <w:rPr>
          <w:rFonts w:hint="cs"/>
          <w:rtl/>
        </w:rPr>
        <w:t xml:space="preserve">היא </w:t>
      </w:r>
      <w:r w:rsidRPr="00C777CC">
        <w:rPr>
          <w:rFonts w:hint="cs"/>
          <w:rtl/>
        </w:rPr>
        <w:t>העסיקה 30 עובדים קבועים.</w:t>
      </w:r>
      <w:r w:rsidRPr="007123C4">
        <w:rPr>
          <w:rFonts w:hint="cs"/>
          <w:rtl/>
        </w:rPr>
        <w:t xml:space="preserve"> יצוין כי נושא הפסקת העסקתם של עובדים בחברה נדון</w:t>
      </w:r>
      <w:r w:rsidRPr="007123C4">
        <w:rPr>
          <w:rtl/>
        </w:rPr>
        <w:t xml:space="preserve"> </w:t>
      </w:r>
      <w:r w:rsidRPr="007123C4">
        <w:rPr>
          <w:rFonts w:hint="eastAsia"/>
          <w:rtl/>
        </w:rPr>
        <w:t>בבית</w:t>
      </w:r>
      <w:r w:rsidRPr="007123C4">
        <w:rPr>
          <w:rtl/>
        </w:rPr>
        <w:t xml:space="preserve"> </w:t>
      </w:r>
      <w:r w:rsidRPr="007123C4">
        <w:rPr>
          <w:rFonts w:hint="eastAsia"/>
          <w:rtl/>
        </w:rPr>
        <w:t>הדין</w:t>
      </w:r>
      <w:r w:rsidRPr="007123C4">
        <w:rPr>
          <w:rtl/>
        </w:rPr>
        <w:t xml:space="preserve"> האזורי לעבודה בתל אביב</w:t>
      </w:r>
      <w:r w:rsidRPr="007123C4">
        <w:rPr>
          <w:rStyle w:val="FootnoteReference"/>
          <w:rtl/>
        </w:rPr>
        <w:footnoteReference w:id="108"/>
      </w:r>
      <w:r w:rsidRPr="007123C4">
        <w:rPr>
          <w:rtl/>
        </w:rPr>
        <w:t>.</w:t>
      </w:r>
      <w:r>
        <w:rPr>
          <w:rtl/>
        </w:rPr>
        <w:t xml:space="preserve"> </w:t>
      </w:r>
    </w:p>
    <w:p w14:paraId="5113690F" w14:textId="77777777" w:rsidR="00387987" w:rsidRDefault="00387987" w:rsidP="00D54E4B">
      <w:pPr>
        <w:pStyle w:val="316"/>
        <w:rPr>
          <w:rtl/>
        </w:rPr>
      </w:pPr>
      <w:bookmarkStart w:id="48" w:name="_Toc23155610"/>
      <w:bookmarkStart w:id="49" w:name="_Toc23159794"/>
      <w:r>
        <w:rPr>
          <w:rFonts w:hint="cs"/>
          <w:rtl/>
        </w:rPr>
        <w:t>תוכניות עבודה בחברה הכלכלית</w:t>
      </w:r>
      <w:bookmarkEnd w:id="48"/>
      <w:bookmarkEnd w:id="49"/>
      <w:r>
        <w:rPr>
          <w:rFonts w:hint="cs"/>
          <w:rtl/>
        </w:rPr>
        <w:t xml:space="preserve"> </w:t>
      </w:r>
    </w:p>
    <w:p w14:paraId="0020B92A" w14:textId="77777777" w:rsidR="00387987" w:rsidRPr="00AC52C0" w:rsidRDefault="00387987" w:rsidP="00D54E4B">
      <w:pPr>
        <w:pStyle w:val="100"/>
        <w:rPr>
          <w:rtl/>
        </w:rPr>
      </w:pPr>
      <w:r w:rsidRPr="00AC52C0">
        <w:rPr>
          <w:rFonts w:hint="eastAsia"/>
          <w:rtl/>
        </w:rPr>
        <w:t>תוכנית</w:t>
      </w:r>
      <w:r w:rsidRPr="00AC52C0">
        <w:rPr>
          <w:rtl/>
        </w:rPr>
        <w:t xml:space="preserve"> עבודה היא כלי ניהולי מרכזי המסייע להתוות פעילות על פי מטרות ויעדים לאותה שנה ולטווח הארוך, לחבר בין יעדי הארגון למשאבים שהקצה להשגתם ולבצע הערכת מצב והפקת לקחים. </w:t>
      </w:r>
    </w:p>
    <w:p w14:paraId="0ADE926C" w14:textId="77777777" w:rsidR="00387987" w:rsidRDefault="00387987" w:rsidP="00D54E4B">
      <w:pPr>
        <w:pStyle w:val="100"/>
        <w:rPr>
          <w:rtl/>
        </w:rPr>
      </w:pPr>
      <w:r>
        <w:rPr>
          <w:rFonts w:hint="cs"/>
          <w:rtl/>
        </w:rPr>
        <w:t>נוהל בקרה על יחידה או חברת בת או שותפות של לשכת עורכי הדין (להלן - נוהל הבקרה) שפרסמה הלשכה בשנת 2011</w:t>
      </w:r>
      <w:r w:rsidRPr="00BF3603">
        <w:rPr>
          <w:rFonts w:hint="cs"/>
          <w:rtl/>
        </w:rPr>
        <w:t xml:space="preserve"> מתווה את </w:t>
      </w:r>
      <w:r>
        <w:rPr>
          <w:rFonts w:hint="cs"/>
          <w:rtl/>
        </w:rPr>
        <w:t>האופן שבו על החברה לקבוע את תו</w:t>
      </w:r>
      <w:r w:rsidRPr="00BF3603">
        <w:rPr>
          <w:rFonts w:hint="cs"/>
          <w:rtl/>
        </w:rPr>
        <w:t>כנית העבודה שלה. על פי הנוהל, לקראת חודש ספטמבר בכל שנה</w:t>
      </w:r>
      <w:r>
        <w:rPr>
          <w:rFonts w:hint="cs"/>
          <w:rtl/>
        </w:rPr>
        <w:t xml:space="preserve"> </w:t>
      </w:r>
      <w:r w:rsidRPr="00BF3603">
        <w:rPr>
          <w:rFonts w:hint="cs"/>
          <w:rtl/>
        </w:rPr>
        <w:t xml:space="preserve">על </w:t>
      </w:r>
      <w:r>
        <w:rPr>
          <w:rFonts w:hint="cs"/>
          <w:rtl/>
        </w:rPr>
        <w:t xml:space="preserve">הנהלת </w:t>
      </w:r>
      <w:r w:rsidRPr="00BF3603">
        <w:rPr>
          <w:rFonts w:hint="cs"/>
          <w:rtl/>
        </w:rPr>
        <w:t>החברה לדון ב</w:t>
      </w:r>
      <w:r>
        <w:rPr>
          <w:rFonts w:hint="cs"/>
          <w:rtl/>
        </w:rPr>
        <w:t>תוכנית העבודה שלה - ב</w:t>
      </w:r>
      <w:r w:rsidRPr="00BF3603">
        <w:rPr>
          <w:rFonts w:hint="cs"/>
          <w:rtl/>
        </w:rPr>
        <w:t xml:space="preserve">משימות והמטרות העיקריות העומדות בפניה. </w:t>
      </w:r>
      <w:r>
        <w:rPr>
          <w:rFonts w:hint="cs"/>
          <w:rtl/>
        </w:rPr>
        <w:t xml:space="preserve">עד חודש אוקטובר, על </w:t>
      </w:r>
      <w:r w:rsidRPr="00BF3603">
        <w:rPr>
          <w:rFonts w:hint="cs"/>
          <w:rtl/>
        </w:rPr>
        <w:t xml:space="preserve">דירקטוריון החברה </w:t>
      </w:r>
      <w:r>
        <w:rPr>
          <w:rFonts w:hint="cs"/>
          <w:rtl/>
        </w:rPr>
        <w:t xml:space="preserve">לאשר </w:t>
      </w:r>
      <w:r w:rsidRPr="00BF3603">
        <w:rPr>
          <w:rFonts w:hint="cs"/>
          <w:rtl/>
        </w:rPr>
        <w:t>את ת</w:t>
      </w:r>
      <w:r>
        <w:rPr>
          <w:rFonts w:hint="cs"/>
          <w:rtl/>
        </w:rPr>
        <w:t>ו</w:t>
      </w:r>
      <w:r w:rsidRPr="00BF3603">
        <w:rPr>
          <w:rFonts w:hint="cs"/>
          <w:rtl/>
        </w:rPr>
        <w:t>כנית העבודה</w:t>
      </w:r>
      <w:r w:rsidRPr="00B11A10">
        <w:rPr>
          <w:rtl/>
        </w:rPr>
        <w:t xml:space="preserve">. </w:t>
      </w:r>
    </w:p>
    <w:p w14:paraId="09CFFD61" w14:textId="77777777" w:rsidR="00387987" w:rsidRPr="00AC52C0" w:rsidRDefault="00387987" w:rsidP="00D54E4B">
      <w:pPr>
        <w:pStyle w:val="100"/>
      </w:pPr>
      <w:r w:rsidRPr="00AC52C0">
        <w:rPr>
          <w:rFonts w:hint="eastAsia"/>
          <w:rtl/>
        </w:rPr>
        <w:t>בדצמבר</w:t>
      </w:r>
      <w:r w:rsidRPr="00AC52C0">
        <w:rPr>
          <w:rtl/>
        </w:rPr>
        <w:t xml:space="preserve"> 2016 ובנובמבר 2017 הצביע מבקר הפנים של החברה בפני ההנהלה והדירקטוריון על חשיבותה של בניית </w:t>
      </w:r>
      <w:r w:rsidRPr="00AC52C0">
        <w:rPr>
          <w:rFonts w:hint="eastAsia"/>
          <w:rtl/>
        </w:rPr>
        <w:t>תוכנית</w:t>
      </w:r>
      <w:r w:rsidRPr="00AC52C0">
        <w:rPr>
          <w:rtl/>
        </w:rPr>
        <w:t xml:space="preserve"> אסטרטגית לחברה, </w:t>
      </w:r>
      <w:r w:rsidRPr="00AC52C0">
        <w:rPr>
          <w:rFonts w:hint="eastAsia"/>
          <w:rtl/>
        </w:rPr>
        <w:t>בשל</w:t>
      </w:r>
      <w:r w:rsidRPr="00AC52C0">
        <w:rPr>
          <w:rtl/>
        </w:rPr>
        <w:t xml:space="preserve"> העובדה שהיא מושפעת משינויים טכנולוגיים </w:t>
      </w:r>
      <w:r w:rsidRPr="00AC52C0">
        <w:rPr>
          <w:rFonts w:hint="eastAsia"/>
          <w:rtl/>
        </w:rPr>
        <w:t>ורגולטוריים</w:t>
      </w:r>
      <w:r w:rsidRPr="00AC52C0">
        <w:rPr>
          <w:rtl/>
        </w:rPr>
        <w:t xml:space="preserve"> ומקיומם של מתחרים למוצריה. המבקר הפנימי ציין כי </w:t>
      </w:r>
      <w:r w:rsidRPr="00AC52C0">
        <w:rPr>
          <w:rFonts w:hint="eastAsia"/>
          <w:rtl/>
        </w:rPr>
        <w:t>תוכנית</w:t>
      </w:r>
      <w:r w:rsidRPr="00AC52C0">
        <w:rPr>
          <w:rtl/>
        </w:rPr>
        <w:t xml:space="preserve"> כזו בולטת בהיעדרה. </w:t>
      </w:r>
    </w:p>
    <w:p w14:paraId="05ED297E" w14:textId="77777777" w:rsidR="00387987" w:rsidRDefault="00387987" w:rsidP="009A4788">
      <w:pPr>
        <w:pStyle w:val="100"/>
        <w:rPr>
          <w:rtl/>
        </w:rPr>
      </w:pPr>
      <w:r w:rsidRPr="00AC52C0">
        <w:rPr>
          <w:rFonts w:hint="eastAsia"/>
          <w:rtl/>
        </w:rPr>
        <w:t>בינואר</w:t>
      </w:r>
      <w:r w:rsidRPr="00AC52C0">
        <w:rPr>
          <w:rtl/>
        </w:rPr>
        <w:t xml:space="preserve"> 2017 </w:t>
      </w:r>
      <w:r w:rsidRPr="00AC52C0">
        <w:rPr>
          <w:rFonts w:hint="eastAsia"/>
          <w:rtl/>
        </w:rPr>
        <w:t>הוגש</w:t>
      </w:r>
      <w:r w:rsidRPr="00AC52C0">
        <w:rPr>
          <w:rtl/>
        </w:rPr>
        <w:t xml:space="preserve"> לאסיפה הכללית מסמך שהוגדר כת</w:t>
      </w:r>
      <w:r w:rsidRPr="00AC52C0">
        <w:rPr>
          <w:rFonts w:hint="eastAsia"/>
          <w:rtl/>
        </w:rPr>
        <w:t>וכנית</w:t>
      </w:r>
      <w:r w:rsidRPr="00AC52C0">
        <w:rPr>
          <w:rtl/>
        </w:rPr>
        <w:t xml:space="preserve"> עבודה לשנת 2017 ובו עשר משימות שיש לבצע במהלכה (מעבר משרדים; הקמת אתר אינטרנט; שיפור ביצועים כלכלי ועוד). בפברואר 2017 הציג מנכ"ל החברה לשעבר בפני הדירקטוריון את עיקרי </w:t>
      </w:r>
      <w:r w:rsidRPr="00AC52C0">
        <w:rPr>
          <w:rFonts w:hint="eastAsia"/>
          <w:rtl/>
        </w:rPr>
        <w:t>התוכנית</w:t>
      </w:r>
      <w:r w:rsidRPr="00AC52C0">
        <w:rPr>
          <w:rtl/>
        </w:rPr>
        <w:t xml:space="preserve">. </w:t>
      </w:r>
    </w:p>
    <w:p w14:paraId="7E006A22" w14:textId="77777777" w:rsidR="00387987" w:rsidRDefault="00387987" w:rsidP="009A4788">
      <w:pPr>
        <w:pStyle w:val="af3"/>
        <w:rPr>
          <w:rtl/>
        </w:rPr>
      </w:pPr>
      <w:r>
        <w:rPr>
          <w:rFonts w:hint="cs"/>
          <w:rtl/>
        </w:rPr>
        <w:t>ה</w:t>
      </w:r>
      <w:r w:rsidRPr="00AC52C0">
        <w:rPr>
          <w:rFonts w:hint="eastAsia"/>
          <w:rtl/>
        </w:rPr>
        <w:t>מסמך</w:t>
      </w:r>
      <w:r w:rsidRPr="00AC52C0">
        <w:rPr>
          <w:rtl/>
        </w:rPr>
        <w:t xml:space="preserve"> </w:t>
      </w:r>
      <w:r w:rsidRPr="00AC52C0">
        <w:rPr>
          <w:rFonts w:hint="eastAsia"/>
          <w:rtl/>
        </w:rPr>
        <w:t>שהוגש</w:t>
      </w:r>
      <w:r w:rsidRPr="00AC52C0">
        <w:rPr>
          <w:rtl/>
        </w:rPr>
        <w:t xml:space="preserve"> </w:t>
      </w:r>
      <w:r w:rsidRPr="00AC52C0">
        <w:rPr>
          <w:rFonts w:hint="eastAsia"/>
          <w:rtl/>
        </w:rPr>
        <w:t>בשנת</w:t>
      </w:r>
      <w:r w:rsidRPr="00AC52C0">
        <w:rPr>
          <w:rtl/>
        </w:rPr>
        <w:t xml:space="preserve"> 2017 </w:t>
      </w:r>
      <w:r w:rsidRPr="00AC52C0">
        <w:rPr>
          <w:rFonts w:hint="eastAsia"/>
          <w:rtl/>
        </w:rPr>
        <w:t>חסר</w:t>
      </w:r>
      <w:r w:rsidRPr="00AC52C0">
        <w:rPr>
          <w:rtl/>
        </w:rPr>
        <w:t xml:space="preserve"> </w:t>
      </w:r>
      <w:r w:rsidRPr="00AC52C0">
        <w:rPr>
          <w:rFonts w:hint="eastAsia"/>
          <w:rtl/>
        </w:rPr>
        <w:t>נדבכים</w:t>
      </w:r>
      <w:r w:rsidRPr="00AC52C0">
        <w:rPr>
          <w:rtl/>
        </w:rPr>
        <w:t xml:space="preserve"> </w:t>
      </w:r>
      <w:r w:rsidRPr="00AC52C0">
        <w:rPr>
          <w:rFonts w:hint="eastAsia"/>
          <w:rtl/>
        </w:rPr>
        <w:t>מרכזיים</w:t>
      </w:r>
      <w:r w:rsidRPr="00AC52C0">
        <w:rPr>
          <w:rtl/>
        </w:rPr>
        <w:t xml:space="preserve"> </w:t>
      </w:r>
      <w:r w:rsidRPr="00AC52C0">
        <w:rPr>
          <w:rFonts w:hint="eastAsia"/>
          <w:rtl/>
        </w:rPr>
        <w:t>בתוכנית</w:t>
      </w:r>
      <w:r w:rsidRPr="00AC52C0">
        <w:rPr>
          <w:rtl/>
        </w:rPr>
        <w:t xml:space="preserve"> </w:t>
      </w:r>
      <w:r>
        <w:rPr>
          <w:rFonts w:hint="cs"/>
          <w:rtl/>
        </w:rPr>
        <w:t>ה</w:t>
      </w:r>
      <w:r w:rsidRPr="00AC52C0">
        <w:rPr>
          <w:rFonts w:hint="eastAsia"/>
          <w:rtl/>
        </w:rPr>
        <w:t>עבודה</w:t>
      </w:r>
      <w:r w:rsidRPr="00AC52C0">
        <w:rPr>
          <w:rtl/>
        </w:rPr>
        <w:t xml:space="preserve">: הפעולות שיש לבצע להשגת המטרות, תיאור הגורמים האחראים לביצוע כל משימה, אבני דרך לביצוע, התפוקות הנדרשות ומדדים להצלחת המשימה. כמו כן חסרים בתוכנית לוחות זמנים ופירוט המשאבים המוקצים לביצועה. </w:t>
      </w:r>
    </w:p>
    <w:p w14:paraId="74557A42" w14:textId="77777777" w:rsidR="00387987" w:rsidRDefault="00387987" w:rsidP="009A4788">
      <w:pPr>
        <w:pStyle w:val="100"/>
        <w:rPr>
          <w:rtl/>
        </w:rPr>
      </w:pPr>
      <w:r>
        <w:rPr>
          <w:rFonts w:hint="cs"/>
          <w:rtl/>
        </w:rPr>
        <w:t xml:space="preserve">בתשובתו לביקורת הסביר יו"ר הדירקטוריון לשעבר, כי הוא עמד על קבלת תוכנית מגובשת יותר, מלאה וסדורה, אך הנהלת החברה לא עשתה כן, הואיל והיא </w:t>
      </w:r>
      <w:r w:rsidRPr="00DE1643">
        <w:rPr>
          <w:rFonts w:hint="cs"/>
          <w:rtl/>
        </w:rPr>
        <w:t>התנהלה תמיד "במצב חירום" ולכן התקשתה "לכבות שריפות" וגם לעבוד ב</w:t>
      </w:r>
      <w:r>
        <w:rPr>
          <w:rFonts w:hint="cs"/>
          <w:rtl/>
        </w:rPr>
        <w:t>ו זמנית</w:t>
      </w:r>
      <w:r w:rsidRPr="00DE1643">
        <w:rPr>
          <w:rFonts w:hint="cs"/>
          <w:rtl/>
        </w:rPr>
        <w:t xml:space="preserve"> על תוכניות העבודה העתידיות</w:t>
      </w:r>
      <w:r>
        <w:rPr>
          <w:rFonts w:hint="cs"/>
          <w:rtl/>
        </w:rPr>
        <w:t xml:space="preserve">. המנכ"ל לשעבר הוסיף וטען כי עד שנת 2015 החברה לא עבדה עם תוכניות עבודה ולאחר כניסתו לתפקיד הוא דרש הכנת תוכניות עבודה ממנהלי המחלקות בחברה. לטענתו עדכן את הדירקטוריון בנוגע לתקציב החברה והעביר דוחות עדכון וצפי פרויקטים אך לא נדרש להציג נתונים נוספים. </w:t>
      </w:r>
    </w:p>
    <w:p w14:paraId="505FD4F9" w14:textId="77777777" w:rsidR="00387987" w:rsidRDefault="00387987" w:rsidP="009A4788">
      <w:pPr>
        <w:pStyle w:val="100"/>
      </w:pPr>
      <w:r w:rsidRPr="001A4D1F">
        <w:rPr>
          <w:rFonts w:hint="cs"/>
          <w:rtl/>
        </w:rPr>
        <w:t>במהלך הביקורת השל</w:t>
      </w:r>
      <w:r>
        <w:rPr>
          <w:rFonts w:hint="cs"/>
          <w:rtl/>
        </w:rPr>
        <w:t>י</w:t>
      </w:r>
      <w:r w:rsidRPr="001A4D1F">
        <w:rPr>
          <w:rFonts w:hint="cs"/>
          <w:rtl/>
        </w:rPr>
        <w:t xml:space="preserve">מה </w:t>
      </w:r>
      <w:r>
        <w:rPr>
          <w:rFonts w:hint="cs"/>
          <w:rtl/>
        </w:rPr>
        <w:t xml:space="preserve">הנהלת החברה הנוכחית את </w:t>
      </w:r>
      <w:r w:rsidRPr="001A4D1F">
        <w:rPr>
          <w:rFonts w:hint="cs"/>
          <w:rtl/>
        </w:rPr>
        <w:t xml:space="preserve">תוכנית </w:t>
      </w:r>
      <w:r>
        <w:rPr>
          <w:rFonts w:hint="cs"/>
          <w:rtl/>
        </w:rPr>
        <w:t>ה</w:t>
      </w:r>
      <w:r w:rsidRPr="001A4D1F">
        <w:rPr>
          <w:rFonts w:hint="cs"/>
          <w:rtl/>
        </w:rPr>
        <w:t xml:space="preserve">עבודה </w:t>
      </w:r>
      <w:r>
        <w:rPr>
          <w:rFonts w:hint="cs"/>
          <w:rtl/>
        </w:rPr>
        <w:t>של החברה ל</w:t>
      </w:r>
      <w:r w:rsidRPr="001A4D1F">
        <w:rPr>
          <w:rFonts w:hint="cs"/>
          <w:rtl/>
        </w:rPr>
        <w:t>שנת 2020</w:t>
      </w:r>
      <w:r>
        <w:rPr>
          <w:rStyle w:val="FootnoteReference"/>
          <w:rtl/>
        </w:rPr>
        <w:footnoteReference w:id="109"/>
      </w:r>
      <w:r>
        <w:rPr>
          <w:rFonts w:hint="cs"/>
          <w:rtl/>
        </w:rPr>
        <w:t>.</w:t>
      </w:r>
      <w:r w:rsidRPr="001A4D1F">
        <w:rPr>
          <w:rFonts w:hint="cs"/>
          <w:rtl/>
        </w:rPr>
        <w:t xml:space="preserve"> </w:t>
      </w:r>
    </w:p>
    <w:p w14:paraId="78C16393" w14:textId="77777777" w:rsidR="00387987" w:rsidRDefault="00387987" w:rsidP="009A4788">
      <w:pPr>
        <w:pStyle w:val="316"/>
        <w:rPr>
          <w:rtl/>
        </w:rPr>
      </w:pPr>
      <w:bookmarkStart w:id="50" w:name="_Toc23155611"/>
      <w:bookmarkStart w:id="51" w:name="_Toc23159795"/>
      <w:r>
        <w:rPr>
          <w:rFonts w:hint="cs"/>
          <w:rtl/>
        </w:rPr>
        <w:t>פיקוח הדירקטוריון ובעלת המניות על החברה</w:t>
      </w:r>
      <w:bookmarkEnd w:id="50"/>
      <w:bookmarkEnd w:id="51"/>
    </w:p>
    <w:p w14:paraId="1CE3B156" w14:textId="77777777" w:rsidR="00387987" w:rsidRDefault="00387987" w:rsidP="009A4788">
      <w:pPr>
        <w:pStyle w:val="100"/>
        <w:rPr>
          <w:rtl/>
        </w:rPr>
      </w:pPr>
      <w:r>
        <w:rPr>
          <w:rtl/>
        </w:rPr>
        <w:t>על פי חוק החברות</w:t>
      </w:r>
      <w:r>
        <w:rPr>
          <w:rFonts w:hint="cs"/>
          <w:rtl/>
        </w:rPr>
        <w:t xml:space="preserve"> </w:t>
      </w:r>
      <w:r>
        <w:rPr>
          <w:rtl/>
        </w:rPr>
        <w:t>עם התאגדותה של חברה בישראל עליה להגיש תקנון ובו נתונים על החברה כגון שמה ומטרותיה. החברה רשאית לכלול בתקנון הוראות לעניין דרכי ניהולה וכל נושא אחר שבעלי המניות ראו לנכון להסדירו בתקנון.</w:t>
      </w:r>
    </w:p>
    <w:p w14:paraId="19C2DDA5" w14:textId="77777777" w:rsidR="00387987" w:rsidRDefault="00387987" w:rsidP="009A4788">
      <w:pPr>
        <w:pStyle w:val="100"/>
        <w:rPr>
          <w:rtl/>
        </w:rPr>
      </w:pPr>
      <w:r>
        <w:rPr>
          <w:rFonts w:hint="cs"/>
          <w:rtl/>
        </w:rPr>
        <w:t xml:space="preserve">חוק החברות קובע כי </w:t>
      </w:r>
      <w:r w:rsidRPr="00E73884">
        <w:rPr>
          <w:rFonts w:hint="cs"/>
          <w:rtl/>
        </w:rPr>
        <w:t>סמכויותיו העיקריות של דירקטוריון החברה כולל התוויה של מדיניות ופיקוח על ביצוע תפקידי המנכ"ל ופעולותיו. בכלל זה על הדירקטוריון לקבוע את ת</w:t>
      </w:r>
      <w:r>
        <w:rPr>
          <w:rFonts w:hint="cs"/>
          <w:rtl/>
        </w:rPr>
        <w:t>ו</w:t>
      </w:r>
      <w:r w:rsidRPr="00E73884">
        <w:rPr>
          <w:rFonts w:hint="cs"/>
          <w:rtl/>
        </w:rPr>
        <w:t>כניות הפעולה של החברה</w:t>
      </w:r>
      <w:r>
        <w:rPr>
          <w:rFonts w:hint="cs"/>
          <w:rtl/>
        </w:rPr>
        <w:t xml:space="preserve"> </w:t>
      </w:r>
      <w:r w:rsidRPr="00E73884">
        <w:rPr>
          <w:rFonts w:hint="cs"/>
          <w:rtl/>
        </w:rPr>
        <w:t>ולבדוק</w:t>
      </w:r>
      <w:r>
        <w:rPr>
          <w:rFonts w:hint="cs"/>
          <w:rtl/>
        </w:rPr>
        <w:t xml:space="preserve"> </w:t>
      </w:r>
      <w:r w:rsidRPr="00E73884">
        <w:rPr>
          <w:rFonts w:hint="cs"/>
          <w:rtl/>
        </w:rPr>
        <w:t>את מצבה הכספי.</w:t>
      </w:r>
      <w:r w:rsidRPr="00545E17">
        <w:rPr>
          <w:rFonts w:hint="cs"/>
          <w:rtl/>
        </w:rPr>
        <w:t xml:space="preserve"> </w:t>
      </w:r>
      <w:r w:rsidRPr="00E73884">
        <w:rPr>
          <w:rFonts w:hint="cs"/>
          <w:rtl/>
        </w:rPr>
        <w:t>תקנון החברה הכלכלית</w:t>
      </w:r>
      <w:r w:rsidRPr="00A47271">
        <w:rPr>
          <w:rtl/>
        </w:rPr>
        <w:t xml:space="preserve"> קובע כי </w:t>
      </w:r>
      <w:r w:rsidRPr="00A47271">
        <w:rPr>
          <w:rFonts w:hint="eastAsia"/>
          <w:rtl/>
        </w:rPr>
        <w:t>הדירקטוריון</w:t>
      </w:r>
      <w:r w:rsidRPr="00A47271">
        <w:rPr>
          <w:rtl/>
        </w:rPr>
        <w:t xml:space="preserve"> </w:t>
      </w:r>
      <w:r w:rsidRPr="00A47271">
        <w:rPr>
          <w:rFonts w:hint="eastAsia"/>
          <w:rtl/>
        </w:rPr>
        <w:t>מנהל</w:t>
      </w:r>
      <w:r w:rsidRPr="00A47271">
        <w:rPr>
          <w:rtl/>
        </w:rPr>
        <w:t xml:space="preserve"> </w:t>
      </w:r>
      <w:r w:rsidRPr="00A47271">
        <w:rPr>
          <w:rFonts w:hint="eastAsia"/>
          <w:rtl/>
        </w:rPr>
        <w:t>את</w:t>
      </w:r>
      <w:r w:rsidRPr="00A47271">
        <w:rPr>
          <w:rtl/>
        </w:rPr>
        <w:t xml:space="preserve"> </w:t>
      </w:r>
      <w:r w:rsidRPr="00A47271">
        <w:rPr>
          <w:rFonts w:hint="eastAsia"/>
          <w:rtl/>
        </w:rPr>
        <w:t>עסקיה</w:t>
      </w:r>
      <w:r w:rsidRPr="00A47271">
        <w:rPr>
          <w:rtl/>
        </w:rPr>
        <w:t xml:space="preserve"> </w:t>
      </w:r>
      <w:r w:rsidRPr="00A47271">
        <w:rPr>
          <w:rFonts w:hint="eastAsia"/>
          <w:rtl/>
        </w:rPr>
        <w:t>של</w:t>
      </w:r>
      <w:r w:rsidRPr="00A47271">
        <w:rPr>
          <w:rtl/>
        </w:rPr>
        <w:t xml:space="preserve"> </w:t>
      </w:r>
      <w:r w:rsidRPr="00A47271">
        <w:rPr>
          <w:rFonts w:hint="eastAsia"/>
          <w:rtl/>
        </w:rPr>
        <w:t>החברה</w:t>
      </w:r>
      <w:r w:rsidRPr="00E73884">
        <w:rPr>
          <w:rFonts w:hint="cs"/>
          <w:rtl/>
        </w:rPr>
        <w:t>.</w:t>
      </w:r>
    </w:p>
    <w:p w14:paraId="35827295" w14:textId="77777777" w:rsidR="009A4788" w:rsidRDefault="009A4788">
      <w:pPr>
        <w:bidi w:val="0"/>
        <w:spacing w:after="200" w:line="276" w:lineRule="auto"/>
        <w:rPr>
          <w:rFonts w:eastAsiaTheme="majorEastAsia"/>
          <w:bCs/>
          <w:szCs w:val="26"/>
          <w:rtl/>
        </w:rPr>
      </w:pPr>
      <w:bookmarkStart w:id="52" w:name="_Toc23155612"/>
      <w:r>
        <w:rPr>
          <w:rtl/>
        </w:rPr>
        <w:br w:type="page"/>
      </w:r>
    </w:p>
    <w:p w14:paraId="010BCD09" w14:textId="1A2917CA" w:rsidR="00387987" w:rsidRPr="00E73884" w:rsidRDefault="00387987" w:rsidP="009A4788">
      <w:pPr>
        <w:pStyle w:val="414"/>
        <w:rPr>
          <w:rtl/>
        </w:rPr>
      </w:pPr>
      <w:r w:rsidRPr="00B00B32">
        <w:rPr>
          <w:rFonts w:hint="cs"/>
          <w:rtl/>
        </w:rPr>
        <w:t xml:space="preserve">התכנסות הדירקטוריון </w:t>
      </w:r>
      <w:r>
        <w:rPr>
          <w:rFonts w:hint="cs"/>
          <w:rtl/>
        </w:rPr>
        <w:t>וועדות המשנה שלו</w:t>
      </w:r>
      <w:bookmarkEnd w:id="52"/>
    </w:p>
    <w:p w14:paraId="031E45BE" w14:textId="77777777" w:rsidR="00387987" w:rsidRDefault="00387987" w:rsidP="009A4788">
      <w:pPr>
        <w:pStyle w:val="a1"/>
        <w:numPr>
          <w:ilvl w:val="0"/>
          <w:numId w:val="26"/>
        </w:numPr>
      </w:pPr>
      <w:r w:rsidRPr="00E73884">
        <w:rPr>
          <w:rFonts w:hint="cs"/>
          <w:rtl/>
        </w:rPr>
        <w:t>בדצמבר</w:t>
      </w:r>
      <w:r>
        <w:rPr>
          <w:rFonts w:hint="cs"/>
          <w:rtl/>
        </w:rPr>
        <w:t xml:space="preserve"> 2015 עודכן תקנון החברה בקביעה כי מספר הדירקטורים הדרוש לשם קבלת החלטה בישיבות דירקטוריון ("קוורום") לא יפחת מ-4 ולא יעלה על 21. באותו החודש מינתה האסיפה הכללית 21 חברי דירקטוריון (להלן - הדירקטוריון הקודם). דירקטוריון זה סיים את עבודתו בינואר 2019 והאסיפה הכללית מינתה דירקטוריון חדש ובו </w:t>
      </w:r>
      <w:r w:rsidRPr="009A4788">
        <w:rPr>
          <w:rFonts w:hint="cs"/>
          <w:sz w:val="22"/>
          <w:szCs w:val="22"/>
          <w:rtl/>
        </w:rPr>
        <w:t>13</w:t>
      </w:r>
      <w:r>
        <w:rPr>
          <w:rFonts w:hint="cs"/>
          <w:rtl/>
        </w:rPr>
        <w:t xml:space="preserve"> חברים. </w:t>
      </w:r>
    </w:p>
    <w:p w14:paraId="5AF378F3" w14:textId="77777777" w:rsidR="00387987" w:rsidRDefault="00387987" w:rsidP="009A4788">
      <w:pPr>
        <w:pStyle w:val="af2"/>
      </w:pPr>
      <w:r>
        <w:rPr>
          <w:rFonts w:hint="cs"/>
          <w:rtl/>
        </w:rPr>
        <w:t>במהלך כהונת הדירקטוריון הקודם עלו טענות בדבר היעדרות חבריו מישיבות באפריל ובמאי 2018, שגרמו גם לביטול כמה ישיבות דירקטוריון עקב השתתפות נמוכה, כך שלא ניתן היה לקבל החלטות בהיעדר קוורום</w:t>
      </w:r>
      <w:r>
        <w:rPr>
          <w:rStyle w:val="FootnoteReference"/>
          <w:rtl/>
        </w:rPr>
        <w:footnoteReference w:id="110"/>
      </w:r>
      <w:r>
        <w:rPr>
          <w:rFonts w:hint="cs"/>
          <w:rtl/>
        </w:rPr>
        <w:t xml:space="preserve">. </w:t>
      </w:r>
    </w:p>
    <w:p w14:paraId="00CCAEAA" w14:textId="77777777" w:rsidR="00387987" w:rsidRDefault="00387987" w:rsidP="009A4788">
      <w:pPr>
        <w:pStyle w:val="af2"/>
        <w:rPr>
          <w:rtl/>
        </w:rPr>
      </w:pPr>
      <w:r>
        <w:rPr>
          <w:rFonts w:hint="cs"/>
          <w:rtl/>
        </w:rPr>
        <w:t>גם לאחר מינוי דירקטוריון חדש בינואר 2019, דיווח בפברואר 2019 יו"ר הדירקטוריון החדש לוועד המרכזי בלשכה, כי נוכחות הדירקטורים בישיבות אינה מספקת וכי אינו מצליח לכנס קוורום לשם כינוס ישיבות, אף שנדרשת קבלת החלטות יום-יומית בענייני החברה. חברי הוועד ציינו כי מצב זה "מטרפד" את פעולות החברה וכי לא ניתן לנהל אותה בלי דירקטוריון</w:t>
      </w:r>
      <w:r>
        <w:rPr>
          <w:rStyle w:val="FootnoteReference"/>
          <w:rtl/>
        </w:rPr>
        <w:footnoteReference w:id="111"/>
      </w:r>
      <w:r>
        <w:rPr>
          <w:rFonts w:hint="cs"/>
          <w:rtl/>
        </w:rPr>
        <w:t xml:space="preserve">. </w:t>
      </w:r>
    </w:p>
    <w:p w14:paraId="30F5302C" w14:textId="77777777" w:rsidR="00387987" w:rsidRPr="00E50A8A" w:rsidRDefault="00387987" w:rsidP="00A53DBB">
      <w:pPr>
        <w:pStyle w:val="a1"/>
        <w:rPr>
          <w:rtl/>
        </w:rPr>
      </w:pPr>
      <w:r w:rsidRPr="00EE3E4A">
        <w:rPr>
          <w:rFonts w:hint="cs"/>
          <w:rtl/>
        </w:rPr>
        <w:t>הדירקטוריון רשאי להקים ועדות משנה ולאצול להן מסמכויותיו.</w:t>
      </w:r>
      <w:r>
        <w:rPr>
          <w:rFonts w:hint="cs"/>
          <w:rtl/>
        </w:rPr>
        <w:t xml:space="preserve"> מינוי ועדות דירקטוריון נועד לתת מענה לחוסר יכולתו של הדירקטוריון לעמוד בעומס ההחלטות המתבקש במהלך הניהול השוטף של החברה</w:t>
      </w:r>
      <w:r>
        <w:rPr>
          <w:rStyle w:val="FootnoteReference"/>
          <w:rtl/>
        </w:rPr>
        <w:footnoteReference w:id="112"/>
      </w:r>
      <w:r>
        <w:rPr>
          <w:rFonts w:hint="cs"/>
          <w:rtl/>
        </w:rPr>
        <w:t xml:space="preserve">. </w:t>
      </w:r>
      <w:r w:rsidRPr="00EE3E4A">
        <w:rPr>
          <w:rFonts w:hint="cs"/>
          <w:rtl/>
        </w:rPr>
        <w:t xml:space="preserve">ועדות אלו נדרשות לקיים </w:t>
      </w:r>
      <w:r>
        <w:rPr>
          <w:rFonts w:hint="cs"/>
          <w:rtl/>
        </w:rPr>
        <w:t xml:space="preserve">מעקב </w:t>
      </w:r>
      <w:r w:rsidRPr="00EE3E4A">
        <w:rPr>
          <w:rFonts w:hint="cs"/>
          <w:rtl/>
        </w:rPr>
        <w:t>אחר הנחיות הדירקטוריון.</w:t>
      </w:r>
      <w:r>
        <w:rPr>
          <w:rFonts w:hint="cs"/>
          <w:rtl/>
        </w:rPr>
        <w:t xml:space="preserve"> </w:t>
      </w:r>
    </w:p>
    <w:p w14:paraId="152F58C8" w14:textId="77777777" w:rsidR="00387987" w:rsidRDefault="00387987" w:rsidP="009A4788">
      <w:pPr>
        <w:pStyle w:val="af2"/>
        <w:rPr>
          <w:rtl/>
        </w:rPr>
      </w:pPr>
      <w:r>
        <w:rPr>
          <w:rFonts w:hint="cs"/>
          <w:rtl/>
        </w:rPr>
        <w:t xml:space="preserve">טיוטת נוהל סדרי עבודת ועדות הדירקטוריון בחברה הכלכלית מסדירה את תהליך עבודתן של ועדות אלו. הנוהל הופץ לחברי הדירקטוריון אך לא אושר רשמית. על פי טיוטת הנוהל, על הוועדות </w:t>
      </w:r>
      <w:r w:rsidRPr="00B00B32">
        <w:rPr>
          <w:rFonts w:hint="cs"/>
          <w:rtl/>
        </w:rPr>
        <w:t>להתכנס לישיבות באופן שוטף לפחות אחת לחודשיים</w:t>
      </w:r>
      <w:r>
        <w:rPr>
          <w:rFonts w:hint="cs"/>
          <w:rtl/>
        </w:rPr>
        <w:t xml:space="preserve"> ועליהן לפעול, לייעץ ולהמליץ לדירקטוריון בעניינים המסורים לטיפולן</w:t>
      </w:r>
      <w:r>
        <w:rPr>
          <w:rStyle w:val="FootnoteReference"/>
          <w:rtl/>
        </w:rPr>
        <w:footnoteReference w:id="113"/>
      </w:r>
      <w:r w:rsidRPr="00B00B32">
        <w:rPr>
          <w:rFonts w:hint="cs"/>
          <w:rtl/>
        </w:rPr>
        <w:t xml:space="preserve">. </w:t>
      </w:r>
    </w:p>
    <w:p w14:paraId="0DB73898" w14:textId="27D26AA0" w:rsidR="009A4788" w:rsidRDefault="00387987" w:rsidP="009A4788">
      <w:pPr>
        <w:pStyle w:val="af2"/>
        <w:rPr>
          <w:rtl/>
        </w:rPr>
      </w:pPr>
      <w:r>
        <w:rPr>
          <w:rFonts w:hint="cs"/>
          <w:rtl/>
        </w:rPr>
        <w:t>בדצמבר 2015 מינה הדירקטוריון הקודם שבע ועדות משנה שיסייעו לו בעבודתו: ועדת ביקורת, ועדת מכרזים, ועדת ספרים, ועדת כספים ומנגנון,</w:t>
      </w:r>
      <w:r w:rsidRPr="00BB764B">
        <w:rPr>
          <w:rFonts w:hint="cs"/>
          <w:rtl/>
        </w:rPr>
        <w:t xml:space="preserve"> ועדת פרויקטים וחדשנות,</w:t>
      </w:r>
      <w:r>
        <w:rPr>
          <w:rFonts w:hint="cs"/>
          <w:rtl/>
        </w:rPr>
        <w:t xml:space="preserve"> ועדת שירות ושיווק וועדת פיתוח עסקי (מוצרים קיימים</w:t>
      </w:r>
      <w:r w:rsidRPr="00362D76">
        <w:rPr>
          <w:rFonts w:hint="cs"/>
          <w:rtl/>
        </w:rPr>
        <w:t xml:space="preserve">). </w:t>
      </w:r>
      <w:r>
        <w:rPr>
          <w:rFonts w:hint="cs"/>
          <w:rtl/>
        </w:rPr>
        <w:t xml:space="preserve">בינואר 2019 מונה דירקטוריון חדש לחברה ומונתה ועדת כספים. בספטמבר 2019 מונה </w:t>
      </w:r>
      <w:r w:rsidRPr="00362D76">
        <w:rPr>
          <w:rFonts w:hint="cs"/>
          <w:rtl/>
        </w:rPr>
        <w:t xml:space="preserve">דירקטוריון </w:t>
      </w:r>
      <w:r>
        <w:rPr>
          <w:rFonts w:hint="cs"/>
          <w:rtl/>
        </w:rPr>
        <w:t>חדש לחברה ומונו ועדת ביקורת ו</w:t>
      </w:r>
      <w:r w:rsidRPr="00362D76">
        <w:rPr>
          <w:rFonts w:hint="cs"/>
          <w:rtl/>
        </w:rPr>
        <w:t>ועדת כספים.</w:t>
      </w:r>
    </w:p>
    <w:p w14:paraId="4E5149FA" w14:textId="77777777" w:rsidR="009A4788" w:rsidRDefault="009A4788">
      <w:pPr>
        <w:bidi w:val="0"/>
        <w:spacing w:after="200" w:line="276" w:lineRule="auto"/>
        <w:rPr>
          <w:rFonts w:ascii="Tahoma" w:hAnsi="Tahoma" w:cs="Tahoma"/>
          <w:szCs w:val="20"/>
          <w:rtl/>
        </w:rPr>
      </w:pPr>
      <w:r>
        <w:rPr>
          <w:rtl/>
        </w:rPr>
        <w:br w:type="page"/>
      </w:r>
    </w:p>
    <w:p w14:paraId="0F1728C9" w14:textId="77777777" w:rsidR="00387987" w:rsidRPr="00841489" w:rsidRDefault="00387987" w:rsidP="009A4788">
      <w:pPr>
        <w:pStyle w:val="af2"/>
        <w:rPr>
          <w:rtl/>
        </w:rPr>
      </w:pPr>
      <w:r>
        <w:rPr>
          <w:rFonts w:hint="cs"/>
          <w:rtl/>
        </w:rPr>
        <w:t xml:space="preserve">בשנים 2016 - 2018 </w:t>
      </w:r>
      <w:r w:rsidRPr="00841489">
        <w:rPr>
          <w:rFonts w:hint="cs"/>
          <w:rtl/>
        </w:rPr>
        <w:t xml:space="preserve">התכנסו ועדות הדירקטוריון </w:t>
      </w:r>
      <w:r>
        <w:rPr>
          <w:rFonts w:hint="cs"/>
          <w:rtl/>
        </w:rPr>
        <w:t>הקודם כמה</w:t>
      </w:r>
      <w:r w:rsidRPr="00841489">
        <w:rPr>
          <w:rFonts w:hint="cs"/>
          <w:rtl/>
        </w:rPr>
        <w:t xml:space="preserve"> פעמים כמתואר </w:t>
      </w:r>
      <w:r>
        <w:rPr>
          <w:rFonts w:hint="cs"/>
          <w:rtl/>
        </w:rPr>
        <w:t>בלוח</w:t>
      </w:r>
      <w:r w:rsidRPr="00841489">
        <w:rPr>
          <w:rFonts w:hint="cs"/>
          <w:rtl/>
        </w:rPr>
        <w:t xml:space="preserve"> שלהלן: </w:t>
      </w:r>
    </w:p>
    <w:p w14:paraId="068451F5" w14:textId="77777777" w:rsidR="00387987" w:rsidRPr="0085795B" w:rsidRDefault="00387987" w:rsidP="009A4788">
      <w:pPr>
        <w:pStyle w:val="a8"/>
        <w:rPr>
          <w:b/>
          <w:bCs/>
          <w:rtl/>
        </w:rPr>
      </w:pPr>
      <w:r>
        <w:rPr>
          <w:rFonts w:hint="cs"/>
          <w:rtl/>
        </w:rPr>
        <w:t>לוח</w:t>
      </w:r>
      <w:r>
        <w:rPr>
          <w:rtl/>
        </w:rPr>
        <w:t xml:space="preserve"> </w:t>
      </w:r>
      <w:r>
        <w:rPr>
          <w:rFonts w:hint="cs"/>
          <w:rtl/>
        </w:rPr>
        <w:t>8</w:t>
      </w:r>
      <w:r w:rsidRPr="000166FB">
        <w:rPr>
          <w:rtl/>
        </w:rPr>
        <w:t xml:space="preserve">: </w:t>
      </w:r>
      <w:r w:rsidRPr="0085795B">
        <w:rPr>
          <w:b/>
          <w:bCs/>
          <w:rtl/>
        </w:rPr>
        <w:t xml:space="preserve">מספר התכנסויות ועדות המשנה של הדירקטוריון </w:t>
      </w:r>
      <w:r w:rsidRPr="0085795B">
        <w:rPr>
          <w:rFonts w:hint="eastAsia"/>
          <w:b/>
          <w:bCs/>
          <w:rtl/>
        </w:rPr>
        <w:t>הקודם</w:t>
      </w:r>
      <w:r w:rsidRPr="0085795B">
        <w:rPr>
          <w:rFonts w:hint="cs"/>
          <w:b/>
          <w:bCs/>
          <w:rtl/>
        </w:rPr>
        <w:t>, 2016 - 2018</w:t>
      </w:r>
    </w:p>
    <w:tbl>
      <w:tblPr>
        <w:tblStyle w:val="4-41"/>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2126"/>
      </w:tblGrid>
      <w:tr w:rsidR="00387987" w:rsidRPr="003F0956" w14:paraId="702780F6" w14:textId="77777777" w:rsidTr="00E129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3" w:type="dxa"/>
            <w:tcBorders>
              <w:top w:val="none" w:sz="0" w:space="0" w:color="auto"/>
              <w:left w:val="none" w:sz="0" w:space="0" w:color="auto"/>
              <w:bottom w:val="none" w:sz="0" w:space="0" w:color="auto"/>
              <w:right w:val="none" w:sz="0" w:space="0" w:color="auto"/>
            </w:tcBorders>
            <w:shd w:val="clear" w:color="auto" w:fill="C6D9F1"/>
          </w:tcPr>
          <w:p w14:paraId="1D48DA8E" w14:textId="77777777" w:rsidR="00387987" w:rsidRPr="009A4788" w:rsidRDefault="00387987" w:rsidP="009A4788">
            <w:pPr>
              <w:pStyle w:val="af"/>
              <w:rPr>
                <w:b/>
                <w:bCs/>
                <w:rtl/>
              </w:rPr>
            </w:pPr>
            <w:r w:rsidRPr="009A4788">
              <w:rPr>
                <w:rFonts w:hint="cs"/>
                <w:b/>
                <w:bCs/>
                <w:rtl/>
              </w:rPr>
              <w:t>שם הוועדה</w:t>
            </w:r>
          </w:p>
        </w:tc>
        <w:tc>
          <w:tcPr>
            <w:tcW w:w="2126" w:type="dxa"/>
            <w:tcBorders>
              <w:top w:val="none" w:sz="0" w:space="0" w:color="auto"/>
              <w:left w:val="none" w:sz="0" w:space="0" w:color="auto"/>
              <w:bottom w:val="none" w:sz="0" w:space="0" w:color="auto"/>
              <w:right w:val="none" w:sz="0" w:space="0" w:color="auto"/>
            </w:tcBorders>
            <w:shd w:val="clear" w:color="auto" w:fill="C6D9F1"/>
          </w:tcPr>
          <w:p w14:paraId="0EF5360E" w14:textId="77777777" w:rsidR="00387987" w:rsidRPr="009A4788" w:rsidRDefault="00387987" w:rsidP="009A4788">
            <w:pPr>
              <w:pStyle w:val="af"/>
              <w:cnfStyle w:val="100000000000" w:firstRow="1" w:lastRow="0" w:firstColumn="0" w:lastColumn="0" w:oddVBand="0" w:evenVBand="0" w:oddHBand="0" w:evenHBand="0" w:firstRowFirstColumn="0" w:firstRowLastColumn="0" w:lastRowFirstColumn="0" w:lastRowLastColumn="0"/>
              <w:rPr>
                <w:b/>
                <w:bCs/>
                <w:rtl/>
              </w:rPr>
            </w:pPr>
            <w:r w:rsidRPr="009A4788">
              <w:rPr>
                <w:rFonts w:hint="cs"/>
                <w:b/>
                <w:bCs/>
                <w:rtl/>
              </w:rPr>
              <w:t>מספר הישיבות</w:t>
            </w:r>
          </w:p>
        </w:tc>
      </w:tr>
      <w:tr w:rsidR="00387987" w:rsidRPr="003F0956" w14:paraId="41075CE9"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tcPr>
          <w:p w14:paraId="368B6151" w14:textId="77777777" w:rsidR="00387987" w:rsidRPr="009A4788" w:rsidRDefault="00387987" w:rsidP="009A4788">
            <w:pPr>
              <w:pStyle w:val="B"/>
              <w:rPr>
                <w:szCs w:val="20"/>
                <w:rtl/>
              </w:rPr>
            </w:pPr>
            <w:r w:rsidRPr="009A4788">
              <w:rPr>
                <w:rFonts w:hint="cs"/>
                <w:szCs w:val="20"/>
                <w:rtl/>
              </w:rPr>
              <w:t>ועדת הכספים</w:t>
            </w:r>
          </w:p>
        </w:tc>
        <w:tc>
          <w:tcPr>
            <w:tcW w:w="2126" w:type="dxa"/>
            <w:shd w:val="clear" w:color="auto" w:fill="auto"/>
          </w:tcPr>
          <w:p w14:paraId="1C213552" w14:textId="77777777" w:rsidR="00387987" w:rsidRPr="009A4788" w:rsidRDefault="00387987" w:rsidP="009A4788">
            <w:pPr>
              <w:pStyle w:val="B"/>
              <w:cnfStyle w:val="000000100000" w:firstRow="0" w:lastRow="0" w:firstColumn="0" w:lastColumn="0" w:oddVBand="0" w:evenVBand="0" w:oddHBand="1" w:evenHBand="0" w:firstRowFirstColumn="0" w:firstRowLastColumn="0" w:lastRowFirstColumn="0" w:lastRowLastColumn="0"/>
              <w:rPr>
                <w:szCs w:val="20"/>
                <w:rtl/>
              </w:rPr>
            </w:pPr>
            <w:r w:rsidRPr="009A4788">
              <w:rPr>
                <w:rFonts w:hint="cs"/>
                <w:szCs w:val="20"/>
                <w:rtl/>
              </w:rPr>
              <w:t>3</w:t>
            </w:r>
          </w:p>
        </w:tc>
      </w:tr>
      <w:tr w:rsidR="00387987" w:rsidRPr="003F0956" w14:paraId="0AEEB5DD"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tcPr>
          <w:p w14:paraId="5284337B" w14:textId="77777777" w:rsidR="00387987" w:rsidRPr="009A4788" w:rsidRDefault="00387987" w:rsidP="009A4788">
            <w:pPr>
              <w:pStyle w:val="B"/>
              <w:rPr>
                <w:szCs w:val="20"/>
                <w:rtl/>
              </w:rPr>
            </w:pPr>
            <w:r w:rsidRPr="009A4788">
              <w:rPr>
                <w:rFonts w:hint="cs"/>
                <w:szCs w:val="20"/>
                <w:rtl/>
              </w:rPr>
              <w:t>ועדת הספרים</w:t>
            </w:r>
          </w:p>
        </w:tc>
        <w:tc>
          <w:tcPr>
            <w:tcW w:w="2126" w:type="dxa"/>
            <w:shd w:val="clear" w:color="auto" w:fill="auto"/>
          </w:tcPr>
          <w:p w14:paraId="34B7D18C" w14:textId="77777777" w:rsidR="00387987" w:rsidRPr="009A4788" w:rsidRDefault="00387987" w:rsidP="009A4788">
            <w:pPr>
              <w:pStyle w:val="B"/>
              <w:cnfStyle w:val="000000000000" w:firstRow="0" w:lastRow="0" w:firstColumn="0" w:lastColumn="0" w:oddVBand="0" w:evenVBand="0" w:oddHBand="0" w:evenHBand="0" w:firstRowFirstColumn="0" w:firstRowLastColumn="0" w:lastRowFirstColumn="0" w:lastRowLastColumn="0"/>
              <w:rPr>
                <w:szCs w:val="20"/>
                <w:rtl/>
              </w:rPr>
            </w:pPr>
            <w:r w:rsidRPr="009A4788">
              <w:rPr>
                <w:rFonts w:hint="cs"/>
                <w:szCs w:val="20"/>
                <w:rtl/>
              </w:rPr>
              <w:t>6</w:t>
            </w:r>
          </w:p>
        </w:tc>
      </w:tr>
      <w:tr w:rsidR="00387987" w:rsidRPr="003F0956" w14:paraId="159A5C10"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tcPr>
          <w:p w14:paraId="02C39623" w14:textId="77777777" w:rsidR="00387987" w:rsidRPr="009A4788" w:rsidRDefault="00387987" w:rsidP="009A4788">
            <w:pPr>
              <w:pStyle w:val="B"/>
              <w:rPr>
                <w:szCs w:val="20"/>
                <w:rtl/>
              </w:rPr>
            </w:pPr>
            <w:r w:rsidRPr="009A4788">
              <w:rPr>
                <w:rFonts w:hint="cs"/>
                <w:szCs w:val="20"/>
                <w:rtl/>
              </w:rPr>
              <w:t>ועדת פרויקטים וחדשנות</w:t>
            </w:r>
          </w:p>
        </w:tc>
        <w:tc>
          <w:tcPr>
            <w:tcW w:w="2126" w:type="dxa"/>
            <w:shd w:val="clear" w:color="auto" w:fill="auto"/>
          </w:tcPr>
          <w:p w14:paraId="24636EB2" w14:textId="77777777" w:rsidR="00387987" w:rsidRPr="009A4788" w:rsidRDefault="00387987" w:rsidP="009A4788">
            <w:pPr>
              <w:pStyle w:val="B"/>
              <w:cnfStyle w:val="000000100000" w:firstRow="0" w:lastRow="0" w:firstColumn="0" w:lastColumn="0" w:oddVBand="0" w:evenVBand="0" w:oddHBand="1" w:evenHBand="0" w:firstRowFirstColumn="0" w:firstRowLastColumn="0" w:lastRowFirstColumn="0" w:lastRowLastColumn="0"/>
              <w:rPr>
                <w:szCs w:val="20"/>
                <w:rtl/>
              </w:rPr>
            </w:pPr>
            <w:r w:rsidRPr="009A4788">
              <w:rPr>
                <w:rFonts w:hint="cs"/>
                <w:szCs w:val="20"/>
                <w:rtl/>
              </w:rPr>
              <w:t>1</w:t>
            </w:r>
          </w:p>
        </w:tc>
      </w:tr>
      <w:tr w:rsidR="00387987" w:rsidRPr="003F0956" w14:paraId="4826C6C1"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tcPr>
          <w:p w14:paraId="5DCAA189" w14:textId="77777777" w:rsidR="00387987" w:rsidRPr="009A4788" w:rsidRDefault="00387987" w:rsidP="009A4788">
            <w:pPr>
              <w:pStyle w:val="B"/>
              <w:rPr>
                <w:szCs w:val="20"/>
                <w:rtl/>
              </w:rPr>
            </w:pPr>
            <w:r w:rsidRPr="009A4788">
              <w:rPr>
                <w:rFonts w:hint="cs"/>
                <w:szCs w:val="20"/>
                <w:rtl/>
              </w:rPr>
              <w:t>ועדת ביקורת</w:t>
            </w:r>
          </w:p>
        </w:tc>
        <w:tc>
          <w:tcPr>
            <w:tcW w:w="2126" w:type="dxa"/>
            <w:shd w:val="clear" w:color="auto" w:fill="auto"/>
          </w:tcPr>
          <w:p w14:paraId="41A3E8CD" w14:textId="77777777" w:rsidR="00387987" w:rsidRPr="009A4788" w:rsidRDefault="00387987" w:rsidP="009A4788">
            <w:pPr>
              <w:pStyle w:val="B"/>
              <w:cnfStyle w:val="000000000000" w:firstRow="0" w:lastRow="0" w:firstColumn="0" w:lastColumn="0" w:oddVBand="0" w:evenVBand="0" w:oddHBand="0" w:evenHBand="0" w:firstRowFirstColumn="0" w:firstRowLastColumn="0" w:lastRowFirstColumn="0" w:lastRowLastColumn="0"/>
              <w:rPr>
                <w:szCs w:val="20"/>
                <w:rtl/>
              </w:rPr>
            </w:pPr>
            <w:r w:rsidRPr="009A4788">
              <w:rPr>
                <w:rFonts w:hint="cs"/>
                <w:szCs w:val="20"/>
                <w:rtl/>
              </w:rPr>
              <w:t>5</w:t>
            </w:r>
          </w:p>
        </w:tc>
      </w:tr>
      <w:tr w:rsidR="00387987" w:rsidRPr="003F0956" w14:paraId="6CA03A3D" w14:textId="77777777" w:rsidTr="00C857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tcPr>
          <w:p w14:paraId="12A3C27E" w14:textId="77777777" w:rsidR="00387987" w:rsidRPr="009A4788" w:rsidRDefault="00387987" w:rsidP="009A4788">
            <w:pPr>
              <w:pStyle w:val="B"/>
              <w:rPr>
                <w:szCs w:val="20"/>
                <w:rtl/>
              </w:rPr>
            </w:pPr>
            <w:r w:rsidRPr="009A4788">
              <w:rPr>
                <w:rFonts w:hint="cs"/>
                <w:szCs w:val="20"/>
                <w:rtl/>
              </w:rPr>
              <w:t>ועדת מכרזים</w:t>
            </w:r>
          </w:p>
        </w:tc>
        <w:tc>
          <w:tcPr>
            <w:tcW w:w="2126" w:type="dxa"/>
            <w:shd w:val="clear" w:color="auto" w:fill="auto"/>
          </w:tcPr>
          <w:p w14:paraId="2F691039" w14:textId="77777777" w:rsidR="00387987" w:rsidRPr="009A4788" w:rsidRDefault="00387987" w:rsidP="009A4788">
            <w:pPr>
              <w:pStyle w:val="B"/>
              <w:cnfStyle w:val="000000100000" w:firstRow="0" w:lastRow="0" w:firstColumn="0" w:lastColumn="0" w:oddVBand="0" w:evenVBand="0" w:oddHBand="1" w:evenHBand="0" w:firstRowFirstColumn="0" w:firstRowLastColumn="0" w:lastRowFirstColumn="0" w:lastRowLastColumn="0"/>
              <w:rPr>
                <w:szCs w:val="20"/>
                <w:rtl/>
              </w:rPr>
            </w:pPr>
            <w:r w:rsidRPr="009A4788">
              <w:rPr>
                <w:rFonts w:hint="cs"/>
                <w:szCs w:val="20"/>
                <w:rtl/>
              </w:rPr>
              <w:t>0</w:t>
            </w:r>
          </w:p>
        </w:tc>
      </w:tr>
      <w:tr w:rsidR="00387987" w:rsidRPr="003F0956" w14:paraId="786D317C" w14:textId="77777777" w:rsidTr="00C857F9">
        <w:trPr>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tcPr>
          <w:p w14:paraId="59E726B4" w14:textId="77777777" w:rsidR="00387987" w:rsidRPr="009A4788" w:rsidRDefault="00387987" w:rsidP="009A4788">
            <w:pPr>
              <w:pStyle w:val="B"/>
              <w:rPr>
                <w:szCs w:val="20"/>
                <w:rtl/>
              </w:rPr>
            </w:pPr>
            <w:r w:rsidRPr="009A4788">
              <w:rPr>
                <w:rFonts w:hint="cs"/>
                <w:szCs w:val="20"/>
                <w:rtl/>
              </w:rPr>
              <w:t>ועדת פיתוח עסקי (מוצרים קיימים)</w:t>
            </w:r>
          </w:p>
        </w:tc>
        <w:tc>
          <w:tcPr>
            <w:tcW w:w="2126" w:type="dxa"/>
            <w:shd w:val="clear" w:color="auto" w:fill="auto"/>
          </w:tcPr>
          <w:p w14:paraId="13C49AA4" w14:textId="77777777" w:rsidR="00387987" w:rsidRPr="009A4788" w:rsidRDefault="00387987" w:rsidP="009A4788">
            <w:pPr>
              <w:pStyle w:val="B"/>
              <w:cnfStyle w:val="000000000000" w:firstRow="0" w:lastRow="0" w:firstColumn="0" w:lastColumn="0" w:oddVBand="0" w:evenVBand="0" w:oddHBand="0" w:evenHBand="0" w:firstRowFirstColumn="0" w:firstRowLastColumn="0" w:lastRowFirstColumn="0" w:lastRowLastColumn="0"/>
              <w:rPr>
                <w:szCs w:val="20"/>
                <w:rtl/>
              </w:rPr>
            </w:pPr>
            <w:r w:rsidRPr="009A4788">
              <w:rPr>
                <w:rFonts w:hint="cs"/>
                <w:szCs w:val="20"/>
                <w:rtl/>
              </w:rPr>
              <w:t>0</w:t>
            </w:r>
          </w:p>
        </w:tc>
      </w:tr>
      <w:tr w:rsidR="00387987" w:rsidRPr="003F0956" w14:paraId="66538443" w14:textId="77777777" w:rsidTr="00C857F9">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tcPr>
          <w:p w14:paraId="10104CD3" w14:textId="77777777" w:rsidR="00387987" w:rsidRPr="009A4788" w:rsidRDefault="00387987" w:rsidP="009A4788">
            <w:pPr>
              <w:pStyle w:val="B"/>
              <w:rPr>
                <w:szCs w:val="20"/>
                <w:rtl/>
              </w:rPr>
            </w:pPr>
            <w:r w:rsidRPr="009A4788">
              <w:rPr>
                <w:rFonts w:hint="cs"/>
                <w:szCs w:val="20"/>
                <w:rtl/>
              </w:rPr>
              <w:t>ועדת שירות ושיווק</w:t>
            </w:r>
          </w:p>
        </w:tc>
        <w:tc>
          <w:tcPr>
            <w:tcW w:w="2126" w:type="dxa"/>
            <w:shd w:val="clear" w:color="auto" w:fill="auto"/>
          </w:tcPr>
          <w:p w14:paraId="5C5FE7FC" w14:textId="77777777" w:rsidR="00387987" w:rsidRPr="009A4788" w:rsidRDefault="00387987" w:rsidP="009A4788">
            <w:pPr>
              <w:pStyle w:val="B"/>
              <w:cnfStyle w:val="000000100000" w:firstRow="0" w:lastRow="0" w:firstColumn="0" w:lastColumn="0" w:oddVBand="0" w:evenVBand="0" w:oddHBand="1" w:evenHBand="0" w:firstRowFirstColumn="0" w:firstRowLastColumn="0" w:lastRowFirstColumn="0" w:lastRowLastColumn="0"/>
              <w:rPr>
                <w:szCs w:val="20"/>
                <w:rtl/>
              </w:rPr>
            </w:pPr>
            <w:r w:rsidRPr="009A4788">
              <w:rPr>
                <w:rFonts w:hint="cs"/>
                <w:szCs w:val="20"/>
                <w:rtl/>
              </w:rPr>
              <w:t>0</w:t>
            </w:r>
          </w:p>
        </w:tc>
      </w:tr>
    </w:tbl>
    <w:p w14:paraId="2D05F6C0" w14:textId="77777777" w:rsidR="00387987" w:rsidRPr="00275FBB" w:rsidRDefault="00387987" w:rsidP="009A4788">
      <w:pPr>
        <w:pStyle w:val="aa"/>
        <w:rPr>
          <w:rtl/>
        </w:rPr>
      </w:pPr>
      <w:r w:rsidRPr="00275FBB">
        <w:rPr>
          <w:rFonts w:hint="cs"/>
          <w:rtl/>
        </w:rPr>
        <w:t>על פי נתונים מפרוטוקולים של ועדות הדירקטוריון וועדות המשנה, בעיבוד משרד מבקר המדינה.</w:t>
      </w:r>
    </w:p>
    <w:p w14:paraId="58D7F99E" w14:textId="3EB63FBB" w:rsidR="00387987" w:rsidRDefault="00387987" w:rsidP="00B001C6">
      <w:pPr>
        <w:pStyle w:val="100"/>
        <w:rPr>
          <w:rtl/>
        </w:rPr>
      </w:pPr>
    </w:p>
    <w:p w14:paraId="70900261" w14:textId="77777777" w:rsidR="00387987" w:rsidRDefault="00387987" w:rsidP="00B001C6">
      <w:pPr>
        <w:pStyle w:val="af2"/>
        <w:rPr>
          <w:rtl/>
        </w:rPr>
      </w:pPr>
      <w:r w:rsidRPr="00F90240">
        <w:rPr>
          <w:rFonts w:hint="cs"/>
          <w:rtl/>
        </w:rPr>
        <w:t>בשנים</w:t>
      </w:r>
      <w:r>
        <w:rPr>
          <w:rFonts w:hint="cs"/>
          <w:rtl/>
        </w:rPr>
        <w:t xml:space="preserve"> 2017 - 2018</w:t>
      </w:r>
      <w:r w:rsidRPr="00F90240">
        <w:rPr>
          <w:rFonts w:hint="cs"/>
          <w:rtl/>
        </w:rPr>
        <w:t xml:space="preserve"> </w:t>
      </w:r>
      <w:r w:rsidRPr="00021A11">
        <w:rPr>
          <w:rFonts w:hint="cs"/>
          <w:rtl/>
        </w:rPr>
        <w:t xml:space="preserve">התריע יו"ר הדירקטוריון </w:t>
      </w:r>
      <w:r>
        <w:rPr>
          <w:rFonts w:hint="cs"/>
          <w:rtl/>
        </w:rPr>
        <w:t xml:space="preserve">הקודם </w:t>
      </w:r>
      <w:r w:rsidRPr="00021A11">
        <w:rPr>
          <w:rFonts w:hint="cs"/>
          <w:rtl/>
        </w:rPr>
        <w:t xml:space="preserve">על כך שוועדות המשנה לא מתפקדות: הוא </w:t>
      </w:r>
      <w:r>
        <w:rPr>
          <w:rFonts w:hint="cs"/>
          <w:rtl/>
        </w:rPr>
        <w:t>ציין</w:t>
      </w:r>
      <w:r w:rsidRPr="00021A11">
        <w:rPr>
          <w:rFonts w:hint="cs"/>
          <w:rtl/>
        </w:rPr>
        <w:t xml:space="preserve"> בפני ראש הלשכה כי ועדות חשובות כמו ועדת כספים אינן מתפקדות, כי יש להחליף את רוב הוועדות משום שאינן מתפקדות </w:t>
      </w:r>
      <w:r>
        <w:rPr>
          <w:rFonts w:hint="cs"/>
          <w:rtl/>
        </w:rPr>
        <w:t>ו</w:t>
      </w:r>
      <w:r w:rsidRPr="00021A11">
        <w:rPr>
          <w:rFonts w:hint="cs"/>
          <w:rtl/>
        </w:rPr>
        <w:t>הדגיש את הצורך בוועדות מקצועיות</w:t>
      </w:r>
      <w:r>
        <w:rPr>
          <w:rFonts w:hint="cs"/>
          <w:rtl/>
        </w:rPr>
        <w:t>.</w:t>
      </w:r>
      <w:r w:rsidRPr="00021A11">
        <w:rPr>
          <w:rFonts w:hint="cs"/>
          <w:rtl/>
        </w:rPr>
        <w:t xml:space="preserve"> במאי </w:t>
      </w:r>
      <w:r>
        <w:rPr>
          <w:rFonts w:hint="cs"/>
          <w:rtl/>
        </w:rPr>
        <w:t>2018</w:t>
      </w:r>
      <w:r w:rsidRPr="00021A11">
        <w:rPr>
          <w:rFonts w:hint="cs"/>
          <w:rtl/>
        </w:rPr>
        <w:t xml:space="preserve"> הוסיף כי הוא מקווה שהוועדות יתפקדו</w:t>
      </w:r>
      <w:r>
        <w:rPr>
          <w:rFonts w:hint="cs"/>
          <w:rtl/>
        </w:rPr>
        <w:t>,</w:t>
      </w:r>
      <w:r w:rsidRPr="00021A11">
        <w:rPr>
          <w:rFonts w:hint="cs"/>
          <w:rtl/>
        </w:rPr>
        <w:t xml:space="preserve"> ובראשן ועדת כספים אשר היעדרה מקשה על ניהול הכספים של החברה. </w:t>
      </w:r>
    </w:p>
    <w:p w14:paraId="392B8CCE" w14:textId="77777777" w:rsidR="00387987" w:rsidRDefault="00387987" w:rsidP="00B001C6">
      <w:pPr>
        <w:pStyle w:val="af2"/>
        <w:rPr>
          <w:rtl/>
        </w:rPr>
      </w:pPr>
      <w:r>
        <w:rPr>
          <w:rFonts w:hint="cs"/>
          <w:rtl/>
        </w:rPr>
        <w:t>יו"ר</w:t>
      </w:r>
      <w:r w:rsidRPr="00F90240">
        <w:rPr>
          <w:rFonts w:hint="cs"/>
          <w:rtl/>
        </w:rPr>
        <w:t xml:space="preserve"> הדירקטוריון </w:t>
      </w:r>
      <w:r>
        <w:rPr>
          <w:rFonts w:hint="cs"/>
          <w:rtl/>
        </w:rPr>
        <w:t xml:space="preserve">הקודם </w:t>
      </w:r>
      <w:r w:rsidRPr="00F90240">
        <w:rPr>
          <w:rFonts w:hint="cs"/>
          <w:rtl/>
        </w:rPr>
        <w:t>הסביר</w:t>
      </w:r>
      <w:r>
        <w:rPr>
          <w:rFonts w:hint="cs"/>
          <w:rtl/>
        </w:rPr>
        <w:t xml:space="preserve"> בישיבת הדירקטוריון</w:t>
      </w:r>
      <w:r w:rsidRPr="00F90240">
        <w:rPr>
          <w:rFonts w:hint="cs"/>
          <w:rtl/>
        </w:rPr>
        <w:t>: "בצורה נורמלית, ועדת כספים אמורה לשבת עם הצוות המקצועי של הנהלת החברה ולמצוא את הפתרונות. אין לנו ועדת כספים" והוסיף שביקש לשנות את הדירקטוריון כיוון שוועדות כמו ועדת הכספים לא מתפקדות</w:t>
      </w:r>
      <w:r>
        <w:rPr>
          <w:rStyle w:val="FootnoteReference"/>
          <w:rtl/>
        </w:rPr>
        <w:footnoteReference w:id="114"/>
      </w:r>
      <w:r w:rsidRPr="00F90240">
        <w:rPr>
          <w:rFonts w:hint="cs"/>
          <w:rtl/>
        </w:rPr>
        <w:t xml:space="preserve">. </w:t>
      </w:r>
    </w:p>
    <w:p w14:paraId="7202C3C1" w14:textId="77777777" w:rsidR="00387987" w:rsidRPr="00021A11" w:rsidRDefault="00387987" w:rsidP="00B001C6">
      <w:pPr>
        <w:pStyle w:val="12"/>
        <w:rPr>
          <w:rtl/>
        </w:rPr>
      </w:pPr>
      <w:r w:rsidRPr="000D6E41">
        <w:rPr>
          <w:rFonts w:hint="cs"/>
          <w:rtl/>
        </w:rPr>
        <w:t xml:space="preserve">תפקידיו העיקריים של דירקטוריון החברה הם להתוות מדיניות, לנהל את עסקיה של החברה ולפקח על ביצוע תפקידי המנכ"ל ופעולותיו בחברה. </w:t>
      </w:r>
      <w:r>
        <w:rPr>
          <w:rFonts w:hint="cs"/>
          <w:color w:val="000000"/>
          <w:sz w:val="24"/>
          <w:rtl/>
        </w:rPr>
        <w:t xml:space="preserve">הדירקטוריון הקודם מינה ועדות משנה </w:t>
      </w:r>
      <w:r w:rsidRPr="00F90240">
        <w:rPr>
          <w:rFonts w:hint="cs"/>
          <w:color w:val="000000"/>
          <w:sz w:val="24"/>
          <w:rtl/>
        </w:rPr>
        <w:t>כיוון שראה צורך</w:t>
      </w:r>
      <w:r>
        <w:rPr>
          <w:rFonts w:hint="cs"/>
          <w:color w:val="000000"/>
          <w:sz w:val="24"/>
          <w:rtl/>
        </w:rPr>
        <w:t xml:space="preserve"> בקבלת</w:t>
      </w:r>
      <w:r w:rsidRPr="00F90240">
        <w:rPr>
          <w:rFonts w:hint="cs"/>
          <w:color w:val="000000"/>
          <w:sz w:val="24"/>
          <w:rtl/>
        </w:rPr>
        <w:t xml:space="preserve"> </w:t>
      </w:r>
      <w:r>
        <w:rPr>
          <w:rFonts w:hint="cs"/>
          <w:color w:val="000000"/>
          <w:sz w:val="24"/>
          <w:rtl/>
        </w:rPr>
        <w:t>י</w:t>
      </w:r>
      <w:r w:rsidRPr="00F90240">
        <w:rPr>
          <w:rFonts w:hint="cs"/>
          <w:color w:val="000000"/>
          <w:sz w:val="24"/>
          <w:rtl/>
        </w:rPr>
        <w:t xml:space="preserve">יעוץ </w:t>
      </w:r>
      <w:r w:rsidRPr="00F90240">
        <w:rPr>
          <w:rFonts w:hint="cs"/>
          <w:rtl/>
        </w:rPr>
        <w:t>והמלצות בתחומים המסורים לטיפולן</w:t>
      </w:r>
      <w:r w:rsidRPr="002260A8">
        <w:rPr>
          <w:rFonts w:hint="cs"/>
          <w:rtl/>
        </w:rPr>
        <w:t xml:space="preserve"> </w:t>
      </w:r>
      <w:r>
        <w:rPr>
          <w:rFonts w:hint="cs"/>
          <w:rtl/>
        </w:rPr>
        <w:t>ו</w:t>
      </w:r>
      <w:r w:rsidRPr="000D6E41">
        <w:rPr>
          <w:rFonts w:hint="cs"/>
          <w:rtl/>
        </w:rPr>
        <w:t>כדי לעמוד בעומס ההחלטות המתבקש בניהולה השוטף של החברה</w:t>
      </w:r>
      <w:r w:rsidRPr="00F90240">
        <w:rPr>
          <w:rFonts w:hint="cs"/>
          <w:rtl/>
        </w:rPr>
        <w:t>.</w:t>
      </w:r>
      <w:r w:rsidRPr="00F90240">
        <w:rPr>
          <w:rFonts w:hint="cs"/>
          <w:color w:val="000000"/>
          <w:sz w:val="24"/>
          <w:rtl/>
        </w:rPr>
        <w:t xml:space="preserve"> </w:t>
      </w:r>
      <w:r w:rsidRPr="000D6E41">
        <w:rPr>
          <w:rFonts w:hint="cs"/>
          <w:rtl/>
        </w:rPr>
        <w:t xml:space="preserve">צמצום תדירות ההתכנסות של הדירקטוריון וועדותיו בשל נוכחות חלקית ומצומצמת של החברים בהם </w:t>
      </w:r>
      <w:r>
        <w:rPr>
          <w:rFonts w:hint="cs"/>
          <w:rtl/>
        </w:rPr>
        <w:t>ה</w:t>
      </w:r>
      <w:r w:rsidRPr="000D6E41">
        <w:rPr>
          <w:rFonts w:hint="cs"/>
          <w:rtl/>
        </w:rPr>
        <w:t>גביל את</w:t>
      </w:r>
      <w:r w:rsidRPr="00021A11">
        <w:rPr>
          <w:rFonts w:hint="cs"/>
          <w:rtl/>
        </w:rPr>
        <w:t xml:space="preserve"> יכולת הדירקטוריון </w:t>
      </w:r>
      <w:r>
        <w:rPr>
          <w:rFonts w:hint="cs"/>
          <w:rtl/>
        </w:rPr>
        <w:t xml:space="preserve">הקודם </w:t>
      </w:r>
      <w:r w:rsidRPr="00021A11">
        <w:rPr>
          <w:rFonts w:hint="cs"/>
          <w:rtl/>
        </w:rPr>
        <w:t xml:space="preserve">לבצע את תפקידיו באופן מיטבי. </w:t>
      </w:r>
    </w:p>
    <w:p w14:paraId="3B2AC6DE" w14:textId="77777777" w:rsidR="00387987" w:rsidRDefault="00387987" w:rsidP="00B001C6">
      <w:pPr>
        <w:pStyle w:val="af2"/>
        <w:rPr>
          <w:b/>
          <w:bCs/>
          <w:color w:val="000000"/>
          <w:sz w:val="24"/>
          <w:rtl/>
        </w:rPr>
      </w:pPr>
      <w:r>
        <w:rPr>
          <w:rFonts w:hint="cs"/>
          <w:rtl/>
        </w:rPr>
        <w:t xml:space="preserve">המנכ"ל לשעבר של החברה הסביר בתשובתו כי דירקטוריון החברה היה אחראי לבדיקת מצבה הכספי וכי הוא ביקש שוועדת הכספים של הדירקטוריון הקודם תבחן את הנושא או שימנו חברי דירקטוריון בעלי מומחיות פיננסית או ניהולית, שיוכלו לתרום להבראת החברה. לטענתו ועדת הכספים לא הייתה פעילה וכמעט לא התכנסה. עוד הוסיף כי על פי רוב נכחו באספות הדירקטוריון בין שישה לשבעה דירקטורים. </w:t>
      </w:r>
    </w:p>
    <w:p w14:paraId="17655A15" w14:textId="77777777" w:rsidR="00387987" w:rsidRDefault="00387987" w:rsidP="00C94857">
      <w:pPr>
        <w:pStyle w:val="af2"/>
        <w:rPr>
          <w:rtl/>
        </w:rPr>
      </w:pPr>
      <w:r w:rsidRPr="000A51C1">
        <w:rPr>
          <w:rFonts w:hint="cs"/>
          <w:rtl/>
        </w:rPr>
        <w:t xml:space="preserve">החברה הכלכלית השיבה כי </w:t>
      </w:r>
      <w:r>
        <w:rPr>
          <w:rFonts w:hint="cs"/>
          <w:rtl/>
        </w:rPr>
        <w:t>הדירקטוריון הנוכחי שמונה בספטמבר 2019 מינה בנובמבר ועדת כספים וועדת ביקורת. ועדת הביקורת התכנסה בדצמבר 2019 וועדת הכספים עתידה להתכנס בינואר 2020.</w:t>
      </w:r>
      <w:r w:rsidRPr="000A51C1">
        <w:rPr>
          <w:rFonts w:hint="cs"/>
          <w:rtl/>
        </w:rPr>
        <w:t xml:space="preserve"> </w:t>
      </w:r>
    </w:p>
    <w:p w14:paraId="251C394E" w14:textId="77777777" w:rsidR="00387987" w:rsidRPr="00E42643" w:rsidRDefault="00387987" w:rsidP="00C94857">
      <w:pPr>
        <w:pStyle w:val="af3"/>
      </w:pPr>
      <w:r w:rsidRPr="00F90240">
        <w:rPr>
          <w:rFonts w:hint="cs"/>
          <w:rtl/>
        </w:rPr>
        <w:t xml:space="preserve">על הדירקטוריון </w:t>
      </w:r>
      <w:r>
        <w:rPr>
          <w:rFonts w:hint="cs"/>
          <w:rtl/>
        </w:rPr>
        <w:t>הנוכחי לבחון האם ועדות נוספות נחוצות לפעילות מיטבית של החברה, ואם כן, למנות ולאייש ועדות אלו. עוד על הדירקטוריון לאשר נוהל סדרי עבודה לוועדות המשנה שלו ו</w:t>
      </w:r>
      <w:r w:rsidRPr="00F90240">
        <w:rPr>
          <w:rFonts w:hint="cs"/>
          <w:rtl/>
        </w:rPr>
        <w:t xml:space="preserve">לוודא שחברי הוועדות מכירים את הוראות </w:t>
      </w:r>
      <w:r>
        <w:rPr>
          <w:rFonts w:hint="cs"/>
          <w:rtl/>
        </w:rPr>
        <w:t>ה</w:t>
      </w:r>
      <w:r w:rsidRPr="00F90240">
        <w:rPr>
          <w:rFonts w:hint="cs"/>
          <w:rtl/>
        </w:rPr>
        <w:t>נוהל</w:t>
      </w:r>
      <w:r>
        <w:rPr>
          <w:rFonts w:hint="cs"/>
          <w:rtl/>
        </w:rPr>
        <w:t xml:space="preserve">, את תפקיד הוועדות ואת הפעולות שעליהם לבצע כחברי ועדה. על האסיפה הכללית לבחון אילו פעולות יוכלו לסייע להגברת נוכחות הדירקטורים בישיבות של הדירקטוריון והוועדות, כך שיוכלו לפעול באופן יעיל, מקצועי ומעורב. </w:t>
      </w:r>
    </w:p>
    <w:p w14:paraId="16644248" w14:textId="77777777" w:rsidR="00387987" w:rsidRDefault="00387987" w:rsidP="00C94857">
      <w:pPr>
        <w:pStyle w:val="100"/>
        <w:rPr>
          <w:rtl/>
        </w:rPr>
      </w:pPr>
      <w:bookmarkStart w:id="53" w:name="_Toc23155613"/>
      <w:r>
        <w:rPr>
          <w:rFonts w:hint="cs"/>
          <w:rtl/>
        </w:rPr>
        <w:t xml:space="preserve">בתשובתה מינואר 2020 הודיעה הנהלת החברה הנוכחית כי היא פועלת להשלמת קובץ נהלי העבודה בחברה ובמסגרתו תיבחן גם הסדרת נוהל עבודה חדש לדרכי עבודת הדירקטוריון. </w:t>
      </w:r>
    </w:p>
    <w:p w14:paraId="4A7EA78D" w14:textId="77777777" w:rsidR="00387987" w:rsidRDefault="00387987" w:rsidP="00C94857">
      <w:pPr>
        <w:pStyle w:val="414"/>
        <w:rPr>
          <w:rtl/>
        </w:rPr>
      </w:pPr>
      <w:r>
        <w:rPr>
          <w:rFonts w:hint="cs"/>
          <w:rtl/>
        </w:rPr>
        <w:t>פיקוח הדירקטוריון באמצעות ועדת הביקורת והמבקר הפנימי</w:t>
      </w:r>
      <w:bookmarkEnd w:id="53"/>
      <w:r>
        <w:rPr>
          <w:rFonts w:hint="cs"/>
          <w:rtl/>
        </w:rPr>
        <w:t xml:space="preserve"> </w:t>
      </w:r>
    </w:p>
    <w:p w14:paraId="1C11A6B5" w14:textId="77777777" w:rsidR="00387987" w:rsidRDefault="00387987" w:rsidP="00C94857">
      <w:pPr>
        <w:pStyle w:val="100"/>
      </w:pPr>
      <w:r>
        <w:rPr>
          <w:rFonts w:hint="cs"/>
          <w:rtl/>
        </w:rPr>
        <w:t>תפקידה של יחידת ביקורת פנימית בחברה הוא לבדוק את תקינותן של פעולות החברה מבחינת השמירה על החוק, ניהול עסקים תקין, מעקב אחר המתרחש בחברה, בחינת מערכות הביקורת, זיהוי כשלים והמלצה על תיקונם. בחברה פרטית אין חובה למנות מבקר פנים, אולם בעת הקמת החברה הכלכלית של לשכת עורכי הדין, ראתה הלשכה צורך למנות גם מבקר פנימי לחברה וגם ועדת ביקורת המפקחת עליו</w:t>
      </w:r>
      <w:r>
        <w:rPr>
          <w:rStyle w:val="FootnoteReference"/>
          <w:rtl/>
        </w:rPr>
        <w:footnoteReference w:id="115"/>
      </w:r>
      <w:r>
        <w:rPr>
          <w:rFonts w:hint="cs"/>
          <w:rtl/>
        </w:rPr>
        <w:t xml:space="preserve">. </w:t>
      </w:r>
    </w:p>
    <w:p w14:paraId="4FB58A2C" w14:textId="77777777" w:rsidR="00387987" w:rsidRDefault="00387987" w:rsidP="00C94857">
      <w:pPr>
        <w:pStyle w:val="100"/>
      </w:pPr>
      <w:r>
        <w:rPr>
          <w:rFonts w:hint="cs"/>
          <w:rtl/>
        </w:rPr>
        <w:t xml:space="preserve">בדצמבר 2015 מינה הדירקטוריון הקודם ועדת ביקורת. חוק החברות קובע כי תפקידה של ועדת הביקורת </w:t>
      </w:r>
      <w:r w:rsidRPr="006F6AD6">
        <w:rPr>
          <w:rtl/>
        </w:rPr>
        <w:t>לעמוד על ליקויים בניהול העסקי של החברה ולהציע לדירקטוריון דרכים לתיקונם</w:t>
      </w:r>
      <w:r>
        <w:rPr>
          <w:rFonts w:hint="cs"/>
          <w:rtl/>
        </w:rPr>
        <w:t xml:space="preserve">. אם מצאה הוועדה שאחד הליקויים הוא </w:t>
      </w:r>
      <w:r w:rsidRPr="006F6AD6">
        <w:rPr>
          <w:rtl/>
        </w:rPr>
        <w:t xml:space="preserve">ליקוי מהותי, תקיים ישיבה אחת לפחות </w:t>
      </w:r>
      <w:r>
        <w:rPr>
          <w:rFonts w:hint="cs"/>
          <w:rtl/>
        </w:rPr>
        <w:t>ב</w:t>
      </w:r>
      <w:r w:rsidRPr="006F6AD6">
        <w:rPr>
          <w:rtl/>
        </w:rPr>
        <w:t>עניי</w:t>
      </w:r>
      <w:r>
        <w:rPr>
          <w:rFonts w:hint="cs"/>
          <w:rtl/>
        </w:rPr>
        <w:t xml:space="preserve">נו. גם תקנון החברה קובע כי על הוועדה לדון בדוחות הביקורת של המבקר הפנימי. </w:t>
      </w:r>
    </w:p>
    <w:p w14:paraId="6537654A" w14:textId="77777777" w:rsidR="00387987" w:rsidRDefault="00387987" w:rsidP="00C94857">
      <w:pPr>
        <w:pStyle w:val="100"/>
        <w:rPr>
          <w:rtl/>
        </w:rPr>
      </w:pPr>
      <w:r>
        <w:rPr>
          <w:rFonts w:hint="cs"/>
          <w:rtl/>
        </w:rPr>
        <w:t xml:space="preserve">בחודש יולי 2016 מינה הדירקטוריון מבקר פנימי לחברה. תפקידו של המבקר הפנימי לבדוק בין היתר את תקינות פעילות החברה, נושאי משרה ובעלי תפקידים בה מבחינת השמירה על החוק, הניהול התקין, טוהר המידות, החיסכון והיעילות וכן את ניהול נכסי החברה והתחייבויותיה ובכלל זה הנהלת החשבונות שלה, דרכי שמירה על הרכוש והחזקת הכספים והשקעתם. </w:t>
      </w:r>
    </w:p>
    <w:p w14:paraId="3CEE37D3" w14:textId="77777777" w:rsidR="00387987" w:rsidRPr="00E02921" w:rsidRDefault="00387987" w:rsidP="00C94857">
      <w:pPr>
        <w:pStyle w:val="100"/>
        <w:rPr>
          <w:color w:val="000000"/>
          <w:sz w:val="24"/>
          <w:rtl/>
        </w:rPr>
      </w:pPr>
      <w:r w:rsidRPr="00E02921">
        <w:rPr>
          <w:rFonts w:hint="cs"/>
          <w:color w:val="000000"/>
          <w:sz w:val="24"/>
          <w:rtl/>
        </w:rPr>
        <w:t>המבקר הפנימי התבקש לבצע סקר סיכונים שישמש בסיס ל</w:t>
      </w:r>
      <w:r>
        <w:rPr>
          <w:rFonts w:hint="cs"/>
          <w:color w:val="000000"/>
          <w:sz w:val="24"/>
          <w:rtl/>
        </w:rPr>
        <w:t>תוכנית</w:t>
      </w:r>
      <w:r w:rsidRPr="00E02921">
        <w:rPr>
          <w:rFonts w:hint="cs"/>
          <w:color w:val="000000"/>
          <w:sz w:val="24"/>
          <w:rtl/>
        </w:rPr>
        <w:t xml:space="preserve"> עבודת הביקורת הפנימית בחברה. בדצמבר 2016 הוצג סקר סיכונים מצומצם לפני ועדת הביקורת</w:t>
      </w:r>
      <w:r>
        <w:rPr>
          <w:rFonts w:hint="cs"/>
          <w:color w:val="000000"/>
          <w:sz w:val="24"/>
          <w:rtl/>
        </w:rPr>
        <w:t>,</w:t>
      </w:r>
      <w:r w:rsidRPr="00E02921">
        <w:rPr>
          <w:rFonts w:hint="cs"/>
          <w:color w:val="000000"/>
          <w:sz w:val="24"/>
          <w:rtl/>
        </w:rPr>
        <w:t xml:space="preserve"> </w:t>
      </w:r>
      <w:r>
        <w:rPr>
          <w:rFonts w:hint="cs"/>
          <w:color w:val="000000"/>
          <w:sz w:val="24"/>
          <w:rtl/>
        </w:rPr>
        <w:t>וזו</w:t>
      </w:r>
      <w:r w:rsidRPr="00E02921">
        <w:rPr>
          <w:rFonts w:hint="cs"/>
          <w:color w:val="000000"/>
          <w:sz w:val="24"/>
          <w:rtl/>
        </w:rPr>
        <w:t xml:space="preserve"> המליצה כי הסקר יוצג לדירקטוריון החברה בדיון הקרוב. סקר הסיכונים המצומצם שימש להכנת </w:t>
      </w:r>
      <w:r>
        <w:rPr>
          <w:rFonts w:hint="cs"/>
          <w:color w:val="000000"/>
          <w:sz w:val="24"/>
          <w:rtl/>
        </w:rPr>
        <w:t>תוכנית</w:t>
      </w:r>
      <w:r w:rsidRPr="00E02921">
        <w:rPr>
          <w:rFonts w:hint="cs"/>
          <w:color w:val="000000"/>
          <w:sz w:val="24"/>
          <w:rtl/>
        </w:rPr>
        <w:t xml:space="preserve"> העבודה של המבקר הפנימי והועבר לעיון הדירקטוריון. </w:t>
      </w:r>
    </w:p>
    <w:p w14:paraId="548485E2" w14:textId="77777777" w:rsidR="00387987" w:rsidRDefault="00387987" w:rsidP="00C94857">
      <w:pPr>
        <w:pStyle w:val="af3"/>
        <w:rPr>
          <w:rtl/>
        </w:rPr>
      </w:pPr>
      <w:r>
        <w:rPr>
          <w:rFonts w:hint="cs"/>
          <w:rtl/>
        </w:rPr>
        <w:t xml:space="preserve">נמצא כי הדירקטוריון הקודם לא דן בסקר ובממצאיו </w:t>
      </w:r>
      <w:r w:rsidRPr="0071653B">
        <w:rPr>
          <w:rFonts w:hint="cs"/>
          <w:rtl/>
        </w:rPr>
        <w:t xml:space="preserve">ולא </w:t>
      </w:r>
      <w:r>
        <w:rPr>
          <w:rFonts w:hint="cs"/>
          <w:rtl/>
        </w:rPr>
        <w:t xml:space="preserve">קיבל החלטות בנוגע לפעולות שיש לנקוט כדי להפחית את הסיכוי להתממשות הסיכונים שנמצאו בו. </w:t>
      </w:r>
    </w:p>
    <w:p w14:paraId="5709BD4D" w14:textId="77777777" w:rsidR="00387987" w:rsidRDefault="00387987" w:rsidP="00C94857">
      <w:pPr>
        <w:pStyle w:val="100"/>
        <w:rPr>
          <w:rtl/>
        </w:rPr>
      </w:pPr>
      <w:r>
        <w:rPr>
          <w:rFonts w:hint="cs"/>
          <w:rtl/>
        </w:rPr>
        <w:t xml:space="preserve">בשנים 2017 - 2018 כתב המבקר הפנימי של החברה הכלכלית שישה דוחות ביקורת. </w:t>
      </w:r>
    </w:p>
    <w:p w14:paraId="1C21D6A6" w14:textId="77777777" w:rsidR="00387987" w:rsidRDefault="00387987" w:rsidP="00C94857">
      <w:pPr>
        <w:pStyle w:val="af3"/>
        <w:rPr>
          <w:rtl/>
        </w:rPr>
      </w:pPr>
      <w:r>
        <w:rPr>
          <w:rFonts w:hint="cs"/>
          <w:rtl/>
        </w:rPr>
        <w:t xml:space="preserve">משרד מבקר המדינה רואה בחיוב את מספר הדוחות שכתב המבקר הפנימי בחברה בשנים 2017 - 2018. עם זאת, </w:t>
      </w:r>
      <w:r w:rsidRPr="00F11B31">
        <w:rPr>
          <w:rFonts w:hint="cs"/>
          <w:rtl/>
        </w:rPr>
        <w:t xml:space="preserve">נמצא כי </w:t>
      </w:r>
      <w:r>
        <w:rPr>
          <w:rFonts w:hint="cs"/>
          <w:rtl/>
        </w:rPr>
        <w:t>הדירקטוריון הקודם לא דן בשלושה דוחות.</w:t>
      </w:r>
    </w:p>
    <w:p w14:paraId="4C063FB8" w14:textId="30AB9723" w:rsidR="00387987" w:rsidRDefault="00387987" w:rsidP="00C94857">
      <w:pPr>
        <w:pStyle w:val="100"/>
        <w:rPr>
          <w:rtl/>
        </w:rPr>
      </w:pPr>
      <w:r w:rsidRPr="00F70515">
        <w:rPr>
          <w:rFonts w:hint="cs"/>
          <w:rtl/>
        </w:rPr>
        <w:t>דיון</w:t>
      </w:r>
      <w:r>
        <w:rPr>
          <w:rFonts w:hint="cs"/>
          <w:rtl/>
        </w:rPr>
        <w:t xml:space="preserve"> של ועדת ביקורת ודירקטוריון </w:t>
      </w:r>
      <w:r w:rsidRPr="00F70515">
        <w:rPr>
          <w:rFonts w:hint="cs"/>
          <w:rtl/>
        </w:rPr>
        <w:t>בליקויים העולים מדוחות הביקורת חיוני כדי ללמוד על הסיכונים העומדים בפני החברה בנושאים שנ</w:t>
      </w:r>
      <w:r>
        <w:rPr>
          <w:rFonts w:hint="cs"/>
          <w:rtl/>
        </w:rPr>
        <w:t>בחנו</w:t>
      </w:r>
      <w:r w:rsidRPr="00F70515">
        <w:rPr>
          <w:rFonts w:hint="cs"/>
          <w:rtl/>
        </w:rPr>
        <w:t xml:space="preserve"> בביקורת הפנימית, לדון בדרכים לתיקון הליקויים שהופיעו בדוח ולהמליץ על דרכי פעולה מתאימות</w:t>
      </w:r>
      <w:r>
        <w:rPr>
          <w:rFonts w:hint="cs"/>
          <w:rtl/>
        </w:rPr>
        <w:t xml:space="preserve">. יצוין כי הדוחות עסקו בנושאים מרכזיים בעלי השפעה ניכרת על פעילותה הכלכלית של החברה ובהם: התפתחות הגירעון בחברה הכלכלית; קבלת החלטות בדירקטוריון; כינוסן של ועדות משנה של הדירקטוריון ותיעוד החלטותיהן ועוד. </w:t>
      </w:r>
    </w:p>
    <w:p w14:paraId="461DCBB2" w14:textId="77777777" w:rsidR="00387987" w:rsidRDefault="00387987" w:rsidP="00C94857">
      <w:pPr>
        <w:pStyle w:val="af3"/>
        <w:rPr>
          <w:rtl/>
        </w:rPr>
      </w:pPr>
      <w:r>
        <w:rPr>
          <w:rFonts w:hint="cs"/>
          <w:rtl/>
        </w:rPr>
        <w:t>היעדר דיון של הדירקטוריון בכל דוחות הביקורת הפנימית מנע קבלת החלטות על דרכי הפעולה המתאימות לתיקון הליקויים שנתגלו</w:t>
      </w:r>
      <w:r w:rsidRPr="00930F32">
        <w:rPr>
          <w:rFonts w:hint="cs"/>
          <w:rtl/>
        </w:rPr>
        <w:t>. במצב זה</w:t>
      </w:r>
      <w:r>
        <w:rPr>
          <w:rFonts w:hint="cs"/>
          <w:rtl/>
        </w:rPr>
        <w:t xml:space="preserve"> ממילא </w:t>
      </w:r>
      <w:r w:rsidRPr="00930F32">
        <w:rPr>
          <w:rFonts w:hint="cs"/>
          <w:rtl/>
        </w:rPr>
        <w:t>לא נעשה הליך שיטתי וסדור למעקב אחר פעולות שנעשו ל</w:t>
      </w:r>
      <w:r>
        <w:rPr>
          <w:rFonts w:hint="cs"/>
          <w:rtl/>
        </w:rPr>
        <w:t>תיקון הליקויים שהעלו</w:t>
      </w:r>
      <w:r w:rsidRPr="00930F32">
        <w:rPr>
          <w:rFonts w:hint="cs"/>
          <w:rtl/>
        </w:rPr>
        <w:t xml:space="preserve"> הדוחות.</w:t>
      </w:r>
      <w:r>
        <w:rPr>
          <w:rFonts w:hint="cs"/>
          <w:rtl/>
        </w:rPr>
        <w:t xml:space="preserve"> על רקע אתגרי הניהול הפיננסי של החברה המתוארים בדוח זה הייתה חשיבות מיוחדת לדיון בדוחות שעסקו ברובם המכריע בליקויים בהיבטים פיננסיים.</w:t>
      </w:r>
    </w:p>
    <w:p w14:paraId="588EECEE" w14:textId="77777777" w:rsidR="00387987" w:rsidRPr="002825DF" w:rsidRDefault="00387987" w:rsidP="004D2869">
      <w:pPr>
        <w:pStyle w:val="100"/>
      </w:pPr>
      <w:r>
        <w:rPr>
          <w:rFonts w:hint="cs"/>
          <w:rtl/>
        </w:rPr>
        <w:t xml:space="preserve">יו"ר הדירקטוריון לשעבר הסביר בתשובתו כי הוא מצא חשיבות רבה בפעילות ועדת הביקורת ומבקר הפנים, וכי לאחר שקיבל את דוחות הביקורת, הוא שוחח עם הנהלת החברה והיועץ המשפטי, וההמלצות שהועלו בדוחות עלו ליישום מיידי על ידי הנהלת החברה. </w:t>
      </w:r>
    </w:p>
    <w:p w14:paraId="50CC1E22" w14:textId="77777777" w:rsidR="00387987" w:rsidRPr="007B5B83" w:rsidRDefault="00387987" w:rsidP="00C94857">
      <w:pPr>
        <w:pStyle w:val="af3"/>
        <w:rPr>
          <w:rtl/>
        </w:rPr>
      </w:pPr>
      <w:r w:rsidRPr="007B5B83">
        <w:rPr>
          <w:rFonts w:hint="cs"/>
          <w:rtl/>
        </w:rPr>
        <w:t>משרד מבקר המדינה מציין כי בחינה ודיון על המלצות שבדוחות</w:t>
      </w:r>
      <w:r>
        <w:rPr>
          <w:rFonts w:hint="cs"/>
          <w:rtl/>
        </w:rPr>
        <w:t xml:space="preserve"> הביקורת בהליך סדור ומתועד, </w:t>
      </w:r>
      <w:r w:rsidRPr="007B5B83">
        <w:rPr>
          <w:rFonts w:hint="cs"/>
          <w:rtl/>
        </w:rPr>
        <w:t>מטייב את הפיקוח והמעקב אחר תהליך תיקון הליקויים. מומלץ כי דירקטוריון החברה יקפיד לקיים הליך סדור ביחס לדוחות הביקורת.</w:t>
      </w:r>
    </w:p>
    <w:p w14:paraId="1ED7A282" w14:textId="77777777" w:rsidR="00387987" w:rsidRDefault="00387987" w:rsidP="004D2869">
      <w:pPr>
        <w:pStyle w:val="414"/>
        <w:rPr>
          <w:rtl/>
        </w:rPr>
      </w:pPr>
      <w:bookmarkStart w:id="54" w:name="_Toc23155614"/>
      <w:r>
        <w:rPr>
          <w:rFonts w:hint="cs"/>
          <w:rtl/>
        </w:rPr>
        <w:t>שימוש הדירקטוריון והלשכה בכלים העומדים לרשותם לפיקוח על החברה</w:t>
      </w:r>
      <w:bookmarkEnd w:id="54"/>
      <w:r>
        <w:rPr>
          <w:rFonts w:hint="cs"/>
          <w:rtl/>
        </w:rPr>
        <w:t xml:space="preserve"> </w:t>
      </w:r>
    </w:p>
    <w:p w14:paraId="09743AF0" w14:textId="77777777" w:rsidR="00387987" w:rsidRPr="007138D2" w:rsidRDefault="00387987" w:rsidP="004D2869">
      <w:pPr>
        <w:pStyle w:val="a1"/>
        <w:numPr>
          <w:ilvl w:val="0"/>
          <w:numId w:val="27"/>
        </w:numPr>
        <w:rPr>
          <w:rtl/>
        </w:rPr>
      </w:pPr>
      <w:r w:rsidRPr="007138D2">
        <w:rPr>
          <w:rFonts w:hint="cs"/>
          <w:rtl/>
        </w:rPr>
        <w:t xml:space="preserve">בעלת המניות - הלשכה, היא הממנה את הדירקטוריון של החברה הכלכלית, והאינטרס שלה הוא כי אותו דירקטוריון יבצע </w:t>
      </w:r>
      <w:r>
        <w:rPr>
          <w:rFonts w:hint="cs"/>
          <w:rtl/>
        </w:rPr>
        <w:t xml:space="preserve">את </w:t>
      </w:r>
      <w:r w:rsidRPr="007138D2">
        <w:rPr>
          <w:rFonts w:hint="cs"/>
          <w:rtl/>
        </w:rPr>
        <w:t>תפקידו על הצד הטוב ביותר. מ</w:t>
      </w:r>
      <w:r>
        <w:rPr>
          <w:rFonts w:hint="cs"/>
          <w:rtl/>
        </w:rPr>
        <w:t xml:space="preserve">ינוי הדירקטורים הוא כלי </w:t>
      </w:r>
      <w:r w:rsidRPr="007138D2">
        <w:rPr>
          <w:rFonts w:hint="cs"/>
          <w:rtl/>
        </w:rPr>
        <w:t>מרכזי של הלשכה בפיקוח על חברת הבת.</w:t>
      </w:r>
    </w:p>
    <w:p w14:paraId="383FFF1E" w14:textId="77777777" w:rsidR="00387987" w:rsidRPr="007138D2" w:rsidRDefault="00387987" w:rsidP="004D2869">
      <w:pPr>
        <w:pStyle w:val="12"/>
        <w:rPr>
          <w:rtl/>
        </w:rPr>
      </w:pPr>
      <w:r>
        <w:rPr>
          <w:rFonts w:hint="cs"/>
          <w:rtl/>
        </w:rPr>
        <w:t>עקב אי-שביעות הרצון מתפקוד הדירקטוריון הקודם וועדותיו, כפי שפורט לעיל,</w:t>
      </w:r>
      <w:r w:rsidRPr="007178BB">
        <w:rPr>
          <w:rFonts w:hint="cs"/>
          <w:rtl/>
        </w:rPr>
        <w:t xml:space="preserve"> על הלשכה לתת דעתה למשמעות</w:t>
      </w:r>
      <w:r>
        <w:rPr>
          <w:rFonts w:hint="cs"/>
          <w:rtl/>
        </w:rPr>
        <w:t xml:space="preserve"> </w:t>
      </w:r>
      <w:r w:rsidRPr="007178BB">
        <w:rPr>
          <w:rFonts w:hint="cs"/>
          <w:rtl/>
        </w:rPr>
        <w:t>ה</w:t>
      </w:r>
      <w:r>
        <w:rPr>
          <w:rFonts w:hint="cs"/>
          <w:rtl/>
        </w:rPr>
        <w:t xml:space="preserve">רבה של תפקיד הדירקטורים בחברה ולדרישות הכרוכות בו. עליה להקפיד </w:t>
      </w:r>
      <w:r w:rsidRPr="007178BB">
        <w:rPr>
          <w:rFonts w:hint="cs"/>
          <w:rtl/>
        </w:rPr>
        <w:t>ולוודא</w:t>
      </w:r>
      <w:r>
        <w:rPr>
          <w:rFonts w:hint="cs"/>
          <w:rtl/>
        </w:rPr>
        <w:t xml:space="preserve"> </w:t>
      </w:r>
      <w:r w:rsidRPr="007178BB">
        <w:rPr>
          <w:rFonts w:hint="cs"/>
          <w:rtl/>
        </w:rPr>
        <w:t>כי</w:t>
      </w:r>
      <w:r>
        <w:rPr>
          <w:rFonts w:hint="cs"/>
          <w:rtl/>
        </w:rPr>
        <w:t xml:space="preserve"> </w:t>
      </w:r>
      <w:r w:rsidRPr="007178BB">
        <w:rPr>
          <w:rFonts w:hint="cs"/>
          <w:rtl/>
        </w:rPr>
        <w:t>היא מב</w:t>
      </w:r>
      <w:r>
        <w:rPr>
          <w:rFonts w:hint="cs"/>
          <w:rtl/>
        </w:rPr>
        <w:t>ה</w:t>
      </w:r>
      <w:r w:rsidRPr="007178BB">
        <w:rPr>
          <w:rFonts w:hint="cs"/>
          <w:rtl/>
        </w:rPr>
        <w:t>ירה ל</w:t>
      </w:r>
      <w:r>
        <w:rPr>
          <w:rFonts w:hint="cs"/>
          <w:rtl/>
        </w:rPr>
        <w:t>דירקטורים מטעמה</w:t>
      </w:r>
      <w:r w:rsidRPr="007178BB">
        <w:rPr>
          <w:rFonts w:hint="cs"/>
          <w:rtl/>
        </w:rPr>
        <w:t xml:space="preserve"> בבירור </w:t>
      </w:r>
      <w:r>
        <w:rPr>
          <w:rFonts w:hint="cs"/>
          <w:rtl/>
        </w:rPr>
        <w:t>את ציפיותיה מ</w:t>
      </w:r>
      <w:r w:rsidRPr="007178BB">
        <w:rPr>
          <w:rFonts w:hint="cs"/>
          <w:rtl/>
        </w:rPr>
        <w:t>תפקודם כשלוחיה</w:t>
      </w:r>
      <w:r>
        <w:rPr>
          <w:rFonts w:hint="cs"/>
          <w:rtl/>
        </w:rPr>
        <w:t xml:space="preserve"> ולוודא כי הם ממלאים אותן</w:t>
      </w:r>
      <w:r w:rsidRPr="007178BB">
        <w:rPr>
          <w:rFonts w:hint="cs"/>
          <w:rtl/>
        </w:rPr>
        <w:t>.</w:t>
      </w:r>
    </w:p>
    <w:p w14:paraId="2CD7A10B" w14:textId="77777777" w:rsidR="00387987" w:rsidRDefault="00387987" w:rsidP="004D2869">
      <w:pPr>
        <w:pStyle w:val="a1"/>
      </w:pPr>
      <w:r>
        <w:rPr>
          <w:rFonts w:hint="cs"/>
          <w:rtl/>
        </w:rPr>
        <w:t xml:space="preserve">הלשכה היא הבעלים של כמה חברות בת. בשנת 2011, על מנת לוודא שהחברות מתנהלות באופן יעיל וחסכוני ושומרות על מינהל תקין, הוציאה הלשכה את נוהל הבקרה הקובע סדרת פעולות שאורגנים בלשכת עורכי הדין ובחברות הבת נדרשים לבצע. </w:t>
      </w:r>
    </w:p>
    <w:p w14:paraId="18DD98CD" w14:textId="77777777" w:rsidR="00387987" w:rsidRDefault="00387987" w:rsidP="004D2869">
      <w:pPr>
        <w:pStyle w:val="af2"/>
        <w:rPr>
          <w:rtl/>
        </w:rPr>
      </w:pPr>
      <w:r>
        <w:rPr>
          <w:rFonts w:hint="cs"/>
          <w:rtl/>
        </w:rPr>
        <w:t xml:space="preserve">הנוהל קובע כי על הלשכה לקיים בקרה על החברה באמצעות בדיקה תקציבית וניתוח דוחות כספיים שלה: בכל חודש על הלשכה לנתח דוח פעילות תמציתי של החברה, ובכל רבעון עליה לנתח את ביצוע התקציב והדוחות הכספיים (מאזן רווח והפסד ותזרים מזומנים). בקרה זו מאפשרת יצירת מעקב אחר פעילות החברה ואבחון סטיות מתוכנית העבודה שלה ומקורן - תחזיות והנחות מוטעות או ביצוע לקוי. </w:t>
      </w:r>
    </w:p>
    <w:p w14:paraId="75241AE4" w14:textId="77777777" w:rsidR="00387987" w:rsidRDefault="00387987" w:rsidP="004D2869">
      <w:pPr>
        <w:pStyle w:val="12"/>
        <w:rPr>
          <w:rtl/>
        </w:rPr>
      </w:pPr>
      <w:r>
        <w:rPr>
          <w:rFonts w:hint="cs"/>
          <w:rtl/>
        </w:rPr>
        <w:t>הביקורת העלתה כי נוהל הבקרה של הלשכה כלל אינו מיושם:</w:t>
      </w:r>
      <w:r w:rsidRPr="000D67E2">
        <w:rPr>
          <w:rFonts w:hint="cs"/>
          <w:rtl/>
        </w:rPr>
        <w:t xml:space="preserve"> ה</w:t>
      </w:r>
      <w:r>
        <w:rPr>
          <w:rFonts w:hint="cs"/>
          <w:rtl/>
        </w:rPr>
        <w:t>לשכה לא עמדה על כך שה</w:t>
      </w:r>
      <w:r w:rsidRPr="000D67E2">
        <w:rPr>
          <w:rFonts w:hint="cs"/>
          <w:rtl/>
        </w:rPr>
        <w:t xml:space="preserve">חברה </w:t>
      </w:r>
      <w:r>
        <w:rPr>
          <w:rFonts w:hint="cs"/>
          <w:rtl/>
        </w:rPr>
        <w:t>ת</w:t>
      </w:r>
      <w:r w:rsidRPr="000D67E2">
        <w:rPr>
          <w:rFonts w:hint="cs"/>
          <w:rtl/>
        </w:rPr>
        <w:t>גיש</w:t>
      </w:r>
      <w:r>
        <w:rPr>
          <w:rFonts w:hint="cs"/>
          <w:rtl/>
        </w:rPr>
        <w:t xml:space="preserve"> אליה ד</w:t>
      </w:r>
      <w:r w:rsidRPr="000D67E2">
        <w:rPr>
          <w:rFonts w:hint="cs"/>
          <w:rtl/>
        </w:rPr>
        <w:t xml:space="preserve">וח פעילות תמציתי </w:t>
      </w:r>
      <w:r>
        <w:rPr>
          <w:rFonts w:hint="cs"/>
          <w:rtl/>
        </w:rPr>
        <w:t>ו</w:t>
      </w:r>
      <w:r w:rsidRPr="000D67E2">
        <w:rPr>
          <w:rFonts w:hint="cs"/>
          <w:rtl/>
        </w:rPr>
        <w:t>דיווח על ביצוע התקציב</w:t>
      </w:r>
      <w:r>
        <w:rPr>
          <w:rFonts w:hint="cs"/>
          <w:rtl/>
        </w:rPr>
        <w:t xml:space="preserve"> ומאזן רווח והפסד. בכך נמנעה הלשכה משימוש בכלי בקרה מרכזי על החברה.</w:t>
      </w:r>
    </w:p>
    <w:p w14:paraId="02288D24" w14:textId="77777777" w:rsidR="00387987" w:rsidRDefault="00387987" w:rsidP="004D2869">
      <w:pPr>
        <w:pStyle w:val="a1"/>
      </w:pPr>
      <w:r w:rsidRPr="000D67E2">
        <w:rPr>
          <w:rFonts w:hint="cs"/>
          <w:rtl/>
        </w:rPr>
        <w:t>חוק החברות מקנה</w:t>
      </w:r>
      <w:r>
        <w:rPr>
          <w:rFonts w:hint="cs"/>
          <w:rtl/>
        </w:rPr>
        <w:t xml:space="preserve"> </w:t>
      </w:r>
      <w:r w:rsidRPr="000D67E2">
        <w:rPr>
          <w:rFonts w:hint="cs"/>
          <w:rtl/>
        </w:rPr>
        <w:t>לדירקטוריון כלים למימוש תפקידיו</w:t>
      </w:r>
      <w:r>
        <w:rPr>
          <w:rFonts w:hint="cs"/>
          <w:rtl/>
        </w:rPr>
        <w:t xml:space="preserve"> </w:t>
      </w:r>
      <w:r w:rsidRPr="000D67E2">
        <w:rPr>
          <w:rFonts w:hint="cs"/>
          <w:rtl/>
        </w:rPr>
        <w:t>בהתוו</w:t>
      </w:r>
      <w:r>
        <w:rPr>
          <w:rFonts w:hint="cs"/>
          <w:rtl/>
        </w:rPr>
        <w:t>י</w:t>
      </w:r>
      <w:r w:rsidRPr="000D67E2">
        <w:rPr>
          <w:rFonts w:hint="cs"/>
          <w:rtl/>
        </w:rPr>
        <w:t>ית מדיניות החברה ופיקוח על ביצוע תפקידי המנכ"ל:</w:t>
      </w:r>
      <w:r>
        <w:rPr>
          <w:rFonts w:hint="cs"/>
          <w:rtl/>
        </w:rPr>
        <w:t xml:space="preserve"> </w:t>
      </w:r>
      <w:r w:rsidRPr="000D67E2">
        <w:rPr>
          <w:rFonts w:hint="cs"/>
          <w:rtl/>
        </w:rPr>
        <w:t>המנכ"ל נדרש לדווח לדירקטוריון בנושאים, במועדים ובהיקף שעליו יחליט הדירקטוריון</w:t>
      </w:r>
      <w:r>
        <w:rPr>
          <w:rFonts w:hint="cs"/>
          <w:rtl/>
        </w:rPr>
        <w:t>;</w:t>
      </w:r>
      <w:r w:rsidRPr="000D67E2">
        <w:rPr>
          <w:rFonts w:hint="cs"/>
          <w:rtl/>
        </w:rPr>
        <w:t xml:space="preserve"> הדירק</w:t>
      </w:r>
      <w:r>
        <w:rPr>
          <w:rFonts w:hint="cs"/>
          <w:rtl/>
        </w:rPr>
        <w:t xml:space="preserve">טוריון רשאי למנות ועדות משנה; הדירקטוריון רשאי לפטר את המנכ"ל; </w:t>
      </w:r>
      <w:r w:rsidRPr="000D67E2">
        <w:rPr>
          <w:rFonts w:hint="cs"/>
          <w:rtl/>
        </w:rPr>
        <w:t>הדירקטורים רשאים לבדוק את מסמכי החברה, נכסיה ורישומיה ולהיעזר בייעוץ מקצועי</w:t>
      </w:r>
      <w:r>
        <w:rPr>
          <w:rFonts w:hint="cs"/>
          <w:rtl/>
        </w:rPr>
        <w:t xml:space="preserve"> לביצוע תפקידם;</w:t>
      </w:r>
      <w:r w:rsidRPr="000D67E2">
        <w:rPr>
          <w:rFonts w:hint="cs"/>
          <w:rtl/>
        </w:rPr>
        <w:t xml:space="preserve"> נוסף </w:t>
      </w:r>
      <w:r>
        <w:rPr>
          <w:rFonts w:hint="cs"/>
          <w:rtl/>
        </w:rPr>
        <w:t>ע</w:t>
      </w:r>
      <w:r w:rsidRPr="000D67E2">
        <w:rPr>
          <w:rFonts w:hint="cs"/>
          <w:rtl/>
        </w:rPr>
        <w:t>ל</w:t>
      </w:r>
      <w:r>
        <w:rPr>
          <w:rFonts w:hint="cs"/>
          <w:rtl/>
        </w:rPr>
        <w:t xml:space="preserve"> </w:t>
      </w:r>
      <w:r w:rsidRPr="000D67E2">
        <w:rPr>
          <w:rFonts w:hint="cs"/>
          <w:rtl/>
        </w:rPr>
        <w:t>אלה</w:t>
      </w:r>
      <w:r>
        <w:rPr>
          <w:rFonts w:hint="cs"/>
          <w:rtl/>
        </w:rPr>
        <w:t>,</w:t>
      </w:r>
      <w:r w:rsidRPr="000D67E2">
        <w:rPr>
          <w:rFonts w:hint="cs"/>
          <w:rtl/>
        </w:rPr>
        <w:t xml:space="preserve"> ביכולתו של הדירקטוריון לפעול לתיקון ליקויים </w:t>
      </w:r>
      <w:r>
        <w:rPr>
          <w:rFonts w:hint="cs"/>
          <w:rtl/>
        </w:rPr>
        <w:t>ש</w:t>
      </w:r>
      <w:r w:rsidRPr="000D67E2">
        <w:rPr>
          <w:rFonts w:hint="cs"/>
          <w:rtl/>
        </w:rPr>
        <w:t xml:space="preserve">עליהם הצביעו ועדת הביקורת בחברה ודוחות ביקורת הפנים. </w:t>
      </w:r>
    </w:p>
    <w:p w14:paraId="73B63775" w14:textId="77777777" w:rsidR="00387987" w:rsidRDefault="00387987" w:rsidP="004D2869">
      <w:pPr>
        <w:pStyle w:val="af2"/>
        <w:rPr>
          <w:rtl/>
        </w:rPr>
      </w:pPr>
      <w:r>
        <w:rPr>
          <w:rFonts w:hint="cs"/>
          <w:rtl/>
        </w:rPr>
        <w:t xml:space="preserve">בשנים 2017 - 2018 הביעו חברי הדירקטוריון את מורת רוחם בנוגע להיקף ודיוק המידע שקיבלו וציינו כי הם כלל לא מקבלים דוחות ומסמכים. שוב ושוב עלו בישיבות דירקטוריון החברה השגות בעניין זה, דרישות לשינוי המצב ודרישות לקבלת מידע, שלא נענו לאורך תקופה. </w:t>
      </w:r>
    </w:p>
    <w:p w14:paraId="666390C7" w14:textId="77777777" w:rsidR="00387987" w:rsidRPr="003F4A1E" w:rsidRDefault="00387987" w:rsidP="004D2869">
      <w:pPr>
        <w:pStyle w:val="12"/>
        <w:rPr>
          <w:rtl/>
        </w:rPr>
      </w:pPr>
      <w:r w:rsidRPr="003F4A1E">
        <w:rPr>
          <w:rFonts w:hint="cs"/>
          <w:rtl/>
        </w:rPr>
        <w:t xml:space="preserve">ואולם הדירקטוריון </w:t>
      </w:r>
      <w:r>
        <w:rPr>
          <w:rFonts w:hint="cs"/>
          <w:rtl/>
        </w:rPr>
        <w:t xml:space="preserve">הקודם </w:t>
      </w:r>
      <w:r w:rsidRPr="003F4A1E">
        <w:rPr>
          <w:rFonts w:hint="cs"/>
          <w:rtl/>
        </w:rPr>
        <w:t xml:space="preserve">לא הקפיד לתרגם את הטענות שעלו בדיון להחלטות, לא מינה גורם שיעקוב אחר ביצוע החלטות ולא עמד בתוקף על חובת ההנהלה להעביר אליו דוחות ומסמכים הדרושים לו. כך, למשל, משך שנים לא עמד דירקטוריון החברה </w:t>
      </w:r>
      <w:r>
        <w:rPr>
          <w:rFonts w:hint="cs"/>
          <w:rtl/>
        </w:rPr>
        <w:t>על כך ש</w:t>
      </w:r>
      <w:r w:rsidRPr="003F4A1E">
        <w:rPr>
          <w:rtl/>
        </w:rPr>
        <w:t xml:space="preserve">ההנהלה </w:t>
      </w:r>
      <w:r>
        <w:rPr>
          <w:rFonts w:hint="cs"/>
          <w:rtl/>
        </w:rPr>
        <w:t>ת</w:t>
      </w:r>
      <w:r w:rsidRPr="003F4A1E">
        <w:rPr>
          <w:rtl/>
        </w:rPr>
        <w:t xml:space="preserve">גיש לאישורו </w:t>
      </w:r>
      <w:r w:rsidRPr="003F4A1E">
        <w:rPr>
          <w:rFonts w:hint="eastAsia"/>
          <w:rtl/>
        </w:rPr>
        <w:t>תוכנית</w:t>
      </w:r>
      <w:r w:rsidRPr="003F4A1E">
        <w:rPr>
          <w:rtl/>
        </w:rPr>
        <w:t xml:space="preserve"> עבודה מסודרת ומלאה.</w:t>
      </w:r>
    </w:p>
    <w:p w14:paraId="24D8930D" w14:textId="23EED418" w:rsidR="00387987" w:rsidRDefault="00387987" w:rsidP="006C4287">
      <w:pPr>
        <w:pStyle w:val="af3"/>
        <w:rPr>
          <w:rtl/>
        </w:rPr>
      </w:pPr>
      <w:r w:rsidRPr="00213B0B">
        <w:rPr>
          <w:rFonts w:hint="cs"/>
          <w:rtl/>
        </w:rPr>
        <w:t xml:space="preserve"> </w:t>
      </w:r>
      <w:r w:rsidRPr="008A5937">
        <w:rPr>
          <w:rFonts w:hint="cs"/>
          <w:rtl/>
        </w:rPr>
        <w:t xml:space="preserve">מהמתואר </w:t>
      </w:r>
      <w:r>
        <w:rPr>
          <w:rFonts w:hint="cs"/>
          <w:rtl/>
        </w:rPr>
        <w:t>בפרק זה עולה כי הלשכה כבעלת המניות והדירקטוריון של החברה הכלכלית לא עשו שימוש במלוא הכלים העומדים לרשותם כדי למלא את תפקידם</w:t>
      </w:r>
      <w:r w:rsidRPr="008A5937">
        <w:rPr>
          <w:rFonts w:hint="cs"/>
          <w:rtl/>
        </w:rPr>
        <w:t xml:space="preserve"> בצורה מיטבית ולקדם את ענייני החברה. על</w:t>
      </w:r>
      <w:r>
        <w:rPr>
          <w:rFonts w:hint="cs"/>
          <w:rtl/>
        </w:rPr>
        <w:t xml:space="preserve"> הלשכה, האסיפה הכללית ו</w:t>
      </w:r>
      <w:r w:rsidRPr="008A5937">
        <w:rPr>
          <w:rFonts w:hint="cs"/>
          <w:rtl/>
        </w:rPr>
        <w:t>הדירקטוריון</w:t>
      </w:r>
      <w:r>
        <w:rPr>
          <w:rFonts w:hint="cs"/>
          <w:rtl/>
        </w:rPr>
        <w:t xml:space="preserve"> </w:t>
      </w:r>
      <w:r w:rsidRPr="008A5937">
        <w:rPr>
          <w:rFonts w:hint="cs"/>
          <w:rtl/>
        </w:rPr>
        <w:t>להקפיד להשתמש</w:t>
      </w:r>
      <w:r>
        <w:rPr>
          <w:rFonts w:hint="cs"/>
          <w:rtl/>
        </w:rPr>
        <w:t xml:space="preserve"> ב</w:t>
      </w:r>
      <w:r w:rsidRPr="000464D6">
        <w:rPr>
          <w:rFonts w:hint="cs"/>
          <w:rtl/>
        </w:rPr>
        <w:t xml:space="preserve">כלים שהחוק </w:t>
      </w:r>
      <w:r>
        <w:rPr>
          <w:rFonts w:hint="cs"/>
          <w:rtl/>
        </w:rPr>
        <w:t xml:space="preserve">מקנה להם, ובין היתר </w:t>
      </w:r>
      <w:r w:rsidRPr="00213B0B">
        <w:rPr>
          <w:rFonts w:hint="cs"/>
          <w:rtl/>
        </w:rPr>
        <w:t>למסד מנגנון</w:t>
      </w:r>
      <w:r>
        <w:rPr>
          <w:rFonts w:hint="cs"/>
          <w:rtl/>
        </w:rPr>
        <w:t xml:space="preserve"> </w:t>
      </w:r>
      <w:r w:rsidRPr="00213B0B">
        <w:rPr>
          <w:rFonts w:hint="cs"/>
          <w:rtl/>
        </w:rPr>
        <w:t>סדור ועקבי של קבלת החלטות</w:t>
      </w:r>
      <w:r>
        <w:rPr>
          <w:rFonts w:hint="cs"/>
          <w:rtl/>
        </w:rPr>
        <w:t xml:space="preserve"> בנוגע לחברה, </w:t>
      </w:r>
      <w:r w:rsidRPr="00213B0B">
        <w:rPr>
          <w:rFonts w:hint="cs"/>
          <w:rtl/>
        </w:rPr>
        <w:t>תיעוד ומעקב אחר ביצוען.</w:t>
      </w:r>
    </w:p>
    <w:p w14:paraId="1E96ECEE" w14:textId="77777777" w:rsidR="00387987" w:rsidRPr="00065463" w:rsidRDefault="00387987" w:rsidP="006C4287">
      <w:pPr>
        <w:pStyle w:val="100"/>
        <w:rPr>
          <w:rtl/>
        </w:rPr>
      </w:pPr>
      <w:r>
        <w:rPr>
          <w:rFonts w:hint="cs"/>
          <w:rtl/>
        </w:rPr>
        <w:t xml:space="preserve">בתשובתו לביקורת הודיע מנכ"ל החברה לשעבר כי הקפיד לפעול בצורה דווקנית לפי הוראות הדירקטוריון. </w:t>
      </w:r>
    </w:p>
    <w:p w14:paraId="1F0C2DF2" w14:textId="083AB711" w:rsidR="006C4287" w:rsidRDefault="006C4287">
      <w:pPr>
        <w:bidi w:val="0"/>
        <w:spacing w:after="200" w:line="276" w:lineRule="auto"/>
        <w:rPr>
          <w:rtl/>
        </w:rPr>
      </w:pPr>
      <w:r>
        <w:rPr>
          <w:rtl/>
        </w:rPr>
        <w:br w:type="page"/>
      </w:r>
    </w:p>
    <w:p w14:paraId="314B5B55" w14:textId="77777777" w:rsidR="00387987" w:rsidRPr="00183314" w:rsidRDefault="00387987" w:rsidP="006C4287">
      <w:pPr>
        <w:pStyle w:val="100"/>
      </w:pPr>
      <w:r>
        <w:rPr>
          <w:rFonts w:hint="cs"/>
          <w:rtl/>
        </w:rPr>
        <w:t xml:space="preserve">יו"ר הדירקטוריון לשעבר הסביר בתשובתו, שהדירקטוריון ביצע פעולות שמטרתן לייצב את מצבה של החברה: שכר את שירותיה של חברה חיצונית לבניית תוכנית אסטרטגית, שלא גובשה; שכר יועץ ארגוני במטרה לייצר תהליך עבודה מסודר בחברה אך פעילותו הופסקה כיוון שלא הייתה אפקטיבית; גויס מנהל כספים ומנהל שיווק; הוחלט לצמצם את הוצאות החברה; מונו ועדות משנה לדירקטוריון; הוקמה ועדת ביקורת ומונה מבקר פנים. כמו כן פעל יו"ר הדירקטוריון מול יו"ר הלשכה לשעבר ומנכ"ל הלשכה, היועץ המשפטי של החברה, הדירקטורים שאיתם התייעץ והמבקר הפנימי של החברה ואף הנחה את הדירקטוריון ליישם את מסקנות דוחות הביקורת שפרסם. </w:t>
      </w:r>
    </w:p>
    <w:p w14:paraId="216EB9BE" w14:textId="77777777" w:rsidR="00387987" w:rsidRDefault="00387987" w:rsidP="006C4287">
      <w:pPr>
        <w:pStyle w:val="100"/>
        <w:rPr>
          <w:rtl/>
        </w:rPr>
      </w:pPr>
      <w:r w:rsidRPr="00A21D1D">
        <w:rPr>
          <w:rFonts w:hint="cs"/>
          <w:rtl/>
        </w:rPr>
        <w:t>בת</w:t>
      </w:r>
      <w:r>
        <w:rPr>
          <w:rFonts w:hint="cs"/>
          <w:rtl/>
        </w:rPr>
        <w:t>שובתה לביקורת הודיעה הלשכה</w:t>
      </w:r>
      <w:r w:rsidRPr="00A21D1D">
        <w:rPr>
          <w:rFonts w:hint="cs"/>
          <w:rtl/>
        </w:rPr>
        <w:t xml:space="preserve"> כי הוועד המרכזי עקב אחר הנעשה בחברה ופעל לתת מענה לקשיים שהתגלו ואף החליף את הדירקטוריון בחברה ב-2015 וב-2019. כמו כן קיימה הלשכה דיונים בנושא החברה בישיבות הוועד המרכזי ואף מונתה ועדת פיקוח על החברה. הלשכה הודיעה כי תפעל לגבש נוהל מהודק ומוקפד אשר יבטיח בקרה שוטפת על חברות הבת.</w:t>
      </w:r>
      <w:r>
        <w:rPr>
          <w:rFonts w:hint="cs"/>
          <w:rtl/>
        </w:rPr>
        <w:t xml:space="preserve"> </w:t>
      </w:r>
    </w:p>
    <w:p w14:paraId="1CBC4AAE" w14:textId="77777777" w:rsidR="00387987" w:rsidRPr="00A21D1D" w:rsidRDefault="00387987" w:rsidP="006C4287">
      <w:pPr>
        <w:pStyle w:val="100"/>
        <w:rPr>
          <w:rtl/>
        </w:rPr>
      </w:pPr>
      <w:r>
        <w:rPr>
          <w:rFonts w:hint="cs"/>
          <w:rtl/>
        </w:rPr>
        <w:t>מנכ"ל החברה הנוכחי</w:t>
      </w:r>
      <w:r w:rsidRPr="00623BFF">
        <w:rPr>
          <w:rFonts w:hint="cs"/>
          <w:rtl/>
        </w:rPr>
        <w:t xml:space="preserve"> ויו"ר הדירקטוריון הנוכחי</w:t>
      </w:r>
      <w:r>
        <w:rPr>
          <w:rFonts w:hint="cs"/>
          <w:rtl/>
        </w:rPr>
        <w:t xml:space="preserve">, הציגו את הפעולות שנעשו בחברה </w:t>
      </w:r>
      <w:r w:rsidRPr="00623BFF">
        <w:rPr>
          <w:rFonts w:hint="cs"/>
          <w:rtl/>
        </w:rPr>
        <w:t>ממועד כניסתם לתפקיד במהלך 2019</w:t>
      </w:r>
      <w:r>
        <w:rPr>
          <w:rFonts w:hint="cs"/>
          <w:rtl/>
        </w:rPr>
        <w:t xml:space="preserve"> כדי לאפשר את פעילותה התקינה</w:t>
      </w:r>
      <w:r w:rsidRPr="00623BFF">
        <w:rPr>
          <w:rFonts w:hint="cs"/>
          <w:rtl/>
        </w:rPr>
        <w:t xml:space="preserve">: </w:t>
      </w:r>
      <w:r>
        <w:rPr>
          <w:rFonts w:hint="cs"/>
          <w:rtl/>
        </w:rPr>
        <w:t>הוקם מ</w:t>
      </w:r>
      <w:r w:rsidRPr="00623BFF">
        <w:rPr>
          <w:rFonts w:hint="cs"/>
          <w:rtl/>
        </w:rPr>
        <w:t xml:space="preserve">ערך כספי חדש, </w:t>
      </w:r>
      <w:r>
        <w:rPr>
          <w:rFonts w:hint="cs"/>
          <w:rtl/>
        </w:rPr>
        <w:t>צומצם כוח האדם בחברה בהתאם ל</w:t>
      </w:r>
      <w:r w:rsidRPr="00623BFF">
        <w:rPr>
          <w:rFonts w:hint="cs"/>
          <w:rtl/>
        </w:rPr>
        <w:t xml:space="preserve">תוכנית </w:t>
      </w:r>
      <w:r>
        <w:rPr>
          <w:rFonts w:hint="cs"/>
          <w:rtl/>
        </w:rPr>
        <w:t>ה</w:t>
      </w:r>
      <w:r w:rsidRPr="00623BFF">
        <w:rPr>
          <w:rFonts w:hint="cs"/>
          <w:rtl/>
        </w:rPr>
        <w:t xml:space="preserve">התייעלות </w:t>
      </w:r>
      <w:r>
        <w:rPr>
          <w:rFonts w:hint="cs"/>
          <w:rtl/>
        </w:rPr>
        <w:t xml:space="preserve">ולצורך </w:t>
      </w:r>
      <w:r w:rsidRPr="00623BFF">
        <w:rPr>
          <w:rFonts w:hint="cs"/>
          <w:rtl/>
        </w:rPr>
        <w:t xml:space="preserve">ייצובה הכלכלי, </w:t>
      </w:r>
      <w:r>
        <w:rPr>
          <w:rFonts w:hint="cs"/>
          <w:rtl/>
        </w:rPr>
        <w:t xml:space="preserve">נוצרו </w:t>
      </w:r>
      <w:r w:rsidRPr="00623BFF">
        <w:rPr>
          <w:rFonts w:hint="cs"/>
          <w:rtl/>
        </w:rPr>
        <w:t xml:space="preserve">מנועי צמיחה </w:t>
      </w:r>
      <w:r>
        <w:rPr>
          <w:rFonts w:hint="cs"/>
          <w:rtl/>
        </w:rPr>
        <w:t>חדשים</w:t>
      </w:r>
      <w:r w:rsidRPr="00623BFF">
        <w:rPr>
          <w:rFonts w:hint="cs"/>
          <w:rtl/>
        </w:rPr>
        <w:t xml:space="preserve">, </w:t>
      </w:r>
      <w:r>
        <w:rPr>
          <w:rFonts w:hint="cs"/>
          <w:rtl/>
        </w:rPr>
        <w:t>הוטמעה תוכנית עבודה המבוססת על מדדי ביצוע ושופר ה</w:t>
      </w:r>
      <w:r w:rsidRPr="00623BFF">
        <w:rPr>
          <w:rFonts w:hint="cs"/>
          <w:rtl/>
        </w:rPr>
        <w:t xml:space="preserve">ממשל </w:t>
      </w:r>
      <w:r>
        <w:rPr>
          <w:rFonts w:hint="cs"/>
          <w:rtl/>
        </w:rPr>
        <w:t>ה</w:t>
      </w:r>
      <w:r w:rsidRPr="00623BFF">
        <w:rPr>
          <w:rFonts w:hint="cs"/>
          <w:rtl/>
        </w:rPr>
        <w:t>תאגיד</w:t>
      </w:r>
      <w:r>
        <w:rPr>
          <w:rFonts w:hint="cs"/>
          <w:rtl/>
        </w:rPr>
        <w:t xml:space="preserve">י בחברה. </w:t>
      </w:r>
    </w:p>
    <w:p w14:paraId="05B3F01A" w14:textId="77777777" w:rsidR="00387987" w:rsidRDefault="00387987" w:rsidP="006C4287">
      <w:pPr>
        <w:pStyle w:val="af3"/>
        <w:rPr>
          <w:rtl/>
        </w:rPr>
      </w:pPr>
      <w:r w:rsidRPr="00477BCA">
        <w:rPr>
          <w:rFonts w:hint="cs"/>
          <w:rtl/>
        </w:rPr>
        <w:t>על הדירקטוריון ה</w:t>
      </w:r>
      <w:r>
        <w:rPr>
          <w:rFonts w:hint="cs"/>
          <w:rtl/>
        </w:rPr>
        <w:t>חדש</w:t>
      </w:r>
      <w:r w:rsidRPr="00477BCA">
        <w:rPr>
          <w:rFonts w:hint="cs"/>
          <w:rtl/>
        </w:rPr>
        <w:t xml:space="preserve"> ועל הלשכה לפעול להגבר</w:t>
      </w:r>
      <w:r>
        <w:rPr>
          <w:rFonts w:hint="cs"/>
          <w:rtl/>
        </w:rPr>
        <w:t xml:space="preserve">ת </w:t>
      </w:r>
      <w:r w:rsidRPr="00477BCA">
        <w:rPr>
          <w:rFonts w:hint="cs"/>
          <w:rtl/>
        </w:rPr>
        <w:t xml:space="preserve">הפיקוח על פעילות החברה ולגבש מתווה פעילות יעיל לשיפור מצבה של החברה לשם הגעה לאיתנות פיננסית נדרשת ויציבה. </w:t>
      </w:r>
    </w:p>
    <w:p w14:paraId="166445D1" w14:textId="77777777" w:rsidR="006C4287" w:rsidRDefault="006C4287">
      <w:pPr>
        <w:bidi w:val="0"/>
        <w:spacing w:after="200" w:line="276" w:lineRule="auto"/>
        <w:rPr>
          <w:rFonts w:eastAsiaTheme="majorEastAsia"/>
          <w:bCs/>
          <w:szCs w:val="28"/>
          <w:u w:val="single"/>
          <w:rtl/>
        </w:rPr>
      </w:pPr>
      <w:bookmarkStart w:id="55" w:name="_Toc23155615"/>
      <w:bookmarkStart w:id="56" w:name="_Toc23159796"/>
      <w:r>
        <w:rPr>
          <w:rtl/>
        </w:rPr>
        <w:br w:type="page"/>
      </w:r>
    </w:p>
    <w:p w14:paraId="466A77FF" w14:textId="6B221A9F" w:rsidR="00387987" w:rsidRDefault="00387987" w:rsidP="006C4287">
      <w:pPr>
        <w:pStyle w:val="316"/>
        <w:rPr>
          <w:rtl/>
        </w:rPr>
      </w:pPr>
      <w:r>
        <w:rPr>
          <w:rFonts w:hint="cs"/>
          <w:rtl/>
        </w:rPr>
        <w:t>סיכום</w:t>
      </w:r>
      <w:bookmarkEnd w:id="55"/>
      <w:bookmarkEnd w:id="56"/>
    </w:p>
    <w:p w14:paraId="3DD4951D" w14:textId="77777777" w:rsidR="00387987" w:rsidRPr="00113AE6" w:rsidRDefault="00387987" w:rsidP="006C4287">
      <w:pPr>
        <w:pStyle w:val="af3"/>
        <w:rPr>
          <w:rtl/>
        </w:rPr>
      </w:pPr>
      <w:r w:rsidRPr="00113AE6">
        <w:rPr>
          <w:rtl/>
        </w:rPr>
        <w:t>מקצוע עריכת הדין הוא מקצוע ייחודי</w:t>
      </w:r>
      <w:r>
        <w:rPr>
          <w:rFonts w:hint="cs"/>
          <w:rtl/>
        </w:rPr>
        <w:t>,</w:t>
      </w:r>
      <w:r w:rsidRPr="00113AE6">
        <w:rPr>
          <w:rtl/>
        </w:rPr>
        <w:t xml:space="preserve"> </w:t>
      </w:r>
      <w:r>
        <w:rPr>
          <w:rFonts w:hint="cs"/>
          <w:rtl/>
        </w:rPr>
        <w:t xml:space="preserve">שכן </w:t>
      </w:r>
      <w:r w:rsidRPr="00113AE6">
        <w:rPr>
          <w:rtl/>
        </w:rPr>
        <w:t>עורכי הדין המייצגים לקוחות מבצעים עבורם פעולות בעלות חשיבות רבה שעשויות להיות להן השלכות על חירותם, מעמדם וזכויותיהם</w:t>
      </w:r>
      <w:r w:rsidRPr="00113AE6">
        <w:rPr>
          <w:rFonts w:hint="cs"/>
          <w:rtl/>
        </w:rPr>
        <w:t xml:space="preserve">. </w:t>
      </w:r>
      <w:r w:rsidRPr="00113AE6">
        <w:rPr>
          <w:rtl/>
        </w:rPr>
        <w:t>לשכת עורכי הדין הוקמה על מנת לאגד את עורכי הדין בישראל</w:t>
      </w:r>
      <w:r w:rsidRPr="00113AE6">
        <w:rPr>
          <w:rFonts w:hint="cs"/>
          <w:rtl/>
        </w:rPr>
        <w:t xml:space="preserve"> ו</w:t>
      </w:r>
      <w:r w:rsidRPr="00113AE6">
        <w:rPr>
          <w:rtl/>
        </w:rPr>
        <w:t>לשקוד על רמתו וט</w:t>
      </w:r>
      <w:r>
        <w:rPr>
          <w:rFonts w:hint="cs"/>
          <w:rtl/>
        </w:rPr>
        <w:t>ו</w:t>
      </w:r>
      <w:r w:rsidRPr="00113AE6">
        <w:rPr>
          <w:rtl/>
        </w:rPr>
        <w:t>הרו של מקצוע עריכת הדין</w:t>
      </w:r>
      <w:r>
        <w:rPr>
          <w:rFonts w:hint="cs"/>
          <w:rtl/>
        </w:rPr>
        <w:t>. עורך דין אינו יכול לעסוק במקצוע אם אינו חבר הלשכה</w:t>
      </w:r>
      <w:r w:rsidRPr="00113AE6">
        <w:rPr>
          <w:rtl/>
        </w:rPr>
        <w:t>.</w:t>
      </w:r>
      <w:r w:rsidRPr="00113AE6">
        <w:rPr>
          <w:rFonts w:hint="cs"/>
          <w:rtl/>
        </w:rPr>
        <w:t xml:space="preserve"> </w:t>
      </w:r>
    </w:p>
    <w:p w14:paraId="25576B11" w14:textId="77777777" w:rsidR="00387987" w:rsidRPr="002F5065" w:rsidRDefault="00387987" w:rsidP="006C4287">
      <w:pPr>
        <w:pStyle w:val="af3"/>
        <w:rPr>
          <w:rtl/>
        </w:rPr>
      </w:pPr>
      <w:r w:rsidRPr="00113AE6">
        <w:rPr>
          <w:rFonts w:hint="cs"/>
          <w:rtl/>
        </w:rPr>
        <w:t xml:space="preserve">הביקורת </w:t>
      </w:r>
      <w:r w:rsidRPr="002F5065">
        <w:rPr>
          <w:rFonts w:hint="cs"/>
          <w:rtl/>
        </w:rPr>
        <w:t>העלתה כי פעולות הלשכה בנוגע לגיבוש ת</w:t>
      </w:r>
      <w:r>
        <w:rPr>
          <w:rFonts w:hint="cs"/>
          <w:rtl/>
        </w:rPr>
        <w:t>ו</w:t>
      </w:r>
      <w:r w:rsidRPr="002F5065">
        <w:rPr>
          <w:rFonts w:hint="cs"/>
          <w:rtl/>
        </w:rPr>
        <w:t>כניות עבודה, פיקוח על התמחות</w:t>
      </w:r>
      <w:r>
        <w:rPr>
          <w:rFonts w:hint="cs"/>
          <w:rtl/>
        </w:rPr>
        <w:t>, פעילות מערך האתיקה</w:t>
      </w:r>
      <w:r w:rsidRPr="002F5065">
        <w:rPr>
          <w:rFonts w:hint="cs"/>
          <w:rtl/>
        </w:rPr>
        <w:t xml:space="preserve"> ו</w:t>
      </w:r>
      <w:r>
        <w:rPr>
          <w:rFonts w:hint="cs"/>
          <w:rtl/>
        </w:rPr>
        <w:t>הסדרת מניעת נ</w:t>
      </w:r>
      <w:r w:rsidRPr="002F5065">
        <w:rPr>
          <w:rFonts w:hint="cs"/>
          <w:rtl/>
        </w:rPr>
        <w:t xml:space="preserve">יגודי עניינים </w:t>
      </w:r>
      <w:r>
        <w:rPr>
          <w:rFonts w:hint="cs"/>
          <w:rtl/>
        </w:rPr>
        <w:t>טעונות בחינה ושיפור</w:t>
      </w:r>
      <w:r w:rsidRPr="002F5065">
        <w:rPr>
          <w:rFonts w:hint="cs"/>
          <w:rtl/>
        </w:rPr>
        <w:t>. בנוגע למערך ביקורת הפנים ולחברה הכלכלית, נמצא כי הלשכה לא פיקחה על הנעשה בהם כראוי ולא וידאה כי בעלי התפקידים בתחום נושאים באחריות הכרוכה בתפקידם.</w:t>
      </w:r>
      <w:r>
        <w:rPr>
          <w:rFonts w:hint="cs"/>
          <w:rtl/>
        </w:rPr>
        <w:t xml:space="preserve"> </w:t>
      </w:r>
    </w:p>
    <w:p w14:paraId="68B94424" w14:textId="77777777" w:rsidR="00387987" w:rsidRDefault="00387987" w:rsidP="006C4287">
      <w:pPr>
        <w:pStyle w:val="af3"/>
        <w:rPr>
          <w:rtl/>
        </w:rPr>
      </w:pPr>
      <w:r w:rsidRPr="002F5065">
        <w:rPr>
          <w:rFonts w:hint="cs"/>
          <w:rtl/>
        </w:rPr>
        <w:t xml:space="preserve">על לשכת עורכי הדין </w:t>
      </w:r>
      <w:r>
        <w:rPr>
          <w:rFonts w:hint="cs"/>
          <w:rtl/>
        </w:rPr>
        <w:t xml:space="preserve">להשלים את הליכי המחשוב שבהם </w:t>
      </w:r>
      <w:r w:rsidRPr="00FC1159">
        <w:rPr>
          <w:rFonts w:hint="cs"/>
          <w:rtl/>
        </w:rPr>
        <w:t>החל</w:t>
      </w:r>
      <w:r>
        <w:rPr>
          <w:rFonts w:hint="cs"/>
          <w:rtl/>
        </w:rPr>
        <w:t>ה</w:t>
      </w:r>
      <w:r w:rsidRPr="00FC1159">
        <w:rPr>
          <w:rFonts w:hint="cs"/>
          <w:rtl/>
        </w:rPr>
        <w:t xml:space="preserve"> </w:t>
      </w:r>
      <w:r w:rsidRPr="001A140B">
        <w:rPr>
          <w:rFonts w:hint="eastAsia"/>
          <w:rtl/>
        </w:rPr>
        <w:t>ולפעול</w:t>
      </w:r>
      <w:r w:rsidRPr="001A140B">
        <w:rPr>
          <w:rtl/>
        </w:rPr>
        <w:t xml:space="preserve"> </w:t>
      </w:r>
      <w:r w:rsidRPr="001A140B">
        <w:rPr>
          <w:rFonts w:hint="eastAsia"/>
          <w:rtl/>
        </w:rPr>
        <w:t>למיצוי</w:t>
      </w:r>
      <w:r w:rsidRPr="001A140B">
        <w:rPr>
          <w:rtl/>
        </w:rPr>
        <w:t xml:space="preserve"> </w:t>
      </w:r>
      <w:r w:rsidRPr="001A140B">
        <w:rPr>
          <w:rFonts w:hint="eastAsia"/>
          <w:rtl/>
        </w:rPr>
        <w:t>התובנות</w:t>
      </w:r>
      <w:r w:rsidRPr="001A140B">
        <w:rPr>
          <w:rtl/>
        </w:rPr>
        <w:t xml:space="preserve"> </w:t>
      </w:r>
      <w:r w:rsidRPr="001A140B">
        <w:rPr>
          <w:rFonts w:hint="eastAsia"/>
          <w:rtl/>
        </w:rPr>
        <w:t>מה</w:t>
      </w:r>
      <w:r>
        <w:rPr>
          <w:rFonts w:hint="cs"/>
          <w:rtl/>
        </w:rPr>
        <w:t>ם</w:t>
      </w:r>
      <w:r w:rsidRPr="00FC1159">
        <w:rPr>
          <w:rFonts w:hint="cs"/>
          <w:rtl/>
        </w:rPr>
        <w:t xml:space="preserve"> </w:t>
      </w:r>
      <w:r w:rsidRPr="005A2497">
        <w:rPr>
          <w:rFonts w:hint="cs"/>
          <w:rtl/>
        </w:rPr>
        <w:t>לשם ש</w:t>
      </w:r>
      <w:r w:rsidRPr="001A140B">
        <w:rPr>
          <w:rFonts w:hint="cs"/>
          <w:rtl/>
        </w:rPr>
        <w:t xml:space="preserve">יפור הפיקוח על ההתמחות </w:t>
      </w:r>
      <w:r>
        <w:rPr>
          <w:rFonts w:hint="cs"/>
          <w:rtl/>
        </w:rPr>
        <w:t>ו</w:t>
      </w:r>
      <w:r w:rsidRPr="001A140B">
        <w:rPr>
          <w:rFonts w:hint="cs"/>
          <w:rtl/>
        </w:rPr>
        <w:t>על מנת לוודא</w:t>
      </w:r>
      <w:r w:rsidRPr="00FC1159">
        <w:rPr>
          <w:rFonts w:hint="cs"/>
          <w:rtl/>
        </w:rPr>
        <w:t xml:space="preserve"> א</w:t>
      </w:r>
      <w:r>
        <w:rPr>
          <w:rFonts w:hint="cs"/>
          <w:rtl/>
        </w:rPr>
        <w:t>ת כשירותם של הבאים בשערי המקצוע,</w:t>
      </w:r>
      <w:r w:rsidRPr="00FC1159">
        <w:rPr>
          <w:rFonts w:hint="cs"/>
          <w:rtl/>
        </w:rPr>
        <w:t xml:space="preserve"> </w:t>
      </w:r>
      <w:r w:rsidRPr="001A140B">
        <w:rPr>
          <w:rFonts w:hint="eastAsia"/>
          <w:rtl/>
        </w:rPr>
        <w:t>זאת</w:t>
      </w:r>
      <w:r w:rsidRPr="001A140B">
        <w:rPr>
          <w:rtl/>
        </w:rPr>
        <w:t xml:space="preserve"> </w:t>
      </w:r>
      <w:r w:rsidRPr="001A140B">
        <w:rPr>
          <w:rFonts w:hint="eastAsia"/>
          <w:rtl/>
        </w:rPr>
        <w:t>במקביל</w:t>
      </w:r>
      <w:r w:rsidRPr="001A140B">
        <w:rPr>
          <w:rtl/>
        </w:rPr>
        <w:t xml:space="preserve"> </w:t>
      </w:r>
      <w:r w:rsidRPr="001A140B">
        <w:rPr>
          <w:rFonts w:hint="eastAsia"/>
          <w:rtl/>
        </w:rPr>
        <w:t>לביצוע</w:t>
      </w:r>
      <w:r w:rsidRPr="001A140B">
        <w:rPr>
          <w:rtl/>
        </w:rPr>
        <w:t xml:space="preserve"> </w:t>
      </w:r>
      <w:r w:rsidRPr="001A140B">
        <w:rPr>
          <w:rFonts w:hint="eastAsia"/>
          <w:rtl/>
        </w:rPr>
        <w:t>בקרות</w:t>
      </w:r>
      <w:r w:rsidRPr="001A140B">
        <w:rPr>
          <w:rtl/>
        </w:rPr>
        <w:t xml:space="preserve"> </w:t>
      </w:r>
      <w:r w:rsidRPr="001A140B">
        <w:rPr>
          <w:rFonts w:hint="eastAsia"/>
          <w:rtl/>
        </w:rPr>
        <w:t>חלופיות</w:t>
      </w:r>
      <w:r w:rsidRPr="00FC1159">
        <w:rPr>
          <w:rFonts w:hint="cs"/>
          <w:rtl/>
        </w:rPr>
        <w:t>.</w:t>
      </w:r>
      <w:r>
        <w:rPr>
          <w:rFonts w:hint="cs"/>
          <w:rtl/>
        </w:rPr>
        <w:t xml:space="preserve"> </w:t>
      </w:r>
      <w:r w:rsidRPr="002F5065">
        <w:rPr>
          <w:rFonts w:hint="cs"/>
          <w:rtl/>
        </w:rPr>
        <w:t>כמו כן</w:t>
      </w:r>
      <w:r>
        <w:rPr>
          <w:rFonts w:hint="cs"/>
          <w:rtl/>
        </w:rPr>
        <w:t>, על הלשכה</w:t>
      </w:r>
      <w:r w:rsidRPr="002F5065">
        <w:rPr>
          <w:rFonts w:hint="cs"/>
          <w:rtl/>
        </w:rPr>
        <w:t xml:space="preserve"> לפעול להאחדת דרכי הפעולה של מערכי האתיקה במחוזות </w:t>
      </w:r>
      <w:r>
        <w:rPr>
          <w:rFonts w:hint="cs"/>
          <w:rtl/>
        </w:rPr>
        <w:t>כדי</w:t>
      </w:r>
      <w:r w:rsidRPr="002F5065">
        <w:rPr>
          <w:rFonts w:hint="cs"/>
          <w:rtl/>
        </w:rPr>
        <w:t xml:space="preserve"> להביא </w:t>
      </w:r>
      <w:r w:rsidRPr="00382AB9">
        <w:rPr>
          <w:rFonts w:hint="cs"/>
          <w:rtl/>
        </w:rPr>
        <w:t xml:space="preserve">לשוויוניות ובהירות בכל הנוגע לדין המשמעתי ולשפר את זמני הטיפול בתלונות, בפרט במחוז תל אביב. </w:t>
      </w:r>
      <w:r w:rsidRPr="00382AB9">
        <w:rPr>
          <w:rFonts w:hint="eastAsia"/>
          <w:rtl/>
        </w:rPr>
        <w:t>נוסף</w:t>
      </w:r>
      <w:r>
        <w:rPr>
          <w:rFonts w:hint="cs"/>
          <w:rtl/>
        </w:rPr>
        <w:t xml:space="preserve"> על כך</w:t>
      </w:r>
      <w:r w:rsidRPr="00382AB9">
        <w:rPr>
          <w:rtl/>
        </w:rPr>
        <w:t>, על הלשכה לבצע הסדרה כוללת של הטיפול בנושא ניגודי העניינים בלשכת עורכי הדין.</w:t>
      </w:r>
      <w:r>
        <w:rPr>
          <w:rFonts w:hint="cs"/>
          <w:rtl/>
        </w:rPr>
        <w:t xml:space="preserve"> </w:t>
      </w:r>
      <w:r w:rsidRPr="00FD0FCB">
        <w:rPr>
          <w:rtl/>
        </w:rPr>
        <w:t>על מחוזות הלשכה לשתף פעולה עם הלשכה בטיפול בליקויים העולים מדוח זה</w:t>
      </w:r>
      <w:r>
        <w:rPr>
          <w:rFonts w:hint="cs"/>
          <w:rtl/>
        </w:rPr>
        <w:t>,</w:t>
      </w:r>
      <w:r w:rsidRPr="00FD0FCB">
        <w:rPr>
          <w:rtl/>
        </w:rPr>
        <w:t xml:space="preserve"> וזאת בשים לב להיררכיה בין הגופים שחודדה בתיקון לחוק לשכת עורכי הדין.</w:t>
      </w:r>
      <w:r>
        <w:rPr>
          <w:rFonts w:hint="cs"/>
          <w:rtl/>
        </w:rPr>
        <w:t xml:space="preserve"> </w:t>
      </w:r>
    </w:p>
    <w:p w14:paraId="6669481B" w14:textId="77777777" w:rsidR="00387987" w:rsidRPr="00477BCA" w:rsidRDefault="00387987" w:rsidP="006C4287">
      <w:pPr>
        <w:pStyle w:val="af3"/>
        <w:rPr>
          <w:rtl/>
        </w:rPr>
      </w:pPr>
      <w:r w:rsidRPr="00BB303C">
        <w:rPr>
          <w:rtl/>
        </w:rPr>
        <w:t xml:space="preserve">על החברה </w:t>
      </w:r>
      <w:r>
        <w:rPr>
          <w:rFonts w:hint="cs"/>
          <w:rtl/>
        </w:rPr>
        <w:t xml:space="preserve">הכלכלית של לשכת עורכי הדין </w:t>
      </w:r>
      <w:r w:rsidRPr="00BB303C">
        <w:rPr>
          <w:rtl/>
        </w:rPr>
        <w:t xml:space="preserve">להקפיד על מהימנות נתוני הנהלת החשבונות שלה שיאפשרו להנהלת החברה והדירקטוריון לקבל החלטות מיטביות. נוסף </w:t>
      </w:r>
      <w:r>
        <w:rPr>
          <w:rFonts w:hint="cs"/>
          <w:rtl/>
        </w:rPr>
        <w:t>ע</w:t>
      </w:r>
      <w:r w:rsidRPr="00BB303C">
        <w:rPr>
          <w:rtl/>
        </w:rPr>
        <w:t>ל</w:t>
      </w:r>
      <w:r>
        <w:rPr>
          <w:rFonts w:hint="cs"/>
          <w:rtl/>
        </w:rPr>
        <w:t xml:space="preserve"> </w:t>
      </w:r>
      <w:r w:rsidRPr="00BB303C">
        <w:rPr>
          <w:rtl/>
        </w:rPr>
        <w:t>כך</w:t>
      </w:r>
      <w:r>
        <w:rPr>
          <w:rFonts w:hint="cs"/>
          <w:rtl/>
        </w:rPr>
        <w:t>,</w:t>
      </w:r>
      <w:r w:rsidRPr="00BB303C">
        <w:rPr>
          <w:rtl/>
        </w:rPr>
        <w:t xml:space="preserve"> על החברה יחד עם הדירקטוריון והאסיפה הכללית לבחון אילו פעולות ניתן לנקוט </w:t>
      </w:r>
      <w:r w:rsidRPr="00477BCA">
        <w:rPr>
          <w:rFonts w:hint="cs"/>
          <w:rtl/>
        </w:rPr>
        <w:t>על מנת להבריא את החברה ולהביאה לאיתנות פיננסית ותפקוד מיטבי ותקין</w:t>
      </w:r>
      <w:r w:rsidRPr="00477BCA">
        <w:rPr>
          <w:rtl/>
        </w:rPr>
        <w:t>.</w:t>
      </w:r>
    </w:p>
    <w:p w14:paraId="4EF59582" w14:textId="77777777" w:rsidR="00387987" w:rsidRPr="00477BCA" w:rsidRDefault="00387987" w:rsidP="006C4287">
      <w:pPr>
        <w:pStyle w:val="af3"/>
        <w:rPr>
          <w:rtl/>
        </w:rPr>
      </w:pPr>
      <w:r w:rsidRPr="00113AE6">
        <w:rPr>
          <w:rFonts w:hint="cs"/>
          <w:rtl/>
        </w:rPr>
        <w:t xml:space="preserve">בד בבד עם ביצוע הפעולות האמורות, על הלשכה </w:t>
      </w:r>
      <w:r w:rsidRPr="00477BCA">
        <w:rPr>
          <w:rFonts w:hint="cs"/>
          <w:rtl/>
        </w:rPr>
        <w:t xml:space="preserve">לבחון את התשומות הנדרשות לביצוע תפקידי החובה שלה ולתת עדיפות לביצוע תפקידים אלו בהקצאת המשאבים. </w:t>
      </w:r>
    </w:p>
    <w:p w14:paraId="7B1CBFB6" w14:textId="0E7FDA86" w:rsidR="00387987" w:rsidRDefault="00387987" w:rsidP="0030114C">
      <w:pPr>
        <w:pStyle w:val="af3"/>
        <w:rPr>
          <w:rtl/>
        </w:rPr>
      </w:pPr>
      <w:r w:rsidRPr="00113AE6">
        <w:rPr>
          <w:rFonts w:hint="cs"/>
          <w:rtl/>
        </w:rPr>
        <w:t xml:space="preserve">הפעולות האמורות נדרשות </w:t>
      </w:r>
      <w:r>
        <w:rPr>
          <w:rFonts w:hint="cs"/>
          <w:rtl/>
        </w:rPr>
        <w:t>כדי</w:t>
      </w:r>
      <w:r w:rsidRPr="00113AE6">
        <w:rPr>
          <w:rFonts w:hint="cs"/>
          <w:rtl/>
        </w:rPr>
        <w:t xml:space="preserve"> לסייע ללשכה לשמור</w:t>
      </w:r>
      <w:r w:rsidRPr="00113AE6">
        <w:rPr>
          <w:rtl/>
        </w:rPr>
        <w:t xml:space="preserve"> על רמת המקצוע ועל </w:t>
      </w:r>
      <w:r>
        <w:rPr>
          <w:rFonts w:hint="cs"/>
          <w:rtl/>
        </w:rPr>
        <w:t>אמון הציבור ב</w:t>
      </w:r>
      <w:r w:rsidRPr="00113AE6">
        <w:rPr>
          <w:rtl/>
        </w:rPr>
        <w:t>עורכי הדין</w:t>
      </w:r>
      <w:r w:rsidRPr="00113AE6">
        <w:rPr>
          <w:rFonts w:hint="cs"/>
          <w:rtl/>
        </w:rPr>
        <w:t>.</w:t>
      </w:r>
    </w:p>
    <w:sectPr w:rsidR="00387987" w:rsidSect="00CA4D91">
      <w:footerReference w:type="default" r:id="rId35"/>
      <w:headerReference w:type="first" r:id="rId36"/>
      <w:footerReference w:type="first" r:id="rId37"/>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C857F9" w:rsidRDefault="00C857F9">
      <w:pPr>
        <w:spacing w:line="240" w:lineRule="auto"/>
      </w:pPr>
      <w:r>
        <w:separator/>
      </w:r>
    </w:p>
    <w:p w14:paraId="7FDB7CBE" w14:textId="77777777" w:rsidR="00C857F9" w:rsidRDefault="00C857F9"/>
  </w:endnote>
  <w:endnote w:type="continuationSeparator" w:id="0">
    <w:p w14:paraId="6956BE62" w14:textId="77777777" w:rsidR="00C857F9" w:rsidRDefault="00C857F9">
      <w:pPr>
        <w:spacing w:line="240" w:lineRule="auto"/>
      </w:pPr>
      <w:r>
        <w:continuationSeparator/>
      </w:r>
    </w:p>
    <w:p w14:paraId="2BC251DF" w14:textId="77777777" w:rsidR="00C857F9" w:rsidRDefault="00C85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315F2E53" w:rsidR="00C857F9" w:rsidRPr="00DE6C5F" w:rsidRDefault="00C857F9"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פעילות לשכת עורכי הדין בישראל</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000D2D27" w:rsidR="00C857F9" w:rsidRPr="00387987" w:rsidRDefault="00C857F9" w:rsidP="00387987">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פעילות לשכת עורכי הדין בישראל</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857F9" w:rsidRPr="00D15500" w:rsidRDefault="00C857F9" w:rsidP="00D15500">
    <w:pPr>
      <w:pStyle w:val="Footer"/>
      <w:spacing w:after="120" w:line="312" w:lineRule="auto"/>
      <w:jc w:val="right"/>
      <w:rPr>
        <w:rFonts w:ascii="Tahoma" w:hAnsi="Tahoma" w:cs="Tahoma"/>
        <w:color w:val="002060"/>
        <w:sz w:val="18"/>
        <w:szCs w:val="18"/>
      </w:rPr>
    </w:pPr>
    <w:bookmarkStart w:id="57" w:name="tempMark"/>
    <w:bookmarkEnd w:id="57"/>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C857F9" w:rsidRDefault="00C857F9" w:rsidP="00C23CC9">
      <w:pPr>
        <w:spacing w:line="240" w:lineRule="auto"/>
      </w:pPr>
      <w:r>
        <w:separator/>
      </w:r>
    </w:p>
  </w:footnote>
  <w:footnote w:type="continuationSeparator" w:id="0">
    <w:p w14:paraId="10B5AFA0" w14:textId="77777777" w:rsidR="00C857F9" w:rsidRDefault="00C857F9" w:rsidP="00C23CC9">
      <w:pPr>
        <w:spacing w:line="240" w:lineRule="auto"/>
      </w:pPr>
      <w:r>
        <w:continuationSeparator/>
      </w:r>
    </w:p>
    <w:p w14:paraId="095B6F42" w14:textId="77777777" w:rsidR="00C857F9" w:rsidRDefault="00C857F9"/>
  </w:footnote>
  <w:footnote w:id="1">
    <w:p w14:paraId="72D8C979" w14:textId="77777777" w:rsidR="00C857F9" w:rsidRDefault="00C857F9" w:rsidP="00183085">
      <w:pPr>
        <w:pStyle w:val="a7"/>
        <w:rPr>
          <w:rtl/>
        </w:rPr>
      </w:pPr>
      <w:r w:rsidRPr="00183085">
        <w:footnoteRef/>
      </w:r>
      <w:r w:rsidRPr="00183085">
        <w:rPr>
          <w:rtl/>
        </w:rPr>
        <w:t xml:space="preserve"> </w:t>
      </w:r>
      <w:r w:rsidRPr="00183085">
        <w:rPr>
          <w:rtl/>
        </w:rPr>
        <w:tab/>
      </w:r>
      <w:r w:rsidRPr="00183085">
        <w:rPr>
          <w:rFonts w:hint="cs"/>
          <w:rtl/>
        </w:rPr>
        <w:t>אומנם בכל שנה נוספו אלפי עורכי דין כמפורט בתרשים 3 שלהלן, אך גם נגרעו עורכי דין בשנים אלה (נפטרו, פרשו</w:t>
      </w:r>
      <w:r>
        <w:rPr>
          <w:rFonts w:hint="cs"/>
          <w:rtl/>
        </w:rPr>
        <w:t>, ביקשו להפסיק חברותם בלשכה ועוד).</w:t>
      </w:r>
    </w:p>
  </w:footnote>
  <w:footnote w:id="2">
    <w:p w14:paraId="01B62777" w14:textId="77777777" w:rsidR="00C857F9" w:rsidRDefault="00C857F9" w:rsidP="006E42E4">
      <w:pPr>
        <w:pStyle w:val="a7"/>
      </w:pPr>
      <w:r w:rsidRPr="006E42E4">
        <w:footnoteRef/>
      </w:r>
      <w:r w:rsidRPr="006E42E4">
        <w:rPr>
          <w:rtl/>
        </w:rPr>
        <w:t xml:space="preserve"> </w:t>
      </w:r>
      <w:r w:rsidRPr="006E42E4">
        <w:rPr>
          <w:rtl/>
        </w:rPr>
        <w:tab/>
        <w:t>מבקר</w:t>
      </w:r>
      <w:r w:rsidRPr="00951556">
        <w:rPr>
          <w:rtl/>
        </w:rPr>
        <w:t xml:space="preserve"> המדינה, </w:t>
      </w:r>
      <w:r w:rsidRPr="00FA3F9C">
        <w:rPr>
          <w:b/>
          <w:bCs/>
          <w:rtl/>
        </w:rPr>
        <w:t xml:space="preserve">דוח שנתי 63ג </w:t>
      </w:r>
      <w:r w:rsidRPr="00951556">
        <w:rPr>
          <w:rtl/>
        </w:rPr>
        <w:t>(2013),</w:t>
      </w:r>
      <w:r>
        <w:rPr>
          <w:rFonts w:hint="cs"/>
          <w:rtl/>
        </w:rPr>
        <w:t xml:space="preserve"> "</w:t>
      </w:r>
      <w:r w:rsidRPr="00951556">
        <w:rPr>
          <w:rtl/>
        </w:rPr>
        <w:t>הביקורת הפנימית במגזר הציבורי</w:t>
      </w:r>
      <w:r>
        <w:rPr>
          <w:rFonts w:hint="cs"/>
          <w:rtl/>
        </w:rPr>
        <w:t>"</w:t>
      </w:r>
      <w:r w:rsidRPr="00951556">
        <w:rPr>
          <w:rtl/>
        </w:rPr>
        <w:t>, עמ' 111.</w:t>
      </w:r>
    </w:p>
  </w:footnote>
  <w:footnote w:id="3">
    <w:p w14:paraId="4414A120" w14:textId="77777777" w:rsidR="00C857F9" w:rsidRPr="006E42E4" w:rsidRDefault="00C857F9" w:rsidP="006E42E4">
      <w:pPr>
        <w:pStyle w:val="a7"/>
      </w:pPr>
      <w:r w:rsidRPr="006E42E4">
        <w:footnoteRef/>
      </w:r>
      <w:r w:rsidRPr="006E42E4">
        <w:rPr>
          <w:rtl/>
        </w:rPr>
        <w:t xml:space="preserve"> </w:t>
      </w:r>
      <w:r w:rsidRPr="006E42E4">
        <w:rPr>
          <w:rtl/>
        </w:rPr>
        <w:tab/>
      </w:r>
      <w:r w:rsidRPr="006E42E4">
        <w:rPr>
          <w:rFonts w:hint="cs"/>
          <w:rtl/>
        </w:rPr>
        <w:t>להרחבה</w:t>
      </w:r>
      <w:r>
        <w:rPr>
          <w:rFonts w:hint="cs"/>
          <w:rtl/>
        </w:rPr>
        <w:t xml:space="preserve"> ראו </w:t>
      </w:r>
      <w:r w:rsidRPr="0046650C">
        <w:rPr>
          <w:rFonts w:hint="cs"/>
          <w:b/>
          <w:bCs/>
          <w:rtl/>
        </w:rPr>
        <w:t>דוח הוועדה הציבורית בנושא לשכת עורכי הדין</w:t>
      </w:r>
      <w:r>
        <w:rPr>
          <w:rFonts w:hint="cs"/>
          <w:rtl/>
        </w:rPr>
        <w:t xml:space="preserve">, דין וחשבון, ירושלים, טבת תשע"ד - דצמבר </w:t>
      </w:r>
      <w:r w:rsidRPr="006E42E4">
        <w:rPr>
          <w:rFonts w:hint="cs"/>
          <w:rtl/>
        </w:rPr>
        <w:t xml:space="preserve">2013 (להלן </w:t>
      </w:r>
      <w:r w:rsidRPr="006E42E4">
        <w:rPr>
          <w:rtl/>
        </w:rPr>
        <w:t>–</w:t>
      </w:r>
      <w:r w:rsidRPr="006E42E4">
        <w:rPr>
          <w:rFonts w:hint="cs"/>
          <w:rtl/>
        </w:rPr>
        <w:t xml:space="preserve"> דוח הוועדה הציבורית).</w:t>
      </w:r>
    </w:p>
  </w:footnote>
  <w:footnote w:id="4">
    <w:p w14:paraId="66761880" w14:textId="77777777" w:rsidR="00C857F9" w:rsidRPr="006E42E4" w:rsidRDefault="00C857F9" w:rsidP="006E42E4">
      <w:pPr>
        <w:pStyle w:val="a7"/>
      </w:pPr>
      <w:r w:rsidRPr="006E42E4">
        <w:rPr>
          <w:rStyle w:val="FootnoteReference"/>
          <w:vertAlign w:val="baseline"/>
        </w:rPr>
        <w:footnoteRef/>
      </w:r>
      <w:r w:rsidRPr="006E42E4">
        <w:rPr>
          <w:rtl/>
        </w:rPr>
        <w:t xml:space="preserve"> </w:t>
      </w:r>
      <w:r w:rsidRPr="006E42E4">
        <w:rPr>
          <w:rtl/>
        </w:rPr>
        <w:tab/>
      </w:r>
      <w:r w:rsidRPr="006E42E4">
        <w:rPr>
          <w:rFonts w:hint="cs"/>
          <w:rtl/>
        </w:rPr>
        <w:t>ראו לעיל בה"ש 3.</w:t>
      </w:r>
    </w:p>
  </w:footnote>
  <w:footnote w:id="5">
    <w:p w14:paraId="5B96C91B" w14:textId="77777777" w:rsidR="00C857F9" w:rsidRPr="006E42E4" w:rsidRDefault="00C857F9" w:rsidP="006E42E4">
      <w:pPr>
        <w:pStyle w:val="a7"/>
      </w:pPr>
      <w:r w:rsidRPr="006E42E4">
        <w:rPr>
          <w:rStyle w:val="FootnoteReference"/>
          <w:vertAlign w:val="baseline"/>
        </w:rPr>
        <w:footnoteRef/>
      </w:r>
      <w:r w:rsidRPr="006E42E4">
        <w:rPr>
          <w:rtl/>
        </w:rPr>
        <w:t xml:space="preserve"> </w:t>
      </w:r>
      <w:r w:rsidRPr="006E42E4">
        <w:rPr>
          <w:rtl/>
        </w:rPr>
        <w:tab/>
      </w:r>
      <w:r w:rsidRPr="006E42E4">
        <w:rPr>
          <w:rFonts w:hint="cs"/>
          <w:rtl/>
        </w:rPr>
        <w:t>ס"ח התשע"ו, 2542.</w:t>
      </w:r>
    </w:p>
  </w:footnote>
  <w:footnote w:id="6">
    <w:p w14:paraId="42ADEC25" w14:textId="77777777" w:rsidR="00C857F9" w:rsidRPr="006E42E4" w:rsidRDefault="00C857F9" w:rsidP="006E42E4">
      <w:pPr>
        <w:pStyle w:val="a7"/>
        <w:rPr>
          <w:rtl/>
        </w:rPr>
      </w:pPr>
      <w:r w:rsidRPr="006E42E4">
        <w:rPr>
          <w:rStyle w:val="FootnoteReference"/>
          <w:vertAlign w:val="baseline"/>
        </w:rPr>
        <w:footnoteRef/>
      </w:r>
      <w:r w:rsidRPr="006E42E4">
        <w:rPr>
          <w:rtl/>
        </w:rPr>
        <w:t xml:space="preserve"> </w:t>
      </w:r>
      <w:r w:rsidRPr="006E42E4">
        <w:rPr>
          <w:rtl/>
        </w:rPr>
        <w:tab/>
      </w:r>
      <w:r w:rsidRPr="006E42E4">
        <w:rPr>
          <w:rFonts w:hint="cs"/>
          <w:rtl/>
        </w:rPr>
        <w:t>הוועדה הציבורית המליצה לצמצם את מספר חברי הוועד המרכזי, אך החוק ביטל את המוסד לחלוטין.</w:t>
      </w:r>
    </w:p>
  </w:footnote>
  <w:footnote w:id="7">
    <w:p w14:paraId="25493164" w14:textId="77777777" w:rsidR="00C857F9" w:rsidRDefault="00C857F9" w:rsidP="006E42E4">
      <w:pPr>
        <w:pStyle w:val="a7"/>
      </w:pPr>
      <w:r w:rsidRPr="006E42E4">
        <w:rPr>
          <w:rStyle w:val="FootnoteReference"/>
          <w:vertAlign w:val="baseline"/>
        </w:rPr>
        <w:footnoteRef/>
      </w:r>
      <w:r w:rsidRPr="006E42E4">
        <w:rPr>
          <w:rtl/>
        </w:rPr>
        <w:t xml:space="preserve"> </w:t>
      </w:r>
      <w:r w:rsidRPr="006E42E4">
        <w:rPr>
          <w:rtl/>
        </w:rPr>
        <w:tab/>
        <w:t>הקמת מחוז מרכז נועדה להתאים את פריסת מחוזות הלשכה למחוזות בתי המשפט כפי שהיה נהוג בעבר ולמתן את הפער הבלתי סביר ביחסי הכוחות ובייצוג במוסדות הארציים בין מחוז תל אביב לשאר המחוזות</w:t>
      </w:r>
      <w:r w:rsidRPr="006E42E4">
        <w:rPr>
          <w:rFonts w:hint="cs"/>
          <w:rtl/>
        </w:rPr>
        <w:t>. ראו עמ'</w:t>
      </w:r>
      <w:r>
        <w:rPr>
          <w:rFonts w:hint="cs"/>
          <w:rtl/>
        </w:rPr>
        <w:t xml:space="preserve"> 89 לדוח הוועדה הציבורית לעיל בה"ש 3. </w:t>
      </w:r>
    </w:p>
  </w:footnote>
  <w:footnote w:id="8">
    <w:p w14:paraId="03F89D07" w14:textId="77777777" w:rsidR="00C857F9" w:rsidRDefault="00C857F9" w:rsidP="003929A4">
      <w:pPr>
        <w:pStyle w:val="a7"/>
        <w:rPr>
          <w:rtl/>
        </w:rPr>
      </w:pPr>
      <w:r w:rsidRPr="00DB6E76">
        <w:footnoteRef/>
      </w:r>
      <w:r w:rsidRPr="00DB6E76">
        <w:rPr>
          <w:rtl/>
        </w:rPr>
        <w:t xml:space="preserve"> </w:t>
      </w:r>
      <w:r w:rsidRPr="00DB6E76">
        <w:rPr>
          <w:rtl/>
        </w:rPr>
        <w:tab/>
        <w:t>מבקר</w:t>
      </w:r>
      <w:r w:rsidRPr="000E33BA">
        <w:rPr>
          <w:rtl/>
        </w:rPr>
        <w:t xml:space="preserve"> המדינה, </w:t>
      </w:r>
      <w:r w:rsidRPr="000E33BA">
        <w:rPr>
          <w:b/>
          <w:bCs/>
          <w:rtl/>
        </w:rPr>
        <w:t>דוח מיוחד</w:t>
      </w:r>
      <w:r w:rsidRPr="000E33BA">
        <w:rPr>
          <w:rtl/>
        </w:rPr>
        <w:t xml:space="preserve"> (אפריל, 1999) "דוח על הביקורת בלשכת עורכי הדין בישראל"; מבקר המדינה </w:t>
      </w:r>
      <w:r w:rsidRPr="000E33BA">
        <w:rPr>
          <w:b/>
          <w:bCs/>
          <w:rtl/>
        </w:rPr>
        <w:t>קובץ דוחות ביקורת לשנת 2011</w:t>
      </w:r>
      <w:r w:rsidRPr="000E33BA">
        <w:rPr>
          <w:rtl/>
        </w:rPr>
        <w:t xml:space="preserve"> (דצמבר 2011) "לשכת עורכי הדין", עמ' 285-358.</w:t>
      </w:r>
    </w:p>
  </w:footnote>
  <w:footnote w:id="9">
    <w:p w14:paraId="73ACC4E5" w14:textId="77777777" w:rsidR="00C857F9" w:rsidRPr="0070704B" w:rsidRDefault="00C857F9" w:rsidP="0070704B">
      <w:pPr>
        <w:pStyle w:val="a7"/>
        <w:rPr>
          <w:rtl/>
        </w:rPr>
      </w:pPr>
      <w:r w:rsidRPr="0070704B">
        <w:rPr>
          <w:rStyle w:val="FootnoteReference"/>
          <w:vertAlign w:val="baseline"/>
        </w:rPr>
        <w:footnoteRef/>
      </w:r>
      <w:r w:rsidRPr="0070704B">
        <w:rPr>
          <w:rtl/>
        </w:rPr>
        <w:t xml:space="preserve"> </w:t>
      </w:r>
      <w:r w:rsidRPr="0070704B">
        <w:rPr>
          <w:rtl/>
        </w:rPr>
        <w:tab/>
      </w:r>
      <w:r w:rsidRPr="0070704B">
        <w:rPr>
          <w:rFonts w:hint="cs"/>
          <w:rtl/>
        </w:rPr>
        <w:t xml:space="preserve">נתוני התקציב לשנת 2019 הם נתונים צפויים. </w:t>
      </w:r>
    </w:p>
  </w:footnote>
  <w:footnote w:id="10">
    <w:p w14:paraId="460A7D9A" w14:textId="77777777" w:rsidR="00C857F9" w:rsidRPr="0022246D" w:rsidRDefault="00C857F9" w:rsidP="0070704B">
      <w:pPr>
        <w:pStyle w:val="a7"/>
        <w:rPr>
          <w:rtl/>
        </w:rPr>
      </w:pPr>
      <w:r w:rsidRPr="0070704B">
        <w:rPr>
          <w:rStyle w:val="FootnoteReference"/>
          <w:vertAlign w:val="baseline"/>
        </w:rPr>
        <w:footnoteRef/>
      </w:r>
      <w:r w:rsidRPr="0070704B">
        <w:rPr>
          <w:rtl/>
        </w:rPr>
        <w:t xml:space="preserve"> </w:t>
      </w:r>
      <w:r w:rsidRPr="0070704B">
        <w:rPr>
          <w:rtl/>
        </w:rPr>
        <w:tab/>
      </w:r>
      <w:r w:rsidRPr="0070704B">
        <w:rPr>
          <w:rFonts w:hint="cs"/>
          <w:rtl/>
        </w:rPr>
        <w:t xml:space="preserve">בין היתר מדובר בתקציב מערך </w:t>
      </w:r>
      <w:r w:rsidRPr="0070704B">
        <w:rPr>
          <w:rtl/>
        </w:rPr>
        <w:t>ההתמחות ובחינות ההסמכה, כנסים שנתיים</w:t>
      </w:r>
      <w:r w:rsidRPr="0070704B">
        <w:rPr>
          <w:rFonts w:hint="cs"/>
          <w:rtl/>
        </w:rPr>
        <w:t>,</w:t>
      </w:r>
      <w:r w:rsidRPr="0070704B">
        <w:rPr>
          <w:rtl/>
        </w:rPr>
        <w:t xml:space="preserve"> אירועי תרבות</w:t>
      </w:r>
      <w:r w:rsidRPr="0070704B">
        <w:rPr>
          <w:rFonts w:hint="cs"/>
          <w:rtl/>
        </w:rPr>
        <w:t xml:space="preserve"> ו</w:t>
      </w:r>
      <w:r w:rsidRPr="0070704B">
        <w:rPr>
          <w:rtl/>
        </w:rPr>
        <w:t>מועדון הצרכנות</w:t>
      </w:r>
      <w:r w:rsidRPr="0022246D">
        <w:rPr>
          <w:rtl/>
        </w:rPr>
        <w:t xml:space="preserve"> </w:t>
      </w:r>
      <w:r>
        <w:rPr>
          <w:rFonts w:hint="cs"/>
          <w:rtl/>
        </w:rPr>
        <w:t>של הלשכה.</w:t>
      </w:r>
    </w:p>
  </w:footnote>
  <w:footnote w:id="11">
    <w:p w14:paraId="1B8152E4" w14:textId="77777777" w:rsidR="00C857F9" w:rsidRDefault="00C857F9" w:rsidP="00C857F9">
      <w:pPr>
        <w:pStyle w:val="a7"/>
        <w:rPr>
          <w:rtl/>
        </w:rPr>
      </w:pPr>
      <w:r w:rsidRPr="00C857F9">
        <w:footnoteRef/>
      </w:r>
      <w:r w:rsidRPr="00C857F9">
        <w:rPr>
          <w:rtl/>
        </w:rPr>
        <w:t xml:space="preserve"> </w:t>
      </w:r>
      <w:r w:rsidRPr="00C857F9">
        <w:rPr>
          <w:rtl/>
        </w:rPr>
        <w:tab/>
      </w:r>
      <w:r w:rsidRPr="006D7130">
        <w:rPr>
          <w:rFonts w:hint="cs"/>
          <w:b/>
          <w:bCs/>
          <w:rtl/>
        </w:rPr>
        <w:t>נספח מיוחד - ניתוח דוחות כספיים</w:t>
      </w:r>
      <w:r>
        <w:rPr>
          <w:rFonts w:hint="cs"/>
          <w:rtl/>
        </w:rPr>
        <w:t xml:space="preserve">, רשות החברות הממשלתיות, משרד האוצר. </w:t>
      </w:r>
    </w:p>
  </w:footnote>
  <w:footnote w:id="12">
    <w:p w14:paraId="4B55B56A" w14:textId="77777777" w:rsidR="00C857F9" w:rsidRPr="00C857F9" w:rsidRDefault="00C857F9" w:rsidP="00C857F9">
      <w:pPr>
        <w:pStyle w:val="a7"/>
      </w:pPr>
      <w:r w:rsidRPr="00C857F9">
        <w:rPr>
          <w:rStyle w:val="FootnoteReference"/>
          <w:vertAlign w:val="baseline"/>
        </w:rPr>
        <w:footnoteRef/>
      </w:r>
      <w:r w:rsidRPr="00C857F9">
        <w:rPr>
          <w:rtl/>
        </w:rPr>
        <w:t xml:space="preserve"> </w:t>
      </w:r>
      <w:r w:rsidRPr="00C857F9">
        <w:rPr>
          <w:rtl/>
        </w:rPr>
        <w:tab/>
        <w:t xml:space="preserve">מכוח כללי חשבונאות מקובלים וכן מכוח נוהל "בקרה על יחידה או חברת בת או שותפות" של לשכת עורכי הדין, בתוקף מיום 2.2.2011. </w:t>
      </w:r>
    </w:p>
  </w:footnote>
  <w:footnote w:id="13">
    <w:p w14:paraId="321D9360" w14:textId="77777777" w:rsidR="00C857F9" w:rsidRDefault="00C857F9" w:rsidP="00C857F9">
      <w:pPr>
        <w:pStyle w:val="a7"/>
        <w:rPr>
          <w:rtl/>
        </w:rPr>
      </w:pPr>
      <w:r w:rsidRPr="00C857F9">
        <w:rPr>
          <w:rStyle w:val="FootnoteReference"/>
          <w:vertAlign w:val="baseline"/>
        </w:rPr>
        <w:footnoteRef/>
      </w:r>
      <w:r w:rsidRPr="00C857F9">
        <w:rPr>
          <w:rtl/>
        </w:rPr>
        <w:t xml:space="preserve"> </w:t>
      </w:r>
      <w:r w:rsidRPr="00C857F9">
        <w:rPr>
          <w:rtl/>
        </w:rPr>
        <w:tab/>
      </w:r>
      <w:r w:rsidRPr="00C857F9">
        <w:rPr>
          <w:rFonts w:hint="cs"/>
          <w:rtl/>
        </w:rPr>
        <w:t xml:space="preserve">יצוין כי על פי החוק ייתכן מצב שבו המועצה אינה מאשרת את התקציב עד סוף נובמבר הקודם לשנת התקציב. במקרה כזה רשאית הלשכה להוציא בכל חודש, כל עוד לא נקבע התקציב כאמור, סכום השווה לחלק ה-12 מהתקציב השנתי הקודם. במידה ולא קבעה המועצה הארצית את תקציב הלשכה עד ה-31.3 שלאחר </w:t>
      </w:r>
      <w:r w:rsidRPr="00C0375E">
        <w:rPr>
          <w:rFonts w:hint="cs"/>
          <w:rtl/>
        </w:rPr>
        <w:t>תחילת</w:t>
      </w:r>
      <w:r>
        <w:rPr>
          <w:rFonts w:hint="cs"/>
          <w:rtl/>
        </w:rPr>
        <w:t xml:space="preserve"> שנת </w:t>
      </w:r>
      <w:r w:rsidRPr="00C0375E">
        <w:rPr>
          <w:rFonts w:hint="cs"/>
          <w:rtl/>
        </w:rPr>
        <w:t>התקציב, יראו את המועצה הארצית כאילו החליטה על התפזרותה וייערכו בחירות מוקדמות למועצה הארצית ולראש הלשכה לא יאוחר מתום שישים ימים מהיום הקובע.</w:t>
      </w:r>
    </w:p>
  </w:footnote>
  <w:footnote w:id="14">
    <w:p w14:paraId="33ABAAFC" w14:textId="77777777" w:rsidR="00C857F9" w:rsidRPr="00F217B7" w:rsidRDefault="00C857F9" w:rsidP="00952259">
      <w:pPr>
        <w:pStyle w:val="a7"/>
      </w:pPr>
      <w:r w:rsidRPr="00952259">
        <w:footnoteRef/>
      </w:r>
      <w:r w:rsidRPr="00952259">
        <w:rPr>
          <w:rtl/>
        </w:rPr>
        <w:t xml:space="preserve"> </w:t>
      </w:r>
      <w:r w:rsidRPr="00952259">
        <w:rPr>
          <w:rtl/>
        </w:rPr>
        <w:tab/>
      </w:r>
      <w:r w:rsidRPr="00952259">
        <w:rPr>
          <w:rFonts w:hint="cs"/>
          <w:rtl/>
        </w:rPr>
        <w:t>הגשת</w:t>
      </w:r>
      <w:r w:rsidRPr="002B333A">
        <w:rPr>
          <w:rFonts w:hint="cs"/>
          <w:rtl/>
        </w:rPr>
        <w:t xml:space="preserve"> דוחות כספיים לשר אפשרית </w:t>
      </w:r>
      <w:r w:rsidRPr="00F217B7">
        <w:rPr>
          <w:rtl/>
        </w:rPr>
        <w:t>לאחר שרואה החשבון המבקר בחן ואישר אותם.</w:t>
      </w:r>
      <w:r>
        <w:rPr>
          <w:rtl/>
        </w:rPr>
        <w:t xml:space="preserve"> </w:t>
      </w:r>
    </w:p>
  </w:footnote>
  <w:footnote w:id="15">
    <w:p w14:paraId="5BCB489B" w14:textId="77777777" w:rsidR="00C857F9" w:rsidRDefault="00C857F9" w:rsidP="00150BE7">
      <w:pPr>
        <w:pStyle w:val="a7"/>
        <w:rPr>
          <w:rtl/>
        </w:rPr>
      </w:pPr>
      <w:r w:rsidRPr="00150BE7">
        <w:footnoteRef/>
      </w:r>
      <w:r w:rsidRPr="00150BE7">
        <w:rPr>
          <w:rtl/>
        </w:rPr>
        <w:t xml:space="preserve"> </w:t>
      </w:r>
      <w:r w:rsidRPr="00150BE7">
        <w:rPr>
          <w:rtl/>
        </w:rPr>
        <w:tab/>
      </w:r>
      <w:r w:rsidRPr="00150BE7">
        <w:rPr>
          <w:rFonts w:hint="cs"/>
          <w:rtl/>
        </w:rPr>
        <w:t>על</w:t>
      </w:r>
      <w:r>
        <w:rPr>
          <w:rFonts w:hint="cs"/>
          <w:rtl/>
        </w:rPr>
        <w:t xml:space="preserve"> פי כללי חשבונאות מקובלים, </w:t>
      </w:r>
      <w:r w:rsidRPr="00AD469A">
        <w:rPr>
          <w:rtl/>
        </w:rPr>
        <w:t>הדוחות הכספיים, לרבות הביאורים, מוצגים עם מספרי השוואה לתקופות קודמות. כך ניתנת אפשרות לנתח את הדוחות לאורך זמן נתון</w:t>
      </w:r>
      <w:r w:rsidRPr="00AD469A">
        <w:t>.</w:t>
      </w:r>
    </w:p>
  </w:footnote>
  <w:footnote w:id="16">
    <w:p w14:paraId="20AD51F4" w14:textId="77777777" w:rsidR="00C857F9" w:rsidRDefault="00C857F9" w:rsidP="00F07E52">
      <w:pPr>
        <w:pStyle w:val="a7"/>
        <w:rPr>
          <w:rtl/>
        </w:rPr>
      </w:pPr>
      <w:r w:rsidRPr="00F07E52">
        <w:footnoteRef/>
      </w:r>
      <w:r w:rsidRPr="00F07E52">
        <w:rPr>
          <w:rtl/>
        </w:rPr>
        <w:t xml:space="preserve"> </w:t>
      </w:r>
      <w:r w:rsidRPr="00F07E52">
        <w:rPr>
          <w:rtl/>
        </w:rPr>
        <w:tab/>
      </w:r>
      <w:r>
        <w:rPr>
          <w:rFonts w:hint="cs"/>
          <w:rtl/>
        </w:rPr>
        <w:t>הדוח הכספי לשנת 2017, ביאור 2טז.</w:t>
      </w:r>
    </w:p>
  </w:footnote>
  <w:footnote w:id="17">
    <w:p w14:paraId="342DC9D8" w14:textId="77777777" w:rsidR="00C857F9" w:rsidRDefault="00C857F9" w:rsidP="00F07E52">
      <w:pPr>
        <w:pStyle w:val="a7"/>
      </w:pPr>
      <w:r w:rsidRPr="00F07E52">
        <w:footnoteRef/>
      </w:r>
      <w:r w:rsidRPr="00F07E52">
        <w:rPr>
          <w:rtl/>
        </w:rPr>
        <w:t xml:space="preserve"> </w:t>
      </w:r>
      <w:r w:rsidRPr="00F07E52">
        <w:rPr>
          <w:rtl/>
        </w:rPr>
        <w:tab/>
      </w:r>
      <w:r w:rsidRPr="00F07E52">
        <w:rPr>
          <w:rFonts w:hint="cs"/>
          <w:rtl/>
        </w:rPr>
        <w:t>ראו</w:t>
      </w:r>
      <w:r>
        <w:rPr>
          <w:rFonts w:hint="cs"/>
          <w:rtl/>
        </w:rPr>
        <w:t xml:space="preserve"> בהקשר זה משרד ראש הממשלה, האגף לתכנון מדיניות, </w:t>
      </w:r>
      <w:r w:rsidRPr="00715657">
        <w:rPr>
          <w:rFonts w:hint="cs"/>
          <w:b/>
          <w:bCs/>
          <w:rtl/>
        </w:rPr>
        <w:t>מדריך התכנון הממשלתי</w:t>
      </w:r>
      <w:r>
        <w:rPr>
          <w:rFonts w:hint="cs"/>
          <w:rtl/>
        </w:rPr>
        <w:t xml:space="preserve"> (ספטמבר 2010), עמ' 42.</w:t>
      </w:r>
    </w:p>
  </w:footnote>
  <w:footnote w:id="18">
    <w:p w14:paraId="5BA532E4" w14:textId="77777777" w:rsidR="00C857F9" w:rsidRDefault="00C857F9" w:rsidP="00AC3451">
      <w:pPr>
        <w:pStyle w:val="a7"/>
        <w:rPr>
          <w:rtl/>
        </w:rPr>
      </w:pPr>
      <w:r w:rsidRPr="00AC3451">
        <w:footnoteRef/>
      </w:r>
      <w:r w:rsidRPr="00AC3451">
        <w:rPr>
          <w:rtl/>
        </w:rPr>
        <w:t xml:space="preserve"> </w:t>
      </w:r>
      <w:r w:rsidRPr="00AC3451">
        <w:rPr>
          <w:rtl/>
        </w:rPr>
        <w:tab/>
      </w:r>
      <w:r w:rsidRPr="00AC3451">
        <w:rPr>
          <w:rFonts w:hint="cs"/>
          <w:rtl/>
        </w:rPr>
        <w:t>ראו</w:t>
      </w:r>
      <w:r>
        <w:rPr>
          <w:rFonts w:hint="cs"/>
          <w:rtl/>
        </w:rPr>
        <w:t xml:space="preserve"> בהקשר זה </w:t>
      </w:r>
      <w:r w:rsidRPr="005A723E">
        <w:rPr>
          <w:rtl/>
        </w:rPr>
        <w:t>ע</w:t>
      </w:r>
      <w:r>
        <w:rPr>
          <w:rFonts w:hint="cs"/>
          <w:rtl/>
        </w:rPr>
        <w:t>"</w:t>
      </w:r>
      <w:r w:rsidRPr="005A723E">
        <w:rPr>
          <w:rtl/>
        </w:rPr>
        <w:t>פ 514/17 ‏</w:t>
      </w:r>
      <w:r w:rsidRPr="00FA6B2D">
        <w:rPr>
          <w:b/>
          <w:bCs/>
          <w:rtl/>
        </w:rPr>
        <w:t>עו"ד יצחקניא נ' כב' השופטת דנה מרשק-מרום</w:t>
      </w:r>
      <w:r>
        <w:rPr>
          <w:rFonts w:hint="cs"/>
          <w:rtl/>
        </w:rPr>
        <w:t xml:space="preserve"> (פורסם במאגר ממוחשב, 26.3.17), סעיף 36 לפסק הדין.</w:t>
      </w:r>
    </w:p>
  </w:footnote>
  <w:footnote w:id="19">
    <w:p w14:paraId="6B9E4358" w14:textId="77777777" w:rsidR="00C857F9" w:rsidRDefault="00C857F9" w:rsidP="00AC3451">
      <w:pPr>
        <w:pStyle w:val="a7"/>
        <w:rPr>
          <w:rtl/>
        </w:rPr>
      </w:pPr>
      <w:r w:rsidRPr="00AC3451">
        <w:footnoteRef/>
      </w:r>
      <w:r w:rsidRPr="00AC3451">
        <w:rPr>
          <w:rtl/>
        </w:rPr>
        <w:t xml:space="preserve"> </w:t>
      </w:r>
      <w:r w:rsidRPr="00AC3451">
        <w:rPr>
          <w:rtl/>
        </w:rPr>
        <w:tab/>
      </w:r>
      <w:r w:rsidRPr="00AC3451">
        <w:rPr>
          <w:rFonts w:hint="cs"/>
          <w:rtl/>
        </w:rPr>
        <w:t>ראו</w:t>
      </w:r>
      <w:r>
        <w:rPr>
          <w:rFonts w:hint="cs"/>
          <w:rtl/>
        </w:rPr>
        <w:t xml:space="preserve"> </w:t>
      </w:r>
      <w:r>
        <w:rPr>
          <w:rtl/>
        </w:rPr>
        <w:t>על</w:t>
      </w:r>
      <w:r>
        <w:rPr>
          <w:rFonts w:hint="cs"/>
          <w:rtl/>
        </w:rPr>
        <w:t>"</w:t>
      </w:r>
      <w:r>
        <w:rPr>
          <w:rtl/>
        </w:rPr>
        <w:t>ע 8968/07 ‏</w:t>
      </w:r>
      <w:r>
        <w:rPr>
          <w:b/>
          <w:bCs/>
          <w:rtl/>
        </w:rPr>
        <w:t>הוועד</w:t>
      </w:r>
      <w:r w:rsidRPr="00FA6B2D">
        <w:rPr>
          <w:b/>
          <w:bCs/>
          <w:rtl/>
        </w:rPr>
        <w:t xml:space="preserve"> המחוזי של לשכת עורכי הדין בתל אביב נ' עו"ד אלעזר</w:t>
      </w:r>
      <w:r>
        <w:rPr>
          <w:rFonts w:hint="cs"/>
          <w:rtl/>
        </w:rPr>
        <w:t xml:space="preserve"> (פורסם במאגר ממוחשב, 24.3.11).</w:t>
      </w:r>
    </w:p>
  </w:footnote>
  <w:footnote w:id="20">
    <w:p w14:paraId="318A841A" w14:textId="77777777" w:rsidR="00C857F9" w:rsidRPr="00AC3451" w:rsidRDefault="00C857F9" w:rsidP="00AC3451">
      <w:pPr>
        <w:pStyle w:val="a7"/>
      </w:pPr>
      <w:r w:rsidRPr="00AC3451">
        <w:rPr>
          <w:rStyle w:val="FootnoteReference"/>
          <w:vertAlign w:val="baseline"/>
        </w:rPr>
        <w:footnoteRef/>
      </w:r>
      <w:r w:rsidRPr="00AC3451">
        <w:rPr>
          <w:rtl/>
        </w:rPr>
        <w:t xml:space="preserve"> </w:t>
      </w:r>
      <w:r w:rsidRPr="00AC3451">
        <w:rPr>
          <w:rtl/>
        </w:rPr>
        <w:tab/>
      </w:r>
      <w:r w:rsidRPr="00AC3451">
        <w:rPr>
          <w:rFonts w:hint="cs"/>
          <w:rtl/>
        </w:rPr>
        <w:t xml:space="preserve">ועדה </w:t>
      </w:r>
      <w:r w:rsidRPr="00AC3451">
        <w:rPr>
          <w:rtl/>
        </w:rPr>
        <w:t xml:space="preserve">בת שבעה חברים </w:t>
      </w:r>
      <w:r w:rsidRPr="00AC3451">
        <w:rPr>
          <w:rFonts w:hint="cs"/>
          <w:rtl/>
        </w:rPr>
        <w:t>שהוקמה בחוק ו</w:t>
      </w:r>
      <w:r w:rsidRPr="00AC3451">
        <w:rPr>
          <w:rtl/>
        </w:rPr>
        <w:t>תפקידה לבחור או לאשר מינויים במערך האתיקה והמשמעת. יו"ר הוועדה הוא שופט בדימוס הממונה על ידי שר המשפטים בהתייעצות עם יו"ר הלשכה</w:t>
      </w:r>
      <w:r w:rsidRPr="00AC3451">
        <w:rPr>
          <w:rFonts w:hint="cs"/>
          <w:rtl/>
        </w:rPr>
        <w:t xml:space="preserve">. כמו כן חברים בוועדה </w:t>
      </w:r>
      <w:r w:rsidRPr="00AC3451">
        <w:rPr>
          <w:rtl/>
        </w:rPr>
        <w:t>שני עורכי דין בשירות המדינה, ברשות מקומית או בתאגיד סטטוטורי, הממונים על ידי שר המשפטים, שני חברי לשכה נוספים הנבחרים על ידי המועצה הארצית ושני חברי לשכה נוספים שנבחרים על ידי המועצה הארצית או ועד המחוז</w:t>
      </w:r>
      <w:r w:rsidRPr="00AC3451">
        <w:rPr>
          <w:rFonts w:hint="cs"/>
          <w:rtl/>
        </w:rPr>
        <w:t>,</w:t>
      </w:r>
      <w:r w:rsidRPr="00AC3451">
        <w:rPr>
          <w:rtl/>
        </w:rPr>
        <w:t xml:space="preserve"> לפי העניין ובהתאם למינוי המתבקש</w:t>
      </w:r>
      <w:r w:rsidRPr="00AC3451">
        <w:rPr>
          <w:rFonts w:hint="cs"/>
          <w:rtl/>
        </w:rPr>
        <w:t xml:space="preserve">. </w:t>
      </w:r>
    </w:p>
  </w:footnote>
  <w:footnote w:id="21">
    <w:p w14:paraId="29FA9A1C" w14:textId="77777777" w:rsidR="00C857F9" w:rsidRPr="00AC3451" w:rsidRDefault="00C857F9" w:rsidP="00AC3451">
      <w:pPr>
        <w:pStyle w:val="a7"/>
      </w:pPr>
      <w:r w:rsidRPr="00AC3451">
        <w:rPr>
          <w:rStyle w:val="FootnoteReference"/>
          <w:vertAlign w:val="baseline"/>
        </w:rPr>
        <w:footnoteRef/>
      </w:r>
      <w:r w:rsidRPr="00AC3451">
        <w:rPr>
          <w:rtl/>
        </w:rPr>
        <w:t xml:space="preserve"> </w:t>
      </w:r>
      <w:r w:rsidRPr="00AC3451">
        <w:rPr>
          <w:rtl/>
        </w:rPr>
        <w:tab/>
      </w:r>
      <w:r w:rsidRPr="00AC3451">
        <w:rPr>
          <w:rFonts w:hint="cs"/>
          <w:rtl/>
        </w:rPr>
        <w:t>בהתאם לכללי לשכת עורכי הדין (המספר הכולל של חברי ועדות האתיקה), התש"ע-2009, בוועדת אתיקה ארצית יהיו 10 - 25 חברים, במחוזות חיפה ותל אביב יהיו 10 - 25 חברים, במחוזות ירושלים, צפון ודרום יהיו 7 - 14 חברים. מספר החברים בטווחים האמורים ייקבע על ידי המועצה הארצית.</w:t>
      </w:r>
    </w:p>
  </w:footnote>
  <w:footnote w:id="22">
    <w:p w14:paraId="0DF6F4A6" w14:textId="77777777" w:rsidR="00C857F9" w:rsidRDefault="00C857F9" w:rsidP="00AC3451">
      <w:pPr>
        <w:pStyle w:val="a7"/>
      </w:pPr>
      <w:r w:rsidRPr="00AC3451">
        <w:rPr>
          <w:rStyle w:val="FootnoteReference"/>
          <w:vertAlign w:val="baseline"/>
        </w:rPr>
        <w:footnoteRef/>
      </w:r>
      <w:r w:rsidRPr="00AC3451">
        <w:rPr>
          <w:rtl/>
        </w:rPr>
        <w:t xml:space="preserve"> </w:t>
      </w:r>
      <w:r w:rsidRPr="00AC3451">
        <w:rPr>
          <w:rtl/>
        </w:rPr>
        <w:tab/>
        <w:t>נציגי ציבור בוועדות המחוזיות ובוועדה הארצית נבחרים על ידי ועדת המינויים בלבד</w:t>
      </w:r>
      <w:r w:rsidRPr="00AC3451">
        <w:rPr>
          <w:rFonts w:hint="cs"/>
          <w:rtl/>
        </w:rPr>
        <w:t xml:space="preserve"> ולא רק מאושרים על ידה</w:t>
      </w:r>
      <w:r>
        <w:rPr>
          <w:rFonts w:hint="cs"/>
          <w:rtl/>
        </w:rPr>
        <w:t>.</w:t>
      </w:r>
    </w:p>
  </w:footnote>
  <w:footnote w:id="23">
    <w:p w14:paraId="56143AED" w14:textId="77777777" w:rsidR="00C857F9" w:rsidRDefault="00C857F9" w:rsidP="00AC3451">
      <w:pPr>
        <w:pStyle w:val="a7"/>
      </w:pPr>
      <w:r w:rsidRPr="00AC3451">
        <w:footnoteRef/>
      </w:r>
      <w:r w:rsidRPr="00AC3451">
        <w:rPr>
          <w:rtl/>
        </w:rPr>
        <w:t xml:space="preserve"> </w:t>
      </w:r>
      <w:r w:rsidRPr="00AC3451">
        <w:rPr>
          <w:rtl/>
        </w:rPr>
        <w:tab/>
      </w:r>
      <w:r w:rsidRPr="006D7130">
        <w:rPr>
          <w:rFonts w:hint="cs"/>
          <w:b/>
          <w:bCs/>
          <w:rtl/>
        </w:rPr>
        <w:t>נוהל טיפול בתלונות אתיקה (ניגוד עניינים)</w:t>
      </w:r>
      <w:r>
        <w:rPr>
          <w:rFonts w:hint="cs"/>
          <w:rtl/>
        </w:rPr>
        <w:t xml:space="preserve"> מ-2.12.10 שפרסם יו"ר ועדת האתיקה הארצית.</w:t>
      </w:r>
    </w:p>
  </w:footnote>
  <w:footnote w:id="24">
    <w:p w14:paraId="61257FE5" w14:textId="77777777" w:rsidR="00C857F9" w:rsidRPr="005A78EE" w:rsidRDefault="00C857F9" w:rsidP="005A78EE">
      <w:pPr>
        <w:pStyle w:val="a7"/>
      </w:pPr>
      <w:r w:rsidRPr="005A78EE">
        <w:rPr>
          <w:rStyle w:val="FootnoteReference"/>
          <w:vertAlign w:val="baseline"/>
        </w:rPr>
        <w:footnoteRef/>
      </w:r>
      <w:r w:rsidRPr="005A78EE">
        <w:rPr>
          <w:rtl/>
        </w:rPr>
        <w:t xml:space="preserve"> </w:t>
      </w:r>
      <w:r w:rsidRPr="005A78EE">
        <w:rPr>
          <w:rtl/>
        </w:rPr>
        <w:tab/>
      </w:r>
      <w:r w:rsidRPr="005A78EE">
        <w:rPr>
          <w:rFonts w:hint="cs"/>
          <w:rtl/>
        </w:rPr>
        <w:t>בהתאם לכללי לשכת עורכי הדין (מספר חברי בתי הדין המשמעתיים), התשנ"ט-1999, מספר חברי בית הדין הארצי יהיה 102, במחוז ירושלים-45, במחוז תל אביב-150, במחוז חיפה-45, במחוז צפון-36, במחוז דרום-24.</w:t>
      </w:r>
    </w:p>
  </w:footnote>
  <w:footnote w:id="25">
    <w:p w14:paraId="76A8604F" w14:textId="77777777" w:rsidR="00C857F9" w:rsidRDefault="00C857F9" w:rsidP="005A78EE">
      <w:pPr>
        <w:pStyle w:val="a7"/>
        <w:rPr>
          <w:rtl/>
        </w:rPr>
      </w:pPr>
      <w:r w:rsidRPr="005A78EE">
        <w:rPr>
          <w:rStyle w:val="FootnoteReference"/>
          <w:vertAlign w:val="baseline"/>
        </w:rPr>
        <w:footnoteRef/>
      </w:r>
      <w:r w:rsidRPr="005A78EE">
        <w:rPr>
          <w:rtl/>
        </w:rPr>
        <w:t xml:space="preserve"> </w:t>
      </w:r>
      <w:r w:rsidRPr="005A78EE">
        <w:rPr>
          <w:rtl/>
        </w:rPr>
        <w:tab/>
        <w:t>עורך דין שהושעה או הוצא מהלשכה אינו רשאי לעסוק בפעילות שיוחדה לעורך דין בתקופת השעייתו או בתקופה</w:t>
      </w:r>
      <w:r w:rsidRPr="00F01C3C">
        <w:rPr>
          <w:rtl/>
        </w:rPr>
        <w:t xml:space="preserve"> </w:t>
      </w:r>
      <w:r>
        <w:rPr>
          <w:rFonts w:hint="cs"/>
          <w:rtl/>
        </w:rPr>
        <w:t>ש</w:t>
      </w:r>
      <w:r w:rsidRPr="00F01C3C">
        <w:rPr>
          <w:rtl/>
        </w:rPr>
        <w:t>בה הוצא מהלשכה</w:t>
      </w:r>
      <w:r>
        <w:rPr>
          <w:rFonts w:hint="cs"/>
          <w:rtl/>
        </w:rPr>
        <w:t>.</w:t>
      </w:r>
      <w:r w:rsidRPr="00F01C3C">
        <w:rPr>
          <w:rFonts w:hint="cs"/>
          <w:rtl/>
        </w:rPr>
        <w:t xml:space="preserve"> </w:t>
      </w:r>
      <w:r>
        <w:rPr>
          <w:rFonts w:hint="cs"/>
          <w:rtl/>
        </w:rPr>
        <w:t xml:space="preserve">סעיף 52 לחוק קובע כי עורך דין שהוצא מהלשכה רשאי לבקש לחדש את חברותו בה לאחר עשר שנים, </w:t>
      </w:r>
      <w:r w:rsidRPr="00DE5CB7">
        <w:rPr>
          <w:rtl/>
        </w:rPr>
        <w:t>והלשכה רשאית לסרב או לאשר את הבקשה לפי שיקול דעתה.</w:t>
      </w:r>
    </w:p>
  </w:footnote>
  <w:footnote w:id="26">
    <w:p w14:paraId="3483BB06" w14:textId="77777777" w:rsidR="00C857F9" w:rsidRPr="002F3162" w:rsidRDefault="00C857F9" w:rsidP="002F3162">
      <w:pPr>
        <w:pStyle w:val="a7"/>
      </w:pPr>
      <w:r w:rsidRPr="002F3162">
        <w:rPr>
          <w:rStyle w:val="FootnoteReference"/>
          <w:vertAlign w:val="baseline"/>
        </w:rPr>
        <w:footnoteRef/>
      </w:r>
      <w:r w:rsidRPr="002F3162">
        <w:rPr>
          <w:rtl/>
        </w:rPr>
        <w:t xml:space="preserve"> </w:t>
      </w:r>
      <w:r w:rsidRPr="002F3162">
        <w:rPr>
          <w:rtl/>
        </w:rPr>
        <w:tab/>
        <w:t xml:space="preserve">כללי לשכת עורכי הדין (סדרי הדין בבתי הדין המשמעתיים), </w:t>
      </w:r>
      <w:r w:rsidRPr="002F3162">
        <w:rPr>
          <w:rFonts w:hint="cs"/>
          <w:rtl/>
        </w:rPr>
        <w:t>ה</w:t>
      </w:r>
      <w:r w:rsidRPr="002F3162">
        <w:rPr>
          <w:rtl/>
        </w:rPr>
        <w:t>תשכ"ב-1962</w:t>
      </w:r>
      <w:r w:rsidRPr="002F3162">
        <w:rPr>
          <w:rFonts w:hint="cs"/>
          <w:rtl/>
        </w:rPr>
        <w:t>.</w:t>
      </w:r>
    </w:p>
  </w:footnote>
  <w:footnote w:id="27">
    <w:p w14:paraId="3CAAA6A1" w14:textId="77777777" w:rsidR="00C857F9" w:rsidRPr="002F3162" w:rsidRDefault="00C857F9" w:rsidP="002F3162">
      <w:pPr>
        <w:pStyle w:val="a7"/>
      </w:pPr>
      <w:r w:rsidRPr="002F3162">
        <w:rPr>
          <w:rStyle w:val="FootnoteReference"/>
          <w:vertAlign w:val="baseline"/>
        </w:rPr>
        <w:footnoteRef/>
      </w:r>
      <w:r w:rsidRPr="002F3162">
        <w:rPr>
          <w:rtl/>
        </w:rPr>
        <w:t xml:space="preserve"> </w:t>
      </w:r>
      <w:r w:rsidRPr="002F3162">
        <w:rPr>
          <w:rtl/>
        </w:rPr>
        <w:tab/>
        <w:t>כללי לשכת עורכי הדין (סדרי הדין בבתי הדין המשמעתיים)</w:t>
      </w:r>
      <w:r w:rsidRPr="002F3162">
        <w:rPr>
          <w:rFonts w:hint="cs"/>
          <w:rtl/>
        </w:rPr>
        <w:t>,</w:t>
      </w:r>
      <w:r w:rsidRPr="002F3162">
        <w:rPr>
          <w:rtl/>
        </w:rPr>
        <w:t xml:space="preserve"> התשע"ה-2015</w:t>
      </w:r>
      <w:r w:rsidRPr="002F3162">
        <w:rPr>
          <w:rFonts w:hint="cs"/>
          <w:rtl/>
        </w:rPr>
        <w:t>.</w:t>
      </w:r>
    </w:p>
  </w:footnote>
  <w:footnote w:id="28">
    <w:p w14:paraId="79C732F8" w14:textId="77777777" w:rsidR="00C857F9" w:rsidRPr="002F3162" w:rsidRDefault="00C857F9" w:rsidP="002F3162">
      <w:pPr>
        <w:pStyle w:val="a7"/>
      </w:pPr>
      <w:r w:rsidRPr="002F3162">
        <w:rPr>
          <w:rStyle w:val="FootnoteReference"/>
          <w:vertAlign w:val="baseline"/>
        </w:rPr>
        <w:footnoteRef/>
      </w:r>
      <w:r w:rsidRPr="002F3162">
        <w:rPr>
          <w:rtl/>
        </w:rPr>
        <w:t xml:space="preserve"> </w:t>
      </w:r>
      <w:r w:rsidRPr="002F3162">
        <w:rPr>
          <w:rtl/>
        </w:rPr>
        <w:tab/>
      </w:r>
      <w:r w:rsidRPr="002F3162">
        <w:rPr>
          <w:rFonts w:hint="cs"/>
          <w:rtl/>
        </w:rPr>
        <w:t xml:space="preserve">אחד מחברי ועדת האתיקה, פרקליט האתיקה או עובד מנגנון הלשכה המרכז את עבודת ועדת האתיקה. </w:t>
      </w:r>
    </w:p>
  </w:footnote>
  <w:footnote w:id="29">
    <w:p w14:paraId="69FB550B" w14:textId="77777777" w:rsidR="00C857F9" w:rsidRPr="00903025" w:rsidRDefault="00C857F9" w:rsidP="002F3162">
      <w:pPr>
        <w:pStyle w:val="a7"/>
      </w:pPr>
      <w:r w:rsidRPr="002F3162">
        <w:rPr>
          <w:rStyle w:val="FootnoteReference"/>
          <w:vertAlign w:val="baseline"/>
        </w:rPr>
        <w:footnoteRef/>
      </w:r>
      <w:r w:rsidRPr="002F3162">
        <w:rPr>
          <w:rtl/>
        </w:rPr>
        <w:t xml:space="preserve"> </w:t>
      </w:r>
      <w:r w:rsidRPr="002F3162">
        <w:rPr>
          <w:rtl/>
        </w:rPr>
        <w:tab/>
        <w:t>בתיקון</w:t>
      </w:r>
      <w:r w:rsidRPr="00903025">
        <w:rPr>
          <w:rtl/>
        </w:rPr>
        <w:t xml:space="preserve"> לנוהל הארצי מ-2015 הוסף כי הנציג רשאי להמליץ למליאת הוועדה להחליט לשלוח הפניה ל</w:t>
      </w:r>
      <w:r>
        <w:rPr>
          <w:rFonts w:hint="cs"/>
          <w:rtl/>
        </w:rPr>
        <w:t>תשובה</w:t>
      </w:r>
      <w:r w:rsidRPr="00903025">
        <w:rPr>
          <w:rtl/>
        </w:rPr>
        <w:t xml:space="preserve"> סטטוטורית של הנילון ללא צורך בתגובה ראשונית.</w:t>
      </w:r>
    </w:p>
  </w:footnote>
  <w:footnote w:id="30">
    <w:p w14:paraId="69FA7810" w14:textId="77777777" w:rsidR="00C857F9" w:rsidRDefault="00C857F9" w:rsidP="00B933BC">
      <w:pPr>
        <w:pStyle w:val="a7"/>
        <w:rPr>
          <w:rtl/>
        </w:rPr>
      </w:pPr>
      <w:r w:rsidRPr="00B933BC">
        <w:footnoteRef/>
      </w:r>
      <w:r w:rsidRPr="00B933BC">
        <w:t xml:space="preserve"> </w:t>
      </w:r>
      <w:r w:rsidRPr="00B933BC">
        <w:rPr>
          <w:rtl/>
        </w:rPr>
        <w:tab/>
      </w:r>
      <w:r w:rsidRPr="003D0FCE">
        <w:rPr>
          <w:rFonts w:hint="eastAsia"/>
          <w:rtl/>
        </w:rPr>
        <w:t>הוועדה</w:t>
      </w:r>
      <w:r w:rsidRPr="003D0FCE">
        <w:rPr>
          <w:rtl/>
        </w:rPr>
        <w:t xml:space="preserve"> </w:t>
      </w:r>
      <w:r w:rsidRPr="003D0FCE">
        <w:rPr>
          <w:rFonts w:hint="eastAsia"/>
          <w:rtl/>
        </w:rPr>
        <w:t>לבחינת</w:t>
      </w:r>
      <w:r w:rsidRPr="003D0FCE">
        <w:rPr>
          <w:rtl/>
        </w:rPr>
        <w:t xml:space="preserve"> </w:t>
      </w:r>
      <w:r w:rsidRPr="003D0FCE">
        <w:rPr>
          <w:rFonts w:hint="eastAsia"/>
          <w:rtl/>
        </w:rPr>
        <w:t>הדין</w:t>
      </w:r>
      <w:r w:rsidRPr="003D0FCE">
        <w:rPr>
          <w:rtl/>
        </w:rPr>
        <w:t xml:space="preserve"> </w:t>
      </w:r>
      <w:r w:rsidRPr="003D0FCE">
        <w:rPr>
          <w:rFonts w:hint="eastAsia"/>
          <w:rtl/>
        </w:rPr>
        <w:t>המשמעתי</w:t>
      </w:r>
      <w:r w:rsidRPr="003D0FCE">
        <w:rPr>
          <w:rtl/>
        </w:rPr>
        <w:t xml:space="preserve"> </w:t>
      </w:r>
      <w:r w:rsidRPr="003D0FCE">
        <w:rPr>
          <w:rFonts w:hint="eastAsia"/>
          <w:rtl/>
        </w:rPr>
        <w:t>של</w:t>
      </w:r>
      <w:r w:rsidRPr="003D0FCE">
        <w:rPr>
          <w:rtl/>
        </w:rPr>
        <w:t xml:space="preserve"> </w:t>
      </w:r>
      <w:r w:rsidRPr="003D0FCE">
        <w:rPr>
          <w:rFonts w:hint="eastAsia"/>
          <w:rtl/>
        </w:rPr>
        <w:t>עורכי</w:t>
      </w:r>
      <w:r w:rsidRPr="003D0FCE">
        <w:rPr>
          <w:rtl/>
        </w:rPr>
        <w:t xml:space="preserve"> </w:t>
      </w:r>
      <w:r w:rsidRPr="003D0FCE">
        <w:rPr>
          <w:rFonts w:hint="eastAsia"/>
          <w:rtl/>
        </w:rPr>
        <w:t>הדין</w:t>
      </w:r>
      <w:r w:rsidRPr="003D0FCE">
        <w:rPr>
          <w:rFonts w:hint="cs"/>
          <w:rtl/>
        </w:rPr>
        <w:t xml:space="preserve">, </w:t>
      </w:r>
      <w:r w:rsidRPr="003D0FCE">
        <w:rPr>
          <w:rFonts w:hint="cs"/>
          <w:b/>
          <w:bCs/>
          <w:rtl/>
        </w:rPr>
        <w:t>דוח הוועדה</w:t>
      </w:r>
      <w:r w:rsidRPr="003D0FCE">
        <w:rPr>
          <w:rFonts w:hint="cs"/>
          <w:rtl/>
        </w:rPr>
        <w:t xml:space="preserve"> (1995). </w:t>
      </w:r>
    </w:p>
  </w:footnote>
  <w:footnote w:id="31">
    <w:p w14:paraId="48DCDB53" w14:textId="77777777" w:rsidR="00C857F9" w:rsidRDefault="00C857F9" w:rsidP="00B933BC">
      <w:pPr>
        <w:pStyle w:val="a7"/>
        <w:rPr>
          <w:rtl/>
        </w:rPr>
      </w:pPr>
      <w:r w:rsidRPr="00B933BC">
        <w:footnoteRef/>
      </w:r>
      <w:r w:rsidRPr="00B933BC">
        <w:rPr>
          <w:rtl/>
        </w:rPr>
        <w:t xml:space="preserve"> </w:t>
      </w:r>
      <w:r w:rsidRPr="00B933BC">
        <w:rPr>
          <w:rtl/>
        </w:rPr>
        <w:tab/>
        <w:t>ס"</w:t>
      </w:r>
      <w:r>
        <w:rPr>
          <w:rtl/>
        </w:rPr>
        <w:t>ח תשס"ח</w:t>
      </w:r>
      <w:r>
        <w:rPr>
          <w:rFonts w:hint="cs"/>
          <w:rtl/>
        </w:rPr>
        <w:t xml:space="preserve">, </w:t>
      </w:r>
      <w:r w:rsidRPr="00DD0976">
        <w:rPr>
          <w:rtl/>
        </w:rPr>
        <w:t>עמ' 595</w:t>
      </w:r>
      <w:r>
        <w:rPr>
          <w:rFonts w:hint="cs"/>
          <w:rtl/>
        </w:rPr>
        <w:t>.</w:t>
      </w:r>
    </w:p>
  </w:footnote>
  <w:footnote w:id="32">
    <w:p w14:paraId="5BD6CD00" w14:textId="77777777" w:rsidR="00C857F9" w:rsidRPr="0065204A" w:rsidRDefault="00C857F9" w:rsidP="009B75F0">
      <w:pPr>
        <w:pStyle w:val="a7"/>
      </w:pPr>
      <w:r w:rsidRPr="009B75F0">
        <w:footnoteRef/>
      </w:r>
      <w:r w:rsidRPr="009B75F0">
        <w:rPr>
          <w:rtl/>
        </w:rPr>
        <w:t xml:space="preserve"> </w:t>
      </w:r>
      <w:r w:rsidRPr="009B75F0">
        <w:rPr>
          <w:rtl/>
        </w:rPr>
        <w:tab/>
      </w:r>
      <w:r w:rsidRPr="009B75F0">
        <w:rPr>
          <w:rFonts w:hint="cs"/>
          <w:rtl/>
        </w:rPr>
        <w:t>טיפול</w:t>
      </w:r>
      <w:r w:rsidRPr="0065204A">
        <w:rPr>
          <w:rFonts w:hint="cs"/>
          <w:rtl/>
        </w:rPr>
        <w:t xml:space="preserve"> בפניות ובמידע על עבירות משמעת</w:t>
      </w:r>
      <w:r>
        <w:rPr>
          <w:rFonts w:hint="cs"/>
          <w:rtl/>
        </w:rPr>
        <w:t>יות</w:t>
      </w:r>
      <w:r w:rsidRPr="0065204A">
        <w:rPr>
          <w:rFonts w:hint="cs"/>
          <w:rtl/>
        </w:rPr>
        <w:t>, טיפול בשאילתות וטיפול בבקשות להשעיה זמנית ולהטלת עונש</w:t>
      </w:r>
      <w:r>
        <w:rPr>
          <w:rFonts w:hint="cs"/>
          <w:rtl/>
        </w:rPr>
        <w:t>.</w:t>
      </w:r>
    </w:p>
  </w:footnote>
  <w:footnote w:id="33">
    <w:p w14:paraId="5A836EA3" w14:textId="77777777" w:rsidR="00C857F9" w:rsidRPr="00AC79C9" w:rsidRDefault="00C857F9" w:rsidP="00AC79C9">
      <w:pPr>
        <w:pStyle w:val="a7"/>
      </w:pPr>
      <w:r w:rsidRPr="00AC79C9">
        <w:rPr>
          <w:rStyle w:val="FootnoteReference"/>
          <w:vertAlign w:val="baseline"/>
        </w:rPr>
        <w:footnoteRef/>
      </w:r>
      <w:r w:rsidRPr="00AC79C9">
        <w:rPr>
          <w:rtl/>
        </w:rPr>
        <w:t xml:space="preserve"> </w:t>
      </w:r>
      <w:r w:rsidRPr="00AC79C9">
        <w:rPr>
          <w:rtl/>
        </w:rPr>
        <w:tab/>
      </w:r>
      <w:r w:rsidRPr="00AC79C9">
        <w:rPr>
          <w:rFonts w:hint="cs"/>
          <w:rtl/>
        </w:rPr>
        <w:t>הצעת חוק לשכת עורכי הדין (תיקון מס' 32) התשס"ח-2008. הצ"ח ממשלה 388, עמ' 602, 609.</w:t>
      </w:r>
    </w:p>
  </w:footnote>
  <w:footnote w:id="34">
    <w:p w14:paraId="7F3843CB" w14:textId="77777777" w:rsidR="00C857F9" w:rsidRDefault="00C857F9" w:rsidP="00AC79C9">
      <w:pPr>
        <w:pStyle w:val="a7"/>
      </w:pPr>
      <w:r w:rsidRPr="00AC79C9">
        <w:rPr>
          <w:rStyle w:val="FootnoteReference"/>
          <w:vertAlign w:val="baseline"/>
        </w:rPr>
        <w:footnoteRef/>
      </w:r>
      <w:r w:rsidRPr="00AC79C9">
        <w:rPr>
          <w:rtl/>
        </w:rPr>
        <w:t xml:space="preserve"> </w:t>
      </w:r>
      <w:r w:rsidRPr="00AC79C9">
        <w:rPr>
          <w:rtl/>
        </w:rPr>
        <w:tab/>
      </w:r>
      <w:r w:rsidRPr="0059056B">
        <w:rPr>
          <w:rFonts w:hint="cs"/>
          <w:b/>
          <w:bCs/>
          <w:rtl/>
        </w:rPr>
        <w:t>נוהל טיפול בתלונות אתיקה (ניגוד עניינים),</w:t>
      </w:r>
      <w:r>
        <w:rPr>
          <w:rFonts w:hint="cs"/>
          <w:rtl/>
        </w:rPr>
        <w:t xml:space="preserve"> לעיל בה"ש 23.</w:t>
      </w:r>
    </w:p>
  </w:footnote>
  <w:footnote w:id="35">
    <w:p w14:paraId="2C8DC81F" w14:textId="77777777" w:rsidR="00C857F9" w:rsidRPr="00AC79C9" w:rsidRDefault="00C857F9" w:rsidP="00AC79C9">
      <w:pPr>
        <w:pStyle w:val="a7"/>
      </w:pPr>
      <w:r w:rsidRPr="00AC79C9">
        <w:rPr>
          <w:rStyle w:val="FootnoteReference"/>
          <w:vertAlign w:val="baseline"/>
        </w:rPr>
        <w:footnoteRef/>
      </w:r>
      <w:r w:rsidRPr="00AC79C9">
        <w:rPr>
          <w:rtl/>
        </w:rPr>
        <w:t xml:space="preserve"> </w:t>
      </w:r>
      <w:r w:rsidRPr="00AC79C9">
        <w:rPr>
          <w:rtl/>
        </w:rPr>
        <w:tab/>
      </w:r>
      <w:r w:rsidRPr="00AC79C9">
        <w:rPr>
          <w:rFonts w:hint="cs"/>
          <w:rtl/>
        </w:rPr>
        <w:t>העיקרון נגזר מעיקרון-העל הקבוע בחוק יסוד: כבוד האדם וחירותו, לפיו "אין פוגעים בזכות המוגנת בחוק אלא בחוק...או לפי חוק כאמור".</w:t>
      </w:r>
    </w:p>
  </w:footnote>
  <w:footnote w:id="36">
    <w:p w14:paraId="56430D06" w14:textId="77777777" w:rsidR="00C857F9" w:rsidRPr="00AC79C9" w:rsidRDefault="00C857F9" w:rsidP="00AC79C9">
      <w:pPr>
        <w:pStyle w:val="a7"/>
        <w:rPr>
          <w:rtl/>
        </w:rPr>
      </w:pPr>
      <w:r w:rsidRPr="00AC79C9">
        <w:rPr>
          <w:rStyle w:val="FootnoteReference"/>
          <w:vertAlign w:val="baseline"/>
        </w:rPr>
        <w:footnoteRef/>
      </w:r>
      <w:r w:rsidRPr="00AC79C9">
        <w:rPr>
          <w:rtl/>
        </w:rPr>
        <w:t xml:space="preserve"> </w:t>
      </w:r>
      <w:r w:rsidRPr="00AC79C9">
        <w:rPr>
          <w:rtl/>
        </w:rPr>
        <w:tab/>
      </w:r>
      <w:r w:rsidRPr="00AC79C9">
        <w:rPr>
          <w:rFonts w:hint="cs"/>
          <w:rtl/>
        </w:rPr>
        <w:t>ראו</w:t>
      </w:r>
      <w:r>
        <w:rPr>
          <w:rFonts w:hint="cs"/>
          <w:rtl/>
        </w:rPr>
        <w:t xml:space="preserve"> והשוו </w:t>
      </w:r>
      <w:r w:rsidRPr="0059056B">
        <w:rPr>
          <w:rFonts w:hint="cs"/>
          <w:b/>
          <w:bCs/>
          <w:rtl/>
        </w:rPr>
        <w:t>דוח הוועדה לבחינת דרכי ההבניה של שיקול הדעת השיפוטי בגזירת הדין</w:t>
      </w:r>
      <w:r>
        <w:rPr>
          <w:rFonts w:hint="cs"/>
          <w:rtl/>
        </w:rPr>
        <w:t xml:space="preserve">, דין וחשבון (1997), </w:t>
      </w:r>
      <w:r w:rsidRPr="00AC79C9">
        <w:rPr>
          <w:rFonts w:hint="cs"/>
          <w:rtl/>
        </w:rPr>
        <w:t>עמ' 7 - 8.</w:t>
      </w:r>
    </w:p>
  </w:footnote>
  <w:footnote w:id="37">
    <w:p w14:paraId="65578F1F" w14:textId="77777777" w:rsidR="00C857F9" w:rsidRPr="00AC79C9" w:rsidRDefault="00C857F9" w:rsidP="00AC79C9">
      <w:pPr>
        <w:pStyle w:val="a7"/>
      </w:pPr>
      <w:r w:rsidRPr="00AC79C9">
        <w:rPr>
          <w:rStyle w:val="FootnoteReference"/>
          <w:vertAlign w:val="baseline"/>
        </w:rPr>
        <w:footnoteRef/>
      </w:r>
      <w:r w:rsidRPr="00AC79C9">
        <w:rPr>
          <w:rtl/>
        </w:rPr>
        <w:t xml:space="preserve"> </w:t>
      </w:r>
      <w:r w:rsidRPr="00AC79C9">
        <w:rPr>
          <w:rtl/>
        </w:rPr>
        <w:tab/>
      </w:r>
      <w:r w:rsidRPr="00AC79C9">
        <w:rPr>
          <w:rFonts w:hint="cs"/>
          <w:rtl/>
        </w:rPr>
        <w:t xml:space="preserve">סעיף 62 לחוק לפיו </w:t>
      </w:r>
      <w:r w:rsidRPr="00AC79C9">
        <w:rPr>
          <w:rtl/>
        </w:rPr>
        <w:t xml:space="preserve">כאשר נאסף חומר ראיות מספיק לאישום במקרה מסוים יש להעמיד את החשוד לדין אלא אם </w:t>
      </w:r>
      <w:r w:rsidRPr="00AC79C9">
        <w:rPr>
          <w:rFonts w:hint="cs"/>
          <w:rtl/>
        </w:rPr>
        <w:t>נ</w:t>
      </w:r>
      <w:r w:rsidRPr="00AC79C9">
        <w:rPr>
          <w:rtl/>
        </w:rPr>
        <w:t>סיבות העניין בכללותן אינן מתאימות להעמדה לדין</w:t>
      </w:r>
      <w:r w:rsidRPr="00AC79C9">
        <w:rPr>
          <w:rFonts w:hint="cs"/>
          <w:rtl/>
        </w:rPr>
        <w:t>.</w:t>
      </w:r>
    </w:p>
  </w:footnote>
  <w:footnote w:id="38">
    <w:p w14:paraId="6B1A8056" w14:textId="77777777" w:rsidR="00C857F9" w:rsidRPr="00AC79C9" w:rsidRDefault="00C857F9" w:rsidP="00AC79C9">
      <w:pPr>
        <w:pStyle w:val="a7"/>
      </w:pPr>
      <w:r w:rsidRPr="00AC79C9">
        <w:rPr>
          <w:rStyle w:val="FootnoteReference"/>
          <w:vertAlign w:val="baseline"/>
        </w:rPr>
        <w:footnoteRef/>
      </w:r>
      <w:r w:rsidRPr="00AC79C9">
        <w:rPr>
          <w:rtl/>
        </w:rPr>
        <w:t xml:space="preserve"> </w:t>
      </w:r>
      <w:r w:rsidRPr="00AC79C9">
        <w:rPr>
          <w:rtl/>
        </w:rPr>
        <w:tab/>
      </w:r>
      <w:r w:rsidRPr="00AC79C9">
        <w:rPr>
          <w:rFonts w:hint="cs"/>
          <w:rtl/>
        </w:rPr>
        <w:t>כגון הנחייה 4.1105 בנוגע לעבירות סמים ו-4.1107 בנוגע לעבירת לשון הרע.</w:t>
      </w:r>
    </w:p>
  </w:footnote>
  <w:footnote w:id="39">
    <w:p w14:paraId="72BA488B" w14:textId="77777777" w:rsidR="00C857F9" w:rsidRDefault="00C857F9" w:rsidP="00AC79C9">
      <w:pPr>
        <w:pStyle w:val="a7"/>
      </w:pPr>
      <w:r w:rsidRPr="00AC79C9">
        <w:rPr>
          <w:rStyle w:val="FootnoteReference"/>
          <w:vertAlign w:val="baseline"/>
        </w:rPr>
        <w:footnoteRef/>
      </w:r>
      <w:r w:rsidRPr="00AC79C9">
        <w:rPr>
          <w:rtl/>
        </w:rPr>
        <w:t xml:space="preserve"> </w:t>
      </w:r>
      <w:r w:rsidRPr="00AC79C9">
        <w:rPr>
          <w:rtl/>
        </w:rPr>
        <w:tab/>
      </w:r>
      <w:r w:rsidRPr="00AC79C9">
        <w:rPr>
          <w:rFonts w:hint="cs"/>
          <w:rtl/>
        </w:rPr>
        <w:t>כגון הנחיה</w:t>
      </w:r>
      <w:r>
        <w:rPr>
          <w:rFonts w:hint="cs"/>
          <w:rtl/>
        </w:rPr>
        <w:t xml:space="preserve"> 1.1, הנחיה 2.1 </w:t>
      </w:r>
      <w:r w:rsidRPr="0059056B">
        <w:rPr>
          <w:b/>
          <w:bCs/>
          <w:rtl/>
        </w:rPr>
        <w:t>מדיניות התביעה בהעמדה לדין וענישה בעבירות של גרימת מוות בתאונות דרכים</w:t>
      </w:r>
      <w:r w:rsidRPr="00C760D8">
        <w:rPr>
          <w:rtl/>
        </w:rPr>
        <w:t xml:space="preserve">, </w:t>
      </w:r>
      <w:r>
        <w:rPr>
          <w:rFonts w:hint="cs"/>
          <w:rtl/>
        </w:rPr>
        <w:t xml:space="preserve">הנחיה 9.15 </w:t>
      </w:r>
      <w:r w:rsidRPr="0059056B">
        <w:rPr>
          <w:b/>
          <w:bCs/>
          <w:rtl/>
        </w:rPr>
        <w:t>מדיניות הענישה בעבירות שוחד</w:t>
      </w:r>
      <w:r w:rsidRPr="00C760D8">
        <w:rPr>
          <w:rtl/>
        </w:rPr>
        <w:t xml:space="preserve">, </w:t>
      </w:r>
      <w:r>
        <w:rPr>
          <w:rFonts w:hint="cs"/>
          <w:rtl/>
        </w:rPr>
        <w:t xml:space="preserve">הנחיה 2.4 </w:t>
      </w:r>
      <w:r w:rsidRPr="0059056B">
        <w:rPr>
          <w:b/>
          <w:bCs/>
          <w:rtl/>
        </w:rPr>
        <w:t>מדיניות התביעה בהעמדה לדין בעבירות של תקיפת קטין או חסר ישע</w:t>
      </w:r>
      <w:r>
        <w:rPr>
          <w:rFonts w:hint="cs"/>
          <w:rtl/>
        </w:rPr>
        <w:t>.</w:t>
      </w:r>
    </w:p>
  </w:footnote>
  <w:footnote w:id="40">
    <w:p w14:paraId="6F7DEC83" w14:textId="77777777" w:rsidR="00C857F9" w:rsidRDefault="00C857F9" w:rsidP="003C0A02">
      <w:pPr>
        <w:pStyle w:val="a7"/>
      </w:pPr>
      <w:r w:rsidRPr="003C0A02">
        <w:footnoteRef/>
      </w:r>
      <w:r w:rsidRPr="003C0A02">
        <w:rPr>
          <w:rtl/>
        </w:rPr>
        <w:t xml:space="preserve"> </w:t>
      </w:r>
      <w:r w:rsidRPr="003C0A02">
        <w:rPr>
          <w:rtl/>
        </w:rPr>
        <w:tab/>
      </w:r>
      <w:r w:rsidRPr="003C0A02">
        <w:rPr>
          <w:rFonts w:hint="cs"/>
          <w:rtl/>
        </w:rPr>
        <w:t>במסגרת</w:t>
      </w:r>
      <w:r>
        <w:rPr>
          <w:rFonts w:hint="cs"/>
          <w:rtl/>
        </w:rPr>
        <w:t xml:space="preserve"> ביטאון האתיקה "עט ואתיקה" של ועד מחוז תל אביב.</w:t>
      </w:r>
    </w:p>
  </w:footnote>
  <w:footnote w:id="41">
    <w:p w14:paraId="4CE74CB5" w14:textId="77777777" w:rsidR="00C857F9" w:rsidRDefault="00C857F9" w:rsidP="000B597C">
      <w:pPr>
        <w:pStyle w:val="a7"/>
      </w:pPr>
      <w:r w:rsidRPr="000B597C">
        <w:footnoteRef/>
      </w:r>
      <w:r w:rsidRPr="000B597C">
        <w:rPr>
          <w:rtl/>
        </w:rPr>
        <w:t xml:space="preserve"> </w:t>
      </w:r>
      <w:r w:rsidRPr="000B597C">
        <w:rPr>
          <w:rtl/>
        </w:rPr>
        <w:tab/>
      </w:r>
      <w:r w:rsidRPr="000B597C">
        <w:rPr>
          <w:rFonts w:hint="cs"/>
          <w:rtl/>
        </w:rPr>
        <w:t>הנחיה</w:t>
      </w:r>
      <w:r>
        <w:rPr>
          <w:rFonts w:hint="cs"/>
          <w:rtl/>
        </w:rPr>
        <w:t xml:space="preserve"> 10.4 </w:t>
      </w:r>
      <w:r w:rsidRPr="0011736B">
        <w:rPr>
          <w:rFonts w:hint="cs"/>
          <w:b/>
          <w:bCs/>
          <w:rtl/>
        </w:rPr>
        <w:t>דיווח על הרשעתו של עורך דין ללשכת עורכי הדין ועל הרשעתו של רואה חשבון למועצת רואי החשבון</w:t>
      </w:r>
      <w:r>
        <w:rPr>
          <w:rFonts w:hint="cs"/>
          <w:rtl/>
        </w:rPr>
        <w:t xml:space="preserve"> מ-1.8.02.</w:t>
      </w:r>
    </w:p>
  </w:footnote>
  <w:footnote w:id="42">
    <w:p w14:paraId="6076A3FA" w14:textId="77777777" w:rsidR="00C857F9" w:rsidRDefault="00C857F9" w:rsidP="00086738">
      <w:pPr>
        <w:pStyle w:val="a7"/>
        <w:rPr>
          <w:rtl/>
        </w:rPr>
      </w:pPr>
      <w:r w:rsidRPr="00086738">
        <w:footnoteRef/>
      </w:r>
      <w:r w:rsidRPr="00086738">
        <w:rPr>
          <w:rtl/>
        </w:rPr>
        <w:t xml:space="preserve"> </w:t>
      </w:r>
      <w:r w:rsidRPr="00086738">
        <w:rPr>
          <w:rtl/>
        </w:rPr>
        <w:tab/>
      </w:r>
      <w:r w:rsidRPr="00086738">
        <w:rPr>
          <w:rFonts w:hint="cs"/>
          <w:rtl/>
        </w:rPr>
        <w:t>הנחיה</w:t>
      </w:r>
      <w:r>
        <w:rPr>
          <w:rFonts w:hint="cs"/>
          <w:rtl/>
        </w:rPr>
        <w:t xml:space="preserve"> 3.12 </w:t>
      </w:r>
      <w:r w:rsidRPr="0011736B">
        <w:rPr>
          <w:rFonts w:hint="cs"/>
          <w:b/>
          <w:bCs/>
          <w:rtl/>
        </w:rPr>
        <w:t>דיווח על הגשת כתב אישום נגד עורך דין או רואה חשבון</w:t>
      </w:r>
      <w:r>
        <w:rPr>
          <w:rFonts w:hint="cs"/>
          <w:rtl/>
        </w:rPr>
        <w:t xml:space="preserve"> מ-18.12.03. וראו בהקשר זה לגבי חובות דיווח נוספות: הנחיה מספר 3.9 דיווח על גניזת תיק חקירה או על הגשת כתב אישום נגד עובד מדינה, עובד רשות ציבורית אחרת הכפוף לחוק שירות המדינה (משמעת), תשכ"ג- 1963, עובד רשות מקומית ובעל מקצוע רפואי, מ-2.1.94. </w:t>
      </w:r>
    </w:p>
  </w:footnote>
  <w:footnote w:id="43">
    <w:p w14:paraId="427DA10F" w14:textId="77777777" w:rsidR="00C857F9" w:rsidRPr="008202F5" w:rsidRDefault="00C857F9" w:rsidP="008202F5">
      <w:pPr>
        <w:pStyle w:val="a7"/>
      </w:pPr>
      <w:r w:rsidRPr="008202F5">
        <w:rPr>
          <w:rStyle w:val="FootnoteReference"/>
          <w:vertAlign w:val="baseline"/>
        </w:rPr>
        <w:footnoteRef/>
      </w:r>
      <w:r w:rsidRPr="008202F5">
        <w:rPr>
          <w:rtl/>
        </w:rPr>
        <w:t xml:space="preserve"> </w:t>
      </w:r>
      <w:r w:rsidRPr="008202F5">
        <w:rPr>
          <w:rtl/>
        </w:rPr>
        <w:tab/>
      </w:r>
      <w:r w:rsidRPr="008202F5">
        <w:rPr>
          <w:rFonts w:hint="cs"/>
          <w:rtl/>
        </w:rPr>
        <w:t xml:space="preserve">הנחיה 14.8 </w:t>
      </w:r>
      <w:r w:rsidRPr="008202F5">
        <w:rPr>
          <w:rFonts w:hint="cs"/>
          <w:b/>
          <w:bCs/>
          <w:rtl/>
        </w:rPr>
        <w:t>בקשה מצד גורמים שונים לעיין במידע המצוי בתיק חקירה</w:t>
      </w:r>
      <w:r w:rsidRPr="008202F5">
        <w:rPr>
          <w:rFonts w:hint="cs"/>
          <w:rtl/>
        </w:rPr>
        <w:t xml:space="preserve"> מ-2.1.94.</w:t>
      </w:r>
    </w:p>
  </w:footnote>
  <w:footnote w:id="44">
    <w:p w14:paraId="6898A439" w14:textId="77777777" w:rsidR="00C857F9" w:rsidRPr="001A40B6" w:rsidRDefault="00C857F9" w:rsidP="001A40B6">
      <w:pPr>
        <w:pStyle w:val="a7"/>
      </w:pPr>
      <w:r w:rsidRPr="001A40B6">
        <w:rPr>
          <w:rStyle w:val="FootnoteReference"/>
          <w:vertAlign w:val="baseline"/>
        </w:rPr>
        <w:footnoteRef/>
      </w:r>
      <w:r w:rsidRPr="001A40B6">
        <w:rPr>
          <w:rtl/>
        </w:rPr>
        <w:t xml:space="preserve"> </w:t>
      </w:r>
      <w:r w:rsidRPr="001A40B6">
        <w:rPr>
          <w:rtl/>
        </w:rPr>
        <w:tab/>
        <w:t>כלל 7 לכללי המשמעת קובע כי על הקובל להחליט אם להגיש קובלנה בתוך 90 יום מתום התקופה להגשת תשובה לתלונה (או פרטים נוספים או תצהיר או ראיות אחרות אם התבקשו, המאוחר מביניהם). כלל 9 קובע כי אם הוחלט להגיש קובלנה, יש להגישה עד 90 יום מיום ההחלטה על כך. יצוין כי סד זמנים זה אינו מופיע בנוהל הלשכה.</w:t>
      </w:r>
    </w:p>
  </w:footnote>
  <w:footnote w:id="45">
    <w:p w14:paraId="42E10E80" w14:textId="77777777" w:rsidR="00C857F9" w:rsidRDefault="00C857F9" w:rsidP="001A40B6">
      <w:pPr>
        <w:pStyle w:val="a7"/>
        <w:rPr>
          <w:rtl/>
        </w:rPr>
      </w:pPr>
      <w:r w:rsidRPr="001A40B6">
        <w:rPr>
          <w:rStyle w:val="FootnoteReference"/>
          <w:vertAlign w:val="baseline"/>
        </w:rPr>
        <w:footnoteRef/>
      </w:r>
      <w:r w:rsidRPr="001A40B6">
        <w:rPr>
          <w:rtl/>
        </w:rPr>
        <w:t xml:space="preserve"> </w:t>
      </w:r>
      <w:r w:rsidRPr="001A40B6">
        <w:rPr>
          <w:rtl/>
        </w:rPr>
        <w:tab/>
      </w:r>
      <w:r w:rsidRPr="001A40B6">
        <w:rPr>
          <w:rFonts w:hint="cs"/>
          <w:rtl/>
        </w:rPr>
        <w:t>429</w:t>
      </w:r>
      <w:r>
        <w:rPr>
          <w:rFonts w:hint="cs"/>
          <w:rtl/>
        </w:rPr>
        <w:t xml:space="preserve"> מתוכן הן תלונות שנפתחו ביוזמת הוועדה.</w:t>
      </w:r>
    </w:p>
  </w:footnote>
  <w:footnote w:id="46">
    <w:p w14:paraId="4EF61EA3" w14:textId="77777777" w:rsidR="00C857F9" w:rsidRDefault="00C857F9" w:rsidP="00A03771">
      <w:pPr>
        <w:pStyle w:val="a7"/>
      </w:pPr>
      <w:r w:rsidRPr="00A03771">
        <w:footnoteRef/>
      </w:r>
      <w:r w:rsidRPr="00A03771">
        <w:rPr>
          <w:rtl/>
        </w:rPr>
        <w:t xml:space="preserve"> </w:t>
      </w:r>
      <w:r w:rsidRPr="00A03771">
        <w:rPr>
          <w:rtl/>
        </w:rPr>
        <w:tab/>
      </w:r>
      <w:r w:rsidRPr="00A03771">
        <w:rPr>
          <w:rFonts w:hint="cs"/>
          <w:rtl/>
        </w:rPr>
        <w:t>עורכי</w:t>
      </w:r>
      <w:r>
        <w:rPr>
          <w:rFonts w:hint="cs"/>
          <w:rtl/>
        </w:rPr>
        <w:t xml:space="preserve"> דין שהם עובדי הלשכה המסייעים לפרקליט הוועדה בבדיקת תלונות ומתן המלצות לוועדת האתיקה ומשמשים בא כוח הקובל.</w:t>
      </w:r>
    </w:p>
  </w:footnote>
  <w:footnote w:id="47">
    <w:p w14:paraId="530240C2" w14:textId="77777777" w:rsidR="00C857F9" w:rsidRDefault="00C857F9" w:rsidP="007F572D">
      <w:pPr>
        <w:pStyle w:val="a7"/>
        <w:rPr>
          <w:rtl/>
        </w:rPr>
      </w:pPr>
      <w:r w:rsidRPr="007F572D">
        <w:footnoteRef/>
      </w:r>
      <w:r w:rsidRPr="007F572D">
        <w:rPr>
          <w:rtl/>
        </w:rPr>
        <w:t xml:space="preserve"> </w:t>
      </w:r>
      <w:r w:rsidRPr="007F572D">
        <w:rPr>
          <w:rtl/>
        </w:rPr>
        <w:tab/>
      </w:r>
      <w:r w:rsidRPr="007F572D">
        <w:rPr>
          <w:rFonts w:hint="cs"/>
          <w:rtl/>
        </w:rPr>
        <w:t>יש קובלנות נוספות המוגשות לבית הדין במחוז תל אביב (כמו גם לבתי הדין ביתר המחוזות) על ידי ועדת האתיקה</w:t>
      </w:r>
      <w:r>
        <w:rPr>
          <w:rFonts w:hint="cs"/>
          <w:rtl/>
        </w:rPr>
        <w:t xml:space="preserve"> הארצית, ועדות אתיקה מחוזיות אחרות (במקרה של ניגוד עניינים וכדו') או על ידי היועץ המשפטי לממשלה או פרקליט המדינה בהתאם לסמכותם לפי סעיף 63 לחוק. מכאן הפער בנתונים בין תרשים 11 לתרשים 13.</w:t>
      </w:r>
    </w:p>
  </w:footnote>
  <w:footnote w:id="48">
    <w:p w14:paraId="187B41BF" w14:textId="77777777" w:rsidR="00C857F9" w:rsidRPr="00D678F8" w:rsidRDefault="00C857F9" w:rsidP="00D678F8">
      <w:pPr>
        <w:pStyle w:val="a7"/>
        <w:rPr>
          <w:rtl/>
        </w:rPr>
      </w:pPr>
      <w:r w:rsidRPr="00D678F8">
        <w:rPr>
          <w:rStyle w:val="FootnoteReference"/>
          <w:vertAlign w:val="baseline"/>
        </w:rPr>
        <w:footnoteRef/>
      </w:r>
      <w:r w:rsidRPr="00D678F8">
        <w:rPr>
          <w:rtl/>
        </w:rPr>
        <w:t xml:space="preserve"> </w:t>
      </w:r>
      <w:r w:rsidRPr="00D678F8">
        <w:rPr>
          <w:rtl/>
        </w:rPr>
        <w:tab/>
      </w:r>
      <w:r w:rsidRPr="00D678F8">
        <w:rPr>
          <w:rFonts w:hint="cs"/>
          <w:rtl/>
        </w:rPr>
        <w:t>שישה תיקים מ-2015, ארבעה תיקים מ-2014, תיק אחד מ-2013, שני תיקים מ- 2012 ותיק אחד לכל שנה מהשנים 2011, 2009, 2008 ו-2004.</w:t>
      </w:r>
    </w:p>
  </w:footnote>
  <w:footnote w:id="49">
    <w:p w14:paraId="4B960C1C" w14:textId="77777777" w:rsidR="00C857F9" w:rsidRDefault="00C857F9" w:rsidP="00D678F8">
      <w:pPr>
        <w:pStyle w:val="a7"/>
      </w:pPr>
      <w:r w:rsidRPr="00D678F8">
        <w:rPr>
          <w:rStyle w:val="FootnoteReference"/>
          <w:vertAlign w:val="baseline"/>
        </w:rPr>
        <w:footnoteRef/>
      </w:r>
      <w:r w:rsidRPr="00D678F8">
        <w:rPr>
          <w:rtl/>
        </w:rPr>
        <w:t xml:space="preserve"> </w:t>
      </w:r>
      <w:r w:rsidRPr="00D678F8">
        <w:rPr>
          <w:rtl/>
        </w:rPr>
        <w:tab/>
      </w:r>
      <w:r w:rsidRPr="00D678F8">
        <w:rPr>
          <w:rFonts w:hint="cs"/>
          <w:rtl/>
        </w:rPr>
        <w:t>למחוז</w:t>
      </w:r>
      <w:r>
        <w:rPr>
          <w:rFonts w:hint="cs"/>
          <w:rtl/>
        </w:rPr>
        <w:t xml:space="preserve"> צפון יש מידע על מעבר עורך דין ממחוז למחוז, אך כדי לברר מהו העבר הפלילי שלו עליו לפנות למחוז הקודם.</w:t>
      </w:r>
    </w:p>
  </w:footnote>
  <w:footnote w:id="50">
    <w:p w14:paraId="565B7233" w14:textId="77777777" w:rsidR="00C857F9" w:rsidRDefault="00C857F9" w:rsidP="00F8260F">
      <w:pPr>
        <w:pStyle w:val="a7"/>
      </w:pPr>
      <w:r w:rsidRPr="00F8260F">
        <w:footnoteRef/>
      </w:r>
      <w:r w:rsidRPr="00F8260F">
        <w:rPr>
          <w:rtl/>
        </w:rPr>
        <w:t xml:space="preserve"> </w:t>
      </w:r>
      <w:r w:rsidRPr="00F8260F">
        <w:rPr>
          <w:rtl/>
        </w:rPr>
        <w:tab/>
        <w:t>אין ללשכה</w:t>
      </w:r>
      <w:r w:rsidRPr="00A83D71">
        <w:rPr>
          <w:rtl/>
        </w:rPr>
        <w:t xml:space="preserve"> אפשרות לאתר במאגר המידע את תיקי בית הדין הארצי שהוגש בהם ערעור לבית המשפט</w:t>
      </w:r>
      <w:r>
        <w:rPr>
          <w:rFonts w:hint="cs"/>
          <w:rtl/>
        </w:rPr>
        <w:t>,</w:t>
      </w:r>
      <w:r w:rsidRPr="00A83D71">
        <w:rPr>
          <w:rtl/>
        </w:rPr>
        <w:t xml:space="preserve"> וסביר שיש תיקים שהחלטת בית הדין הארצי התהפכה בהם לכאן או לכאן.</w:t>
      </w:r>
      <w:r>
        <w:rPr>
          <w:rFonts w:hint="cs"/>
          <w:rtl/>
        </w:rPr>
        <w:t xml:space="preserve"> </w:t>
      </w:r>
    </w:p>
  </w:footnote>
  <w:footnote w:id="51">
    <w:p w14:paraId="0D38FB2D" w14:textId="77777777" w:rsidR="00C857F9" w:rsidRDefault="00C857F9" w:rsidP="00493AE1">
      <w:pPr>
        <w:pStyle w:val="a7"/>
      </w:pPr>
      <w:r w:rsidRPr="00493AE1">
        <w:footnoteRef/>
      </w:r>
      <w:r w:rsidRPr="00493AE1">
        <w:rPr>
          <w:rtl/>
        </w:rPr>
        <w:t xml:space="preserve"> </w:t>
      </w:r>
      <w:r w:rsidRPr="00493AE1">
        <w:rPr>
          <w:rtl/>
        </w:rPr>
        <w:tab/>
      </w:r>
      <w:r w:rsidRPr="00493AE1">
        <w:rPr>
          <w:rFonts w:hint="cs"/>
          <w:rtl/>
        </w:rPr>
        <w:t>חוק לשכת</w:t>
      </w:r>
      <w:r>
        <w:rPr>
          <w:rFonts w:hint="cs"/>
          <w:rtl/>
        </w:rPr>
        <w:t xml:space="preserve"> עורכי הדין (תיקון מס' 39) התשע"ז-2017, ס"ח 2657 (להלן - תיקון 39). </w:t>
      </w:r>
      <w:r w:rsidRPr="00241E5E">
        <w:rPr>
          <w:rtl/>
        </w:rPr>
        <w:t>החוק חל על מי שהחל את לימודיו לאחר פרסום התיקון, ב-7.8.17</w:t>
      </w:r>
      <w:r>
        <w:rPr>
          <w:rFonts w:hint="cs"/>
          <w:rtl/>
        </w:rPr>
        <w:t xml:space="preserve">. עד מועד זה תקופת ההתמחות הייתה שנה. </w:t>
      </w:r>
    </w:p>
  </w:footnote>
  <w:footnote w:id="52">
    <w:p w14:paraId="5E08AF5C" w14:textId="77777777" w:rsidR="00C857F9" w:rsidRPr="00493AE1" w:rsidRDefault="00C857F9" w:rsidP="00493AE1">
      <w:pPr>
        <w:pStyle w:val="a7"/>
        <w:rPr>
          <w:rtl/>
        </w:rPr>
      </w:pPr>
      <w:r w:rsidRPr="00493AE1">
        <w:rPr>
          <w:rStyle w:val="FootnoteReference"/>
          <w:vertAlign w:val="baseline"/>
        </w:rPr>
        <w:footnoteRef/>
      </w:r>
      <w:r w:rsidRPr="00493AE1">
        <w:rPr>
          <w:rtl/>
        </w:rPr>
        <w:t xml:space="preserve"> </w:t>
      </w:r>
      <w:r w:rsidRPr="00493AE1">
        <w:rPr>
          <w:rtl/>
        </w:rPr>
        <w:tab/>
        <w:t>עבודה נוספת</w:t>
      </w:r>
      <w:r w:rsidRPr="00493AE1">
        <w:rPr>
          <w:rFonts w:hint="cs"/>
          <w:rtl/>
        </w:rPr>
        <w:t xml:space="preserve"> </w:t>
      </w:r>
      <w:r w:rsidRPr="00493AE1">
        <w:rPr>
          <w:rtl/>
        </w:rPr>
        <w:t xml:space="preserve">- בהתאם לכלל 9 </w:t>
      </w:r>
      <w:r w:rsidRPr="00493AE1">
        <w:rPr>
          <w:rFonts w:hint="cs"/>
          <w:rtl/>
        </w:rPr>
        <w:t xml:space="preserve">לכללי ההתמחות, </w:t>
      </w:r>
      <w:r w:rsidRPr="00493AE1">
        <w:rPr>
          <w:rtl/>
        </w:rPr>
        <w:t xml:space="preserve">מתמחה אינו רשאי לעבוד בעבודה נוספת ללא היתר מאת הלשכה. במדריך למתמחה שמפרסמת הלשכה </w:t>
      </w:r>
      <w:r w:rsidRPr="00493AE1">
        <w:rPr>
          <w:rFonts w:hint="cs"/>
          <w:rtl/>
        </w:rPr>
        <w:t>נקבעו</w:t>
      </w:r>
      <w:r w:rsidRPr="00493AE1">
        <w:rPr>
          <w:rtl/>
        </w:rPr>
        <w:t xml:space="preserve"> אמות </w:t>
      </w:r>
      <w:r w:rsidRPr="00493AE1">
        <w:rPr>
          <w:rFonts w:hint="cs"/>
          <w:rtl/>
        </w:rPr>
        <w:t>ה</w:t>
      </w:r>
      <w:r w:rsidRPr="00493AE1">
        <w:rPr>
          <w:rtl/>
        </w:rPr>
        <w:t>מידה לאישור בקשה</w:t>
      </w:r>
      <w:r w:rsidRPr="00493AE1">
        <w:rPr>
          <w:rFonts w:hint="cs"/>
          <w:rtl/>
        </w:rPr>
        <w:t xml:space="preserve"> לעבודה נוספת</w:t>
      </w:r>
      <w:r w:rsidRPr="00493AE1">
        <w:rPr>
          <w:rtl/>
        </w:rPr>
        <w:t>.</w:t>
      </w:r>
    </w:p>
  </w:footnote>
  <w:footnote w:id="53">
    <w:p w14:paraId="0E3C373D" w14:textId="77777777" w:rsidR="00C857F9" w:rsidRDefault="00C857F9" w:rsidP="00493AE1">
      <w:pPr>
        <w:pStyle w:val="a7"/>
      </w:pPr>
      <w:r w:rsidRPr="00493AE1">
        <w:rPr>
          <w:rStyle w:val="FootnoteReference"/>
          <w:vertAlign w:val="baseline"/>
        </w:rPr>
        <w:footnoteRef/>
      </w:r>
      <w:r w:rsidRPr="00493AE1">
        <w:rPr>
          <w:rtl/>
        </w:rPr>
        <w:t xml:space="preserve"> </w:t>
      </w:r>
      <w:r w:rsidRPr="00493AE1">
        <w:rPr>
          <w:rtl/>
        </w:rPr>
        <w:tab/>
      </w:r>
      <w:r w:rsidRPr="00493AE1">
        <w:rPr>
          <w:rFonts w:hint="cs"/>
          <w:rtl/>
        </w:rPr>
        <w:t>ת</w:t>
      </w:r>
      <w:r w:rsidRPr="00493AE1">
        <w:rPr>
          <w:rtl/>
        </w:rPr>
        <w:t>קופת ההתיישנות של הרשעה נקבעת בהתאם לחוק המרשם הפלילי ותקנת השבים</w:t>
      </w:r>
      <w:r w:rsidRPr="00493AE1">
        <w:rPr>
          <w:rFonts w:hint="cs"/>
          <w:rtl/>
        </w:rPr>
        <w:t>, התשמ"א-1981</w:t>
      </w:r>
      <w:r w:rsidRPr="00493AE1">
        <w:rPr>
          <w:rtl/>
        </w:rPr>
        <w:t xml:space="preserve"> </w:t>
      </w:r>
      <w:r w:rsidRPr="00493AE1">
        <w:rPr>
          <w:rFonts w:hint="cs"/>
          <w:rtl/>
        </w:rPr>
        <w:t>ומתחילה</w:t>
      </w:r>
      <w:r w:rsidRPr="00493AE1">
        <w:rPr>
          <w:rtl/>
        </w:rPr>
        <w:t xml:space="preserve"> מיום החלטת בית המשפט בעניין ההרשעה. תקופת ההתיישנות משתנה בהתאם לעבירה ולעונש שהוטל</w:t>
      </w:r>
      <w:r w:rsidRPr="00493AE1">
        <w:rPr>
          <w:rFonts w:hint="cs"/>
          <w:rtl/>
        </w:rPr>
        <w:t>. לאחר</w:t>
      </w:r>
      <w:r>
        <w:rPr>
          <w:rFonts w:hint="cs"/>
          <w:rtl/>
        </w:rPr>
        <w:t xml:space="preserve"> תום תקופת ההתיישנות מתחילה להיספר התקופה למחיקת ההרשעה מן המרשם הפלילי, אשר עומדת במרבית המקרים על עשר שנים.</w:t>
      </w:r>
      <w:r w:rsidRPr="002148FC">
        <w:rPr>
          <w:rFonts w:hint="cs"/>
          <w:rtl/>
        </w:rPr>
        <w:t xml:space="preserve"> </w:t>
      </w:r>
      <w:r>
        <w:rPr>
          <w:rFonts w:hint="cs"/>
          <w:rtl/>
        </w:rPr>
        <w:t>חוק המרשם הפלילי קובע בתוספת הראשונה את רשימת הגופים שרשאים לעיין במידע על אודות הרשעה שהתיישנה, ובכלל זה לשכת עורכי הדין, ושל הרשעה שנמחקה (רשימה מצומצמת יותר של גופים שהלשכה אינה חלק מהם).</w:t>
      </w:r>
    </w:p>
  </w:footnote>
  <w:footnote w:id="54">
    <w:p w14:paraId="371FD855" w14:textId="77777777" w:rsidR="00C857F9" w:rsidRPr="00493AE1" w:rsidRDefault="00C857F9" w:rsidP="00493AE1">
      <w:pPr>
        <w:pStyle w:val="a7"/>
        <w:rPr>
          <w:rtl/>
        </w:rPr>
      </w:pPr>
      <w:r w:rsidRPr="00493AE1">
        <w:footnoteRef/>
      </w:r>
      <w:r w:rsidRPr="00493AE1">
        <w:rPr>
          <w:rtl/>
        </w:rPr>
        <w:t xml:space="preserve"> </w:t>
      </w:r>
      <w:r>
        <w:rPr>
          <w:rtl/>
        </w:rPr>
        <w:tab/>
      </w:r>
      <w:r w:rsidRPr="00F44B3B">
        <w:rPr>
          <w:b/>
          <w:bCs/>
          <w:rtl/>
        </w:rPr>
        <w:t xml:space="preserve">סיכום הפעילות השנתי לשנת המשפט התשע"ז </w:t>
      </w:r>
      <w:r>
        <w:rPr>
          <w:rtl/>
        </w:rPr>
        <w:t>שפורסם ב-26.3.18</w:t>
      </w:r>
      <w:r>
        <w:rPr>
          <w:rFonts w:hint="cs"/>
          <w:rtl/>
        </w:rPr>
        <w:t xml:space="preserve">, וכן בדוחות סיכום פעילות קודמים </w:t>
      </w:r>
      <w:r w:rsidRPr="00493AE1">
        <w:rPr>
          <w:rFonts w:hint="cs"/>
          <w:rtl/>
        </w:rPr>
        <w:t>של הלשכה.</w:t>
      </w:r>
    </w:p>
  </w:footnote>
  <w:footnote w:id="55">
    <w:p w14:paraId="5BBAFF0E" w14:textId="77777777" w:rsidR="00C857F9" w:rsidRDefault="00C857F9" w:rsidP="00493AE1">
      <w:pPr>
        <w:pStyle w:val="a7"/>
        <w:rPr>
          <w:rtl/>
        </w:rPr>
      </w:pPr>
      <w:r w:rsidRPr="00493AE1">
        <w:rPr>
          <w:rStyle w:val="FootnoteReference"/>
          <w:vertAlign w:val="baseline"/>
        </w:rPr>
        <w:footnoteRef/>
      </w:r>
      <w:r w:rsidRPr="00493AE1">
        <w:rPr>
          <w:rtl/>
        </w:rPr>
        <w:t xml:space="preserve"> </w:t>
      </w:r>
      <w:r w:rsidRPr="00493AE1">
        <w:rPr>
          <w:rtl/>
        </w:rPr>
        <w:tab/>
      </w:r>
      <w:r w:rsidRPr="00493AE1">
        <w:rPr>
          <w:rFonts w:hint="cs"/>
          <w:rtl/>
        </w:rPr>
        <w:t>ראו</w:t>
      </w:r>
      <w:r>
        <w:rPr>
          <w:rFonts w:hint="cs"/>
          <w:rtl/>
        </w:rPr>
        <w:t xml:space="preserve"> </w:t>
      </w:r>
      <w:r w:rsidRPr="00F44B3B">
        <w:rPr>
          <w:rFonts w:hint="cs"/>
          <w:b/>
          <w:bCs/>
          <w:rtl/>
        </w:rPr>
        <w:t>דוח הפעילות השנתי של הלשכה לשנת התשע"ב</w:t>
      </w:r>
      <w:r>
        <w:rPr>
          <w:rFonts w:hint="cs"/>
          <w:rtl/>
        </w:rPr>
        <w:t xml:space="preserve"> מיום 29.12.13.</w:t>
      </w:r>
    </w:p>
  </w:footnote>
  <w:footnote w:id="56">
    <w:p w14:paraId="2FD7B58C" w14:textId="77777777" w:rsidR="00C857F9" w:rsidRPr="00493AE1" w:rsidRDefault="00C857F9" w:rsidP="00493AE1">
      <w:pPr>
        <w:pStyle w:val="a7"/>
        <w:rPr>
          <w:rtl/>
        </w:rPr>
      </w:pPr>
      <w:r w:rsidRPr="00493AE1">
        <w:rPr>
          <w:rStyle w:val="FootnoteReference"/>
          <w:vertAlign w:val="baseline"/>
        </w:rPr>
        <w:footnoteRef/>
      </w:r>
      <w:r w:rsidRPr="00493AE1">
        <w:rPr>
          <w:rtl/>
        </w:rPr>
        <w:t xml:space="preserve"> </w:t>
      </w:r>
      <w:r w:rsidRPr="00493AE1">
        <w:rPr>
          <w:rtl/>
        </w:rPr>
        <w:tab/>
      </w:r>
      <w:r w:rsidRPr="00493AE1">
        <w:rPr>
          <w:rFonts w:hint="cs"/>
          <w:rtl/>
        </w:rPr>
        <w:t>יצירת קשר טלפוני עם המשרד, בית המתמחה או מקום העבודה הנוספת על מנת לברר אם המתמחה נוכח בעבודה, בעיקר למתמחים העובדים בעבודה נוספת.</w:t>
      </w:r>
    </w:p>
  </w:footnote>
  <w:footnote w:id="57">
    <w:p w14:paraId="015C8033" w14:textId="77777777" w:rsidR="00C857F9" w:rsidRPr="003E000E" w:rsidRDefault="00C857F9" w:rsidP="003E000E">
      <w:pPr>
        <w:pStyle w:val="a7"/>
        <w:rPr>
          <w:rtl/>
        </w:rPr>
      </w:pPr>
      <w:r w:rsidRPr="00493AE1">
        <w:rPr>
          <w:rStyle w:val="FootnoteReference"/>
          <w:vertAlign w:val="baseline"/>
        </w:rPr>
        <w:footnoteRef/>
      </w:r>
      <w:r w:rsidRPr="00493AE1">
        <w:rPr>
          <w:rtl/>
        </w:rPr>
        <w:t xml:space="preserve"> </w:t>
      </w:r>
      <w:r w:rsidRPr="00493AE1">
        <w:rPr>
          <w:rtl/>
        </w:rPr>
        <w:tab/>
      </w:r>
      <w:r w:rsidRPr="00493AE1">
        <w:rPr>
          <w:rFonts w:hint="cs"/>
          <w:rtl/>
        </w:rPr>
        <w:t>מערך ההתמחות מסר לצוות הביקורת כי אם בסופו של דבר ההתמחות הוכרה כתקינה לא נערך תיעוד של פעולות</w:t>
      </w:r>
      <w:r>
        <w:rPr>
          <w:rFonts w:hint="cs"/>
          <w:rtl/>
        </w:rPr>
        <w:t xml:space="preserve"> </w:t>
      </w:r>
      <w:r w:rsidRPr="003E000E">
        <w:rPr>
          <w:rFonts w:hint="cs"/>
          <w:rtl/>
        </w:rPr>
        <w:t>הפיקוח.</w:t>
      </w:r>
    </w:p>
  </w:footnote>
  <w:footnote w:id="58">
    <w:p w14:paraId="54AECAD1" w14:textId="77777777" w:rsidR="00C857F9" w:rsidRDefault="00C857F9" w:rsidP="003E000E">
      <w:pPr>
        <w:pStyle w:val="a7"/>
        <w:rPr>
          <w:rtl/>
        </w:rPr>
      </w:pPr>
      <w:r w:rsidRPr="003E000E">
        <w:rPr>
          <w:rStyle w:val="FootnoteReference"/>
          <w:vertAlign w:val="baseline"/>
        </w:rPr>
        <w:footnoteRef/>
      </w:r>
      <w:r w:rsidRPr="003E000E">
        <w:rPr>
          <w:rtl/>
        </w:rPr>
        <w:t xml:space="preserve"> </w:t>
      </w:r>
      <w:r w:rsidRPr="003E000E">
        <w:rPr>
          <w:rtl/>
        </w:rPr>
        <w:tab/>
      </w:r>
      <w:r w:rsidRPr="003E000E">
        <w:rPr>
          <w:rFonts w:hint="cs"/>
          <w:rtl/>
        </w:rPr>
        <w:t>לשנים</w:t>
      </w:r>
      <w:r>
        <w:rPr>
          <w:rFonts w:hint="cs"/>
          <w:rtl/>
        </w:rPr>
        <w:t xml:space="preserve"> התשע"ו והתשע"ז. בשנת התשע"ה לא הוציאה הלשכה דוח פעילות.</w:t>
      </w:r>
    </w:p>
  </w:footnote>
  <w:footnote w:id="59">
    <w:p w14:paraId="50A786CC" w14:textId="77777777" w:rsidR="00C857F9" w:rsidRPr="001460BB" w:rsidRDefault="00C857F9" w:rsidP="001460BB">
      <w:pPr>
        <w:pStyle w:val="a7"/>
      </w:pPr>
      <w:r w:rsidRPr="001460BB">
        <w:rPr>
          <w:rStyle w:val="FootnoteReference"/>
          <w:vertAlign w:val="baseline"/>
        </w:rPr>
        <w:footnoteRef/>
      </w:r>
      <w:r w:rsidRPr="001460BB">
        <w:rPr>
          <w:rtl/>
        </w:rPr>
        <w:t xml:space="preserve"> </w:t>
      </w:r>
      <w:r w:rsidRPr="001460BB">
        <w:rPr>
          <w:rtl/>
        </w:rPr>
        <w:tab/>
      </w:r>
      <w:r w:rsidRPr="001460BB">
        <w:rPr>
          <w:rFonts w:hint="cs"/>
          <w:rtl/>
        </w:rPr>
        <w:t>על נוסח מחוז דרום לא צוין תאריך.</w:t>
      </w:r>
    </w:p>
  </w:footnote>
  <w:footnote w:id="60">
    <w:p w14:paraId="45EB215E" w14:textId="77777777" w:rsidR="00C857F9" w:rsidRDefault="00C857F9" w:rsidP="001460BB">
      <w:pPr>
        <w:pStyle w:val="a7"/>
        <w:rPr>
          <w:rtl/>
        </w:rPr>
      </w:pPr>
      <w:r w:rsidRPr="001460BB">
        <w:rPr>
          <w:rStyle w:val="FootnoteReference"/>
          <w:vertAlign w:val="baseline"/>
        </w:rPr>
        <w:footnoteRef/>
      </w:r>
      <w:r w:rsidRPr="001460BB">
        <w:rPr>
          <w:rtl/>
        </w:rPr>
        <w:t xml:space="preserve"> </w:t>
      </w:r>
      <w:r w:rsidRPr="001460BB">
        <w:rPr>
          <w:rtl/>
        </w:rPr>
        <w:tab/>
      </w:r>
      <w:r w:rsidRPr="001460BB">
        <w:rPr>
          <w:rFonts w:hint="cs"/>
          <w:rtl/>
        </w:rPr>
        <w:t>ראו</w:t>
      </w:r>
      <w:r>
        <w:rPr>
          <w:rFonts w:hint="cs"/>
          <w:rtl/>
        </w:rPr>
        <w:t xml:space="preserve"> לעיל בפרק מערכות המחשוב של מערך האתיקה והדין המשמעתי.</w:t>
      </w:r>
    </w:p>
  </w:footnote>
  <w:footnote w:id="61">
    <w:p w14:paraId="686BE425" w14:textId="77777777" w:rsidR="00C857F9" w:rsidRPr="00F32690" w:rsidRDefault="00C857F9" w:rsidP="00F32690">
      <w:pPr>
        <w:pStyle w:val="a7"/>
        <w:rPr>
          <w:rtl/>
        </w:rPr>
      </w:pPr>
      <w:r w:rsidRPr="00F32690">
        <w:rPr>
          <w:rStyle w:val="FootnoteReference"/>
          <w:vertAlign w:val="baseline"/>
        </w:rPr>
        <w:footnoteRef/>
      </w:r>
      <w:r w:rsidRPr="00F32690">
        <w:rPr>
          <w:rtl/>
        </w:rPr>
        <w:t xml:space="preserve"> </w:t>
      </w:r>
      <w:r w:rsidRPr="00F32690">
        <w:rPr>
          <w:rtl/>
        </w:rPr>
        <w:tab/>
      </w:r>
      <w:r w:rsidRPr="00F32690">
        <w:rPr>
          <w:rFonts w:hint="cs"/>
          <w:rtl/>
        </w:rPr>
        <w:t>כאמור בפרק מערכות המחשוב של מערך האתיקה והדין המשמעתי, במערכות הממוחשבות של ועדות האתיקה המחוזיות אין נתונים בדבר עבר משמעתי של עורך דין במחוז קודם שממנו עבר למחוז הנוכחי. במקרה שהוועדה מעוניינת לברר מידע כזה עליה לפנות באופן יזום למחוז האחר.</w:t>
      </w:r>
    </w:p>
  </w:footnote>
  <w:footnote w:id="62">
    <w:p w14:paraId="0E1C46D9" w14:textId="77777777" w:rsidR="00C857F9" w:rsidRDefault="00C857F9" w:rsidP="00F32690">
      <w:pPr>
        <w:pStyle w:val="a7"/>
      </w:pPr>
      <w:r w:rsidRPr="00F32690">
        <w:rPr>
          <w:rStyle w:val="FootnoteReference"/>
          <w:vertAlign w:val="baseline"/>
        </w:rPr>
        <w:footnoteRef/>
      </w:r>
      <w:r w:rsidRPr="00F32690">
        <w:rPr>
          <w:rtl/>
        </w:rPr>
        <w:t xml:space="preserve"> </w:t>
      </w:r>
      <w:r w:rsidRPr="00F32690">
        <w:rPr>
          <w:rtl/>
        </w:rPr>
        <w:tab/>
      </w:r>
      <w:r w:rsidRPr="00F32690">
        <w:rPr>
          <w:rFonts w:hint="cs"/>
          <w:rtl/>
        </w:rPr>
        <w:t>בתיקון</w:t>
      </w:r>
      <w:r>
        <w:rPr>
          <w:rFonts w:hint="cs"/>
          <w:rtl/>
        </w:rPr>
        <w:t xml:space="preserve"> מ-2017 לחוק נקבע </w:t>
      </w:r>
      <w:r w:rsidRPr="001B5AA0">
        <w:rPr>
          <w:rtl/>
        </w:rPr>
        <w:t>כי שר המשפטים, לאחר התייעצות עם המועצה הארצית, ימנה נציב פיקוח על ההתמחות שיעמוד בראש מערך הפיקוח על ההתמחות של הלשכה</w:t>
      </w:r>
      <w:r>
        <w:rPr>
          <w:rFonts w:hint="cs"/>
          <w:rtl/>
        </w:rPr>
        <w:t>. ראו להלן בפרק זה.</w:t>
      </w:r>
    </w:p>
  </w:footnote>
  <w:footnote w:id="63">
    <w:p w14:paraId="6DD6996B" w14:textId="77777777" w:rsidR="00C857F9" w:rsidRPr="0063690F" w:rsidRDefault="00C857F9" w:rsidP="0063690F">
      <w:pPr>
        <w:pStyle w:val="a7"/>
        <w:rPr>
          <w:rtl/>
        </w:rPr>
      </w:pPr>
      <w:r w:rsidRPr="0063690F">
        <w:rPr>
          <w:rStyle w:val="FootnoteReference"/>
          <w:vertAlign w:val="baseline"/>
        </w:rPr>
        <w:footnoteRef/>
      </w:r>
      <w:r w:rsidRPr="0063690F">
        <w:rPr>
          <w:rtl/>
        </w:rPr>
        <w:t xml:space="preserve"> </w:t>
      </w:r>
      <w:r w:rsidRPr="0063690F">
        <w:rPr>
          <w:rtl/>
        </w:rPr>
        <w:tab/>
      </w:r>
      <w:r w:rsidRPr="0063690F">
        <w:rPr>
          <w:rFonts w:hint="cs"/>
          <w:rtl/>
        </w:rPr>
        <w:t>במאגר בתי הדין המחוזיים יש פסקי דין רבים שבהם לא הוזן תאריך גזר הדין, כך שהנתונים בנוגע אליו אינם מלאים.</w:t>
      </w:r>
    </w:p>
  </w:footnote>
  <w:footnote w:id="64">
    <w:p w14:paraId="5CC88C9D" w14:textId="77777777" w:rsidR="00C857F9" w:rsidRPr="00F32690" w:rsidRDefault="00C857F9" w:rsidP="00F32690">
      <w:pPr>
        <w:pStyle w:val="a7"/>
        <w:rPr>
          <w:rtl/>
        </w:rPr>
      </w:pPr>
      <w:r w:rsidRPr="00F32690">
        <w:rPr>
          <w:rStyle w:val="FootnoteReference"/>
          <w:vertAlign w:val="baseline"/>
        </w:rPr>
        <w:footnoteRef/>
      </w:r>
      <w:r w:rsidRPr="00F32690">
        <w:rPr>
          <w:rtl/>
        </w:rPr>
        <w:t xml:space="preserve"> </w:t>
      </w:r>
      <w:r w:rsidRPr="00F32690">
        <w:rPr>
          <w:rtl/>
        </w:rPr>
        <w:tab/>
      </w:r>
      <w:r w:rsidRPr="00F32690">
        <w:rPr>
          <w:rFonts w:hint="cs"/>
          <w:rtl/>
        </w:rPr>
        <w:t xml:space="preserve">ראו פרוטוקולים בנושא של </w:t>
      </w:r>
      <w:r w:rsidRPr="00F32690">
        <w:rPr>
          <w:rtl/>
        </w:rPr>
        <w:t>הוועדה לפניות הציבור</w:t>
      </w:r>
      <w:r w:rsidRPr="00F32690">
        <w:rPr>
          <w:rFonts w:hint="cs"/>
          <w:rtl/>
        </w:rPr>
        <w:t xml:space="preserve"> של הכנסת מ-4.2.14, 12.2.14, 18.2.14 ו-10.3.14.</w:t>
      </w:r>
    </w:p>
  </w:footnote>
  <w:footnote w:id="65">
    <w:p w14:paraId="14C74EDC" w14:textId="77777777" w:rsidR="00C857F9" w:rsidRDefault="00C857F9" w:rsidP="00F32690">
      <w:pPr>
        <w:pStyle w:val="a7"/>
        <w:rPr>
          <w:rtl/>
        </w:rPr>
      </w:pPr>
      <w:r w:rsidRPr="00F32690">
        <w:rPr>
          <w:rStyle w:val="FootnoteReference"/>
          <w:vertAlign w:val="baseline"/>
        </w:rPr>
        <w:footnoteRef/>
      </w:r>
      <w:r w:rsidRPr="00F32690">
        <w:rPr>
          <w:rtl/>
        </w:rPr>
        <w:t xml:space="preserve"> </w:t>
      </w:r>
      <w:r w:rsidRPr="00F32690">
        <w:rPr>
          <w:rtl/>
        </w:rPr>
        <w:tab/>
        <w:t>המערכת</w:t>
      </w:r>
      <w:r w:rsidRPr="009C0251">
        <w:rPr>
          <w:rtl/>
        </w:rPr>
        <w:t xml:space="preserve"> מכונה "שידוך יציב" </w:t>
      </w:r>
      <w:r>
        <w:rPr>
          <w:rFonts w:hint="cs"/>
          <w:rtl/>
        </w:rPr>
        <w:t>שהוא מונח מתורת המשחקים. יש גורמים פרטיים המפעילים את המערכת כיום באופן וולונטרי אך מטבע הדברים משתתפים בה מספר מוגבל של מאמנים ומועמדים להתמחות.</w:t>
      </w:r>
    </w:p>
  </w:footnote>
  <w:footnote w:id="66">
    <w:p w14:paraId="3D291002" w14:textId="77777777" w:rsidR="00C857F9" w:rsidRPr="006C150F" w:rsidRDefault="00C857F9" w:rsidP="006C150F">
      <w:pPr>
        <w:pStyle w:val="a7"/>
      </w:pPr>
      <w:r w:rsidRPr="006C150F">
        <w:rPr>
          <w:rStyle w:val="FootnoteReference"/>
          <w:vertAlign w:val="baseline"/>
        </w:rPr>
        <w:footnoteRef/>
      </w:r>
      <w:r w:rsidRPr="006C150F">
        <w:rPr>
          <w:rtl/>
        </w:rPr>
        <w:t xml:space="preserve"> </w:t>
      </w:r>
      <w:r w:rsidRPr="006C150F">
        <w:rPr>
          <w:rtl/>
        </w:rPr>
        <w:tab/>
      </w:r>
      <w:r w:rsidRPr="006C150F">
        <w:rPr>
          <w:rFonts w:hint="cs"/>
          <w:rtl/>
        </w:rPr>
        <w:t>למעט, למשל, נבחרי ציבור בבתי דין משמעתיים.</w:t>
      </w:r>
    </w:p>
  </w:footnote>
  <w:footnote w:id="67">
    <w:p w14:paraId="6B57FE81" w14:textId="77777777" w:rsidR="00C857F9" w:rsidRDefault="00C857F9" w:rsidP="006C150F">
      <w:pPr>
        <w:pStyle w:val="a7"/>
        <w:rPr>
          <w:rtl/>
        </w:rPr>
      </w:pPr>
      <w:r w:rsidRPr="006C150F">
        <w:rPr>
          <w:rStyle w:val="FootnoteReference"/>
          <w:vertAlign w:val="baseline"/>
        </w:rPr>
        <w:footnoteRef/>
      </w:r>
      <w:r w:rsidRPr="006C150F">
        <w:rPr>
          <w:rtl/>
        </w:rPr>
        <w:t xml:space="preserve"> </w:t>
      </w:r>
      <w:r w:rsidRPr="006C150F">
        <w:rPr>
          <w:rtl/>
        </w:rPr>
        <w:tab/>
      </w:r>
      <w:r w:rsidRPr="006C150F">
        <w:rPr>
          <w:rFonts w:hint="cs"/>
          <w:rtl/>
        </w:rPr>
        <w:t>ראו בהקשר</w:t>
      </w:r>
      <w:r>
        <w:rPr>
          <w:rFonts w:hint="cs"/>
          <w:rtl/>
        </w:rPr>
        <w:t xml:space="preserve"> זה גם בג"צ 10145/17 </w:t>
      </w:r>
      <w:r w:rsidRPr="00DF5843">
        <w:rPr>
          <w:rFonts w:hint="cs"/>
          <w:b/>
          <w:bCs/>
          <w:rtl/>
        </w:rPr>
        <w:t>שינדלר נ' שרת המשפטים</w:t>
      </w:r>
      <w:r>
        <w:rPr>
          <w:rFonts w:hint="cs"/>
          <w:rtl/>
        </w:rPr>
        <w:t xml:space="preserve"> (פורסם במאגר ממוחשב, 23.1.18) פסקה 5 לפסק דינו של הש' עמית.</w:t>
      </w:r>
    </w:p>
  </w:footnote>
  <w:footnote w:id="68">
    <w:p w14:paraId="29CB9CA4" w14:textId="77777777" w:rsidR="00C857F9" w:rsidRDefault="00C857F9" w:rsidP="006C150F">
      <w:pPr>
        <w:pStyle w:val="a7"/>
        <w:rPr>
          <w:rtl/>
        </w:rPr>
      </w:pPr>
      <w:r w:rsidRPr="006C150F">
        <w:footnoteRef/>
      </w:r>
      <w:r w:rsidRPr="006C150F">
        <w:rPr>
          <w:rtl/>
        </w:rPr>
        <w:t xml:space="preserve"> </w:t>
      </w:r>
      <w:r w:rsidRPr="006C150F">
        <w:rPr>
          <w:rtl/>
        </w:rPr>
        <w:tab/>
      </w:r>
      <w:r w:rsidRPr="006C150F">
        <w:rPr>
          <w:rFonts w:hint="cs"/>
          <w:rtl/>
        </w:rPr>
        <w:t>ראו,</w:t>
      </w:r>
      <w:r>
        <w:rPr>
          <w:rFonts w:hint="cs"/>
          <w:rtl/>
        </w:rPr>
        <w:t xml:space="preserve"> למשל, </w:t>
      </w:r>
      <w:r>
        <w:rPr>
          <w:rtl/>
        </w:rPr>
        <w:t>בג"ץ 8192/04‏</w:t>
      </w:r>
      <w:r>
        <w:rPr>
          <w:rFonts w:hint="cs"/>
          <w:rtl/>
        </w:rPr>
        <w:t xml:space="preserve"> </w:t>
      </w:r>
      <w:r w:rsidRPr="0093604A">
        <w:rPr>
          <w:b/>
          <w:bCs/>
          <w:rtl/>
        </w:rPr>
        <w:t>התנועה למען איכות השלטון בישראל נ' ראש-הממשלה</w:t>
      </w:r>
      <w:r w:rsidRPr="00214619">
        <w:rPr>
          <w:rtl/>
        </w:rPr>
        <w:t>, פ''ד נט(3) 145</w:t>
      </w:r>
      <w:r>
        <w:rPr>
          <w:rFonts w:hint="cs"/>
          <w:rtl/>
        </w:rPr>
        <w:t xml:space="preserve"> (2004).</w:t>
      </w:r>
    </w:p>
  </w:footnote>
  <w:footnote w:id="69">
    <w:p w14:paraId="03450A23" w14:textId="77777777" w:rsidR="00C857F9" w:rsidRDefault="00C857F9" w:rsidP="006C150F">
      <w:pPr>
        <w:pStyle w:val="a7"/>
      </w:pPr>
      <w:r w:rsidRPr="006C150F">
        <w:footnoteRef/>
      </w:r>
      <w:r w:rsidRPr="006C150F">
        <w:rPr>
          <w:rFonts w:hint="cs"/>
          <w:rtl/>
        </w:rPr>
        <w:t xml:space="preserve"> </w:t>
      </w:r>
      <w:r w:rsidRPr="006C150F">
        <w:rPr>
          <w:rtl/>
        </w:rPr>
        <w:tab/>
      </w:r>
      <w:r w:rsidRPr="006C150F">
        <w:rPr>
          <w:rFonts w:hint="cs"/>
          <w:rtl/>
        </w:rPr>
        <w:t>הנחיית</w:t>
      </w:r>
      <w:r>
        <w:rPr>
          <w:rFonts w:hint="cs"/>
          <w:rtl/>
        </w:rPr>
        <w:t xml:space="preserve"> היועץ המשפטי לממשלה 1.1555 </w:t>
      </w:r>
      <w:r w:rsidRPr="00F44B3B">
        <w:rPr>
          <w:rFonts w:hint="cs"/>
          <w:b/>
          <w:bCs/>
          <w:rtl/>
        </w:rPr>
        <w:t>עריכת הסדרים למניעת ניגוד עניינים בשירות המדינה</w:t>
      </w:r>
      <w:r>
        <w:rPr>
          <w:rFonts w:hint="cs"/>
          <w:rtl/>
        </w:rPr>
        <w:t>, יוני 2006.</w:t>
      </w:r>
    </w:p>
  </w:footnote>
  <w:footnote w:id="70">
    <w:p w14:paraId="0AA289EE" w14:textId="77777777" w:rsidR="00C857F9" w:rsidRPr="006C150F" w:rsidRDefault="00C857F9" w:rsidP="006C150F">
      <w:pPr>
        <w:pStyle w:val="a7"/>
        <w:rPr>
          <w:rtl/>
        </w:rPr>
      </w:pPr>
      <w:r w:rsidRPr="006C150F">
        <w:rPr>
          <w:rStyle w:val="FootnoteReference"/>
          <w:vertAlign w:val="baseline"/>
        </w:rPr>
        <w:footnoteRef/>
      </w:r>
      <w:r w:rsidRPr="006C150F">
        <w:rPr>
          <w:rtl/>
        </w:rPr>
        <w:t xml:space="preserve"> </w:t>
      </w:r>
      <w:r w:rsidRPr="006C150F">
        <w:rPr>
          <w:rtl/>
        </w:rPr>
        <w:tab/>
      </w:r>
      <w:r w:rsidRPr="006C150F">
        <w:rPr>
          <w:rFonts w:hint="cs"/>
          <w:rtl/>
        </w:rPr>
        <w:t xml:space="preserve">ובכלל זה בקשר לעורכי דין. </w:t>
      </w:r>
      <w:r w:rsidRPr="006C150F">
        <w:rPr>
          <w:rtl/>
        </w:rPr>
        <w:t>סעיף 60(א) לחוק לשכת עורכי הדין קובע כי עורך דין לא יעסוק בעיסוק אחר בנסיבות שבהן עלול להיווצר ניגוד עני</w:t>
      </w:r>
      <w:r w:rsidRPr="006C150F">
        <w:rPr>
          <w:rFonts w:hint="cs"/>
          <w:rtl/>
        </w:rPr>
        <w:t>י</w:t>
      </w:r>
      <w:r w:rsidRPr="006C150F">
        <w:rPr>
          <w:rtl/>
        </w:rPr>
        <w:t>נים בין עיסוקו כעורך דין לבין העיסוק האחר.</w:t>
      </w:r>
    </w:p>
  </w:footnote>
  <w:footnote w:id="71">
    <w:p w14:paraId="18921F32" w14:textId="77777777" w:rsidR="00C857F9" w:rsidRPr="008C5CF8" w:rsidRDefault="00C857F9" w:rsidP="006C150F">
      <w:pPr>
        <w:pStyle w:val="a7"/>
      </w:pPr>
      <w:r w:rsidRPr="006C150F">
        <w:rPr>
          <w:rStyle w:val="FootnoteReference"/>
          <w:vertAlign w:val="baseline"/>
        </w:rPr>
        <w:footnoteRef/>
      </w:r>
      <w:r w:rsidRPr="006C150F">
        <w:rPr>
          <w:rtl/>
        </w:rPr>
        <w:t xml:space="preserve"> </w:t>
      </w:r>
      <w:r w:rsidRPr="006C150F">
        <w:rPr>
          <w:rtl/>
        </w:rPr>
        <w:tab/>
      </w:r>
      <w:r w:rsidRPr="006C150F">
        <w:rPr>
          <w:rFonts w:hint="cs"/>
          <w:rtl/>
        </w:rPr>
        <w:t>בג"צ</w:t>
      </w:r>
      <w:r>
        <w:rPr>
          <w:rFonts w:hint="cs"/>
          <w:rtl/>
        </w:rPr>
        <w:t xml:space="preserve"> 531/79</w:t>
      </w:r>
      <w:r w:rsidRPr="008C5CF8">
        <w:rPr>
          <w:rtl/>
        </w:rPr>
        <w:t xml:space="preserve"> </w:t>
      </w:r>
      <w:r w:rsidRPr="0093604A">
        <w:rPr>
          <w:b/>
          <w:bCs/>
          <w:rtl/>
        </w:rPr>
        <w:t>סיעת "הליכוד" בעיריית פתח תקוה נ' מועצת עיריית פתח תקוה</w:t>
      </w:r>
      <w:r>
        <w:rPr>
          <w:rFonts w:hint="cs"/>
          <w:rtl/>
        </w:rPr>
        <w:t>, פ"ד לד(2) 566 (1980).</w:t>
      </w:r>
    </w:p>
  </w:footnote>
  <w:footnote w:id="72">
    <w:p w14:paraId="38C38052" w14:textId="77777777" w:rsidR="00C857F9" w:rsidRDefault="00C857F9" w:rsidP="006C150F">
      <w:pPr>
        <w:pStyle w:val="a7"/>
        <w:rPr>
          <w:rtl/>
        </w:rPr>
      </w:pPr>
      <w:r w:rsidRPr="006E2C4B">
        <w:footnoteRef/>
      </w:r>
      <w:r w:rsidRPr="006E2C4B">
        <w:rPr>
          <w:rtl/>
        </w:rPr>
        <w:t xml:space="preserve"> </w:t>
      </w:r>
      <w:r w:rsidRPr="006E2C4B">
        <w:rPr>
          <w:rtl/>
        </w:rPr>
        <w:tab/>
      </w:r>
      <w:r w:rsidRPr="006E2C4B">
        <w:rPr>
          <w:rFonts w:hint="cs"/>
          <w:rtl/>
        </w:rPr>
        <w:t>ראו</w:t>
      </w:r>
      <w:r>
        <w:rPr>
          <w:rFonts w:hint="cs"/>
          <w:rtl/>
        </w:rPr>
        <w:t xml:space="preserve"> </w:t>
      </w:r>
      <w:r w:rsidRPr="00D16E8C">
        <w:rPr>
          <w:rFonts w:hint="cs"/>
          <w:b/>
          <w:bCs/>
          <w:rtl/>
        </w:rPr>
        <w:t xml:space="preserve">דוח </w:t>
      </w:r>
      <w:r w:rsidRPr="00D16E8C">
        <w:rPr>
          <w:b/>
          <w:bCs/>
          <w:rtl/>
        </w:rPr>
        <w:t>הצוות לחשיבה מחודשת בהיבטי ניגוד עניינים</w:t>
      </w:r>
      <w:r>
        <w:rPr>
          <w:rFonts w:hint="cs"/>
          <w:rtl/>
        </w:rPr>
        <w:t>, משרד המשפטים, (יולי 2018) וההפניות שם.</w:t>
      </w:r>
    </w:p>
  </w:footnote>
  <w:footnote w:id="73">
    <w:p w14:paraId="3F1E991A" w14:textId="77777777" w:rsidR="00C857F9" w:rsidRPr="006D08C7" w:rsidRDefault="00C857F9" w:rsidP="006C150F">
      <w:pPr>
        <w:pStyle w:val="a7"/>
        <w:rPr>
          <w:rtl/>
        </w:rPr>
      </w:pPr>
      <w:r w:rsidRPr="006C150F">
        <w:footnoteRef/>
      </w:r>
      <w:r w:rsidRPr="006C150F">
        <w:t xml:space="preserve"> </w:t>
      </w:r>
      <w:r w:rsidRPr="006C150F">
        <w:tab/>
      </w:r>
      <w:r w:rsidRPr="006C150F">
        <w:rPr>
          <w:rFonts w:hint="cs"/>
          <w:rtl/>
        </w:rPr>
        <w:t>בג"</w:t>
      </w:r>
      <w:r>
        <w:rPr>
          <w:rFonts w:hint="cs"/>
          <w:rtl/>
        </w:rPr>
        <w:t>ץ</w:t>
      </w:r>
      <w:r>
        <w:rPr>
          <w:rtl/>
        </w:rPr>
        <w:t xml:space="preserve"> 11269/03</w:t>
      </w:r>
      <w:r>
        <w:rPr>
          <w:rFonts w:hint="cs"/>
          <w:rtl/>
        </w:rPr>
        <w:t xml:space="preserve"> </w:t>
      </w:r>
      <w:r w:rsidRPr="009F65CC">
        <w:rPr>
          <w:b/>
          <w:bCs/>
          <w:rtl/>
        </w:rPr>
        <w:t>עו"ד כמאל נ' שר המשפטים</w:t>
      </w:r>
      <w:r w:rsidRPr="006D08C7">
        <w:rPr>
          <w:rtl/>
        </w:rPr>
        <w:t>, פ''ד נט(3) 205</w:t>
      </w:r>
      <w:r>
        <w:rPr>
          <w:rFonts w:hint="cs"/>
          <w:rtl/>
        </w:rPr>
        <w:t xml:space="preserve"> (2004).</w:t>
      </w:r>
    </w:p>
  </w:footnote>
  <w:footnote w:id="74">
    <w:p w14:paraId="13E44B5F" w14:textId="77777777" w:rsidR="00C857F9" w:rsidRDefault="00C857F9" w:rsidP="008511EC">
      <w:pPr>
        <w:pStyle w:val="a7"/>
      </w:pPr>
      <w:r w:rsidRPr="008511EC">
        <w:footnoteRef/>
      </w:r>
      <w:r w:rsidRPr="008511EC">
        <w:rPr>
          <w:rtl/>
        </w:rPr>
        <w:t xml:space="preserve"> </w:t>
      </w:r>
      <w:r w:rsidRPr="008511EC">
        <w:rPr>
          <w:rtl/>
        </w:rPr>
        <w:tab/>
      </w:r>
      <w:r w:rsidRPr="008511EC">
        <w:rPr>
          <w:rFonts w:hint="cs"/>
          <w:rtl/>
        </w:rPr>
        <w:t xml:space="preserve">הנחיית היועץ המשפטי לממשלה 1.1555 מסדירה כיצד לקבוע הסדרי ניגודי עניינים. בהתאם להנחיה, </w:t>
      </w:r>
      <w:r w:rsidRPr="008511EC">
        <w:rPr>
          <w:rtl/>
        </w:rPr>
        <w:t xml:space="preserve">הסדר למניעת ניגוד עניינים </w:t>
      </w:r>
      <w:r w:rsidRPr="008511EC">
        <w:rPr>
          <w:rFonts w:hint="cs"/>
          <w:rtl/>
        </w:rPr>
        <w:t>הוא</w:t>
      </w:r>
      <w:r w:rsidRPr="008511EC">
        <w:rPr>
          <w:rtl/>
        </w:rPr>
        <w:t xml:space="preserve"> מסמך </w:t>
      </w:r>
      <w:r w:rsidRPr="008511EC">
        <w:rPr>
          <w:rFonts w:hint="cs"/>
          <w:rtl/>
        </w:rPr>
        <w:t>ש</w:t>
      </w:r>
      <w:r w:rsidRPr="008511EC">
        <w:rPr>
          <w:rtl/>
        </w:rPr>
        <w:t>בו חושף המועמד להיות עובד הציבור את ענייניו האחרים או תפקידיו האחרים שעלולים לגרום לו להיות במצב של חשש לניגוד עניינים במילוי תפקידו הציבורי, ומתחייב לקבל</w:t>
      </w:r>
      <w:r w:rsidRPr="00B2570E">
        <w:rPr>
          <w:rtl/>
        </w:rPr>
        <w:t xml:space="preserve"> על עצמו מגבלות מסוימות בעבודתו הציבורית או בתחום האישי, שימנעו את ניגוד העניינים האמור</w:t>
      </w:r>
      <w:r>
        <w:rPr>
          <w:rFonts w:hint="cs"/>
          <w:rtl/>
        </w:rPr>
        <w:t xml:space="preserve">; </w:t>
      </w:r>
      <w:r w:rsidRPr="00BD3F0D">
        <w:rPr>
          <w:rtl/>
        </w:rPr>
        <w:t>תקנון שירות המדינה</w:t>
      </w:r>
      <w:r>
        <w:rPr>
          <w:rFonts w:hint="cs"/>
          <w:rtl/>
        </w:rPr>
        <w:t>, פ</w:t>
      </w:r>
      <w:r w:rsidRPr="00BD3F0D">
        <w:rPr>
          <w:rtl/>
        </w:rPr>
        <w:t xml:space="preserve">רק משנה </w:t>
      </w:r>
      <w:r>
        <w:rPr>
          <w:rFonts w:hint="cs"/>
          <w:rtl/>
        </w:rPr>
        <w:t>13.6 העוסק בעריכת הסדרים למניעת ניגוד עניינים</w:t>
      </w:r>
      <w:r w:rsidRPr="00544041">
        <w:rPr>
          <w:rFonts w:hint="cs"/>
          <w:rtl/>
        </w:rPr>
        <w:t xml:space="preserve"> </w:t>
      </w:r>
      <w:r>
        <w:rPr>
          <w:rFonts w:hint="cs"/>
          <w:rtl/>
        </w:rPr>
        <w:t>מעגן</w:t>
      </w:r>
      <w:r>
        <w:rPr>
          <w:rtl/>
        </w:rPr>
        <w:t xml:space="preserve"> את </w:t>
      </w:r>
      <w:r>
        <w:rPr>
          <w:rFonts w:hint="cs"/>
          <w:rtl/>
        </w:rPr>
        <w:t>החובות ל</w:t>
      </w:r>
      <w:r>
        <w:rPr>
          <w:rtl/>
        </w:rPr>
        <w:t>ער</w:t>
      </w:r>
      <w:r>
        <w:rPr>
          <w:rFonts w:hint="cs"/>
          <w:rtl/>
        </w:rPr>
        <w:t>וך</w:t>
      </w:r>
      <w:r>
        <w:rPr>
          <w:rtl/>
        </w:rPr>
        <w:t xml:space="preserve"> הסדרי ניגוד עניינים </w:t>
      </w:r>
      <w:r w:rsidRPr="00BD3F0D">
        <w:rPr>
          <w:rtl/>
        </w:rPr>
        <w:t>בסוגי משרות שנקבעו ב</w:t>
      </w:r>
      <w:r>
        <w:rPr>
          <w:rFonts w:hint="cs"/>
          <w:rtl/>
        </w:rPr>
        <w:t>ו</w:t>
      </w:r>
      <w:r w:rsidRPr="00BD3F0D">
        <w:rPr>
          <w:rtl/>
        </w:rPr>
        <w:t xml:space="preserve">, למלא שאלון לאיתור חשש </w:t>
      </w:r>
      <w:r>
        <w:rPr>
          <w:rFonts w:hint="cs"/>
          <w:rtl/>
        </w:rPr>
        <w:t>ל</w:t>
      </w:r>
      <w:r w:rsidRPr="00BD3F0D">
        <w:rPr>
          <w:rtl/>
        </w:rPr>
        <w:t xml:space="preserve">ניגוד </w:t>
      </w:r>
      <w:r w:rsidRPr="006075A0">
        <w:rPr>
          <w:rtl/>
        </w:rPr>
        <w:t>עניינים</w:t>
      </w:r>
      <w:r w:rsidRPr="006075A0">
        <w:rPr>
          <w:rFonts w:hint="cs"/>
          <w:rtl/>
        </w:rPr>
        <w:t xml:space="preserve"> </w:t>
      </w:r>
      <w:r w:rsidRPr="006075A0">
        <w:rPr>
          <w:rtl/>
        </w:rPr>
        <w:t>וככל שהיועץ המשפטי של המשרד רואה בכך צורך, לחתום על הסדר ניגוד עניינים מתאים</w:t>
      </w:r>
      <w:r>
        <w:rPr>
          <w:rFonts w:hint="cs"/>
          <w:rtl/>
        </w:rPr>
        <w:t>.</w:t>
      </w:r>
    </w:p>
  </w:footnote>
  <w:footnote w:id="75">
    <w:p w14:paraId="382C3595" w14:textId="77777777" w:rsidR="00C857F9" w:rsidRPr="0063690F" w:rsidRDefault="00C857F9" w:rsidP="0063690F">
      <w:pPr>
        <w:pStyle w:val="a7"/>
        <w:rPr>
          <w:rtl/>
        </w:rPr>
      </w:pPr>
      <w:r w:rsidRPr="0063690F">
        <w:rPr>
          <w:rStyle w:val="FootnoteReference"/>
          <w:vertAlign w:val="baseline"/>
        </w:rPr>
        <w:footnoteRef/>
      </w:r>
      <w:r w:rsidRPr="0063690F">
        <w:rPr>
          <w:rtl/>
        </w:rPr>
        <w:t xml:space="preserve"> </w:t>
      </w:r>
      <w:r w:rsidRPr="0063690F">
        <w:rPr>
          <w:rtl/>
        </w:rPr>
        <w:tab/>
      </w:r>
      <w:r w:rsidRPr="0063690F">
        <w:rPr>
          <w:rFonts w:hint="cs"/>
          <w:rtl/>
        </w:rPr>
        <w:t>כללי השפיטה (סדרי העבודה של הוועדה לבחירת שופטים), התשמ"ד-1984. יצוין כי בפועל הוועדים המחוזיים מתבקשים לחוות דעתם רק בנוגע למועמדים המיועדים לשמש שופטים במחוז וזאת בין אם הם מתגוררים במחוז ובין אם לאו.</w:t>
      </w:r>
    </w:p>
  </w:footnote>
  <w:footnote w:id="76">
    <w:p w14:paraId="13106634" w14:textId="77777777" w:rsidR="00C857F9" w:rsidRPr="008511EC" w:rsidRDefault="00C857F9" w:rsidP="008511EC">
      <w:pPr>
        <w:pStyle w:val="a7"/>
      </w:pPr>
      <w:r w:rsidRPr="008511EC">
        <w:rPr>
          <w:rStyle w:val="FootnoteReference"/>
          <w:vertAlign w:val="baseline"/>
        </w:rPr>
        <w:footnoteRef/>
      </w:r>
      <w:r w:rsidRPr="008511EC">
        <w:rPr>
          <w:rtl/>
        </w:rPr>
        <w:t xml:space="preserve"> </w:t>
      </w:r>
      <w:r w:rsidRPr="008511EC">
        <w:rPr>
          <w:rtl/>
        </w:rPr>
        <w:tab/>
      </w:r>
      <w:r w:rsidRPr="008511EC">
        <w:rPr>
          <w:rFonts w:hint="cs"/>
          <w:rtl/>
        </w:rPr>
        <w:t>יש ועדות שרשומים בהן 150 חברים ויותר.</w:t>
      </w:r>
    </w:p>
  </w:footnote>
  <w:footnote w:id="77">
    <w:p w14:paraId="772DA0E5" w14:textId="77777777" w:rsidR="00C857F9" w:rsidRDefault="00C857F9" w:rsidP="008511EC">
      <w:pPr>
        <w:pStyle w:val="a7"/>
      </w:pPr>
      <w:r w:rsidRPr="008511EC">
        <w:rPr>
          <w:rStyle w:val="FootnoteReference"/>
          <w:vertAlign w:val="baseline"/>
        </w:rPr>
        <w:footnoteRef/>
      </w:r>
      <w:r w:rsidRPr="008511EC">
        <w:rPr>
          <w:rtl/>
        </w:rPr>
        <w:t xml:space="preserve"> </w:t>
      </w:r>
      <w:r w:rsidRPr="008511EC">
        <w:rPr>
          <w:rtl/>
        </w:rPr>
        <w:tab/>
      </w:r>
      <w:r w:rsidRPr="008511EC">
        <w:rPr>
          <w:rFonts w:hint="cs"/>
          <w:rtl/>
        </w:rPr>
        <w:t>בפועל</w:t>
      </w:r>
      <w:r>
        <w:rPr>
          <w:rFonts w:hint="cs"/>
          <w:rtl/>
        </w:rPr>
        <w:t xml:space="preserve"> תחולת הסעיף שהוצע הייתה רחבה יותר ונגעה גם לחברי ועד מרכזי וחברי מועצה ארצית.</w:t>
      </w:r>
    </w:p>
  </w:footnote>
  <w:footnote w:id="78">
    <w:p w14:paraId="2C826063" w14:textId="0A1A5EC5" w:rsidR="00C857F9" w:rsidRDefault="00C857F9" w:rsidP="00674A96">
      <w:pPr>
        <w:pStyle w:val="a7"/>
        <w:rPr>
          <w:rtl/>
        </w:rPr>
      </w:pPr>
      <w:r w:rsidRPr="00674A96">
        <w:footnoteRef/>
      </w:r>
      <w:r w:rsidRPr="00674A96">
        <w:rPr>
          <w:rtl/>
        </w:rPr>
        <w:t xml:space="preserve"> </w:t>
      </w:r>
      <w:r w:rsidRPr="00674A96">
        <w:rPr>
          <w:rtl/>
        </w:rPr>
        <w:tab/>
      </w:r>
      <w:r w:rsidRPr="00674A96">
        <w:rPr>
          <w:rFonts w:hint="cs"/>
          <w:rtl/>
        </w:rPr>
        <w:t>בג"צ 531/79</w:t>
      </w:r>
      <w:r>
        <w:rPr>
          <w:rFonts w:hint="cs"/>
          <w:rtl/>
        </w:rPr>
        <w:t>, לעי</w:t>
      </w:r>
      <w:r w:rsidRPr="00E924D4">
        <w:rPr>
          <w:rFonts w:hint="cs"/>
          <w:rtl/>
        </w:rPr>
        <w:t xml:space="preserve">ל </w:t>
      </w:r>
      <w:r w:rsidRPr="00E924D4">
        <w:rPr>
          <w:rFonts w:hint="eastAsia"/>
          <w:rtl/>
        </w:rPr>
        <w:t>בה</w:t>
      </w:r>
      <w:r w:rsidRPr="00E924D4">
        <w:rPr>
          <w:rtl/>
        </w:rPr>
        <w:t xml:space="preserve">"ש </w:t>
      </w:r>
      <w:r w:rsidR="00CF1959">
        <w:rPr>
          <w:rFonts w:hint="cs"/>
          <w:rtl/>
        </w:rPr>
        <w:t>71</w:t>
      </w:r>
      <w:r w:rsidRPr="00E924D4">
        <w:rPr>
          <w:rtl/>
        </w:rPr>
        <w:t>.</w:t>
      </w:r>
    </w:p>
  </w:footnote>
  <w:footnote w:id="79">
    <w:p w14:paraId="20B87EB9" w14:textId="77777777" w:rsidR="00C857F9" w:rsidRPr="00674A96" w:rsidRDefault="00C857F9" w:rsidP="00674A96">
      <w:pPr>
        <w:pStyle w:val="a7"/>
        <w:rPr>
          <w:rtl/>
        </w:rPr>
      </w:pPr>
      <w:r w:rsidRPr="00674A96">
        <w:footnoteRef/>
      </w:r>
      <w:r w:rsidRPr="00674A96">
        <w:rPr>
          <w:rtl/>
        </w:rPr>
        <w:t xml:space="preserve"> </w:t>
      </w:r>
      <w:r w:rsidRPr="00674A96">
        <w:rPr>
          <w:rtl/>
        </w:rPr>
        <w:tab/>
      </w:r>
      <w:r w:rsidRPr="00674A96">
        <w:rPr>
          <w:rFonts w:hint="cs"/>
          <w:rtl/>
        </w:rPr>
        <w:t>מבקר</w:t>
      </w:r>
      <w:r w:rsidRPr="00F451A8">
        <w:rPr>
          <w:rFonts w:hint="cs"/>
          <w:rtl/>
        </w:rPr>
        <w:t xml:space="preserve"> המדינה, </w:t>
      </w:r>
      <w:r w:rsidRPr="00BB7C2D">
        <w:rPr>
          <w:rFonts w:hint="cs"/>
          <w:b/>
          <w:bCs/>
          <w:rtl/>
        </w:rPr>
        <w:t>דוח שנתי 63ג</w:t>
      </w:r>
      <w:r w:rsidRPr="00F451A8">
        <w:rPr>
          <w:rFonts w:hint="cs"/>
          <w:rtl/>
        </w:rPr>
        <w:t xml:space="preserve"> (2013)</w:t>
      </w:r>
      <w:r>
        <w:rPr>
          <w:rFonts w:hint="cs"/>
          <w:rtl/>
        </w:rPr>
        <w:t>, ר</w:t>
      </w:r>
      <w:r w:rsidRPr="00674A96">
        <w:rPr>
          <w:rFonts w:hint="cs"/>
          <w:rtl/>
        </w:rPr>
        <w:t>או לעיל הערה 2.</w:t>
      </w:r>
    </w:p>
  </w:footnote>
  <w:footnote w:id="80">
    <w:p w14:paraId="60E240FE" w14:textId="77777777" w:rsidR="00C857F9" w:rsidRPr="00674A96" w:rsidRDefault="00C857F9" w:rsidP="00674A96">
      <w:pPr>
        <w:pStyle w:val="a7"/>
      </w:pPr>
      <w:r w:rsidRPr="00674A96">
        <w:rPr>
          <w:rStyle w:val="FootnoteReference"/>
          <w:vertAlign w:val="baseline"/>
        </w:rPr>
        <w:footnoteRef/>
      </w:r>
      <w:r w:rsidRPr="00674A96">
        <w:rPr>
          <w:rtl/>
        </w:rPr>
        <w:t xml:space="preserve"> </w:t>
      </w:r>
      <w:r w:rsidRPr="00674A96">
        <w:rPr>
          <w:rtl/>
        </w:rPr>
        <w:tab/>
      </w:r>
      <w:r w:rsidRPr="00674A96">
        <w:rPr>
          <w:rFonts w:hint="cs"/>
          <w:rtl/>
        </w:rPr>
        <w:t xml:space="preserve">שלומית </w:t>
      </w:r>
      <w:r>
        <w:rPr>
          <w:rFonts w:hint="cs"/>
          <w:rtl/>
        </w:rPr>
        <w:t xml:space="preserve">גלר, </w:t>
      </w:r>
      <w:r w:rsidRPr="00650D9B">
        <w:rPr>
          <w:rFonts w:hint="cs"/>
          <w:b/>
          <w:bCs/>
          <w:rtl/>
        </w:rPr>
        <w:t>הביקורת הפנימית התאוריה ויישומה</w:t>
      </w:r>
      <w:r>
        <w:rPr>
          <w:rFonts w:hint="cs"/>
          <w:rtl/>
        </w:rPr>
        <w:t>, (</w:t>
      </w:r>
      <w:r w:rsidRPr="00674A96">
        <w:rPr>
          <w:rFonts w:hint="cs"/>
          <w:rtl/>
        </w:rPr>
        <w:t>התש"ע 2009), 22 - 25, 28.</w:t>
      </w:r>
    </w:p>
  </w:footnote>
  <w:footnote w:id="81">
    <w:p w14:paraId="62E43C8B" w14:textId="77777777" w:rsidR="00C857F9" w:rsidRPr="00674A96" w:rsidRDefault="00C857F9" w:rsidP="00674A96">
      <w:pPr>
        <w:pStyle w:val="a7"/>
      </w:pPr>
      <w:r w:rsidRPr="00674A96">
        <w:rPr>
          <w:rStyle w:val="FootnoteReference"/>
          <w:vertAlign w:val="baseline"/>
        </w:rPr>
        <w:footnoteRef/>
      </w:r>
      <w:r w:rsidRPr="00674A96">
        <w:rPr>
          <w:rtl/>
        </w:rPr>
        <w:t xml:space="preserve"> </w:t>
      </w:r>
      <w:r w:rsidRPr="00674A96">
        <w:rPr>
          <w:rtl/>
        </w:rPr>
        <w:tab/>
      </w:r>
      <w:r w:rsidRPr="00674A96">
        <w:rPr>
          <w:rFonts w:hint="cs"/>
          <w:rtl/>
        </w:rPr>
        <w:t>פורסם</w:t>
      </w:r>
      <w:r>
        <w:rPr>
          <w:rFonts w:hint="cs"/>
          <w:rtl/>
        </w:rPr>
        <w:t xml:space="preserve"> עדכון לנוהל - נוהל 3/8/2011, </w:t>
      </w:r>
      <w:r w:rsidRPr="00424CC0">
        <w:rPr>
          <w:rFonts w:hint="cs"/>
          <w:b/>
          <w:bCs/>
          <w:rtl/>
        </w:rPr>
        <w:t>הביקורת הפנימית בלשכת עורכי הדין</w:t>
      </w:r>
      <w:r>
        <w:rPr>
          <w:rFonts w:hint="cs"/>
          <w:rtl/>
        </w:rPr>
        <w:t>, ב</w:t>
      </w:r>
      <w:r w:rsidRPr="00674A96">
        <w:rPr>
          <w:rFonts w:hint="cs"/>
          <w:rtl/>
        </w:rPr>
        <w:t xml:space="preserve">תוקף מ-2.2.11. </w:t>
      </w:r>
    </w:p>
  </w:footnote>
  <w:footnote w:id="82">
    <w:p w14:paraId="68F38C64" w14:textId="77777777" w:rsidR="00C857F9" w:rsidRPr="00674A96" w:rsidRDefault="00C857F9" w:rsidP="00674A96">
      <w:pPr>
        <w:pStyle w:val="a7"/>
        <w:rPr>
          <w:rtl/>
        </w:rPr>
      </w:pPr>
      <w:r w:rsidRPr="00674A96">
        <w:rPr>
          <w:rStyle w:val="FootnoteReference"/>
          <w:vertAlign w:val="baseline"/>
        </w:rPr>
        <w:footnoteRef/>
      </w:r>
      <w:r w:rsidRPr="00674A96">
        <w:rPr>
          <w:rtl/>
        </w:rPr>
        <w:t xml:space="preserve"> </w:t>
      </w:r>
      <w:r w:rsidRPr="00674A96">
        <w:rPr>
          <w:rtl/>
        </w:rPr>
        <w:tab/>
      </w:r>
      <w:r w:rsidRPr="00674A96">
        <w:rPr>
          <w:rFonts w:hint="cs"/>
          <w:rtl/>
        </w:rPr>
        <w:t>וזא</w:t>
      </w:r>
      <w:r>
        <w:rPr>
          <w:rFonts w:hint="cs"/>
          <w:rtl/>
        </w:rPr>
        <w:t xml:space="preserve">ת בעקבות ממצאי דוח ביקורת בנושא: </w:t>
      </w:r>
      <w:r w:rsidRPr="00F451A8">
        <w:rPr>
          <w:rFonts w:hint="cs"/>
          <w:rtl/>
        </w:rPr>
        <w:t xml:space="preserve">מבקר המדינה, </w:t>
      </w:r>
      <w:r>
        <w:rPr>
          <w:rFonts w:hint="cs"/>
          <w:b/>
          <w:bCs/>
          <w:rtl/>
        </w:rPr>
        <w:t xml:space="preserve">קובץ דוחות ביקורת לשנת 2011 </w:t>
      </w:r>
      <w:r w:rsidRPr="00F451A8">
        <w:rPr>
          <w:rFonts w:hint="cs"/>
          <w:rtl/>
        </w:rPr>
        <w:t>(</w:t>
      </w:r>
      <w:r>
        <w:rPr>
          <w:rFonts w:hint="cs"/>
          <w:rtl/>
        </w:rPr>
        <w:t xml:space="preserve">דצמבר </w:t>
      </w:r>
      <w:r w:rsidRPr="00F451A8">
        <w:rPr>
          <w:rFonts w:hint="cs"/>
          <w:rtl/>
        </w:rPr>
        <w:t>201</w:t>
      </w:r>
      <w:r>
        <w:rPr>
          <w:rFonts w:hint="cs"/>
          <w:rtl/>
        </w:rPr>
        <w:t>1</w:t>
      </w:r>
      <w:r w:rsidRPr="00F451A8">
        <w:rPr>
          <w:rFonts w:hint="cs"/>
          <w:rtl/>
        </w:rPr>
        <w:t>)</w:t>
      </w:r>
      <w:r>
        <w:rPr>
          <w:rFonts w:hint="cs"/>
          <w:rtl/>
        </w:rPr>
        <w:t xml:space="preserve">, </w:t>
      </w:r>
      <w:r w:rsidRPr="00674A96">
        <w:rPr>
          <w:rFonts w:hint="cs"/>
          <w:rtl/>
        </w:rPr>
        <w:t>"לשכת עורכי הדין", עמ' 357.</w:t>
      </w:r>
    </w:p>
  </w:footnote>
  <w:footnote w:id="83">
    <w:p w14:paraId="625DC7BF" w14:textId="77777777" w:rsidR="00C857F9" w:rsidRPr="00674A96" w:rsidRDefault="00C857F9" w:rsidP="00674A96">
      <w:pPr>
        <w:pStyle w:val="a7"/>
        <w:rPr>
          <w:rtl/>
        </w:rPr>
      </w:pPr>
      <w:r w:rsidRPr="00674A96">
        <w:rPr>
          <w:rStyle w:val="FootnoteReference"/>
          <w:vertAlign w:val="baseline"/>
        </w:rPr>
        <w:footnoteRef/>
      </w:r>
      <w:r w:rsidRPr="00674A96">
        <w:rPr>
          <w:rtl/>
        </w:rPr>
        <w:t xml:space="preserve"> </w:t>
      </w:r>
      <w:r w:rsidRPr="00674A96">
        <w:rPr>
          <w:rtl/>
        </w:rPr>
        <w:tab/>
      </w:r>
      <w:r w:rsidRPr="00674A96">
        <w:rPr>
          <w:rFonts w:hint="cs"/>
          <w:rtl/>
        </w:rPr>
        <w:t xml:space="preserve">באותה עת נוסחו של חוק לשכת עורכי הדין קבע כי המבקר הפנימי ייבחר לתקופה שלא תפחת מחמש שנים. </w:t>
      </w:r>
    </w:p>
  </w:footnote>
  <w:footnote w:id="84">
    <w:p w14:paraId="42C4C80C" w14:textId="77777777" w:rsidR="00C857F9" w:rsidRPr="00674A96" w:rsidRDefault="00C857F9" w:rsidP="00674A96">
      <w:pPr>
        <w:pStyle w:val="a7"/>
        <w:rPr>
          <w:rtl/>
        </w:rPr>
      </w:pPr>
      <w:r w:rsidRPr="00674A96">
        <w:rPr>
          <w:rStyle w:val="FootnoteReference"/>
          <w:vertAlign w:val="baseline"/>
        </w:rPr>
        <w:footnoteRef/>
      </w:r>
      <w:r w:rsidRPr="00674A96">
        <w:rPr>
          <w:rtl/>
        </w:rPr>
        <w:t xml:space="preserve"> </w:t>
      </w:r>
      <w:r w:rsidRPr="00674A96">
        <w:rPr>
          <w:rtl/>
        </w:rPr>
        <w:tab/>
      </w:r>
      <w:r w:rsidRPr="00674A96">
        <w:rPr>
          <w:rFonts w:hint="cs"/>
          <w:rtl/>
        </w:rPr>
        <w:t xml:space="preserve">בעבר הוסדר נושא המבקר הפנימי בסעיף 18א לחוק, ועם חקיקת תיקון 38 </w:t>
      </w:r>
      <w:r w:rsidRPr="00674A96">
        <w:rPr>
          <w:rtl/>
        </w:rPr>
        <w:t>-</w:t>
      </w:r>
      <w:r w:rsidRPr="00674A96">
        <w:rPr>
          <w:rFonts w:hint="cs"/>
          <w:rtl/>
        </w:rPr>
        <w:t xml:space="preserve"> הוא הוסדר בסעיף 19ו לחוק, וסעיף 18א בוטל. </w:t>
      </w:r>
    </w:p>
  </w:footnote>
  <w:footnote w:id="85">
    <w:p w14:paraId="123B5026" w14:textId="77777777" w:rsidR="00C857F9" w:rsidRDefault="00C857F9" w:rsidP="00674A96">
      <w:pPr>
        <w:pStyle w:val="a7"/>
        <w:rPr>
          <w:rtl/>
        </w:rPr>
      </w:pPr>
      <w:r w:rsidRPr="00674A96">
        <w:rPr>
          <w:rStyle w:val="FootnoteReference"/>
          <w:vertAlign w:val="baseline"/>
        </w:rPr>
        <w:footnoteRef/>
      </w:r>
      <w:r w:rsidRPr="00674A96">
        <w:rPr>
          <w:rtl/>
        </w:rPr>
        <w:t xml:space="preserve"> </w:t>
      </w:r>
      <w:r w:rsidRPr="00674A96">
        <w:rPr>
          <w:rtl/>
        </w:rPr>
        <w:tab/>
      </w:r>
      <w:r w:rsidRPr="00674A96">
        <w:rPr>
          <w:rFonts w:hint="cs"/>
          <w:rtl/>
        </w:rPr>
        <w:t>על פי חוק הביקורת הפנימית, הממונה על המבקר הפנימי יהיה יושב ראש של גוף הממלא תפקיד מקביל לשל</w:t>
      </w:r>
      <w:r w:rsidRPr="00C02A11">
        <w:rPr>
          <w:rFonts w:hint="cs"/>
          <w:rtl/>
        </w:rPr>
        <w:t xml:space="preserve"> דירקטוריון</w:t>
      </w:r>
      <w:r>
        <w:rPr>
          <w:rFonts w:hint="cs"/>
          <w:rtl/>
        </w:rPr>
        <w:t xml:space="preserve"> -</w:t>
      </w:r>
      <w:r w:rsidRPr="00C02A11">
        <w:rPr>
          <w:rFonts w:hint="cs"/>
          <w:rtl/>
        </w:rPr>
        <w:t xml:space="preserve"> בלשכת עורכי הדין זה</w:t>
      </w:r>
      <w:r>
        <w:rPr>
          <w:rFonts w:hint="cs"/>
          <w:rtl/>
        </w:rPr>
        <w:t>ו</w:t>
      </w:r>
      <w:r w:rsidRPr="00C02A11">
        <w:rPr>
          <w:rFonts w:hint="cs"/>
          <w:rtl/>
        </w:rPr>
        <w:t xml:space="preserve"> </w:t>
      </w:r>
      <w:r>
        <w:rPr>
          <w:rFonts w:hint="cs"/>
          <w:rtl/>
        </w:rPr>
        <w:t xml:space="preserve">יו"ר </w:t>
      </w:r>
      <w:r w:rsidRPr="00C02A11">
        <w:rPr>
          <w:rFonts w:hint="cs"/>
          <w:rtl/>
        </w:rPr>
        <w:t>המועצה הארצית.</w:t>
      </w:r>
    </w:p>
  </w:footnote>
  <w:footnote w:id="86">
    <w:p w14:paraId="087E88D7" w14:textId="77777777" w:rsidR="00C857F9" w:rsidRPr="00DB5CC0" w:rsidRDefault="00C857F9" w:rsidP="00DB5CC0">
      <w:pPr>
        <w:pStyle w:val="a7"/>
      </w:pPr>
      <w:r w:rsidRPr="00DB5CC0">
        <w:footnoteRef/>
      </w:r>
      <w:r w:rsidRPr="00DB5CC0">
        <w:rPr>
          <w:rtl/>
        </w:rPr>
        <w:t xml:space="preserve"> </w:t>
      </w:r>
      <w:r w:rsidRPr="00DB5CC0">
        <w:rPr>
          <w:rtl/>
        </w:rPr>
        <w:tab/>
      </w:r>
      <w:r w:rsidRPr="00DB5CC0">
        <w:rPr>
          <w:rFonts w:hint="cs"/>
          <w:rtl/>
        </w:rPr>
        <w:t>לשכת</w:t>
      </w:r>
      <w:r>
        <w:rPr>
          <w:rFonts w:hint="cs"/>
          <w:rtl/>
        </w:rPr>
        <w:t xml:space="preserve"> המבקרים הפנימיים בישראל, המועצה הארצית המקצועית, מקצוע הביקורת הפנימית, </w:t>
      </w:r>
      <w:r w:rsidRPr="00424CC0">
        <w:rPr>
          <w:rFonts w:hint="cs"/>
          <w:b/>
          <w:bCs/>
          <w:rtl/>
        </w:rPr>
        <w:t>תקנים מקצועיים מקובלים</w:t>
      </w:r>
      <w:r>
        <w:rPr>
          <w:rFonts w:hint="cs"/>
          <w:rtl/>
        </w:rPr>
        <w:t xml:space="preserve">, הנחיה </w:t>
      </w:r>
      <w:r w:rsidRPr="00DB5CC0">
        <w:rPr>
          <w:rFonts w:hint="cs"/>
          <w:rtl/>
        </w:rPr>
        <w:t>מקצועית מס' 1, סעיף 2 (ינואר 2012).</w:t>
      </w:r>
    </w:p>
  </w:footnote>
  <w:footnote w:id="87">
    <w:p w14:paraId="79545B12" w14:textId="77777777" w:rsidR="00C857F9" w:rsidRDefault="00C857F9" w:rsidP="00DB5CC0">
      <w:pPr>
        <w:pStyle w:val="a7"/>
        <w:rPr>
          <w:rFonts w:cs="FrankRuehl"/>
          <w:sz w:val="18"/>
          <w:rtl/>
        </w:rPr>
      </w:pPr>
      <w:r w:rsidRPr="00DB5CC0">
        <w:rPr>
          <w:rStyle w:val="FootnoteReference"/>
          <w:vertAlign w:val="baseline"/>
        </w:rPr>
        <w:footnoteRef/>
      </w:r>
      <w:r w:rsidRPr="00DB5CC0">
        <w:rPr>
          <w:rtl/>
        </w:rPr>
        <w:t xml:space="preserve"> </w:t>
      </w:r>
      <w:r w:rsidRPr="00DB5CC0">
        <w:rPr>
          <w:rFonts w:hint="cs"/>
          <w:rtl/>
        </w:rPr>
        <w:tab/>
        <w:t>שם</w:t>
      </w:r>
      <w:r w:rsidRPr="0004086F">
        <w:rPr>
          <w:rFonts w:hint="cs"/>
          <w:rtl/>
        </w:rPr>
        <w:t>, סעיף 4</w:t>
      </w:r>
      <w:r>
        <w:rPr>
          <w:rFonts w:hint="cs"/>
          <w:rtl/>
        </w:rPr>
        <w:t>,</w:t>
      </w:r>
      <w:r w:rsidRPr="0004086F">
        <w:rPr>
          <w:rFonts w:hint="cs"/>
          <w:rtl/>
        </w:rPr>
        <w:t xml:space="preserve"> וכן הנחיה מקצועית 4. בביצוע מיפוי וניתוח סיכונים כבסיס ל</w:t>
      </w:r>
      <w:r>
        <w:rPr>
          <w:rFonts w:hint="cs"/>
          <w:rtl/>
        </w:rPr>
        <w:t>תוכנית</w:t>
      </w:r>
      <w:r w:rsidRPr="0004086F">
        <w:rPr>
          <w:rFonts w:hint="cs"/>
          <w:rtl/>
        </w:rPr>
        <w:t xml:space="preserve"> עבודה של הביקורת הפנימית.</w:t>
      </w:r>
      <w:r>
        <w:rPr>
          <w:rFonts w:hint="cs"/>
          <w:rtl/>
        </w:rPr>
        <w:t xml:space="preserve"> </w:t>
      </w:r>
    </w:p>
  </w:footnote>
  <w:footnote w:id="88">
    <w:p w14:paraId="3436BFDF" w14:textId="77777777" w:rsidR="00C857F9" w:rsidRDefault="00C857F9" w:rsidP="00DB5CC0">
      <w:pPr>
        <w:pStyle w:val="a7"/>
        <w:rPr>
          <w:rtl/>
        </w:rPr>
      </w:pPr>
      <w:r w:rsidRPr="00DB5CC0">
        <w:footnoteRef/>
      </w:r>
      <w:r w:rsidRPr="00DB5CC0">
        <w:rPr>
          <w:rtl/>
        </w:rPr>
        <w:t xml:space="preserve"> </w:t>
      </w:r>
      <w:r w:rsidRPr="00DB5CC0">
        <w:rPr>
          <w:rtl/>
        </w:rPr>
        <w:tab/>
      </w:r>
      <w:r w:rsidRPr="00DB5CC0">
        <w:rPr>
          <w:rFonts w:hint="cs"/>
          <w:rtl/>
        </w:rPr>
        <w:t>מבקר</w:t>
      </w:r>
      <w:r w:rsidRPr="00F451A8">
        <w:rPr>
          <w:rFonts w:hint="cs"/>
          <w:rtl/>
        </w:rPr>
        <w:t xml:space="preserve"> המדינה</w:t>
      </w:r>
      <w:r w:rsidRPr="00F451A8">
        <w:rPr>
          <w:rFonts w:hint="cs"/>
          <w:sz w:val="18"/>
          <w:rtl/>
        </w:rPr>
        <w:t xml:space="preserve">, </w:t>
      </w:r>
      <w:r>
        <w:rPr>
          <w:rFonts w:hint="cs"/>
          <w:b/>
          <w:bCs/>
          <w:sz w:val="18"/>
          <w:rtl/>
        </w:rPr>
        <w:t xml:space="preserve">קובץ דוחות ביקורת לשנת 2011 </w:t>
      </w:r>
      <w:r w:rsidRPr="00F451A8">
        <w:rPr>
          <w:rFonts w:hint="cs"/>
          <w:sz w:val="18"/>
          <w:rtl/>
        </w:rPr>
        <w:t>(</w:t>
      </w:r>
      <w:r>
        <w:rPr>
          <w:rFonts w:hint="cs"/>
          <w:sz w:val="18"/>
          <w:rtl/>
        </w:rPr>
        <w:t xml:space="preserve">דצמבר </w:t>
      </w:r>
      <w:r w:rsidRPr="00F451A8">
        <w:rPr>
          <w:rFonts w:hint="cs"/>
          <w:sz w:val="18"/>
          <w:rtl/>
        </w:rPr>
        <w:t>201</w:t>
      </w:r>
      <w:r>
        <w:rPr>
          <w:rFonts w:hint="cs"/>
          <w:sz w:val="18"/>
          <w:rtl/>
        </w:rPr>
        <w:t>1</w:t>
      </w:r>
      <w:r w:rsidRPr="00F451A8">
        <w:rPr>
          <w:rFonts w:hint="cs"/>
          <w:sz w:val="18"/>
          <w:rtl/>
        </w:rPr>
        <w:t>)</w:t>
      </w:r>
      <w:r>
        <w:rPr>
          <w:rFonts w:hint="cs"/>
          <w:sz w:val="18"/>
          <w:rtl/>
        </w:rPr>
        <w:t>, "לשכת עורכי הדין", עמ' 357.</w:t>
      </w:r>
    </w:p>
  </w:footnote>
  <w:footnote w:id="89">
    <w:p w14:paraId="336B8B14" w14:textId="77777777" w:rsidR="00C857F9" w:rsidRPr="006609B1" w:rsidRDefault="00C857F9" w:rsidP="006609B1">
      <w:pPr>
        <w:pStyle w:val="a7"/>
      </w:pPr>
      <w:r w:rsidRPr="006609B1">
        <w:footnoteRef/>
      </w:r>
      <w:r w:rsidRPr="006609B1">
        <w:rPr>
          <w:rtl/>
        </w:rPr>
        <w:t xml:space="preserve"> </w:t>
      </w:r>
      <w:r w:rsidRPr="006609B1">
        <w:rPr>
          <w:rtl/>
        </w:rPr>
        <w:tab/>
      </w:r>
      <w:r w:rsidRPr="006609B1">
        <w:rPr>
          <w:rFonts w:hint="cs"/>
          <w:rtl/>
        </w:rPr>
        <w:t>מבקר</w:t>
      </w:r>
      <w:r w:rsidRPr="00F451A8">
        <w:rPr>
          <w:rFonts w:hint="cs"/>
          <w:rtl/>
        </w:rPr>
        <w:t xml:space="preserve"> המדינה, </w:t>
      </w:r>
      <w:r w:rsidRPr="00BB7C2D">
        <w:rPr>
          <w:rFonts w:hint="cs"/>
          <w:b/>
          <w:bCs/>
          <w:rtl/>
        </w:rPr>
        <w:t>דוח שנתי 63ג</w:t>
      </w:r>
      <w:r w:rsidRPr="00F451A8">
        <w:rPr>
          <w:rFonts w:hint="cs"/>
          <w:rtl/>
        </w:rPr>
        <w:t xml:space="preserve"> (</w:t>
      </w:r>
      <w:r w:rsidRPr="00BB7C2D">
        <w:rPr>
          <w:rFonts w:hint="cs"/>
          <w:rtl/>
        </w:rPr>
        <w:t xml:space="preserve">2013), </w:t>
      </w:r>
      <w:r w:rsidRPr="006609B1">
        <w:rPr>
          <w:rFonts w:hint="cs"/>
          <w:rtl/>
        </w:rPr>
        <w:t>ראו לעיל הערה 2, עמ' 115, 121.</w:t>
      </w:r>
    </w:p>
  </w:footnote>
  <w:footnote w:id="90">
    <w:p w14:paraId="3FC35987" w14:textId="77777777" w:rsidR="00C857F9" w:rsidRDefault="00C857F9" w:rsidP="006609B1">
      <w:pPr>
        <w:pStyle w:val="a7"/>
      </w:pPr>
      <w:r w:rsidRPr="006609B1">
        <w:rPr>
          <w:rStyle w:val="FootnoteReference"/>
          <w:vertAlign w:val="baseline"/>
        </w:rPr>
        <w:footnoteRef/>
      </w:r>
      <w:r w:rsidRPr="006609B1">
        <w:rPr>
          <w:rtl/>
        </w:rPr>
        <w:t xml:space="preserve"> </w:t>
      </w:r>
      <w:r w:rsidRPr="006609B1">
        <w:rPr>
          <w:rtl/>
        </w:rPr>
        <w:tab/>
      </w:r>
      <w:r w:rsidRPr="006609B1">
        <w:rPr>
          <w:rFonts w:hint="cs"/>
          <w:rtl/>
        </w:rPr>
        <w:t>ועד</w:t>
      </w:r>
      <w:r>
        <w:rPr>
          <w:rFonts w:hint="cs"/>
          <w:rtl/>
        </w:rPr>
        <w:t xml:space="preserve"> מרכזי, דיון מ-19.3.19. </w:t>
      </w:r>
    </w:p>
  </w:footnote>
  <w:footnote w:id="91">
    <w:p w14:paraId="444E7306" w14:textId="77777777" w:rsidR="00C857F9" w:rsidRPr="00F563CD" w:rsidRDefault="00C857F9" w:rsidP="00F563CD">
      <w:pPr>
        <w:pStyle w:val="a7"/>
        <w:rPr>
          <w:rtl/>
        </w:rPr>
      </w:pPr>
      <w:r w:rsidRPr="00F563CD">
        <w:rPr>
          <w:rStyle w:val="FootnoteReference"/>
          <w:vertAlign w:val="baseline"/>
        </w:rPr>
        <w:footnoteRef/>
      </w:r>
      <w:r w:rsidRPr="00F563CD">
        <w:rPr>
          <w:rtl/>
        </w:rPr>
        <w:t xml:space="preserve"> </w:t>
      </w:r>
      <w:r w:rsidRPr="00F563CD">
        <w:rPr>
          <w:rtl/>
        </w:rPr>
        <w:tab/>
      </w:r>
      <w:r w:rsidRPr="00F563CD">
        <w:rPr>
          <w:rFonts w:hint="cs"/>
          <w:rtl/>
        </w:rPr>
        <w:t xml:space="preserve">מספר המועסקים הם עובדים קבועים ושאינם קבועים. </w:t>
      </w:r>
    </w:p>
  </w:footnote>
  <w:footnote w:id="92">
    <w:p w14:paraId="109F8500" w14:textId="77777777" w:rsidR="00C857F9" w:rsidRPr="00F563CD" w:rsidRDefault="00C857F9" w:rsidP="00F563CD">
      <w:pPr>
        <w:pStyle w:val="a7"/>
      </w:pPr>
      <w:r w:rsidRPr="00F563CD">
        <w:rPr>
          <w:rStyle w:val="FootnoteReference"/>
          <w:vertAlign w:val="baseline"/>
        </w:rPr>
        <w:footnoteRef/>
      </w:r>
      <w:r w:rsidRPr="00F563CD">
        <w:rPr>
          <w:rtl/>
        </w:rPr>
        <w:t xml:space="preserve"> </w:t>
      </w:r>
      <w:r w:rsidRPr="00F563CD">
        <w:rPr>
          <w:rtl/>
        </w:rPr>
        <w:tab/>
        <w:t>לחברה כמה מוצרים נוספים כגון תוכנה מחוללת טפסים משפטיים ("אסקי") וקורסים לקהלי יעד שונים.</w:t>
      </w:r>
    </w:p>
  </w:footnote>
  <w:footnote w:id="93">
    <w:p w14:paraId="52BDFFFB" w14:textId="77777777" w:rsidR="00C857F9" w:rsidRPr="00F563CD" w:rsidRDefault="00C857F9" w:rsidP="00F563CD">
      <w:pPr>
        <w:pStyle w:val="a7"/>
      </w:pPr>
      <w:r w:rsidRPr="00F563CD">
        <w:rPr>
          <w:rStyle w:val="FootnoteReference"/>
          <w:vertAlign w:val="baseline"/>
        </w:rPr>
        <w:footnoteRef/>
      </w:r>
      <w:r w:rsidRPr="00F563CD">
        <w:rPr>
          <w:rtl/>
        </w:rPr>
        <w:t xml:space="preserve"> </w:t>
      </w:r>
      <w:r w:rsidRPr="00F563CD">
        <w:rPr>
          <w:rtl/>
        </w:rPr>
        <w:tab/>
      </w:r>
      <w:r w:rsidRPr="00F563CD">
        <w:rPr>
          <w:rFonts w:hint="cs"/>
          <w:rtl/>
        </w:rPr>
        <w:t xml:space="preserve">מוצר בגרסת בטא </w:t>
      </w:r>
      <w:r w:rsidRPr="00F563CD">
        <w:rPr>
          <w:rFonts w:hint="eastAsia"/>
          <w:rtl/>
        </w:rPr>
        <w:t>הוא</w:t>
      </w:r>
      <w:r w:rsidRPr="00F563CD">
        <w:rPr>
          <w:rtl/>
        </w:rPr>
        <w:t xml:space="preserve"> </w:t>
      </w:r>
      <w:r w:rsidRPr="00F563CD">
        <w:rPr>
          <w:rFonts w:hint="eastAsia"/>
          <w:rtl/>
        </w:rPr>
        <w:t>כינוי</w:t>
      </w:r>
      <w:r w:rsidRPr="00F563CD">
        <w:rPr>
          <w:rtl/>
        </w:rPr>
        <w:t xml:space="preserve"> </w:t>
      </w:r>
      <w:r w:rsidRPr="00F563CD">
        <w:rPr>
          <w:rFonts w:hint="eastAsia"/>
          <w:rtl/>
        </w:rPr>
        <w:t>לאחת</w:t>
      </w:r>
      <w:r w:rsidRPr="00F563CD">
        <w:rPr>
          <w:rtl/>
        </w:rPr>
        <w:t xml:space="preserve"> </w:t>
      </w:r>
      <w:r w:rsidRPr="00F563CD">
        <w:rPr>
          <w:rFonts w:hint="eastAsia"/>
          <w:rtl/>
        </w:rPr>
        <w:t>מגרסאותיו</w:t>
      </w:r>
      <w:r w:rsidRPr="00F563CD">
        <w:rPr>
          <w:rtl/>
        </w:rPr>
        <w:t xml:space="preserve"> </w:t>
      </w:r>
      <w:r w:rsidRPr="00F563CD">
        <w:rPr>
          <w:rFonts w:hint="eastAsia"/>
          <w:rtl/>
        </w:rPr>
        <w:t>של</w:t>
      </w:r>
      <w:r w:rsidRPr="00F563CD">
        <w:rPr>
          <w:rtl/>
        </w:rPr>
        <w:t xml:space="preserve"> </w:t>
      </w:r>
      <w:r w:rsidRPr="00F563CD">
        <w:rPr>
          <w:rFonts w:hint="eastAsia"/>
          <w:rtl/>
        </w:rPr>
        <w:t>מוצר</w:t>
      </w:r>
      <w:r w:rsidRPr="00F563CD">
        <w:rPr>
          <w:rtl/>
        </w:rPr>
        <w:t xml:space="preserve"> </w:t>
      </w:r>
      <w:r w:rsidRPr="00F563CD">
        <w:rPr>
          <w:rFonts w:hint="eastAsia"/>
          <w:rtl/>
        </w:rPr>
        <w:t>תוכנה</w:t>
      </w:r>
      <w:r w:rsidRPr="00F563CD">
        <w:rPr>
          <w:rtl/>
        </w:rPr>
        <w:t xml:space="preserve"> </w:t>
      </w:r>
      <w:r w:rsidRPr="00F563CD">
        <w:rPr>
          <w:rFonts w:hint="eastAsia"/>
          <w:rtl/>
        </w:rPr>
        <w:t>הנמצא</w:t>
      </w:r>
      <w:r w:rsidRPr="00F563CD">
        <w:rPr>
          <w:rtl/>
        </w:rPr>
        <w:t xml:space="preserve"> </w:t>
      </w:r>
      <w:r w:rsidRPr="00F563CD">
        <w:rPr>
          <w:rFonts w:hint="eastAsia"/>
          <w:rtl/>
        </w:rPr>
        <w:t>בפיתוח</w:t>
      </w:r>
      <w:r w:rsidRPr="00F563CD">
        <w:rPr>
          <w:rtl/>
        </w:rPr>
        <w:t xml:space="preserve">. </w:t>
      </w:r>
      <w:r w:rsidRPr="00F563CD">
        <w:rPr>
          <w:rFonts w:hint="eastAsia"/>
          <w:rtl/>
        </w:rPr>
        <w:t>בטא</w:t>
      </w:r>
      <w:r w:rsidRPr="00F563CD">
        <w:rPr>
          <w:rtl/>
        </w:rPr>
        <w:t xml:space="preserve"> </w:t>
      </w:r>
      <w:r w:rsidRPr="00F563CD">
        <w:rPr>
          <w:rFonts w:hint="eastAsia"/>
          <w:rtl/>
        </w:rPr>
        <w:t>היא</w:t>
      </w:r>
      <w:r w:rsidRPr="00F563CD">
        <w:rPr>
          <w:rtl/>
        </w:rPr>
        <w:t xml:space="preserve"> </w:t>
      </w:r>
      <w:r w:rsidRPr="00F563CD">
        <w:rPr>
          <w:rFonts w:hint="eastAsia"/>
          <w:rtl/>
        </w:rPr>
        <w:t>הגרסה</w:t>
      </w:r>
      <w:r w:rsidRPr="00F563CD">
        <w:rPr>
          <w:rtl/>
        </w:rPr>
        <w:t xml:space="preserve"> </w:t>
      </w:r>
      <w:r w:rsidRPr="00F563CD">
        <w:rPr>
          <w:rFonts w:hint="eastAsia"/>
          <w:rtl/>
        </w:rPr>
        <w:t>שלאחר</w:t>
      </w:r>
      <w:r w:rsidRPr="00F563CD">
        <w:rPr>
          <w:rtl/>
        </w:rPr>
        <w:t xml:space="preserve"> </w:t>
      </w:r>
      <w:r w:rsidRPr="00F563CD">
        <w:rPr>
          <w:rFonts w:hint="eastAsia"/>
          <w:rtl/>
        </w:rPr>
        <w:t>שיפור</w:t>
      </w:r>
      <w:r w:rsidRPr="00F563CD">
        <w:rPr>
          <w:rtl/>
        </w:rPr>
        <w:t xml:space="preserve"> </w:t>
      </w:r>
      <w:r w:rsidRPr="00F563CD">
        <w:rPr>
          <w:rFonts w:hint="eastAsia"/>
          <w:rtl/>
        </w:rPr>
        <w:t>אב</w:t>
      </w:r>
      <w:r w:rsidRPr="00F563CD">
        <w:rPr>
          <w:rtl/>
        </w:rPr>
        <w:t xml:space="preserve"> </w:t>
      </w:r>
      <w:r w:rsidRPr="00F563CD">
        <w:rPr>
          <w:rFonts w:hint="eastAsia"/>
          <w:rtl/>
        </w:rPr>
        <w:t>טיפוס</w:t>
      </w:r>
      <w:r w:rsidRPr="00F563CD">
        <w:rPr>
          <w:rtl/>
        </w:rPr>
        <w:t xml:space="preserve"> </w:t>
      </w:r>
      <w:r w:rsidRPr="00F563CD">
        <w:rPr>
          <w:rFonts w:hint="eastAsia"/>
          <w:rtl/>
        </w:rPr>
        <w:t>בעקבות</w:t>
      </w:r>
      <w:r w:rsidRPr="00F563CD">
        <w:rPr>
          <w:rtl/>
        </w:rPr>
        <w:t xml:space="preserve"> </w:t>
      </w:r>
      <w:r w:rsidRPr="00F563CD">
        <w:rPr>
          <w:rFonts w:hint="eastAsia"/>
          <w:rtl/>
        </w:rPr>
        <w:t>סדרת</w:t>
      </w:r>
      <w:r w:rsidRPr="00F563CD">
        <w:rPr>
          <w:rtl/>
        </w:rPr>
        <w:t xml:space="preserve"> </w:t>
      </w:r>
      <w:r w:rsidRPr="00F563CD">
        <w:rPr>
          <w:rFonts w:hint="eastAsia"/>
          <w:rtl/>
        </w:rPr>
        <w:t>ניסויי</w:t>
      </w:r>
      <w:r w:rsidRPr="00F563CD">
        <w:rPr>
          <w:rtl/>
        </w:rPr>
        <w:t xml:space="preserve"> </w:t>
      </w:r>
      <w:r w:rsidRPr="00F563CD">
        <w:rPr>
          <w:rFonts w:hint="eastAsia"/>
          <w:rtl/>
        </w:rPr>
        <w:t>פיילוט</w:t>
      </w:r>
      <w:r w:rsidRPr="00F563CD">
        <w:rPr>
          <w:rtl/>
        </w:rPr>
        <w:t xml:space="preserve"> </w:t>
      </w:r>
      <w:r w:rsidRPr="00F563CD">
        <w:rPr>
          <w:rFonts w:hint="cs"/>
          <w:rtl/>
        </w:rPr>
        <w:t>והיא ב</w:t>
      </w:r>
      <w:r w:rsidRPr="00F563CD">
        <w:rPr>
          <w:rtl/>
        </w:rPr>
        <w:t>שלה דיה להפצה לבודקים חיצו</w:t>
      </w:r>
      <w:r w:rsidRPr="00F563CD">
        <w:rPr>
          <w:rFonts w:hint="cs"/>
          <w:rtl/>
        </w:rPr>
        <w:t>ניים.</w:t>
      </w:r>
    </w:p>
  </w:footnote>
  <w:footnote w:id="94">
    <w:p w14:paraId="5E1215C0" w14:textId="77777777" w:rsidR="00C857F9" w:rsidRDefault="00C857F9" w:rsidP="00F563CD">
      <w:pPr>
        <w:pStyle w:val="a7"/>
        <w:rPr>
          <w:rtl/>
        </w:rPr>
      </w:pPr>
      <w:r w:rsidRPr="00F563CD">
        <w:rPr>
          <w:rStyle w:val="FootnoteReference"/>
          <w:vertAlign w:val="baseline"/>
        </w:rPr>
        <w:footnoteRef/>
      </w:r>
      <w:r w:rsidRPr="00F563CD">
        <w:rPr>
          <w:rtl/>
        </w:rPr>
        <w:t xml:space="preserve"> </w:t>
      </w:r>
      <w:r w:rsidRPr="00F563CD">
        <w:rPr>
          <w:rtl/>
        </w:rPr>
        <w:tab/>
      </w:r>
      <w:r w:rsidRPr="00F563CD">
        <w:rPr>
          <w:rFonts w:hint="cs"/>
          <w:rtl/>
        </w:rPr>
        <w:t>ביוני</w:t>
      </w:r>
      <w:r>
        <w:rPr>
          <w:rFonts w:hint="cs"/>
          <w:rtl/>
        </w:rPr>
        <w:t xml:space="preserve"> 2019, לאחר בחירות שנערכו בלשכת עורכי הדין, נכנסו לתוקף הוראותיו של תיקון 38 לחוק לשכת עורכי הדין, לפיהם עברו סמכויות הוועד המרכזי למועצה הארצית. </w:t>
      </w:r>
    </w:p>
  </w:footnote>
  <w:footnote w:id="95">
    <w:p w14:paraId="76D95138" w14:textId="77777777" w:rsidR="00C857F9" w:rsidRDefault="00C857F9" w:rsidP="00A47902">
      <w:pPr>
        <w:pStyle w:val="a7"/>
        <w:rPr>
          <w:rtl/>
        </w:rPr>
      </w:pPr>
      <w:r w:rsidRPr="00A47902">
        <w:footnoteRef/>
      </w:r>
      <w:r w:rsidRPr="00A47902">
        <w:rPr>
          <w:rtl/>
        </w:rPr>
        <w:t xml:space="preserve"> </w:t>
      </w:r>
      <w:r w:rsidRPr="00A47902">
        <w:rPr>
          <w:rtl/>
        </w:rPr>
        <w:tab/>
      </w:r>
      <w:r w:rsidRPr="00A47902">
        <w:rPr>
          <w:rFonts w:hint="cs"/>
          <w:rtl/>
        </w:rPr>
        <w:t>במהלך שנת</w:t>
      </w:r>
      <w:r>
        <w:rPr>
          <w:rFonts w:hint="cs"/>
          <w:rtl/>
        </w:rPr>
        <w:t xml:space="preserve"> 2019, עלו טענות בנוגע לאישור הדוח הכספי של החברה לשנת 2017, ראו להלן. </w:t>
      </w:r>
    </w:p>
  </w:footnote>
  <w:footnote w:id="96">
    <w:p w14:paraId="0A0DD5D2" w14:textId="77777777" w:rsidR="00C857F9" w:rsidRPr="00803CE5" w:rsidRDefault="00C857F9" w:rsidP="00803CE5">
      <w:pPr>
        <w:pStyle w:val="a7"/>
        <w:rPr>
          <w:rtl/>
        </w:rPr>
      </w:pPr>
      <w:r w:rsidRPr="00803CE5">
        <w:footnoteRef/>
      </w:r>
      <w:r w:rsidRPr="00803CE5">
        <w:rPr>
          <w:rtl/>
        </w:rPr>
        <w:t xml:space="preserve"> </w:t>
      </w:r>
      <w:r w:rsidRPr="00803CE5">
        <w:rPr>
          <w:rtl/>
        </w:rPr>
        <w:tab/>
      </w:r>
      <w:r w:rsidRPr="00EB52B5">
        <w:rPr>
          <w:rFonts w:hint="cs"/>
          <w:b/>
          <w:bCs/>
          <w:rtl/>
        </w:rPr>
        <w:t>דוחות כספיים מבוקרים</w:t>
      </w:r>
      <w:r>
        <w:rPr>
          <w:rFonts w:hint="cs"/>
          <w:rtl/>
        </w:rPr>
        <w:t xml:space="preserve"> של </w:t>
      </w:r>
      <w:r w:rsidRPr="00803CE5">
        <w:rPr>
          <w:rFonts w:hint="cs"/>
          <w:rtl/>
        </w:rPr>
        <w:t>החברה הכלכלית לשנים 2014 - 2017.</w:t>
      </w:r>
    </w:p>
  </w:footnote>
  <w:footnote w:id="97">
    <w:p w14:paraId="4FD09229" w14:textId="77777777" w:rsidR="00C857F9" w:rsidRDefault="00C857F9" w:rsidP="00803CE5">
      <w:pPr>
        <w:pStyle w:val="a7"/>
      </w:pPr>
      <w:r w:rsidRPr="00803CE5">
        <w:rPr>
          <w:rStyle w:val="FootnoteReference"/>
          <w:vertAlign w:val="baseline"/>
        </w:rPr>
        <w:footnoteRef/>
      </w:r>
      <w:r w:rsidRPr="00803CE5">
        <w:rPr>
          <w:rtl/>
        </w:rPr>
        <w:t xml:space="preserve"> </w:t>
      </w:r>
      <w:r w:rsidRPr="00803CE5">
        <w:rPr>
          <w:rtl/>
        </w:rPr>
        <w:tab/>
      </w:r>
      <w:r w:rsidRPr="00803CE5">
        <w:rPr>
          <w:rFonts w:hint="cs"/>
          <w:rtl/>
        </w:rPr>
        <w:t>הדוח</w:t>
      </w:r>
      <w:r>
        <w:rPr>
          <w:rFonts w:hint="cs"/>
          <w:rtl/>
        </w:rPr>
        <w:t xml:space="preserve"> האחרון המבוקר והמאושר של החברה במועד סיום הביקורת היה לשנת 2017, ראו גם בהמשך. </w:t>
      </w:r>
    </w:p>
  </w:footnote>
  <w:footnote w:id="98">
    <w:p w14:paraId="0F840391" w14:textId="77777777" w:rsidR="00C857F9" w:rsidRPr="00923216" w:rsidRDefault="00C857F9" w:rsidP="00923216">
      <w:pPr>
        <w:pStyle w:val="a7"/>
        <w:rPr>
          <w:rtl/>
        </w:rPr>
      </w:pPr>
      <w:r w:rsidRPr="00923216">
        <w:rPr>
          <w:rStyle w:val="FootnoteReference"/>
          <w:vertAlign w:val="baseline"/>
        </w:rPr>
        <w:footnoteRef/>
      </w:r>
      <w:r w:rsidRPr="00923216">
        <w:rPr>
          <w:rtl/>
        </w:rPr>
        <w:t xml:space="preserve"> </w:t>
      </w:r>
      <w:r w:rsidRPr="00923216">
        <w:rPr>
          <w:rtl/>
        </w:rPr>
        <w:tab/>
      </w:r>
      <w:r w:rsidRPr="00923216">
        <w:rPr>
          <w:rFonts w:hint="cs"/>
          <w:rtl/>
        </w:rPr>
        <w:t>הנתונים לשנת 2018 עדיין אינם מבוקרים וסביר להניח שישתנו.</w:t>
      </w:r>
      <w:r w:rsidRPr="00923216">
        <w:rPr>
          <w:rtl/>
        </w:rPr>
        <w:t xml:space="preserve"> </w:t>
      </w:r>
    </w:p>
  </w:footnote>
  <w:footnote w:id="99">
    <w:p w14:paraId="56898EE4" w14:textId="77777777" w:rsidR="00C857F9" w:rsidRPr="00BC5ED5" w:rsidRDefault="00C857F9" w:rsidP="00923216">
      <w:pPr>
        <w:pStyle w:val="a7"/>
        <w:rPr>
          <w:rtl/>
        </w:rPr>
      </w:pPr>
      <w:r w:rsidRPr="00923216">
        <w:rPr>
          <w:rStyle w:val="FootnoteReference"/>
          <w:vertAlign w:val="baseline"/>
        </w:rPr>
        <w:footnoteRef/>
      </w:r>
      <w:r w:rsidRPr="00923216">
        <w:rPr>
          <w:rtl/>
        </w:rPr>
        <w:t xml:space="preserve"> </w:t>
      </w:r>
      <w:r w:rsidRPr="00923216">
        <w:rPr>
          <w:rtl/>
        </w:rPr>
        <w:tab/>
      </w:r>
      <w:r w:rsidRPr="00EB52B5">
        <w:rPr>
          <w:b/>
          <w:bCs/>
          <w:rtl/>
        </w:rPr>
        <w:t>דוח החברה הכלכלית של לשכת עורכי הדין בע"מ</w:t>
      </w:r>
      <w:r>
        <w:rPr>
          <w:rFonts w:hint="cs"/>
          <w:rtl/>
        </w:rPr>
        <w:t xml:space="preserve"> מ-</w:t>
      </w:r>
      <w:r w:rsidRPr="00BC5ED5">
        <w:rPr>
          <w:rFonts w:hint="cs"/>
          <w:rtl/>
        </w:rPr>
        <w:t>1</w:t>
      </w:r>
      <w:r>
        <w:rPr>
          <w:rFonts w:hint="cs"/>
          <w:rtl/>
        </w:rPr>
        <w:t>5.5.17</w:t>
      </w:r>
      <w:r w:rsidRPr="00BC5ED5">
        <w:rPr>
          <w:rFonts w:hint="cs"/>
          <w:rtl/>
        </w:rPr>
        <w:t xml:space="preserve">; מצגת </w:t>
      </w:r>
      <w:r>
        <w:rPr>
          <w:rFonts w:hint="cs"/>
          <w:rtl/>
        </w:rPr>
        <w:t xml:space="preserve">מ-4.2.18 שהוכנה </w:t>
      </w:r>
      <w:r w:rsidRPr="00BC5ED5">
        <w:rPr>
          <w:rFonts w:hint="cs"/>
          <w:rtl/>
        </w:rPr>
        <w:t>לקראת</w:t>
      </w:r>
      <w:r w:rsidRPr="00BC5ED5">
        <w:t xml:space="preserve"> </w:t>
      </w:r>
      <w:r w:rsidRPr="00BC5ED5">
        <w:rPr>
          <w:rFonts w:hint="cs"/>
          <w:rtl/>
        </w:rPr>
        <w:t>ישיבת</w:t>
      </w:r>
      <w:r w:rsidRPr="00BC5ED5">
        <w:t xml:space="preserve"> </w:t>
      </w:r>
      <w:r w:rsidRPr="00BC5ED5">
        <w:rPr>
          <w:rFonts w:hint="cs"/>
          <w:rtl/>
        </w:rPr>
        <w:t>דירקטוריון</w:t>
      </w:r>
      <w:r w:rsidRPr="00BC5ED5">
        <w:t xml:space="preserve"> </w:t>
      </w:r>
      <w:r>
        <w:rPr>
          <w:rFonts w:hint="cs"/>
          <w:rtl/>
        </w:rPr>
        <w:t xml:space="preserve">מ-6.2.18. </w:t>
      </w:r>
    </w:p>
  </w:footnote>
  <w:footnote w:id="100">
    <w:p w14:paraId="763BAA06" w14:textId="77777777" w:rsidR="00C857F9" w:rsidRDefault="00C857F9" w:rsidP="00154091">
      <w:pPr>
        <w:pStyle w:val="a7"/>
        <w:rPr>
          <w:rtl/>
        </w:rPr>
      </w:pPr>
      <w:r w:rsidRPr="00154091">
        <w:footnoteRef/>
      </w:r>
      <w:r w:rsidRPr="00154091">
        <w:rPr>
          <w:rtl/>
        </w:rPr>
        <w:t xml:space="preserve"> </w:t>
      </w:r>
      <w:r w:rsidRPr="00154091">
        <w:rPr>
          <w:rtl/>
        </w:rPr>
        <w:tab/>
      </w:r>
      <w:r w:rsidRPr="00154091">
        <w:rPr>
          <w:rFonts w:hint="cs"/>
          <w:rtl/>
        </w:rPr>
        <w:t>החברה</w:t>
      </w:r>
      <w:r>
        <w:rPr>
          <w:rFonts w:hint="cs"/>
          <w:rtl/>
        </w:rPr>
        <w:t xml:space="preserve"> הכלכלית של לשכת עורכי הדין בע"מ - </w:t>
      </w:r>
      <w:r w:rsidRPr="009E17FD">
        <w:rPr>
          <w:rFonts w:hint="cs"/>
          <w:b/>
          <w:bCs/>
          <w:rtl/>
        </w:rPr>
        <w:t>בחינת מצב פיננסי</w:t>
      </w:r>
      <w:r>
        <w:rPr>
          <w:rFonts w:hint="cs"/>
          <w:rtl/>
        </w:rPr>
        <w:t>, מאי 2017;</w:t>
      </w:r>
      <w:r w:rsidRPr="00957580">
        <w:rPr>
          <w:rFonts w:hint="cs"/>
          <w:rtl/>
        </w:rPr>
        <w:t xml:space="preserve"> </w:t>
      </w:r>
      <w:r w:rsidRPr="009E17FD">
        <w:rPr>
          <w:rFonts w:hint="cs"/>
          <w:b/>
          <w:bCs/>
          <w:rtl/>
        </w:rPr>
        <w:t>דוחות כספיים מבוקרים</w:t>
      </w:r>
      <w:r>
        <w:rPr>
          <w:rFonts w:hint="cs"/>
          <w:rtl/>
        </w:rPr>
        <w:t xml:space="preserve"> של החברה הכלכלית לשנים 2015 - 2017. </w:t>
      </w:r>
    </w:p>
  </w:footnote>
  <w:footnote w:id="101">
    <w:p w14:paraId="69F6A947" w14:textId="77777777" w:rsidR="00C857F9" w:rsidRPr="008050AB" w:rsidRDefault="00C857F9" w:rsidP="008050AB">
      <w:pPr>
        <w:pStyle w:val="a7"/>
        <w:rPr>
          <w:rtl/>
        </w:rPr>
      </w:pPr>
      <w:r w:rsidRPr="008050AB">
        <w:footnoteRef/>
      </w:r>
      <w:r w:rsidRPr="008050AB">
        <w:rPr>
          <w:rtl/>
        </w:rPr>
        <w:t xml:space="preserve"> </w:t>
      </w:r>
      <w:r w:rsidRPr="008050AB">
        <w:rPr>
          <w:rtl/>
        </w:rPr>
        <w:tab/>
      </w:r>
      <w:r w:rsidRPr="008050AB">
        <w:rPr>
          <w:rFonts w:hint="cs"/>
          <w:rtl/>
        </w:rPr>
        <w:t>נספח</w:t>
      </w:r>
      <w:r>
        <w:rPr>
          <w:rFonts w:hint="cs"/>
          <w:rtl/>
        </w:rPr>
        <w:t xml:space="preserve"> מיוחד - </w:t>
      </w:r>
      <w:r w:rsidRPr="00E707FE">
        <w:rPr>
          <w:rFonts w:hint="cs"/>
          <w:b/>
          <w:bCs/>
          <w:rtl/>
        </w:rPr>
        <w:t>ניתוח דוחות כספיים,</w:t>
      </w:r>
      <w:r>
        <w:rPr>
          <w:rFonts w:hint="cs"/>
          <w:rtl/>
        </w:rPr>
        <w:t xml:space="preserve"> ר</w:t>
      </w:r>
      <w:r w:rsidRPr="008050AB">
        <w:rPr>
          <w:rFonts w:hint="cs"/>
          <w:rtl/>
        </w:rPr>
        <w:t xml:space="preserve">שות החברות הממשלתיות משרד האוצר. </w:t>
      </w:r>
    </w:p>
  </w:footnote>
  <w:footnote w:id="102">
    <w:p w14:paraId="36C907CC" w14:textId="77777777" w:rsidR="00C857F9" w:rsidRPr="008050AB" w:rsidRDefault="00C857F9" w:rsidP="008050AB">
      <w:pPr>
        <w:pStyle w:val="a7"/>
        <w:rPr>
          <w:rtl/>
        </w:rPr>
      </w:pPr>
      <w:r w:rsidRPr="008050AB">
        <w:rPr>
          <w:rStyle w:val="FootnoteReference"/>
          <w:vertAlign w:val="baseline"/>
        </w:rPr>
        <w:footnoteRef/>
      </w:r>
      <w:r w:rsidRPr="008050AB">
        <w:rPr>
          <w:rtl/>
        </w:rPr>
        <w:t xml:space="preserve"> </w:t>
      </w:r>
      <w:r w:rsidRPr="008050AB">
        <w:rPr>
          <w:rtl/>
        </w:rPr>
        <w:tab/>
      </w:r>
      <w:r w:rsidRPr="008050AB">
        <w:rPr>
          <w:rFonts w:hint="cs"/>
          <w:rtl/>
        </w:rPr>
        <w:t>דוח כספי של החברה לשנת 2017 אושר בדירקטוריון החברה ביום 20.8.19.</w:t>
      </w:r>
    </w:p>
  </w:footnote>
  <w:footnote w:id="103">
    <w:p w14:paraId="593CF260" w14:textId="77777777" w:rsidR="00C857F9" w:rsidRDefault="00C857F9" w:rsidP="008050AB">
      <w:pPr>
        <w:pStyle w:val="a7"/>
      </w:pPr>
      <w:r w:rsidRPr="008050AB">
        <w:rPr>
          <w:rStyle w:val="FootnoteReference"/>
          <w:vertAlign w:val="baseline"/>
        </w:rPr>
        <w:footnoteRef/>
      </w:r>
      <w:r w:rsidRPr="008050AB">
        <w:rPr>
          <w:rtl/>
        </w:rPr>
        <w:t xml:space="preserve"> </w:t>
      </w:r>
      <w:r w:rsidRPr="008050AB">
        <w:rPr>
          <w:rtl/>
        </w:rPr>
        <w:tab/>
      </w:r>
      <w:r w:rsidRPr="00E707FE">
        <w:rPr>
          <w:rFonts w:hint="cs"/>
          <w:b/>
          <w:bCs/>
          <w:rtl/>
        </w:rPr>
        <w:t>דוח כספי לשנת 2017</w:t>
      </w:r>
      <w:r>
        <w:rPr>
          <w:rFonts w:hint="cs"/>
          <w:rtl/>
        </w:rPr>
        <w:t xml:space="preserve">, שם באור מס' 9 - זכאים ויתרות זכות. </w:t>
      </w:r>
    </w:p>
  </w:footnote>
  <w:footnote w:id="104">
    <w:p w14:paraId="122B41D7" w14:textId="77777777" w:rsidR="00C857F9" w:rsidRDefault="00C857F9" w:rsidP="008050AB">
      <w:pPr>
        <w:pStyle w:val="a7"/>
        <w:rPr>
          <w:rtl/>
        </w:rPr>
      </w:pPr>
      <w:r w:rsidRPr="008050AB">
        <w:footnoteRef/>
      </w:r>
      <w:r w:rsidRPr="008050AB">
        <w:rPr>
          <w:rtl/>
        </w:rPr>
        <w:t xml:space="preserve"> </w:t>
      </w:r>
      <w:r w:rsidRPr="008050AB">
        <w:rPr>
          <w:rtl/>
        </w:rPr>
        <w:tab/>
      </w:r>
      <w:r w:rsidRPr="008050AB">
        <w:rPr>
          <w:rFonts w:hint="cs"/>
          <w:rtl/>
        </w:rPr>
        <w:t>לשכת</w:t>
      </w:r>
      <w:r>
        <w:rPr>
          <w:rFonts w:hint="cs"/>
          <w:rtl/>
        </w:rPr>
        <w:t xml:space="preserve"> רואי חשבון בישראל, </w:t>
      </w:r>
      <w:r w:rsidRPr="000E20B9">
        <w:rPr>
          <w:rFonts w:hint="cs"/>
          <w:b/>
          <w:bCs/>
          <w:rtl/>
        </w:rPr>
        <w:t>תקן ביקורת (ישראל) 570</w:t>
      </w:r>
      <w:r>
        <w:rPr>
          <w:rFonts w:hint="cs"/>
          <w:rtl/>
        </w:rPr>
        <w:t xml:space="preserve">. </w:t>
      </w:r>
    </w:p>
  </w:footnote>
  <w:footnote w:id="105">
    <w:p w14:paraId="20899D57" w14:textId="77777777" w:rsidR="00C857F9" w:rsidRDefault="00C857F9" w:rsidP="008050AB">
      <w:pPr>
        <w:pStyle w:val="a7"/>
      </w:pPr>
      <w:r w:rsidRPr="00B05E03">
        <w:footnoteRef/>
      </w:r>
      <w:r w:rsidRPr="00B05E03">
        <w:rPr>
          <w:rtl/>
        </w:rPr>
        <w:t xml:space="preserve"> </w:t>
      </w:r>
      <w:r w:rsidRPr="00B05E03">
        <w:rPr>
          <w:rtl/>
        </w:rPr>
        <w:tab/>
      </w:r>
      <w:r w:rsidRPr="00B05E03">
        <w:rPr>
          <w:rFonts w:hint="cs"/>
          <w:rtl/>
        </w:rPr>
        <w:t>לפי חוק חדלות פירעון ושיקום כלכלי, התשע"ח-2018, חדלות פירעון היא מצב כלכלי שבו חייב (יחיד או תאגיד) אינו</w:t>
      </w:r>
      <w:r w:rsidRPr="008050AB">
        <w:rPr>
          <w:rFonts w:hint="cs"/>
          <w:rtl/>
        </w:rPr>
        <w:t xml:space="preserve"> יכול לשלם את חובותיו במועדם, בין אם הגיע מועד פירעונם ובין אם לאו, או שהתחייבויותיו עולות </w:t>
      </w:r>
      <w:r>
        <w:rPr>
          <w:rFonts w:hint="cs"/>
          <w:rtl/>
        </w:rPr>
        <w:t xml:space="preserve">על ערך נכסיו. </w:t>
      </w:r>
    </w:p>
  </w:footnote>
  <w:footnote w:id="106">
    <w:p w14:paraId="5A65C9FA" w14:textId="77777777" w:rsidR="00C857F9" w:rsidRDefault="00C857F9" w:rsidP="00B05E03">
      <w:pPr>
        <w:pStyle w:val="a7"/>
        <w:rPr>
          <w:rtl/>
        </w:rPr>
      </w:pPr>
      <w:r w:rsidRPr="00B05E03">
        <w:footnoteRef/>
      </w:r>
      <w:r w:rsidRPr="00B05E03">
        <w:rPr>
          <w:rtl/>
        </w:rPr>
        <w:t xml:space="preserve"> </w:t>
      </w:r>
      <w:r w:rsidRPr="00B05E03">
        <w:rPr>
          <w:rtl/>
        </w:rPr>
        <w:tab/>
      </w:r>
      <w:r w:rsidRPr="00B05E03">
        <w:rPr>
          <w:rFonts w:hint="cs"/>
          <w:rtl/>
        </w:rPr>
        <w:t>צ"ו 29935-06-19</w:t>
      </w:r>
      <w:r>
        <w:rPr>
          <w:rFonts w:hint="cs"/>
          <w:rtl/>
        </w:rPr>
        <w:t xml:space="preserve"> </w:t>
      </w:r>
      <w:r w:rsidRPr="00634816">
        <w:rPr>
          <w:rFonts w:hint="eastAsia"/>
          <w:b/>
          <w:bCs/>
          <w:rtl/>
        </w:rPr>
        <w:t>עו</w:t>
      </w:r>
      <w:r w:rsidRPr="00634816">
        <w:rPr>
          <w:b/>
          <w:bCs/>
          <w:rtl/>
        </w:rPr>
        <w:t xml:space="preserve">"ד אייל </w:t>
      </w:r>
      <w:r w:rsidRPr="00634816">
        <w:rPr>
          <w:rFonts w:hint="eastAsia"/>
          <w:b/>
          <w:bCs/>
          <w:rtl/>
        </w:rPr>
        <w:t>ננר</w:t>
      </w:r>
      <w:r w:rsidRPr="00634816">
        <w:rPr>
          <w:b/>
          <w:bCs/>
          <w:rtl/>
        </w:rPr>
        <w:t xml:space="preserve"> ואח' נ' החברה הכלכלית של לשכת עורכי הדין ואח'</w:t>
      </w:r>
      <w:r>
        <w:rPr>
          <w:rFonts w:hint="cs"/>
          <w:rtl/>
        </w:rPr>
        <w:t>.</w:t>
      </w:r>
    </w:p>
  </w:footnote>
  <w:footnote w:id="107">
    <w:p w14:paraId="0E025E94" w14:textId="77777777" w:rsidR="00C857F9" w:rsidRDefault="00C857F9" w:rsidP="00B05E03">
      <w:pPr>
        <w:pStyle w:val="a7"/>
      </w:pPr>
      <w:r w:rsidRPr="00B05E03">
        <w:footnoteRef/>
      </w:r>
      <w:r w:rsidRPr="00B05E03">
        <w:rPr>
          <w:rtl/>
        </w:rPr>
        <w:t xml:space="preserve"> </w:t>
      </w:r>
      <w:r w:rsidRPr="00B05E03">
        <w:rPr>
          <w:rtl/>
        </w:rPr>
        <w:tab/>
      </w:r>
      <w:r w:rsidRPr="00B05E03">
        <w:rPr>
          <w:rFonts w:hint="cs"/>
          <w:rtl/>
        </w:rPr>
        <w:t>פרוטוקול</w:t>
      </w:r>
      <w:r>
        <w:rPr>
          <w:rFonts w:hint="cs"/>
          <w:rtl/>
        </w:rPr>
        <w:t xml:space="preserve"> הוועד המרכזי מ-31.5.16.</w:t>
      </w:r>
    </w:p>
  </w:footnote>
  <w:footnote w:id="108">
    <w:p w14:paraId="0BF316AE" w14:textId="77777777" w:rsidR="00C857F9" w:rsidRDefault="00C857F9" w:rsidP="00D54E4B">
      <w:pPr>
        <w:pStyle w:val="a7"/>
        <w:rPr>
          <w:rtl/>
        </w:rPr>
      </w:pPr>
      <w:r w:rsidRPr="00D54E4B">
        <w:footnoteRef/>
      </w:r>
      <w:r w:rsidRPr="00D54E4B">
        <w:rPr>
          <w:rtl/>
        </w:rPr>
        <w:t xml:space="preserve"> </w:t>
      </w:r>
      <w:r w:rsidRPr="00D54E4B">
        <w:rPr>
          <w:rtl/>
        </w:rPr>
        <w:tab/>
      </w:r>
      <w:r w:rsidRPr="00D54E4B">
        <w:rPr>
          <w:rFonts w:hint="cs"/>
          <w:rtl/>
        </w:rPr>
        <w:t>ראו</w:t>
      </w:r>
      <w:r w:rsidRPr="00427D11">
        <w:rPr>
          <w:rFonts w:hint="cs"/>
          <w:rtl/>
        </w:rPr>
        <w:t xml:space="preserve"> הערה</w:t>
      </w:r>
      <w:r>
        <w:rPr>
          <w:rFonts w:hint="cs"/>
          <w:rtl/>
        </w:rPr>
        <w:t xml:space="preserve"> 106.</w:t>
      </w:r>
    </w:p>
  </w:footnote>
  <w:footnote w:id="109">
    <w:p w14:paraId="07B9CC8F" w14:textId="77777777" w:rsidR="00C857F9" w:rsidRDefault="00C857F9" w:rsidP="009A4788">
      <w:pPr>
        <w:pStyle w:val="a7"/>
        <w:rPr>
          <w:rtl/>
        </w:rPr>
      </w:pPr>
      <w:r w:rsidRPr="009A4788">
        <w:footnoteRef/>
      </w:r>
      <w:r w:rsidRPr="009A4788">
        <w:rPr>
          <w:rtl/>
        </w:rPr>
        <w:t xml:space="preserve"> </w:t>
      </w:r>
      <w:r w:rsidRPr="009A4788">
        <w:rPr>
          <w:rtl/>
        </w:rPr>
        <w:tab/>
      </w:r>
      <w:r w:rsidRPr="009A4788">
        <w:rPr>
          <w:rFonts w:hint="cs"/>
          <w:rtl/>
        </w:rPr>
        <w:t>תוכנית</w:t>
      </w:r>
      <w:r>
        <w:rPr>
          <w:rFonts w:hint="cs"/>
          <w:rtl/>
        </w:rPr>
        <w:t xml:space="preserve"> העבודה אושרה על ידי דירקטוריון החברה בדצמבר 2019. </w:t>
      </w:r>
    </w:p>
  </w:footnote>
  <w:footnote w:id="110">
    <w:p w14:paraId="7DE93807" w14:textId="77777777" w:rsidR="00C857F9" w:rsidRPr="009A4788" w:rsidRDefault="00C857F9" w:rsidP="009A4788">
      <w:pPr>
        <w:pStyle w:val="a7"/>
        <w:rPr>
          <w:rtl/>
        </w:rPr>
      </w:pPr>
      <w:r w:rsidRPr="009A4788">
        <w:rPr>
          <w:rStyle w:val="FootnoteReference"/>
          <w:vertAlign w:val="baseline"/>
        </w:rPr>
        <w:footnoteRef/>
      </w:r>
      <w:r w:rsidRPr="009A4788">
        <w:rPr>
          <w:rtl/>
        </w:rPr>
        <w:t xml:space="preserve"> </w:t>
      </w:r>
      <w:r w:rsidRPr="009A4788">
        <w:rPr>
          <w:rtl/>
        </w:rPr>
        <w:tab/>
      </w:r>
      <w:r w:rsidRPr="009A4788">
        <w:rPr>
          <w:rFonts w:hint="cs"/>
          <w:rtl/>
        </w:rPr>
        <w:t>פרוטוקול דירקטוריון החברה מ-14.4.18; פרוטוקול דירקטוריון החברה מ-17.5.18; פרוטוקול הוועד המרכזי מ-18.12.18.</w:t>
      </w:r>
    </w:p>
  </w:footnote>
  <w:footnote w:id="111">
    <w:p w14:paraId="77175994" w14:textId="77777777" w:rsidR="00C857F9" w:rsidRPr="009A4788" w:rsidRDefault="00C857F9" w:rsidP="009A4788">
      <w:pPr>
        <w:pStyle w:val="a7"/>
      </w:pPr>
      <w:r w:rsidRPr="009A4788">
        <w:rPr>
          <w:rStyle w:val="FootnoteReference"/>
          <w:vertAlign w:val="baseline"/>
        </w:rPr>
        <w:footnoteRef/>
      </w:r>
      <w:r w:rsidRPr="009A4788">
        <w:rPr>
          <w:rtl/>
        </w:rPr>
        <w:t xml:space="preserve"> </w:t>
      </w:r>
      <w:r w:rsidRPr="009A4788">
        <w:rPr>
          <w:rtl/>
        </w:rPr>
        <w:tab/>
      </w:r>
      <w:r w:rsidRPr="009A4788">
        <w:rPr>
          <w:rFonts w:hint="cs"/>
          <w:rtl/>
        </w:rPr>
        <w:t>פרוטוקול הועד המרכזי מ-11.2.19.</w:t>
      </w:r>
    </w:p>
  </w:footnote>
  <w:footnote w:id="112">
    <w:p w14:paraId="55D4787A" w14:textId="77777777" w:rsidR="00C857F9" w:rsidRPr="009A4788" w:rsidRDefault="00C857F9" w:rsidP="009A4788">
      <w:pPr>
        <w:pStyle w:val="a7"/>
        <w:rPr>
          <w:rtl/>
        </w:rPr>
      </w:pPr>
      <w:r w:rsidRPr="009A4788">
        <w:rPr>
          <w:rStyle w:val="FootnoteReference"/>
          <w:vertAlign w:val="baseline"/>
        </w:rPr>
        <w:footnoteRef/>
      </w:r>
      <w:r w:rsidRPr="009A4788">
        <w:rPr>
          <w:rtl/>
        </w:rPr>
        <w:t xml:space="preserve"> </w:t>
      </w:r>
      <w:r w:rsidRPr="009A4788">
        <w:rPr>
          <w:rtl/>
        </w:rPr>
        <w:tab/>
      </w:r>
      <w:r w:rsidRPr="009A4788">
        <w:rPr>
          <w:rFonts w:hint="cs"/>
          <w:rtl/>
        </w:rPr>
        <w:t>אירית חביב - סגל, דיני חברות, אפריל 2007, בעמוד 32.</w:t>
      </w:r>
    </w:p>
  </w:footnote>
  <w:footnote w:id="113">
    <w:p w14:paraId="531EC7F2" w14:textId="77777777" w:rsidR="00C857F9" w:rsidRDefault="00C857F9" w:rsidP="009A4788">
      <w:pPr>
        <w:pStyle w:val="a7"/>
        <w:rPr>
          <w:rtl/>
        </w:rPr>
      </w:pPr>
      <w:r w:rsidRPr="009A4788">
        <w:rPr>
          <w:rStyle w:val="FootnoteReference"/>
          <w:vertAlign w:val="baseline"/>
        </w:rPr>
        <w:footnoteRef/>
      </w:r>
      <w:r w:rsidRPr="009A4788">
        <w:rPr>
          <w:rtl/>
        </w:rPr>
        <w:t xml:space="preserve"> </w:t>
      </w:r>
      <w:r w:rsidRPr="009A4788">
        <w:rPr>
          <w:rtl/>
        </w:rPr>
        <w:tab/>
      </w:r>
      <w:r w:rsidRPr="009A4788">
        <w:rPr>
          <w:rFonts w:hint="cs"/>
          <w:rtl/>
        </w:rPr>
        <w:t>החברה</w:t>
      </w:r>
      <w:r>
        <w:rPr>
          <w:rFonts w:hint="cs"/>
          <w:rtl/>
        </w:rPr>
        <w:t xml:space="preserve"> הכלכלית של לשכת עורכי הדין בע"מ, </w:t>
      </w:r>
      <w:r w:rsidRPr="00BD39E5">
        <w:rPr>
          <w:rFonts w:hint="cs"/>
          <w:b/>
          <w:bCs/>
          <w:rtl/>
        </w:rPr>
        <w:t>סדרי עבודת וועדות הדירקטוריון</w:t>
      </w:r>
      <w:r>
        <w:rPr>
          <w:rFonts w:hint="cs"/>
          <w:b/>
          <w:bCs/>
          <w:rtl/>
        </w:rPr>
        <w:t xml:space="preserve"> (</w:t>
      </w:r>
      <w:r w:rsidRPr="00F15906">
        <w:rPr>
          <w:rFonts w:hint="eastAsia"/>
          <w:rtl/>
        </w:rPr>
        <w:t>טיוטת</w:t>
      </w:r>
      <w:r w:rsidRPr="00F15906">
        <w:rPr>
          <w:rtl/>
        </w:rPr>
        <w:t xml:space="preserve"> </w:t>
      </w:r>
      <w:r w:rsidRPr="00F15906">
        <w:rPr>
          <w:rFonts w:hint="eastAsia"/>
          <w:rtl/>
        </w:rPr>
        <w:t>נוהל</w:t>
      </w:r>
      <w:r>
        <w:rPr>
          <w:rFonts w:hint="cs"/>
          <w:rtl/>
        </w:rPr>
        <w:t>)</w:t>
      </w:r>
      <w:r w:rsidRPr="004D3941">
        <w:rPr>
          <w:rFonts w:hint="cs"/>
          <w:rtl/>
        </w:rPr>
        <w:t>.</w:t>
      </w:r>
      <w:r>
        <w:rPr>
          <w:rFonts w:hint="cs"/>
          <w:rtl/>
        </w:rPr>
        <w:t xml:space="preserve"> </w:t>
      </w:r>
    </w:p>
  </w:footnote>
  <w:footnote w:id="114">
    <w:p w14:paraId="5EE970C5" w14:textId="77777777" w:rsidR="00C857F9" w:rsidRDefault="00C857F9" w:rsidP="00B001C6">
      <w:pPr>
        <w:pStyle w:val="a7"/>
      </w:pPr>
      <w:r w:rsidRPr="00B001C6">
        <w:footnoteRef/>
      </w:r>
      <w:r w:rsidRPr="00B001C6">
        <w:rPr>
          <w:rtl/>
        </w:rPr>
        <w:t xml:space="preserve"> </w:t>
      </w:r>
      <w:r w:rsidRPr="00B001C6">
        <w:rPr>
          <w:rtl/>
        </w:rPr>
        <w:tab/>
      </w:r>
      <w:r w:rsidRPr="00B001C6">
        <w:rPr>
          <w:rFonts w:hint="cs"/>
          <w:rtl/>
        </w:rPr>
        <w:t>פרוטוקול</w:t>
      </w:r>
      <w:r>
        <w:rPr>
          <w:rFonts w:hint="cs"/>
          <w:rtl/>
        </w:rPr>
        <w:t xml:space="preserve"> מ-17.5.18 שם. </w:t>
      </w:r>
    </w:p>
  </w:footnote>
  <w:footnote w:id="115">
    <w:p w14:paraId="3C9817F3" w14:textId="77777777" w:rsidR="00C857F9" w:rsidRDefault="00C857F9" w:rsidP="00C94857">
      <w:pPr>
        <w:pStyle w:val="a7"/>
      </w:pPr>
      <w:r w:rsidRPr="00C94857">
        <w:footnoteRef/>
      </w:r>
      <w:r w:rsidRPr="00C94857">
        <w:rPr>
          <w:rtl/>
        </w:rPr>
        <w:t xml:space="preserve"> </w:t>
      </w:r>
      <w:r w:rsidRPr="00C94857">
        <w:rPr>
          <w:rtl/>
        </w:rPr>
        <w:tab/>
      </w:r>
      <w:r w:rsidRPr="00C94857">
        <w:rPr>
          <w:rFonts w:hint="cs"/>
          <w:rtl/>
        </w:rPr>
        <w:t>יוסף גרוס</w:t>
      </w:r>
      <w:r>
        <w:rPr>
          <w:rFonts w:hint="cs"/>
          <w:b/>
          <w:bCs/>
          <w:rtl/>
        </w:rPr>
        <w:t xml:space="preserve">, </w:t>
      </w:r>
      <w:r w:rsidRPr="00003B20">
        <w:rPr>
          <w:rFonts w:hint="cs"/>
          <w:b/>
          <w:bCs/>
          <w:rtl/>
        </w:rPr>
        <w:t>דירקטורים ונושאי משרה בעידן הממשל התאגידי</w:t>
      </w:r>
      <w:r>
        <w:rPr>
          <w:rFonts w:hint="cs"/>
          <w:rtl/>
        </w:rPr>
        <w:t xml:space="preserve">, (מהדורה 5 - 2018), עמודים 229 - 231.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F310" w14:textId="187221F1" w:rsidR="00C857F9" w:rsidRDefault="00C857F9"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4D4D38B" wp14:editId="13C44561">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857F9" w:rsidRPr="00D15500" w:rsidRDefault="00C857F9"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857F9" w:rsidRPr="005B4811" w:rsidRDefault="00C857F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C857F9" w:rsidRPr="005B4811" w:rsidRDefault="00C857F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857F9" w:rsidRPr="005B4811" w:rsidRDefault="00C857F9"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C857F9" w:rsidRPr="005B4811" w:rsidRDefault="00C857F9"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098CAE40"/>
    <w:lvl w:ilvl="0">
      <w:start w:val="1"/>
      <w:numFmt w:val="decimal"/>
      <w:pStyle w:val="a"/>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97047C4"/>
    <w:multiLevelType w:val="multilevel"/>
    <w:tmpl w:val="045474B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1E6B1991"/>
    <w:multiLevelType w:val="multilevel"/>
    <w:tmpl w:val="C13474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29253A5E"/>
    <w:multiLevelType w:val="multilevel"/>
    <w:tmpl w:val="BEB6C5F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2A0957E2"/>
    <w:multiLevelType w:val="multilevel"/>
    <w:tmpl w:val="43184C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3BC1088C"/>
    <w:multiLevelType w:val="multilevel"/>
    <w:tmpl w:val="2F88CD22"/>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2467"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6DB6403D"/>
    <w:multiLevelType w:val="multilevel"/>
    <w:tmpl w:val="2A1A7746"/>
    <w:lvl w:ilvl="0">
      <w:start w:val="1"/>
      <w:numFmt w:val="decimal"/>
      <w:lvlRestart w:val="0"/>
      <w:lvlText w:val="%1."/>
      <w:lvlJc w:val="left"/>
      <w:pPr>
        <w:ind w:left="340" w:hanging="340"/>
      </w:pPr>
      <w:rPr>
        <w:rFonts w:hint="default"/>
        <w:b w:val="0"/>
        <w:bCs w:val="0"/>
      </w:rPr>
    </w:lvl>
    <w:lvl w:ilvl="1">
      <w:start w:val="5"/>
      <w:numFmt w:val="decimal"/>
      <w:pStyle w:val="a3"/>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71CA108F"/>
    <w:multiLevelType w:val="multilevel"/>
    <w:tmpl w:val="389624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764A3DED"/>
    <w:multiLevelType w:val="hybridMultilevel"/>
    <w:tmpl w:val="1D70CE66"/>
    <w:lvl w:ilvl="0" w:tplc="F4B0BEAC">
      <w:start w:val="1"/>
      <w:numFmt w:val="decimal"/>
      <w:lvlText w:val="%1."/>
      <w:lvlJc w:val="left"/>
      <w:pPr>
        <w:ind w:left="720" w:hanging="360"/>
      </w:pPr>
      <w:rPr>
        <w:rFonts w:eastAsiaTheme="majorEastAsia" w:hint="default"/>
        <w:b w:val="0"/>
        <w:bCs w:val="0"/>
      </w:rPr>
    </w:lvl>
    <w:lvl w:ilvl="1" w:tplc="4710B1BE" w:tentative="1">
      <w:start w:val="1"/>
      <w:numFmt w:val="lowerLetter"/>
      <w:lvlText w:val="%2."/>
      <w:lvlJc w:val="left"/>
      <w:pPr>
        <w:ind w:left="1440" w:hanging="360"/>
      </w:pPr>
    </w:lvl>
    <w:lvl w:ilvl="2" w:tplc="75606118" w:tentative="1">
      <w:start w:val="1"/>
      <w:numFmt w:val="lowerRoman"/>
      <w:lvlText w:val="%3."/>
      <w:lvlJc w:val="right"/>
      <w:pPr>
        <w:ind w:left="2160" w:hanging="180"/>
      </w:pPr>
    </w:lvl>
    <w:lvl w:ilvl="3" w:tplc="70C0F72E" w:tentative="1">
      <w:start w:val="1"/>
      <w:numFmt w:val="decimal"/>
      <w:lvlText w:val="%4."/>
      <w:lvlJc w:val="left"/>
      <w:pPr>
        <w:ind w:left="2880" w:hanging="360"/>
      </w:pPr>
    </w:lvl>
    <w:lvl w:ilvl="4" w:tplc="38601552" w:tentative="1">
      <w:start w:val="1"/>
      <w:numFmt w:val="lowerLetter"/>
      <w:lvlText w:val="%5."/>
      <w:lvlJc w:val="left"/>
      <w:pPr>
        <w:ind w:left="3600" w:hanging="360"/>
      </w:pPr>
    </w:lvl>
    <w:lvl w:ilvl="5" w:tplc="65107332" w:tentative="1">
      <w:start w:val="1"/>
      <w:numFmt w:val="lowerRoman"/>
      <w:lvlText w:val="%6."/>
      <w:lvlJc w:val="right"/>
      <w:pPr>
        <w:ind w:left="4320" w:hanging="180"/>
      </w:pPr>
    </w:lvl>
    <w:lvl w:ilvl="6" w:tplc="CF00AA78" w:tentative="1">
      <w:start w:val="1"/>
      <w:numFmt w:val="decimal"/>
      <w:lvlText w:val="%7."/>
      <w:lvlJc w:val="left"/>
      <w:pPr>
        <w:ind w:left="5040" w:hanging="360"/>
      </w:pPr>
    </w:lvl>
    <w:lvl w:ilvl="7" w:tplc="4436337E" w:tentative="1">
      <w:start w:val="1"/>
      <w:numFmt w:val="lowerLetter"/>
      <w:lvlText w:val="%8."/>
      <w:lvlJc w:val="left"/>
      <w:pPr>
        <w:ind w:left="5760" w:hanging="360"/>
      </w:pPr>
    </w:lvl>
    <w:lvl w:ilvl="8" w:tplc="B2DACC4A" w:tentative="1">
      <w:start w:val="1"/>
      <w:numFmt w:val="lowerRoman"/>
      <w:lvlText w:val="%9."/>
      <w:lvlJc w:val="right"/>
      <w:pPr>
        <w:ind w:left="6480" w:hanging="180"/>
      </w:pPr>
    </w:lvl>
  </w:abstractNum>
  <w:abstractNum w:abstractNumId="13" w15:restartNumberingAfterBreak="0">
    <w:nsid w:val="7D365B29"/>
    <w:multiLevelType w:val="multilevel"/>
    <w:tmpl w:val="1CE4B20E"/>
    <w:lvl w:ilvl="0">
      <w:start w:val="1"/>
      <w:numFmt w:val="hebrew1"/>
      <w:pStyle w:val="a4"/>
      <w:lvlText w:val="%1."/>
      <w:lvlJc w:val="left"/>
      <w:pPr>
        <w:ind w:left="663" w:hanging="340"/>
      </w:pPr>
      <w:rPr>
        <w:rFonts w:ascii="Tahoma" w:eastAsiaTheme="minorHAnsi" w:hAnsi="Tahoma" w:cs="Tahoma" w:hint="default"/>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
  </w:num>
  <w:num w:numId="2">
    <w:abstractNumId w:val="8"/>
  </w:num>
  <w:num w:numId="3">
    <w:abstractNumId w:val="10"/>
  </w:num>
  <w:num w:numId="4">
    <w:abstractNumId w:val="9"/>
  </w:num>
  <w:num w:numId="5">
    <w:abstractNumId w:val="6"/>
  </w:num>
  <w:num w:numId="6">
    <w:abstractNumId w:val="7"/>
  </w:num>
  <w:num w:numId="7">
    <w:abstractNumId w:val="12"/>
  </w:num>
  <w:num w:numId="8">
    <w:abstractNumId w:val="4"/>
  </w:num>
  <w:num w:numId="9">
    <w:abstractNumId w:val="1"/>
  </w:num>
  <w:num w:numId="10">
    <w:abstractNumId w:val="13"/>
  </w:num>
  <w:num w:numId="11">
    <w:abstractNumId w:val="5"/>
  </w:num>
  <w:num w:numId="12">
    <w:abstractNumId w:val="11"/>
  </w:num>
  <w:num w:numId="13">
    <w:abstractNumId w:val="0"/>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1DF7"/>
    <w:rsid w:val="00012657"/>
    <w:rsid w:val="00013BC3"/>
    <w:rsid w:val="000155F0"/>
    <w:rsid w:val="000157CF"/>
    <w:rsid w:val="00015A22"/>
    <w:rsid w:val="0001735B"/>
    <w:rsid w:val="000206F1"/>
    <w:rsid w:val="00021FFB"/>
    <w:rsid w:val="00024E0C"/>
    <w:rsid w:val="0002582E"/>
    <w:rsid w:val="00026367"/>
    <w:rsid w:val="000264D7"/>
    <w:rsid w:val="00026ACC"/>
    <w:rsid w:val="0002705C"/>
    <w:rsid w:val="000303C9"/>
    <w:rsid w:val="00031C68"/>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931"/>
    <w:rsid w:val="000448BE"/>
    <w:rsid w:val="00045038"/>
    <w:rsid w:val="000456D3"/>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637"/>
    <w:rsid w:val="0006721D"/>
    <w:rsid w:val="000675B0"/>
    <w:rsid w:val="00067F12"/>
    <w:rsid w:val="000710A8"/>
    <w:rsid w:val="00072B83"/>
    <w:rsid w:val="00072FE8"/>
    <w:rsid w:val="000736B3"/>
    <w:rsid w:val="000738F6"/>
    <w:rsid w:val="0007429C"/>
    <w:rsid w:val="00074F31"/>
    <w:rsid w:val="00076758"/>
    <w:rsid w:val="00076ED7"/>
    <w:rsid w:val="0007717F"/>
    <w:rsid w:val="0007762A"/>
    <w:rsid w:val="00080072"/>
    <w:rsid w:val="00081D0E"/>
    <w:rsid w:val="0008345D"/>
    <w:rsid w:val="00083692"/>
    <w:rsid w:val="00084E3A"/>
    <w:rsid w:val="00085086"/>
    <w:rsid w:val="00085B99"/>
    <w:rsid w:val="00086738"/>
    <w:rsid w:val="00086BCD"/>
    <w:rsid w:val="00091A72"/>
    <w:rsid w:val="00093E30"/>
    <w:rsid w:val="0009432F"/>
    <w:rsid w:val="00094D5D"/>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597C"/>
    <w:rsid w:val="000B6F45"/>
    <w:rsid w:val="000B7912"/>
    <w:rsid w:val="000B7B95"/>
    <w:rsid w:val="000C05CB"/>
    <w:rsid w:val="000C0F17"/>
    <w:rsid w:val="000C164B"/>
    <w:rsid w:val="000C16F6"/>
    <w:rsid w:val="000C2AB9"/>
    <w:rsid w:val="000C404B"/>
    <w:rsid w:val="000C43E0"/>
    <w:rsid w:val="000C50A1"/>
    <w:rsid w:val="000C6AAF"/>
    <w:rsid w:val="000C7459"/>
    <w:rsid w:val="000C7DCA"/>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0E1"/>
    <w:rsid w:val="000E5149"/>
    <w:rsid w:val="000E5834"/>
    <w:rsid w:val="000E7622"/>
    <w:rsid w:val="000F158C"/>
    <w:rsid w:val="000F1DEA"/>
    <w:rsid w:val="000F2408"/>
    <w:rsid w:val="000F3700"/>
    <w:rsid w:val="000F4578"/>
    <w:rsid w:val="000F4B6E"/>
    <w:rsid w:val="000F6F38"/>
    <w:rsid w:val="000F76A8"/>
    <w:rsid w:val="000F7725"/>
    <w:rsid w:val="000F78AE"/>
    <w:rsid w:val="00101681"/>
    <w:rsid w:val="00101BB0"/>
    <w:rsid w:val="00101D0F"/>
    <w:rsid w:val="00105970"/>
    <w:rsid w:val="00107175"/>
    <w:rsid w:val="0010747A"/>
    <w:rsid w:val="00107A35"/>
    <w:rsid w:val="00111F8A"/>
    <w:rsid w:val="00112E28"/>
    <w:rsid w:val="00113C2F"/>
    <w:rsid w:val="00113E28"/>
    <w:rsid w:val="00114325"/>
    <w:rsid w:val="00115432"/>
    <w:rsid w:val="001157CE"/>
    <w:rsid w:val="00115E66"/>
    <w:rsid w:val="001172DF"/>
    <w:rsid w:val="00121EA1"/>
    <w:rsid w:val="0012279D"/>
    <w:rsid w:val="001239A8"/>
    <w:rsid w:val="00124DC1"/>
    <w:rsid w:val="00125628"/>
    <w:rsid w:val="00125881"/>
    <w:rsid w:val="00134F83"/>
    <w:rsid w:val="001354CB"/>
    <w:rsid w:val="00135695"/>
    <w:rsid w:val="00135742"/>
    <w:rsid w:val="00135A23"/>
    <w:rsid w:val="00136479"/>
    <w:rsid w:val="00136496"/>
    <w:rsid w:val="0013664A"/>
    <w:rsid w:val="0013667B"/>
    <w:rsid w:val="00136A10"/>
    <w:rsid w:val="0013702C"/>
    <w:rsid w:val="00137337"/>
    <w:rsid w:val="00137FF0"/>
    <w:rsid w:val="00140CC4"/>
    <w:rsid w:val="00141BD6"/>
    <w:rsid w:val="00142206"/>
    <w:rsid w:val="00143176"/>
    <w:rsid w:val="00143FFA"/>
    <w:rsid w:val="00144908"/>
    <w:rsid w:val="001451A4"/>
    <w:rsid w:val="001460BB"/>
    <w:rsid w:val="0014715B"/>
    <w:rsid w:val="00150A48"/>
    <w:rsid w:val="00150BE4"/>
    <w:rsid w:val="00150BE7"/>
    <w:rsid w:val="00150BEB"/>
    <w:rsid w:val="00150CC9"/>
    <w:rsid w:val="00150F89"/>
    <w:rsid w:val="00152C2F"/>
    <w:rsid w:val="00153149"/>
    <w:rsid w:val="00153A60"/>
    <w:rsid w:val="00154091"/>
    <w:rsid w:val="00154682"/>
    <w:rsid w:val="00154827"/>
    <w:rsid w:val="00155501"/>
    <w:rsid w:val="00156CAA"/>
    <w:rsid w:val="0015702B"/>
    <w:rsid w:val="00157577"/>
    <w:rsid w:val="00157D86"/>
    <w:rsid w:val="00160155"/>
    <w:rsid w:val="0016031C"/>
    <w:rsid w:val="00161124"/>
    <w:rsid w:val="001637C1"/>
    <w:rsid w:val="001643E4"/>
    <w:rsid w:val="00164534"/>
    <w:rsid w:val="00164B64"/>
    <w:rsid w:val="00164C99"/>
    <w:rsid w:val="00166477"/>
    <w:rsid w:val="00166D27"/>
    <w:rsid w:val="00170230"/>
    <w:rsid w:val="00170320"/>
    <w:rsid w:val="00170625"/>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B85"/>
    <w:rsid w:val="0018758B"/>
    <w:rsid w:val="0019015A"/>
    <w:rsid w:val="00190F93"/>
    <w:rsid w:val="00191FF6"/>
    <w:rsid w:val="00192F16"/>
    <w:rsid w:val="00193071"/>
    <w:rsid w:val="0019399F"/>
    <w:rsid w:val="00194286"/>
    <w:rsid w:val="00195BC7"/>
    <w:rsid w:val="00195EBA"/>
    <w:rsid w:val="001960B4"/>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5A02"/>
    <w:rsid w:val="001C72B2"/>
    <w:rsid w:val="001D1192"/>
    <w:rsid w:val="001D223A"/>
    <w:rsid w:val="001D2793"/>
    <w:rsid w:val="001D2F2A"/>
    <w:rsid w:val="001D3679"/>
    <w:rsid w:val="001D3CC2"/>
    <w:rsid w:val="001D461F"/>
    <w:rsid w:val="001D713E"/>
    <w:rsid w:val="001D77E6"/>
    <w:rsid w:val="001E0D0D"/>
    <w:rsid w:val="001E19B2"/>
    <w:rsid w:val="001E1C40"/>
    <w:rsid w:val="001E1EC3"/>
    <w:rsid w:val="001E1FB9"/>
    <w:rsid w:val="001E1FD1"/>
    <w:rsid w:val="001E23E2"/>
    <w:rsid w:val="001E3778"/>
    <w:rsid w:val="001E3F7F"/>
    <w:rsid w:val="001E475C"/>
    <w:rsid w:val="001E59BD"/>
    <w:rsid w:val="001E641F"/>
    <w:rsid w:val="001E773D"/>
    <w:rsid w:val="001F068F"/>
    <w:rsid w:val="001F407D"/>
    <w:rsid w:val="001F6AE0"/>
    <w:rsid w:val="001F6B1F"/>
    <w:rsid w:val="001F6BA7"/>
    <w:rsid w:val="00200434"/>
    <w:rsid w:val="00200E5B"/>
    <w:rsid w:val="00202068"/>
    <w:rsid w:val="00202F8B"/>
    <w:rsid w:val="00203277"/>
    <w:rsid w:val="00203604"/>
    <w:rsid w:val="002064F7"/>
    <w:rsid w:val="00206BDB"/>
    <w:rsid w:val="0021058F"/>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16DF"/>
    <w:rsid w:val="00255877"/>
    <w:rsid w:val="0025701A"/>
    <w:rsid w:val="00260BF5"/>
    <w:rsid w:val="00260D04"/>
    <w:rsid w:val="0026130F"/>
    <w:rsid w:val="00261C84"/>
    <w:rsid w:val="00263521"/>
    <w:rsid w:val="0027101D"/>
    <w:rsid w:val="0027121E"/>
    <w:rsid w:val="0027188F"/>
    <w:rsid w:val="002739B2"/>
    <w:rsid w:val="00275A79"/>
    <w:rsid w:val="002813A0"/>
    <w:rsid w:val="002841CB"/>
    <w:rsid w:val="00284ABA"/>
    <w:rsid w:val="0028686C"/>
    <w:rsid w:val="0028694C"/>
    <w:rsid w:val="0029009B"/>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7EB"/>
    <w:rsid w:val="002A598C"/>
    <w:rsid w:val="002A6418"/>
    <w:rsid w:val="002A64F8"/>
    <w:rsid w:val="002A68DE"/>
    <w:rsid w:val="002A6918"/>
    <w:rsid w:val="002A6A8F"/>
    <w:rsid w:val="002A6B3B"/>
    <w:rsid w:val="002A7D21"/>
    <w:rsid w:val="002B10E8"/>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161"/>
    <w:rsid w:val="002D65CF"/>
    <w:rsid w:val="002D6964"/>
    <w:rsid w:val="002D69A4"/>
    <w:rsid w:val="002D6DBD"/>
    <w:rsid w:val="002E01CC"/>
    <w:rsid w:val="002E188D"/>
    <w:rsid w:val="002E1E1F"/>
    <w:rsid w:val="002E24BB"/>
    <w:rsid w:val="002E2DB0"/>
    <w:rsid w:val="002E3AA6"/>
    <w:rsid w:val="002E424B"/>
    <w:rsid w:val="002E4818"/>
    <w:rsid w:val="002E5757"/>
    <w:rsid w:val="002E6B3E"/>
    <w:rsid w:val="002E707E"/>
    <w:rsid w:val="002E70B8"/>
    <w:rsid w:val="002F06E7"/>
    <w:rsid w:val="002F11D2"/>
    <w:rsid w:val="002F1610"/>
    <w:rsid w:val="002F2019"/>
    <w:rsid w:val="002F24F0"/>
    <w:rsid w:val="002F29CA"/>
    <w:rsid w:val="002F3162"/>
    <w:rsid w:val="002F42B0"/>
    <w:rsid w:val="002F5163"/>
    <w:rsid w:val="002F5A80"/>
    <w:rsid w:val="002F5B51"/>
    <w:rsid w:val="002F6FA5"/>
    <w:rsid w:val="002F724D"/>
    <w:rsid w:val="002F7C75"/>
    <w:rsid w:val="0030043A"/>
    <w:rsid w:val="0030114C"/>
    <w:rsid w:val="00301153"/>
    <w:rsid w:val="003020D6"/>
    <w:rsid w:val="00302DC7"/>
    <w:rsid w:val="0030338B"/>
    <w:rsid w:val="00304E57"/>
    <w:rsid w:val="003050D0"/>
    <w:rsid w:val="0030516B"/>
    <w:rsid w:val="003067B1"/>
    <w:rsid w:val="00307A51"/>
    <w:rsid w:val="003108E3"/>
    <w:rsid w:val="00311190"/>
    <w:rsid w:val="0031135A"/>
    <w:rsid w:val="00313D58"/>
    <w:rsid w:val="00313EEC"/>
    <w:rsid w:val="00315624"/>
    <w:rsid w:val="00315BD6"/>
    <w:rsid w:val="00315D7F"/>
    <w:rsid w:val="00315FF2"/>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2765C"/>
    <w:rsid w:val="00332F33"/>
    <w:rsid w:val="00334A65"/>
    <w:rsid w:val="00334D20"/>
    <w:rsid w:val="0033564C"/>
    <w:rsid w:val="003356A2"/>
    <w:rsid w:val="00335A0A"/>
    <w:rsid w:val="00337048"/>
    <w:rsid w:val="003370BA"/>
    <w:rsid w:val="00337846"/>
    <w:rsid w:val="0034038A"/>
    <w:rsid w:val="003405E7"/>
    <w:rsid w:val="00340C7C"/>
    <w:rsid w:val="0034149F"/>
    <w:rsid w:val="00345868"/>
    <w:rsid w:val="0034637E"/>
    <w:rsid w:val="00346930"/>
    <w:rsid w:val="00347612"/>
    <w:rsid w:val="003513C7"/>
    <w:rsid w:val="0035145F"/>
    <w:rsid w:val="00351F4E"/>
    <w:rsid w:val="003527A3"/>
    <w:rsid w:val="00355453"/>
    <w:rsid w:val="003559A1"/>
    <w:rsid w:val="00355B59"/>
    <w:rsid w:val="00356540"/>
    <w:rsid w:val="00356926"/>
    <w:rsid w:val="00356C79"/>
    <w:rsid w:val="003606C0"/>
    <w:rsid w:val="00363344"/>
    <w:rsid w:val="003633E1"/>
    <w:rsid w:val="00363FE3"/>
    <w:rsid w:val="003640C2"/>
    <w:rsid w:val="00364581"/>
    <w:rsid w:val="0036568B"/>
    <w:rsid w:val="00365C9E"/>
    <w:rsid w:val="00365D63"/>
    <w:rsid w:val="00365DC9"/>
    <w:rsid w:val="00365DE2"/>
    <w:rsid w:val="0036639F"/>
    <w:rsid w:val="003675CC"/>
    <w:rsid w:val="00371181"/>
    <w:rsid w:val="0037128C"/>
    <w:rsid w:val="00371316"/>
    <w:rsid w:val="00372476"/>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987"/>
    <w:rsid w:val="003907CF"/>
    <w:rsid w:val="00390832"/>
    <w:rsid w:val="00391776"/>
    <w:rsid w:val="00391943"/>
    <w:rsid w:val="00391D47"/>
    <w:rsid w:val="003926A8"/>
    <w:rsid w:val="003929A4"/>
    <w:rsid w:val="00392CEC"/>
    <w:rsid w:val="00392E92"/>
    <w:rsid w:val="003941E1"/>
    <w:rsid w:val="0039563E"/>
    <w:rsid w:val="0039592D"/>
    <w:rsid w:val="00396082"/>
    <w:rsid w:val="00396229"/>
    <w:rsid w:val="00396D3F"/>
    <w:rsid w:val="00396EB2"/>
    <w:rsid w:val="003971AD"/>
    <w:rsid w:val="00397234"/>
    <w:rsid w:val="00397C56"/>
    <w:rsid w:val="003A042B"/>
    <w:rsid w:val="003A08AE"/>
    <w:rsid w:val="003A3D05"/>
    <w:rsid w:val="003A613A"/>
    <w:rsid w:val="003A66EF"/>
    <w:rsid w:val="003A769E"/>
    <w:rsid w:val="003B166B"/>
    <w:rsid w:val="003B4CBF"/>
    <w:rsid w:val="003B505F"/>
    <w:rsid w:val="003B5A1E"/>
    <w:rsid w:val="003B5E39"/>
    <w:rsid w:val="003B639B"/>
    <w:rsid w:val="003B71E3"/>
    <w:rsid w:val="003C0A02"/>
    <w:rsid w:val="003C26AC"/>
    <w:rsid w:val="003C2A0B"/>
    <w:rsid w:val="003C2EC6"/>
    <w:rsid w:val="003C3358"/>
    <w:rsid w:val="003C4F30"/>
    <w:rsid w:val="003C5153"/>
    <w:rsid w:val="003C5BB1"/>
    <w:rsid w:val="003C6C20"/>
    <w:rsid w:val="003C7AD3"/>
    <w:rsid w:val="003C7B2D"/>
    <w:rsid w:val="003D0F91"/>
    <w:rsid w:val="003D16F2"/>
    <w:rsid w:val="003D1D5C"/>
    <w:rsid w:val="003D2796"/>
    <w:rsid w:val="003D2AE6"/>
    <w:rsid w:val="003D4194"/>
    <w:rsid w:val="003D43B8"/>
    <w:rsid w:val="003D49C7"/>
    <w:rsid w:val="003D5549"/>
    <w:rsid w:val="003D5B8A"/>
    <w:rsid w:val="003D5CAC"/>
    <w:rsid w:val="003D6CAC"/>
    <w:rsid w:val="003D6FE1"/>
    <w:rsid w:val="003D7383"/>
    <w:rsid w:val="003D7489"/>
    <w:rsid w:val="003E000E"/>
    <w:rsid w:val="003E009E"/>
    <w:rsid w:val="003E0ABC"/>
    <w:rsid w:val="003E364E"/>
    <w:rsid w:val="003E4D5A"/>
    <w:rsid w:val="003E58C2"/>
    <w:rsid w:val="003E5FCA"/>
    <w:rsid w:val="003E77E9"/>
    <w:rsid w:val="003E798E"/>
    <w:rsid w:val="003F06E0"/>
    <w:rsid w:val="003F0C61"/>
    <w:rsid w:val="003F0D90"/>
    <w:rsid w:val="003F0E51"/>
    <w:rsid w:val="003F2708"/>
    <w:rsid w:val="003F316F"/>
    <w:rsid w:val="003F48CD"/>
    <w:rsid w:val="003F5B6A"/>
    <w:rsid w:val="003F6CB2"/>
    <w:rsid w:val="003F6D65"/>
    <w:rsid w:val="003F7B2B"/>
    <w:rsid w:val="004002DD"/>
    <w:rsid w:val="00400D5E"/>
    <w:rsid w:val="004029F9"/>
    <w:rsid w:val="00403EED"/>
    <w:rsid w:val="0040494A"/>
    <w:rsid w:val="00405277"/>
    <w:rsid w:val="00406131"/>
    <w:rsid w:val="004064E0"/>
    <w:rsid w:val="00406F61"/>
    <w:rsid w:val="00406FEF"/>
    <w:rsid w:val="004078B5"/>
    <w:rsid w:val="0041045D"/>
    <w:rsid w:val="004105DF"/>
    <w:rsid w:val="00410935"/>
    <w:rsid w:val="00410D75"/>
    <w:rsid w:val="00411671"/>
    <w:rsid w:val="0041180B"/>
    <w:rsid w:val="00411AFD"/>
    <w:rsid w:val="0041212D"/>
    <w:rsid w:val="0041284E"/>
    <w:rsid w:val="00413464"/>
    <w:rsid w:val="00416D06"/>
    <w:rsid w:val="00417266"/>
    <w:rsid w:val="00420371"/>
    <w:rsid w:val="004204DC"/>
    <w:rsid w:val="004206BA"/>
    <w:rsid w:val="0042090E"/>
    <w:rsid w:val="00420DB1"/>
    <w:rsid w:val="00421D2C"/>
    <w:rsid w:val="0042545B"/>
    <w:rsid w:val="00425E72"/>
    <w:rsid w:val="00425E85"/>
    <w:rsid w:val="00426862"/>
    <w:rsid w:val="004276E0"/>
    <w:rsid w:val="00427A72"/>
    <w:rsid w:val="00430277"/>
    <w:rsid w:val="00432A56"/>
    <w:rsid w:val="00434C19"/>
    <w:rsid w:val="00436048"/>
    <w:rsid w:val="00436B23"/>
    <w:rsid w:val="00436B37"/>
    <w:rsid w:val="0043791D"/>
    <w:rsid w:val="00437D9B"/>
    <w:rsid w:val="00440C19"/>
    <w:rsid w:val="004413C7"/>
    <w:rsid w:val="004414E6"/>
    <w:rsid w:val="004424B2"/>
    <w:rsid w:val="004428A8"/>
    <w:rsid w:val="00442E2D"/>
    <w:rsid w:val="00443D1B"/>
    <w:rsid w:val="00444597"/>
    <w:rsid w:val="004453BB"/>
    <w:rsid w:val="00445522"/>
    <w:rsid w:val="004470C5"/>
    <w:rsid w:val="004474BB"/>
    <w:rsid w:val="00451A68"/>
    <w:rsid w:val="00451AA2"/>
    <w:rsid w:val="00451E5C"/>
    <w:rsid w:val="0045209D"/>
    <w:rsid w:val="00452950"/>
    <w:rsid w:val="00453CEB"/>
    <w:rsid w:val="00454092"/>
    <w:rsid w:val="004547C8"/>
    <w:rsid w:val="00455BC0"/>
    <w:rsid w:val="00456AD9"/>
    <w:rsid w:val="00460179"/>
    <w:rsid w:val="00460B1C"/>
    <w:rsid w:val="00462348"/>
    <w:rsid w:val="00463683"/>
    <w:rsid w:val="00464D56"/>
    <w:rsid w:val="00464DF0"/>
    <w:rsid w:val="00465DDF"/>
    <w:rsid w:val="004661DB"/>
    <w:rsid w:val="0046673C"/>
    <w:rsid w:val="00466B28"/>
    <w:rsid w:val="00467D5E"/>
    <w:rsid w:val="0047012B"/>
    <w:rsid w:val="004705A4"/>
    <w:rsid w:val="00471164"/>
    <w:rsid w:val="00471E18"/>
    <w:rsid w:val="004736FF"/>
    <w:rsid w:val="004743DF"/>
    <w:rsid w:val="00474EE3"/>
    <w:rsid w:val="00474EFE"/>
    <w:rsid w:val="0047620F"/>
    <w:rsid w:val="004767BA"/>
    <w:rsid w:val="004779AA"/>
    <w:rsid w:val="00480011"/>
    <w:rsid w:val="00480107"/>
    <w:rsid w:val="004809CB"/>
    <w:rsid w:val="00482259"/>
    <w:rsid w:val="00482559"/>
    <w:rsid w:val="0048280E"/>
    <w:rsid w:val="00482C33"/>
    <w:rsid w:val="004833CE"/>
    <w:rsid w:val="004836A0"/>
    <w:rsid w:val="004845B2"/>
    <w:rsid w:val="00485309"/>
    <w:rsid w:val="00485787"/>
    <w:rsid w:val="00486172"/>
    <w:rsid w:val="004875EB"/>
    <w:rsid w:val="0049015A"/>
    <w:rsid w:val="00491199"/>
    <w:rsid w:val="004919A3"/>
    <w:rsid w:val="00492D47"/>
    <w:rsid w:val="004930AA"/>
    <w:rsid w:val="004939B6"/>
    <w:rsid w:val="00493AE1"/>
    <w:rsid w:val="00493CBE"/>
    <w:rsid w:val="0049442A"/>
    <w:rsid w:val="00494C49"/>
    <w:rsid w:val="004955D7"/>
    <w:rsid w:val="004965B9"/>
    <w:rsid w:val="004976B0"/>
    <w:rsid w:val="004A0385"/>
    <w:rsid w:val="004A07F3"/>
    <w:rsid w:val="004A0E02"/>
    <w:rsid w:val="004A0E75"/>
    <w:rsid w:val="004A144B"/>
    <w:rsid w:val="004A3415"/>
    <w:rsid w:val="004A3A1C"/>
    <w:rsid w:val="004A454F"/>
    <w:rsid w:val="004A5AE0"/>
    <w:rsid w:val="004A5FCA"/>
    <w:rsid w:val="004A6B9E"/>
    <w:rsid w:val="004A6C9C"/>
    <w:rsid w:val="004A6CC0"/>
    <w:rsid w:val="004A6FE6"/>
    <w:rsid w:val="004A77C4"/>
    <w:rsid w:val="004A7ABE"/>
    <w:rsid w:val="004B09A3"/>
    <w:rsid w:val="004B117A"/>
    <w:rsid w:val="004B18AE"/>
    <w:rsid w:val="004B21B0"/>
    <w:rsid w:val="004B3850"/>
    <w:rsid w:val="004B6164"/>
    <w:rsid w:val="004B7C1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869"/>
    <w:rsid w:val="004D2D0A"/>
    <w:rsid w:val="004D3387"/>
    <w:rsid w:val="004D38B0"/>
    <w:rsid w:val="004D3AAD"/>
    <w:rsid w:val="004D4C8A"/>
    <w:rsid w:val="004D5AD1"/>
    <w:rsid w:val="004D708B"/>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32E3"/>
    <w:rsid w:val="004F431D"/>
    <w:rsid w:val="004F43AB"/>
    <w:rsid w:val="004F4F1F"/>
    <w:rsid w:val="004F4F7A"/>
    <w:rsid w:val="004F4F85"/>
    <w:rsid w:val="004F539A"/>
    <w:rsid w:val="004F5B56"/>
    <w:rsid w:val="0050010C"/>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26F"/>
    <w:rsid w:val="00513F33"/>
    <w:rsid w:val="005147FC"/>
    <w:rsid w:val="005158BE"/>
    <w:rsid w:val="00515C82"/>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27F31"/>
    <w:rsid w:val="00530147"/>
    <w:rsid w:val="0053022D"/>
    <w:rsid w:val="005315AB"/>
    <w:rsid w:val="005325F3"/>
    <w:rsid w:val="005326D9"/>
    <w:rsid w:val="00533572"/>
    <w:rsid w:val="00534021"/>
    <w:rsid w:val="00534623"/>
    <w:rsid w:val="005346A1"/>
    <w:rsid w:val="005352B7"/>
    <w:rsid w:val="00535D72"/>
    <w:rsid w:val="00536216"/>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39E"/>
    <w:rsid w:val="00554AAD"/>
    <w:rsid w:val="005554C5"/>
    <w:rsid w:val="005559D1"/>
    <w:rsid w:val="00555D63"/>
    <w:rsid w:val="00556192"/>
    <w:rsid w:val="005565B2"/>
    <w:rsid w:val="00556F6F"/>
    <w:rsid w:val="00557296"/>
    <w:rsid w:val="00557A6C"/>
    <w:rsid w:val="005608B2"/>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867"/>
    <w:rsid w:val="00576D2C"/>
    <w:rsid w:val="00576EFD"/>
    <w:rsid w:val="00580508"/>
    <w:rsid w:val="00580C5C"/>
    <w:rsid w:val="00580DA8"/>
    <w:rsid w:val="00580F79"/>
    <w:rsid w:val="0058142E"/>
    <w:rsid w:val="0058597D"/>
    <w:rsid w:val="00585F34"/>
    <w:rsid w:val="00587DC2"/>
    <w:rsid w:val="005906E5"/>
    <w:rsid w:val="00590EBE"/>
    <w:rsid w:val="0059185F"/>
    <w:rsid w:val="00592EBE"/>
    <w:rsid w:val="005950C8"/>
    <w:rsid w:val="0059531A"/>
    <w:rsid w:val="0059595B"/>
    <w:rsid w:val="00595A3D"/>
    <w:rsid w:val="00595D44"/>
    <w:rsid w:val="0059614A"/>
    <w:rsid w:val="005963B4"/>
    <w:rsid w:val="0059784E"/>
    <w:rsid w:val="005A021D"/>
    <w:rsid w:val="005A0CEA"/>
    <w:rsid w:val="005A1450"/>
    <w:rsid w:val="005A190A"/>
    <w:rsid w:val="005A1A1B"/>
    <w:rsid w:val="005A20C9"/>
    <w:rsid w:val="005A2216"/>
    <w:rsid w:val="005A24B5"/>
    <w:rsid w:val="005A2B9A"/>
    <w:rsid w:val="005A2CFC"/>
    <w:rsid w:val="005A40BA"/>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6AB5"/>
    <w:rsid w:val="005B6CCC"/>
    <w:rsid w:val="005B757C"/>
    <w:rsid w:val="005B78A1"/>
    <w:rsid w:val="005C05FF"/>
    <w:rsid w:val="005C14A0"/>
    <w:rsid w:val="005C198B"/>
    <w:rsid w:val="005C23D7"/>
    <w:rsid w:val="005C2859"/>
    <w:rsid w:val="005C438E"/>
    <w:rsid w:val="005C43F3"/>
    <w:rsid w:val="005C552D"/>
    <w:rsid w:val="005C62D9"/>
    <w:rsid w:val="005D00DB"/>
    <w:rsid w:val="005D07D2"/>
    <w:rsid w:val="005D0F46"/>
    <w:rsid w:val="005D14F8"/>
    <w:rsid w:val="005D293C"/>
    <w:rsid w:val="005D30B8"/>
    <w:rsid w:val="005D48FE"/>
    <w:rsid w:val="005D5EAC"/>
    <w:rsid w:val="005D66B0"/>
    <w:rsid w:val="005D6BA1"/>
    <w:rsid w:val="005D6C63"/>
    <w:rsid w:val="005D7598"/>
    <w:rsid w:val="005E009F"/>
    <w:rsid w:val="005E1528"/>
    <w:rsid w:val="005E2189"/>
    <w:rsid w:val="005E25F7"/>
    <w:rsid w:val="005E2A5A"/>
    <w:rsid w:val="005E2C15"/>
    <w:rsid w:val="005E3DDA"/>
    <w:rsid w:val="005E46DC"/>
    <w:rsid w:val="005E4C95"/>
    <w:rsid w:val="005E58A5"/>
    <w:rsid w:val="005F00DC"/>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10930"/>
    <w:rsid w:val="00610B37"/>
    <w:rsid w:val="00611216"/>
    <w:rsid w:val="006125B0"/>
    <w:rsid w:val="00613D28"/>
    <w:rsid w:val="0061404F"/>
    <w:rsid w:val="0061424C"/>
    <w:rsid w:val="00614C2C"/>
    <w:rsid w:val="00614E96"/>
    <w:rsid w:val="00614EA9"/>
    <w:rsid w:val="006158C1"/>
    <w:rsid w:val="00615EA0"/>
    <w:rsid w:val="00616E27"/>
    <w:rsid w:val="00617088"/>
    <w:rsid w:val="00617831"/>
    <w:rsid w:val="0062007E"/>
    <w:rsid w:val="00620205"/>
    <w:rsid w:val="006202CC"/>
    <w:rsid w:val="00620470"/>
    <w:rsid w:val="00620736"/>
    <w:rsid w:val="00621EF4"/>
    <w:rsid w:val="00622128"/>
    <w:rsid w:val="006241BE"/>
    <w:rsid w:val="00625009"/>
    <w:rsid w:val="00625B32"/>
    <w:rsid w:val="006278CC"/>
    <w:rsid w:val="0063189C"/>
    <w:rsid w:val="00632878"/>
    <w:rsid w:val="00632C05"/>
    <w:rsid w:val="00633595"/>
    <w:rsid w:val="00634521"/>
    <w:rsid w:val="0063468C"/>
    <w:rsid w:val="00634DAD"/>
    <w:rsid w:val="006358A5"/>
    <w:rsid w:val="006359D0"/>
    <w:rsid w:val="00635B2E"/>
    <w:rsid w:val="0063690F"/>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B35"/>
    <w:rsid w:val="006457EB"/>
    <w:rsid w:val="00650191"/>
    <w:rsid w:val="00650351"/>
    <w:rsid w:val="00650BE0"/>
    <w:rsid w:val="006514C8"/>
    <w:rsid w:val="00651A21"/>
    <w:rsid w:val="006531CB"/>
    <w:rsid w:val="00653453"/>
    <w:rsid w:val="00653F03"/>
    <w:rsid w:val="00654347"/>
    <w:rsid w:val="00654C6A"/>
    <w:rsid w:val="00655B41"/>
    <w:rsid w:val="00656821"/>
    <w:rsid w:val="006569B1"/>
    <w:rsid w:val="006572F6"/>
    <w:rsid w:val="006600F5"/>
    <w:rsid w:val="0066027D"/>
    <w:rsid w:val="00660609"/>
    <w:rsid w:val="006609B1"/>
    <w:rsid w:val="0066318C"/>
    <w:rsid w:val="00664533"/>
    <w:rsid w:val="0066498E"/>
    <w:rsid w:val="00665B84"/>
    <w:rsid w:val="006662AD"/>
    <w:rsid w:val="0066760C"/>
    <w:rsid w:val="00667ABB"/>
    <w:rsid w:val="00670B88"/>
    <w:rsid w:val="00670E84"/>
    <w:rsid w:val="0067240D"/>
    <w:rsid w:val="006726E0"/>
    <w:rsid w:val="00674A96"/>
    <w:rsid w:val="006750F1"/>
    <w:rsid w:val="006757CE"/>
    <w:rsid w:val="00675A81"/>
    <w:rsid w:val="0067643D"/>
    <w:rsid w:val="0067675D"/>
    <w:rsid w:val="006777AF"/>
    <w:rsid w:val="00677C73"/>
    <w:rsid w:val="00677F7C"/>
    <w:rsid w:val="00681C11"/>
    <w:rsid w:val="006834E5"/>
    <w:rsid w:val="00683A28"/>
    <w:rsid w:val="00684959"/>
    <w:rsid w:val="00684DEA"/>
    <w:rsid w:val="006854F2"/>
    <w:rsid w:val="006860D5"/>
    <w:rsid w:val="006862BE"/>
    <w:rsid w:val="00686E12"/>
    <w:rsid w:val="00690E56"/>
    <w:rsid w:val="00691B4D"/>
    <w:rsid w:val="0069249C"/>
    <w:rsid w:val="00692613"/>
    <w:rsid w:val="00697E8B"/>
    <w:rsid w:val="006A1039"/>
    <w:rsid w:val="006A21AF"/>
    <w:rsid w:val="006A2D1D"/>
    <w:rsid w:val="006A49AE"/>
    <w:rsid w:val="006A4C49"/>
    <w:rsid w:val="006A5A4C"/>
    <w:rsid w:val="006A6846"/>
    <w:rsid w:val="006A75AC"/>
    <w:rsid w:val="006A7897"/>
    <w:rsid w:val="006A7F23"/>
    <w:rsid w:val="006B056A"/>
    <w:rsid w:val="006B0FA2"/>
    <w:rsid w:val="006B1475"/>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D54"/>
    <w:rsid w:val="006C7199"/>
    <w:rsid w:val="006C7422"/>
    <w:rsid w:val="006D0087"/>
    <w:rsid w:val="006D04D2"/>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7AA"/>
    <w:rsid w:val="006E123A"/>
    <w:rsid w:val="006E2C4B"/>
    <w:rsid w:val="006E3C03"/>
    <w:rsid w:val="006E42E4"/>
    <w:rsid w:val="006E4684"/>
    <w:rsid w:val="006E4ABF"/>
    <w:rsid w:val="006E52CE"/>
    <w:rsid w:val="006E57B4"/>
    <w:rsid w:val="006E585B"/>
    <w:rsid w:val="006E5FB1"/>
    <w:rsid w:val="006E6297"/>
    <w:rsid w:val="006E6560"/>
    <w:rsid w:val="006E663F"/>
    <w:rsid w:val="006E787E"/>
    <w:rsid w:val="006F10E1"/>
    <w:rsid w:val="006F11DD"/>
    <w:rsid w:val="006F19AA"/>
    <w:rsid w:val="006F281D"/>
    <w:rsid w:val="006F285F"/>
    <w:rsid w:val="006F3142"/>
    <w:rsid w:val="006F347B"/>
    <w:rsid w:val="006F3536"/>
    <w:rsid w:val="006F3A6E"/>
    <w:rsid w:val="006F4A1E"/>
    <w:rsid w:val="006F4F23"/>
    <w:rsid w:val="006F713A"/>
    <w:rsid w:val="00701F32"/>
    <w:rsid w:val="007021CD"/>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49F9"/>
    <w:rsid w:val="00715002"/>
    <w:rsid w:val="007163C0"/>
    <w:rsid w:val="00717296"/>
    <w:rsid w:val="007202FA"/>
    <w:rsid w:val="0072059F"/>
    <w:rsid w:val="00720648"/>
    <w:rsid w:val="00720C94"/>
    <w:rsid w:val="0072219B"/>
    <w:rsid w:val="00722424"/>
    <w:rsid w:val="00722DED"/>
    <w:rsid w:val="00723C1D"/>
    <w:rsid w:val="00723CC5"/>
    <w:rsid w:val="0072406B"/>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450C"/>
    <w:rsid w:val="00744632"/>
    <w:rsid w:val="007452B3"/>
    <w:rsid w:val="0074683C"/>
    <w:rsid w:val="00746F99"/>
    <w:rsid w:val="007474F0"/>
    <w:rsid w:val="00747AC3"/>
    <w:rsid w:val="00750F58"/>
    <w:rsid w:val="007524DB"/>
    <w:rsid w:val="007526C7"/>
    <w:rsid w:val="00753941"/>
    <w:rsid w:val="00753A65"/>
    <w:rsid w:val="00753ADE"/>
    <w:rsid w:val="00756E3A"/>
    <w:rsid w:val="0075719C"/>
    <w:rsid w:val="00757B56"/>
    <w:rsid w:val="00760B67"/>
    <w:rsid w:val="00761CE2"/>
    <w:rsid w:val="00761E1F"/>
    <w:rsid w:val="00761E43"/>
    <w:rsid w:val="00763E35"/>
    <w:rsid w:val="00764C13"/>
    <w:rsid w:val="00766829"/>
    <w:rsid w:val="00766AEC"/>
    <w:rsid w:val="0077170D"/>
    <w:rsid w:val="00771F85"/>
    <w:rsid w:val="00772487"/>
    <w:rsid w:val="00772730"/>
    <w:rsid w:val="00773308"/>
    <w:rsid w:val="00773568"/>
    <w:rsid w:val="0077389E"/>
    <w:rsid w:val="00773F61"/>
    <w:rsid w:val="00774E68"/>
    <w:rsid w:val="0077505C"/>
    <w:rsid w:val="0077594D"/>
    <w:rsid w:val="007761EE"/>
    <w:rsid w:val="0077727E"/>
    <w:rsid w:val="00777DAD"/>
    <w:rsid w:val="007809A9"/>
    <w:rsid w:val="00780D40"/>
    <w:rsid w:val="00781F3B"/>
    <w:rsid w:val="00784F53"/>
    <w:rsid w:val="00786364"/>
    <w:rsid w:val="00787591"/>
    <w:rsid w:val="00787AC0"/>
    <w:rsid w:val="00791581"/>
    <w:rsid w:val="00792B80"/>
    <w:rsid w:val="00793046"/>
    <w:rsid w:val="007938BB"/>
    <w:rsid w:val="00795121"/>
    <w:rsid w:val="00795C02"/>
    <w:rsid w:val="00795E68"/>
    <w:rsid w:val="00795F23"/>
    <w:rsid w:val="00796843"/>
    <w:rsid w:val="0079764A"/>
    <w:rsid w:val="007A0926"/>
    <w:rsid w:val="007A1E3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19F"/>
    <w:rsid w:val="007B687A"/>
    <w:rsid w:val="007B691A"/>
    <w:rsid w:val="007B6D25"/>
    <w:rsid w:val="007C0288"/>
    <w:rsid w:val="007C0832"/>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E2D"/>
    <w:rsid w:val="007D15AE"/>
    <w:rsid w:val="007D16B5"/>
    <w:rsid w:val="007D1D1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5629"/>
    <w:rsid w:val="007E69A8"/>
    <w:rsid w:val="007E6E5C"/>
    <w:rsid w:val="007E7D7C"/>
    <w:rsid w:val="007F02E3"/>
    <w:rsid w:val="007F1621"/>
    <w:rsid w:val="007F1D4F"/>
    <w:rsid w:val="007F34DE"/>
    <w:rsid w:val="007F34EB"/>
    <w:rsid w:val="007F3B2C"/>
    <w:rsid w:val="007F42D5"/>
    <w:rsid w:val="007F4A1B"/>
    <w:rsid w:val="007F4AD9"/>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297F"/>
    <w:rsid w:val="008166A5"/>
    <w:rsid w:val="008168F8"/>
    <w:rsid w:val="008202F5"/>
    <w:rsid w:val="00820393"/>
    <w:rsid w:val="008203CF"/>
    <w:rsid w:val="00820603"/>
    <w:rsid w:val="0082350D"/>
    <w:rsid w:val="00823E80"/>
    <w:rsid w:val="00824AA0"/>
    <w:rsid w:val="00824AF9"/>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BBF"/>
    <w:rsid w:val="00842F70"/>
    <w:rsid w:val="00844CA1"/>
    <w:rsid w:val="00845894"/>
    <w:rsid w:val="00845E9A"/>
    <w:rsid w:val="008474A5"/>
    <w:rsid w:val="008478AA"/>
    <w:rsid w:val="00847B0A"/>
    <w:rsid w:val="00847C79"/>
    <w:rsid w:val="00847D4E"/>
    <w:rsid w:val="00850599"/>
    <w:rsid w:val="00850910"/>
    <w:rsid w:val="008511EC"/>
    <w:rsid w:val="00851CD4"/>
    <w:rsid w:val="00851FD3"/>
    <w:rsid w:val="00852213"/>
    <w:rsid w:val="0085238A"/>
    <w:rsid w:val="008524EB"/>
    <w:rsid w:val="00852890"/>
    <w:rsid w:val="0085318D"/>
    <w:rsid w:val="008565BC"/>
    <w:rsid w:val="00856648"/>
    <w:rsid w:val="00856A67"/>
    <w:rsid w:val="0085795B"/>
    <w:rsid w:val="00857D59"/>
    <w:rsid w:val="00861731"/>
    <w:rsid w:val="0086190F"/>
    <w:rsid w:val="00862862"/>
    <w:rsid w:val="00863B4F"/>
    <w:rsid w:val="00864147"/>
    <w:rsid w:val="008642D0"/>
    <w:rsid w:val="0086437F"/>
    <w:rsid w:val="00866AA2"/>
    <w:rsid w:val="00867FC5"/>
    <w:rsid w:val="008714DB"/>
    <w:rsid w:val="00871B57"/>
    <w:rsid w:val="00871E21"/>
    <w:rsid w:val="0087267C"/>
    <w:rsid w:val="008747C9"/>
    <w:rsid w:val="00875402"/>
    <w:rsid w:val="00875449"/>
    <w:rsid w:val="00875858"/>
    <w:rsid w:val="00876705"/>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310"/>
    <w:rsid w:val="00892F80"/>
    <w:rsid w:val="00893A03"/>
    <w:rsid w:val="00894610"/>
    <w:rsid w:val="00894E27"/>
    <w:rsid w:val="00895566"/>
    <w:rsid w:val="00895CB8"/>
    <w:rsid w:val="00895E96"/>
    <w:rsid w:val="0089661E"/>
    <w:rsid w:val="00897D19"/>
    <w:rsid w:val="00897F55"/>
    <w:rsid w:val="008A056C"/>
    <w:rsid w:val="008A0D84"/>
    <w:rsid w:val="008A14DB"/>
    <w:rsid w:val="008A1A62"/>
    <w:rsid w:val="008A1D01"/>
    <w:rsid w:val="008A1FFE"/>
    <w:rsid w:val="008A21D4"/>
    <w:rsid w:val="008A2C51"/>
    <w:rsid w:val="008A342D"/>
    <w:rsid w:val="008A4780"/>
    <w:rsid w:val="008A5963"/>
    <w:rsid w:val="008A5ABF"/>
    <w:rsid w:val="008A5FD4"/>
    <w:rsid w:val="008A78F7"/>
    <w:rsid w:val="008B0887"/>
    <w:rsid w:val="008B1542"/>
    <w:rsid w:val="008B17A0"/>
    <w:rsid w:val="008B22B0"/>
    <w:rsid w:val="008B2C01"/>
    <w:rsid w:val="008B31F7"/>
    <w:rsid w:val="008B33C0"/>
    <w:rsid w:val="008B3522"/>
    <w:rsid w:val="008B3869"/>
    <w:rsid w:val="008B4256"/>
    <w:rsid w:val="008B4F41"/>
    <w:rsid w:val="008B5F0A"/>
    <w:rsid w:val="008B6972"/>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E76F8"/>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1051D"/>
    <w:rsid w:val="00910533"/>
    <w:rsid w:val="00910C50"/>
    <w:rsid w:val="00912CB8"/>
    <w:rsid w:val="00913C62"/>
    <w:rsid w:val="00916484"/>
    <w:rsid w:val="00916B7D"/>
    <w:rsid w:val="00916F2F"/>
    <w:rsid w:val="00917575"/>
    <w:rsid w:val="009176BF"/>
    <w:rsid w:val="00917ABD"/>
    <w:rsid w:val="00920136"/>
    <w:rsid w:val="009209E3"/>
    <w:rsid w:val="00921847"/>
    <w:rsid w:val="00923216"/>
    <w:rsid w:val="00923A33"/>
    <w:rsid w:val="00923DB7"/>
    <w:rsid w:val="009261BF"/>
    <w:rsid w:val="009266A4"/>
    <w:rsid w:val="00926AD5"/>
    <w:rsid w:val="009272C6"/>
    <w:rsid w:val="009313EE"/>
    <w:rsid w:val="00931A9D"/>
    <w:rsid w:val="00933A3E"/>
    <w:rsid w:val="00934D39"/>
    <w:rsid w:val="00934DEB"/>
    <w:rsid w:val="0093548A"/>
    <w:rsid w:val="00936381"/>
    <w:rsid w:val="00936F5C"/>
    <w:rsid w:val="00936F84"/>
    <w:rsid w:val="00937A6E"/>
    <w:rsid w:val="00940851"/>
    <w:rsid w:val="00941194"/>
    <w:rsid w:val="0094160F"/>
    <w:rsid w:val="009422BC"/>
    <w:rsid w:val="0094287F"/>
    <w:rsid w:val="00942B51"/>
    <w:rsid w:val="009430E5"/>
    <w:rsid w:val="0094315F"/>
    <w:rsid w:val="009432CB"/>
    <w:rsid w:val="009436D4"/>
    <w:rsid w:val="00943DE3"/>
    <w:rsid w:val="00944192"/>
    <w:rsid w:val="0094678B"/>
    <w:rsid w:val="00946AB7"/>
    <w:rsid w:val="00946B07"/>
    <w:rsid w:val="00946B46"/>
    <w:rsid w:val="009510AD"/>
    <w:rsid w:val="009513BE"/>
    <w:rsid w:val="00952259"/>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427"/>
    <w:rsid w:val="00965842"/>
    <w:rsid w:val="009679D9"/>
    <w:rsid w:val="009703F8"/>
    <w:rsid w:val="0097067B"/>
    <w:rsid w:val="009712AE"/>
    <w:rsid w:val="00971BE0"/>
    <w:rsid w:val="00971EFA"/>
    <w:rsid w:val="009725A2"/>
    <w:rsid w:val="00973381"/>
    <w:rsid w:val="00974915"/>
    <w:rsid w:val="009752C7"/>
    <w:rsid w:val="009759F2"/>
    <w:rsid w:val="00976190"/>
    <w:rsid w:val="00976469"/>
    <w:rsid w:val="00976532"/>
    <w:rsid w:val="0097654B"/>
    <w:rsid w:val="00976A43"/>
    <w:rsid w:val="009770B8"/>
    <w:rsid w:val="00977C6D"/>
    <w:rsid w:val="00977F17"/>
    <w:rsid w:val="00981AF3"/>
    <w:rsid w:val="00982497"/>
    <w:rsid w:val="00982CD1"/>
    <w:rsid w:val="0098342A"/>
    <w:rsid w:val="00983AE1"/>
    <w:rsid w:val="00985829"/>
    <w:rsid w:val="00985D36"/>
    <w:rsid w:val="00985DBA"/>
    <w:rsid w:val="009865D6"/>
    <w:rsid w:val="00990506"/>
    <w:rsid w:val="009910DC"/>
    <w:rsid w:val="0099172C"/>
    <w:rsid w:val="00991B19"/>
    <w:rsid w:val="00993599"/>
    <w:rsid w:val="009974A8"/>
    <w:rsid w:val="009975C9"/>
    <w:rsid w:val="009A0A09"/>
    <w:rsid w:val="009A245B"/>
    <w:rsid w:val="009A2516"/>
    <w:rsid w:val="009A2FAA"/>
    <w:rsid w:val="009A3852"/>
    <w:rsid w:val="009A4788"/>
    <w:rsid w:val="009B18D7"/>
    <w:rsid w:val="009B23EE"/>
    <w:rsid w:val="009B3610"/>
    <w:rsid w:val="009B37D3"/>
    <w:rsid w:val="009B4C61"/>
    <w:rsid w:val="009B4CE0"/>
    <w:rsid w:val="009B54CF"/>
    <w:rsid w:val="009B5A8C"/>
    <w:rsid w:val="009B5C74"/>
    <w:rsid w:val="009B661E"/>
    <w:rsid w:val="009B75F0"/>
    <w:rsid w:val="009C01B9"/>
    <w:rsid w:val="009C0342"/>
    <w:rsid w:val="009C0408"/>
    <w:rsid w:val="009C161A"/>
    <w:rsid w:val="009C1E60"/>
    <w:rsid w:val="009C3C12"/>
    <w:rsid w:val="009C4088"/>
    <w:rsid w:val="009C7BBD"/>
    <w:rsid w:val="009C7FE0"/>
    <w:rsid w:val="009D05CC"/>
    <w:rsid w:val="009D09AE"/>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4844"/>
    <w:rsid w:val="009E564F"/>
    <w:rsid w:val="009E6184"/>
    <w:rsid w:val="009E655C"/>
    <w:rsid w:val="009E6F2E"/>
    <w:rsid w:val="009F0BD3"/>
    <w:rsid w:val="009F3218"/>
    <w:rsid w:val="009F7F2B"/>
    <w:rsid w:val="00A0001D"/>
    <w:rsid w:val="00A01037"/>
    <w:rsid w:val="00A0119C"/>
    <w:rsid w:val="00A03332"/>
    <w:rsid w:val="00A03771"/>
    <w:rsid w:val="00A0541B"/>
    <w:rsid w:val="00A06208"/>
    <w:rsid w:val="00A0628B"/>
    <w:rsid w:val="00A1016F"/>
    <w:rsid w:val="00A10996"/>
    <w:rsid w:val="00A10EC9"/>
    <w:rsid w:val="00A11F7F"/>
    <w:rsid w:val="00A12648"/>
    <w:rsid w:val="00A13855"/>
    <w:rsid w:val="00A140A3"/>
    <w:rsid w:val="00A15500"/>
    <w:rsid w:val="00A155A6"/>
    <w:rsid w:val="00A15B34"/>
    <w:rsid w:val="00A1647B"/>
    <w:rsid w:val="00A177A3"/>
    <w:rsid w:val="00A20EFE"/>
    <w:rsid w:val="00A21556"/>
    <w:rsid w:val="00A21903"/>
    <w:rsid w:val="00A22A23"/>
    <w:rsid w:val="00A22AF7"/>
    <w:rsid w:val="00A2551C"/>
    <w:rsid w:val="00A25C16"/>
    <w:rsid w:val="00A30028"/>
    <w:rsid w:val="00A301EF"/>
    <w:rsid w:val="00A3040F"/>
    <w:rsid w:val="00A3168A"/>
    <w:rsid w:val="00A31CD2"/>
    <w:rsid w:val="00A32EFA"/>
    <w:rsid w:val="00A339B5"/>
    <w:rsid w:val="00A339FB"/>
    <w:rsid w:val="00A35D28"/>
    <w:rsid w:val="00A35E53"/>
    <w:rsid w:val="00A36254"/>
    <w:rsid w:val="00A3635F"/>
    <w:rsid w:val="00A36941"/>
    <w:rsid w:val="00A37995"/>
    <w:rsid w:val="00A41A4E"/>
    <w:rsid w:val="00A42621"/>
    <w:rsid w:val="00A436D2"/>
    <w:rsid w:val="00A43752"/>
    <w:rsid w:val="00A443B8"/>
    <w:rsid w:val="00A452B2"/>
    <w:rsid w:val="00A454E3"/>
    <w:rsid w:val="00A463F3"/>
    <w:rsid w:val="00A47902"/>
    <w:rsid w:val="00A50258"/>
    <w:rsid w:val="00A5085F"/>
    <w:rsid w:val="00A51149"/>
    <w:rsid w:val="00A53DBB"/>
    <w:rsid w:val="00A53FB6"/>
    <w:rsid w:val="00A5498C"/>
    <w:rsid w:val="00A54FE4"/>
    <w:rsid w:val="00A5541A"/>
    <w:rsid w:val="00A567CB"/>
    <w:rsid w:val="00A57DEC"/>
    <w:rsid w:val="00A60C13"/>
    <w:rsid w:val="00A615A6"/>
    <w:rsid w:val="00A61AD5"/>
    <w:rsid w:val="00A62DEF"/>
    <w:rsid w:val="00A637C6"/>
    <w:rsid w:val="00A63824"/>
    <w:rsid w:val="00A63A5F"/>
    <w:rsid w:val="00A63D9A"/>
    <w:rsid w:val="00A63FAB"/>
    <w:rsid w:val="00A6458B"/>
    <w:rsid w:val="00A64C0E"/>
    <w:rsid w:val="00A653AC"/>
    <w:rsid w:val="00A65BF7"/>
    <w:rsid w:val="00A65DCD"/>
    <w:rsid w:val="00A667F7"/>
    <w:rsid w:val="00A66E2A"/>
    <w:rsid w:val="00A67E6C"/>
    <w:rsid w:val="00A7067D"/>
    <w:rsid w:val="00A7189A"/>
    <w:rsid w:val="00A71C9E"/>
    <w:rsid w:val="00A71DDE"/>
    <w:rsid w:val="00A7228B"/>
    <w:rsid w:val="00A72A7B"/>
    <w:rsid w:val="00A72B75"/>
    <w:rsid w:val="00A73038"/>
    <w:rsid w:val="00A73F8D"/>
    <w:rsid w:val="00A749FD"/>
    <w:rsid w:val="00A74B8A"/>
    <w:rsid w:val="00A74C77"/>
    <w:rsid w:val="00A75387"/>
    <w:rsid w:val="00A758BE"/>
    <w:rsid w:val="00A75C2A"/>
    <w:rsid w:val="00A76C99"/>
    <w:rsid w:val="00A76F14"/>
    <w:rsid w:val="00A775D5"/>
    <w:rsid w:val="00A800C8"/>
    <w:rsid w:val="00A811CB"/>
    <w:rsid w:val="00A81D2F"/>
    <w:rsid w:val="00A81E59"/>
    <w:rsid w:val="00A81EBE"/>
    <w:rsid w:val="00A826F1"/>
    <w:rsid w:val="00A82D02"/>
    <w:rsid w:val="00A84364"/>
    <w:rsid w:val="00A84CD0"/>
    <w:rsid w:val="00A915F4"/>
    <w:rsid w:val="00A917A9"/>
    <w:rsid w:val="00A91C36"/>
    <w:rsid w:val="00A91D41"/>
    <w:rsid w:val="00A9684D"/>
    <w:rsid w:val="00A97402"/>
    <w:rsid w:val="00A97873"/>
    <w:rsid w:val="00AA321D"/>
    <w:rsid w:val="00AA383C"/>
    <w:rsid w:val="00AA3C4B"/>
    <w:rsid w:val="00AA4CFF"/>
    <w:rsid w:val="00AA6669"/>
    <w:rsid w:val="00AA690A"/>
    <w:rsid w:val="00AA6AB3"/>
    <w:rsid w:val="00AA6D26"/>
    <w:rsid w:val="00AB0541"/>
    <w:rsid w:val="00AB09EE"/>
    <w:rsid w:val="00AB2400"/>
    <w:rsid w:val="00AB5377"/>
    <w:rsid w:val="00AB5B77"/>
    <w:rsid w:val="00AB7D08"/>
    <w:rsid w:val="00AC088C"/>
    <w:rsid w:val="00AC0B81"/>
    <w:rsid w:val="00AC3451"/>
    <w:rsid w:val="00AC3506"/>
    <w:rsid w:val="00AC387E"/>
    <w:rsid w:val="00AC4DD2"/>
    <w:rsid w:val="00AC5210"/>
    <w:rsid w:val="00AC5BDF"/>
    <w:rsid w:val="00AC6903"/>
    <w:rsid w:val="00AC6B95"/>
    <w:rsid w:val="00AC7669"/>
    <w:rsid w:val="00AC79C9"/>
    <w:rsid w:val="00AD0AF6"/>
    <w:rsid w:val="00AD343E"/>
    <w:rsid w:val="00AD476A"/>
    <w:rsid w:val="00AD47AA"/>
    <w:rsid w:val="00AD4ABF"/>
    <w:rsid w:val="00AD4C67"/>
    <w:rsid w:val="00AD52D1"/>
    <w:rsid w:val="00AD54E1"/>
    <w:rsid w:val="00AD5632"/>
    <w:rsid w:val="00AD6306"/>
    <w:rsid w:val="00AD7076"/>
    <w:rsid w:val="00AD7236"/>
    <w:rsid w:val="00AE0764"/>
    <w:rsid w:val="00AE1BD1"/>
    <w:rsid w:val="00AE1DBE"/>
    <w:rsid w:val="00AE276C"/>
    <w:rsid w:val="00AE3DF4"/>
    <w:rsid w:val="00AE4788"/>
    <w:rsid w:val="00AE50A3"/>
    <w:rsid w:val="00AE54FF"/>
    <w:rsid w:val="00AE563F"/>
    <w:rsid w:val="00AE6595"/>
    <w:rsid w:val="00AE71A8"/>
    <w:rsid w:val="00AE74B3"/>
    <w:rsid w:val="00AE7678"/>
    <w:rsid w:val="00AF0329"/>
    <w:rsid w:val="00AF0774"/>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819"/>
    <w:rsid w:val="00B022D8"/>
    <w:rsid w:val="00B02540"/>
    <w:rsid w:val="00B03B7D"/>
    <w:rsid w:val="00B04DC3"/>
    <w:rsid w:val="00B0529B"/>
    <w:rsid w:val="00B05E03"/>
    <w:rsid w:val="00B0644E"/>
    <w:rsid w:val="00B1077D"/>
    <w:rsid w:val="00B11176"/>
    <w:rsid w:val="00B13CB1"/>
    <w:rsid w:val="00B167CE"/>
    <w:rsid w:val="00B16B62"/>
    <w:rsid w:val="00B17A2E"/>
    <w:rsid w:val="00B17C66"/>
    <w:rsid w:val="00B20292"/>
    <w:rsid w:val="00B206B1"/>
    <w:rsid w:val="00B22004"/>
    <w:rsid w:val="00B22C0A"/>
    <w:rsid w:val="00B22FF9"/>
    <w:rsid w:val="00B23F87"/>
    <w:rsid w:val="00B25B42"/>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878"/>
    <w:rsid w:val="00B50D0F"/>
    <w:rsid w:val="00B51EF7"/>
    <w:rsid w:val="00B524C0"/>
    <w:rsid w:val="00B52CF9"/>
    <w:rsid w:val="00B52D9E"/>
    <w:rsid w:val="00B53C31"/>
    <w:rsid w:val="00B555A9"/>
    <w:rsid w:val="00B55E82"/>
    <w:rsid w:val="00B563E9"/>
    <w:rsid w:val="00B56B70"/>
    <w:rsid w:val="00B57983"/>
    <w:rsid w:val="00B60ED0"/>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33BC"/>
    <w:rsid w:val="00B945A2"/>
    <w:rsid w:val="00B962AB"/>
    <w:rsid w:val="00B96C66"/>
    <w:rsid w:val="00B97B6F"/>
    <w:rsid w:val="00BA0622"/>
    <w:rsid w:val="00BA13D0"/>
    <w:rsid w:val="00BA1C0C"/>
    <w:rsid w:val="00BA1C65"/>
    <w:rsid w:val="00BA1F66"/>
    <w:rsid w:val="00BA2A52"/>
    <w:rsid w:val="00BA3293"/>
    <w:rsid w:val="00BA35C3"/>
    <w:rsid w:val="00BA3C29"/>
    <w:rsid w:val="00BA3F2E"/>
    <w:rsid w:val="00BA4357"/>
    <w:rsid w:val="00BA4760"/>
    <w:rsid w:val="00BA4FF0"/>
    <w:rsid w:val="00BA5FB5"/>
    <w:rsid w:val="00BA7003"/>
    <w:rsid w:val="00BA71ED"/>
    <w:rsid w:val="00BB065D"/>
    <w:rsid w:val="00BB14CF"/>
    <w:rsid w:val="00BB1CF9"/>
    <w:rsid w:val="00BB26DC"/>
    <w:rsid w:val="00BB315F"/>
    <w:rsid w:val="00BB3D90"/>
    <w:rsid w:val="00BB48F1"/>
    <w:rsid w:val="00BB5036"/>
    <w:rsid w:val="00BB6888"/>
    <w:rsid w:val="00BB6EFD"/>
    <w:rsid w:val="00BC3D44"/>
    <w:rsid w:val="00BC4213"/>
    <w:rsid w:val="00BC5C80"/>
    <w:rsid w:val="00BC5D5B"/>
    <w:rsid w:val="00BC5F08"/>
    <w:rsid w:val="00BC65B2"/>
    <w:rsid w:val="00BC7E15"/>
    <w:rsid w:val="00BD09B1"/>
    <w:rsid w:val="00BD16D6"/>
    <w:rsid w:val="00BD1B72"/>
    <w:rsid w:val="00BD3BB5"/>
    <w:rsid w:val="00BD41C0"/>
    <w:rsid w:val="00BD4AA0"/>
    <w:rsid w:val="00BD6053"/>
    <w:rsid w:val="00BD6593"/>
    <w:rsid w:val="00BD66B2"/>
    <w:rsid w:val="00BD71AD"/>
    <w:rsid w:val="00BD7725"/>
    <w:rsid w:val="00BD78AD"/>
    <w:rsid w:val="00BD78F4"/>
    <w:rsid w:val="00BE0F6C"/>
    <w:rsid w:val="00BE1F09"/>
    <w:rsid w:val="00BE2DD8"/>
    <w:rsid w:val="00BE301A"/>
    <w:rsid w:val="00BE400A"/>
    <w:rsid w:val="00BE458A"/>
    <w:rsid w:val="00BE4E51"/>
    <w:rsid w:val="00BE61FC"/>
    <w:rsid w:val="00BE7A1E"/>
    <w:rsid w:val="00BF0159"/>
    <w:rsid w:val="00BF0D84"/>
    <w:rsid w:val="00BF18FE"/>
    <w:rsid w:val="00BF1C55"/>
    <w:rsid w:val="00BF224A"/>
    <w:rsid w:val="00BF37C5"/>
    <w:rsid w:val="00BF3AAA"/>
    <w:rsid w:val="00BF497A"/>
    <w:rsid w:val="00BF4AC8"/>
    <w:rsid w:val="00BF5E37"/>
    <w:rsid w:val="00BF70D4"/>
    <w:rsid w:val="00BF71E4"/>
    <w:rsid w:val="00BF7B13"/>
    <w:rsid w:val="00C0163D"/>
    <w:rsid w:val="00C017CA"/>
    <w:rsid w:val="00C03CE8"/>
    <w:rsid w:val="00C0494D"/>
    <w:rsid w:val="00C05806"/>
    <w:rsid w:val="00C06A1F"/>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256E7"/>
    <w:rsid w:val="00C30B3D"/>
    <w:rsid w:val="00C30BEF"/>
    <w:rsid w:val="00C30DC6"/>
    <w:rsid w:val="00C31631"/>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475"/>
    <w:rsid w:val="00C44F87"/>
    <w:rsid w:val="00C45757"/>
    <w:rsid w:val="00C46807"/>
    <w:rsid w:val="00C50B1E"/>
    <w:rsid w:val="00C51C72"/>
    <w:rsid w:val="00C521B4"/>
    <w:rsid w:val="00C52914"/>
    <w:rsid w:val="00C544CC"/>
    <w:rsid w:val="00C5462A"/>
    <w:rsid w:val="00C55114"/>
    <w:rsid w:val="00C57198"/>
    <w:rsid w:val="00C578CE"/>
    <w:rsid w:val="00C617BF"/>
    <w:rsid w:val="00C62791"/>
    <w:rsid w:val="00C62FA1"/>
    <w:rsid w:val="00C64B36"/>
    <w:rsid w:val="00C653BA"/>
    <w:rsid w:val="00C6774F"/>
    <w:rsid w:val="00C677AA"/>
    <w:rsid w:val="00C70E04"/>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2267"/>
    <w:rsid w:val="00C94857"/>
    <w:rsid w:val="00C959C2"/>
    <w:rsid w:val="00C95BC5"/>
    <w:rsid w:val="00C974ED"/>
    <w:rsid w:val="00C97A8D"/>
    <w:rsid w:val="00CA0083"/>
    <w:rsid w:val="00CA04C0"/>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598E"/>
    <w:rsid w:val="00CB68CC"/>
    <w:rsid w:val="00CB6BB5"/>
    <w:rsid w:val="00CB6D6A"/>
    <w:rsid w:val="00CB7873"/>
    <w:rsid w:val="00CC07DB"/>
    <w:rsid w:val="00CC0A26"/>
    <w:rsid w:val="00CC3645"/>
    <w:rsid w:val="00CC3F55"/>
    <w:rsid w:val="00CC54B1"/>
    <w:rsid w:val="00CC79A2"/>
    <w:rsid w:val="00CD0A75"/>
    <w:rsid w:val="00CD11DE"/>
    <w:rsid w:val="00CD143E"/>
    <w:rsid w:val="00CD1963"/>
    <w:rsid w:val="00CD19CA"/>
    <w:rsid w:val="00CD34FD"/>
    <w:rsid w:val="00CD467E"/>
    <w:rsid w:val="00CD5CFC"/>
    <w:rsid w:val="00CD6C4D"/>
    <w:rsid w:val="00CE0440"/>
    <w:rsid w:val="00CE05E1"/>
    <w:rsid w:val="00CE0620"/>
    <w:rsid w:val="00CE16F2"/>
    <w:rsid w:val="00CE178F"/>
    <w:rsid w:val="00CE1CC5"/>
    <w:rsid w:val="00CE253C"/>
    <w:rsid w:val="00CE2EE4"/>
    <w:rsid w:val="00CE3346"/>
    <w:rsid w:val="00CE3797"/>
    <w:rsid w:val="00CE3ADA"/>
    <w:rsid w:val="00CE41CB"/>
    <w:rsid w:val="00CE5FE1"/>
    <w:rsid w:val="00CF0777"/>
    <w:rsid w:val="00CF0FF4"/>
    <w:rsid w:val="00CF1622"/>
    <w:rsid w:val="00CF1959"/>
    <w:rsid w:val="00CF4635"/>
    <w:rsid w:val="00CF46ED"/>
    <w:rsid w:val="00CF5173"/>
    <w:rsid w:val="00CF51E8"/>
    <w:rsid w:val="00CF5BA3"/>
    <w:rsid w:val="00CF637A"/>
    <w:rsid w:val="00CF7C31"/>
    <w:rsid w:val="00D025CC"/>
    <w:rsid w:val="00D028B3"/>
    <w:rsid w:val="00D0304E"/>
    <w:rsid w:val="00D053C2"/>
    <w:rsid w:val="00D06218"/>
    <w:rsid w:val="00D104AC"/>
    <w:rsid w:val="00D10566"/>
    <w:rsid w:val="00D12AD5"/>
    <w:rsid w:val="00D138B4"/>
    <w:rsid w:val="00D13D12"/>
    <w:rsid w:val="00D140C2"/>
    <w:rsid w:val="00D15500"/>
    <w:rsid w:val="00D15C15"/>
    <w:rsid w:val="00D16725"/>
    <w:rsid w:val="00D16D23"/>
    <w:rsid w:val="00D17643"/>
    <w:rsid w:val="00D20188"/>
    <w:rsid w:val="00D201E3"/>
    <w:rsid w:val="00D2027A"/>
    <w:rsid w:val="00D20B23"/>
    <w:rsid w:val="00D218EF"/>
    <w:rsid w:val="00D22433"/>
    <w:rsid w:val="00D22748"/>
    <w:rsid w:val="00D22E55"/>
    <w:rsid w:val="00D232AE"/>
    <w:rsid w:val="00D233E0"/>
    <w:rsid w:val="00D23626"/>
    <w:rsid w:val="00D26918"/>
    <w:rsid w:val="00D27734"/>
    <w:rsid w:val="00D27BED"/>
    <w:rsid w:val="00D3182A"/>
    <w:rsid w:val="00D3227D"/>
    <w:rsid w:val="00D33567"/>
    <w:rsid w:val="00D33EEE"/>
    <w:rsid w:val="00D341A7"/>
    <w:rsid w:val="00D35236"/>
    <w:rsid w:val="00D3579C"/>
    <w:rsid w:val="00D359FF"/>
    <w:rsid w:val="00D37121"/>
    <w:rsid w:val="00D376AA"/>
    <w:rsid w:val="00D40043"/>
    <w:rsid w:val="00D40A47"/>
    <w:rsid w:val="00D41051"/>
    <w:rsid w:val="00D417AE"/>
    <w:rsid w:val="00D41B6F"/>
    <w:rsid w:val="00D457ED"/>
    <w:rsid w:val="00D46D32"/>
    <w:rsid w:val="00D478AA"/>
    <w:rsid w:val="00D51372"/>
    <w:rsid w:val="00D51C50"/>
    <w:rsid w:val="00D5266D"/>
    <w:rsid w:val="00D52BBA"/>
    <w:rsid w:val="00D54AEA"/>
    <w:rsid w:val="00D54E4B"/>
    <w:rsid w:val="00D55A96"/>
    <w:rsid w:val="00D56796"/>
    <w:rsid w:val="00D56D40"/>
    <w:rsid w:val="00D56D85"/>
    <w:rsid w:val="00D60B6B"/>
    <w:rsid w:val="00D60D72"/>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943"/>
    <w:rsid w:val="00D74912"/>
    <w:rsid w:val="00D74A6E"/>
    <w:rsid w:val="00D75805"/>
    <w:rsid w:val="00D779F7"/>
    <w:rsid w:val="00D82F54"/>
    <w:rsid w:val="00D83026"/>
    <w:rsid w:val="00D83045"/>
    <w:rsid w:val="00D844D3"/>
    <w:rsid w:val="00D857E6"/>
    <w:rsid w:val="00D85885"/>
    <w:rsid w:val="00D8653A"/>
    <w:rsid w:val="00D871CE"/>
    <w:rsid w:val="00D87542"/>
    <w:rsid w:val="00D87D77"/>
    <w:rsid w:val="00D90D28"/>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5A16"/>
    <w:rsid w:val="00DA7D0B"/>
    <w:rsid w:val="00DB0675"/>
    <w:rsid w:val="00DB07CA"/>
    <w:rsid w:val="00DB0823"/>
    <w:rsid w:val="00DB0E2A"/>
    <w:rsid w:val="00DB111E"/>
    <w:rsid w:val="00DB2718"/>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693E"/>
    <w:rsid w:val="00DD0C3F"/>
    <w:rsid w:val="00DD1F41"/>
    <w:rsid w:val="00DD26CC"/>
    <w:rsid w:val="00DD2BA9"/>
    <w:rsid w:val="00DD3766"/>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52B7"/>
    <w:rsid w:val="00DE6636"/>
    <w:rsid w:val="00DE6C5F"/>
    <w:rsid w:val="00DF0175"/>
    <w:rsid w:val="00DF0B89"/>
    <w:rsid w:val="00DF131B"/>
    <w:rsid w:val="00DF164A"/>
    <w:rsid w:val="00DF3044"/>
    <w:rsid w:val="00DF353C"/>
    <w:rsid w:val="00DF3DF8"/>
    <w:rsid w:val="00DF4216"/>
    <w:rsid w:val="00DF46B7"/>
    <w:rsid w:val="00DF4978"/>
    <w:rsid w:val="00DF55D6"/>
    <w:rsid w:val="00DF5AAF"/>
    <w:rsid w:val="00DF6074"/>
    <w:rsid w:val="00DF73B6"/>
    <w:rsid w:val="00DF781C"/>
    <w:rsid w:val="00E008D8"/>
    <w:rsid w:val="00E00C6B"/>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1E9"/>
    <w:rsid w:val="00E129D1"/>
    <w:rsid w:val="00E12F2F"/>
    <w:rsid w:val="00E1319F"/>
    <w:rsid w:val="00E13A48"/>
    <w:rsid w:val="00E13FB6"/>
    <w:rsid w:val="00E14ACF"/>
    <w:rsid w:val="00E14BAD"/>
    <w:rsid w:val="00E14D14"/>
    <w:rsid w:val="00E16E4C"/>
    <w:rsid w:val="00E173EF"/>
    <w:rsid w:val="00E20B5E"/>
    <w:rsid w:val="00E20F69"/>
    <w:rsid w:val="00E22732"/>
    <w:rsid w:val="00E22B39"/>
    <w:rsid w:val="00E2398E"/>
    <w:rsid w:val="00E2459F"/>
    <w:rsid w:val="00E2693C"/>
    <w:rsid w:val="00E3047D"/>
    <w:rsid w:val="00E3066D"/>
    <w:rsid w:val="00E30AF9"/>
    <w:rsid w:val="00E31FB7"/>
    <w:rsid w:val="00E32363"/>
    <w:rsid w:val="00E32488"/>
    <w:rsid w:val="00E327E4"/>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50223"/>
    <w:rsid w:val="00E50F61"/>
    <w:rsid w:val="00E51C1B"/>
    <w:rsid w:val="00E5332C"/>
    <w:rsid w:val="00E53353"/>
    <w:rsid w:val="00E53C45"/>
    <w:rsid w:val="00E53CE0"/>
    <w:rsid w:val="00E53DA7"/>
    <w:rsid w:val="00E54C11"/>
    <w:rsid w:val="00E55DB0"/>
    <w:rsid w:val="00E577EC"/>
    <w:rsid w:val="00E57C4D"/>
    <w:rsid w:val="00E602BD"/>
    <w:rsid w:val="00E62337"/>
    <w:rsid w:val="00E62809"/>
    <w:rsid w:val="00E63321"/>
    <w:rsid w:val="00E6345E"/>
    <w:rsid w:val="00E634AD"/>
    <w:rsid w:val="00E635BD"/>
    <w:rsid w:val="00E63675"/>
    <w:rsid w:val="00E638A7"/>
    <w:rsid w:val="00E63FAC"/>
    <w:rsid w:val="00E64C9D"/>
    <w:rsid w:val="00E6537A"/>
    <w:rsid w:val="00E65B31"/>
    <w:rsid w:val="00E65B3E"/>
    <w:rsid w:val="00E65FF3"/>
    <w:rsid w:val="00E6618A"/>
    <w:rsid w:val="00E66E6D"/>
    <w:rsid w:val="00E67470"/>
    <w:rsid w:val="00E67A24"/>
    <w:rsid w:val="00E70552"/>
    <w:rsid w:val="00E712F8"/>
    <w:rsid w:val="00E72B05"/>
    <w:rsid w:val="00E72E0E"/>
    <w:rsid w:val="00E74A39"/>
    <w:rsid w:val="00E75609"/>
    <w:rsid w:val="00E75790"/>
    <w:rsid w:val="00E75BCD"/>
    <w:rsid w:val="00E76031"/>
    <w:rsid w:val="00E80437"/>
    <w:rsid w:val="00E82CEF"/>
    <w:rsid w:val="00E83A79"/>
    <w:rsid w:val="00E83DC4"/>
    <w:rsid w:val="00E83DCE"/>
    <w:rsid w:val="00E842A8"/>
    <w:rsid w:val="00E84360"/>
    <w:rsid w:val="00E847B3"/>
    <w:rsid w:val="00E84E89"/>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335A"/>
    <w:rsid w:val="00EA3D63"/>
    <w:rsid w:val="00EA55C1"/>
    <w:rsid w:val="00EA6854"/>
    <w:rsid w:val="00EA7391"/>
    <w:rsid w:val="00EB0AA6"/>
    <w:rsid w:val="00EB1273"/>
    <w:rsid w:val="00EB22C0"/>
    <w:rsid w:val="00EB396F"/>
    <w:rsid w:val="00EB400B"/>
    <w:rsid w:val="00EB4B77"/>
    <w:rsid w:val="00EB4F3B"/>
    <w:rsid w:val="00EB50F0"/>
    <w:rsid w:val="00EB5869"/>
    <w:rsid w:val="00EB5C40"/>
    <w:rsid w:val="00EB6A2C"/>
    <w:rsid w:val="00EB6B83"/>
    <w:rsid w:val="00EC08AD"/>
    <w:rsid w:val="00EC1828"/>
    <w:rsid w:val="00EC1B2E"/>
    <w:rsid w:val="00EC2514"/>
    <w:rsid w:val="00EC2844"/>
    <w:rsid w:val="00EC2AB4"/>
    <w:rsid w:val="00EC2B87"/>
    <w:rsid w:val="00EC3089"/>
    <w:rsid w:val="00EC4214"/>
    <w:rsid w:val="00EC6B44"/>
    <w:rsid w:val="00EC760C"/>
    <w:rsid w:val="00EC7CED"/>
    <w:rsid w:val="00ED0A14"/>
    <w:rsid w:val="00ED0D39"/>
    <w:rsid w:val="00ED0EA7"/>
    <w:rsid w:val="00ED172E"/>
    <w:rsid w:val="00ED1F4F"/>
    <w:rsid w:val="00ED353C"/>
    <w:rsid w:val="00ED41B5"/>
    <w:rsid w:val="00ED5433"/>
    <w:rsid w:val="00ED78DB"/>
    <w:rsid w:val="00ED7DE0"/>
    <w:rsid w:val="00EE123E"/>
    <w:rsid w:val="00EE298D"/>
    <w:rsid w:val="00EE2BB3"/>
    <w:rsid w:val="00EE37A3"/>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0B5D"/>
    <w:rsid w:val="00F013CB"/>
    <w:rsid w:val="00F01B1E"/>
    <w:rsid w:val="00F0267C"/>
    <w:rsid w:val="00F03379"/>
    <w:rsid w:val="00F0345E"/>
    <w:rsid w:val="00F03FC4"/>
    <w:rsid w:val="00F05790"/>
    <w:rsid w:val="00F06960"/>
    <w:rsid w:val="00F07E52"/>
    <w:rsid w:val="00F106E4"/>
    <w:rsid w:val="00F10ECA"/>
    <w:rsid w:val="00F1171C"/>
    <w:rsid w:val="00F119FB"/>
    <w:rsid w:val="00F12F5F"/>
    <w:rsid w:val="00F145D4"/>
    <w:rsid w:val="00F14AEC"/>
    <w:rsid w:val="00F15F5B"/>
    <w:rsid w:val="00F16210"/>
    <w:rsid w:val="00F164D5"/>
    <w:rsid w:val="00F1792F"/>
    <w:rsid w:val="00F17A56"/>
    <w:rsid w:val="00F20474"/>
    <w:rsid w:val="00F21AB6"/>
    <w:rsid w:val="00F223D5"/>
    <w:rsid w:val="00F2283A"/>
    <w:rsid w:val="00F22A84"/>
    <w:rsid w:val="00F22A8F"/>
    <w:rsid w:val="00F22ED6"/>
    <w:rsid w:val="00F23EB4"/>
    <w:rsid w:val="00F2529A"/>
    <w:rsid w:val="00F25A72"/>
    <w:rsid w:val="00F25F5E"/>
    <w:rsid w:val="00F260CB"/>
    <w:rsid w:val="00F26C19"/>
    <w:rsid w:val="00F32553"/>
    <w:rsid w:val="00F32690"/>
    <w:rsid w:val="00F327CE"/>
    <w:rsid w:val="00F332ED"/>
    <w:rsid w:val="00F33552"/>
    <w:rsid w:val="00F33C8D"/>
    <w:rsid w:val="00F348D1"/>
    <w:rsid w:val="00F35955"/>
    <w:rsid w:val="00F378C1"/>
    <w:rsid w:val="00F40CC5"/>
    <w:rsid w:val="00F41AF4"/>
    <w:rsid w:val="00F41DE0"/>
    <w:rsid w:val="00F42FBC"/>
    <w:rsid w:val="00F4385E"/>
    <w:rsid w:val="00F43BFB"/>
    <w:rsid w:val="00F43F5D"/>
    <w:rsid w:val="00F4401D"/>
    <w:rsid w:val="00F44398"/>
    <w:rsid w:val="00F448C3"/>
    <w:rsid w:val="00F45085"/>
    <w:rsid w:val="00F450F4"/>
    <w:rsid w:val="00F4556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5892"/>
    <w:rsid w:val="00F56161"/>
    <w:rsid w:val="00F563CD"/>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5A10"/>
    <w:rsid w:val="00F75D9F"/>
    <w:rsid w:val="00F76063"/>
    <w:rsid w:val="00F76D11"/>
    <w:rsid w:val="00F77276"/>
    <w:rsid w:val="00F77A8D"/>
    <w:rsid w:val="00F77D27"/>
    <w:rsid w:val="00F80013"/>
    <w:rsid w:val="00F8095A"/>
    <w:rsid w:val="00F81476"/>
    <w:rsid w:val="00F81681"/>
    <w:rsid w:val="00F81E11"/>
    <w:rsid w:val="00F8260F"/>
    <w:rsid w:val="00F834A7"/>
    <w:rsid w:val="00F847A0"/>
    <w:rsid w:val="00F85D19"/>
    <w:rsid w:val="00F864FC"/>
    <w:rsid w:val="00F86808"/>
    <w:rsid w:val="00F9142D"/>
    <w:rsid w:val="00F91EF0"/>
    <w:rsid w:val="00F92104"/>
    <w:rsid w:val="00F93A3D"/>
    <w:rsid w:val="00F93DCD"/>
    <w:rsid w:val="00F94009"/>
    <w:rsid w:val="00F94C16"/>
    <w:rsid w:val="00F94D3F"/>
    <w:rsid w:val="00F9689E"/>
    <w:rsid w:val="00FA066D"/>
    <w:rsid w:val="00FA0956"/>
    <w:rsid w:val="00FA0FB3"/>
    <w:rsid w:val="00FA1126"/>
    <w:rsid w:val="00FA24F3"/>
    <w:rsid w:val="00FA42BC"/>
    <w:rsid w:val="00FA4635"/>
    <w:rsid w:val="00FA509C"/>
    <w:rsid w:val="00FA5FCE"/>
    <w:rsid w:val="00FA6B30"/>
    <w:rsid w:val="00FA761A"/>
    <w:rsid w:val="00FA786A"/>
    <w:rsid w:val="00FB0515"/>
    <w:rsid w:val="00FB0EE9"/>
    <w:rsid w:val="00FB0EFB"/>
    <w:rsid w:val="00FB0F8A"/>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E1D"/>
    <w:rsid w:val="00FD1AA4"/>
    <w:rsid w:val="00FD1BD4"/>
    <w:rsid w:val="00FD2FA7"/>
    <w:rsid w:val="00FD4B79"/>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9"/>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5">
    <w:name w:val="תואר"/>
    <w:basedOn w:val="Normal"/>
    <w:link w:val="a6"/>
    <w:qFormat/>
    <w:rsid w:val="00417266"/>
    <w:pPr>
      <w:spacing w:line="240" w:lineRule="auto"/>
      <w:jc w:val="center"/>
    </w:pPr>
    <w:rPr>
      <w:rFonts w:eastAsia="Times New Roman" w:cs="Times New Roman"/>
      <w:b/>
      <w:bCs/>
      <w:sz w:val="32"/>
      <w:szCs w:val="32"/>
      <w:lang w:eastAsia="he-IL"/>
    </w:rPr>
  </w:style>
  <w:style w:type="character" w:customStyle="1" w:styleId="a6">
    <w:name w:val="תואר תו"/>
    <w:link w:val="a5"/>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7">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8">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9">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a">
    <w:name w:val="מקרא+הערות לתרשים/לוח/תמונה"/>
    <w:basedOn w:val="a7"/>
    <w:qFormat/>
    <w:rsid w:val="00FE0207"/>
    <w:pPr>
      <w:spacing w:before="120"/>
      <w:jc w:val="center"/>
    </w:pPr>
  </w:style>
  <w:style w:type="paragraph" w:customStyle="1" w:styleId="ab">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c">
    <w:name w:val="קוביה כחולה בתוך הזחה ראשונה"/>
    <w:basedOn w:val="ab"/>
    <w:qFormat/>
    <w:rsid w:val="00445522"/>
    <w:pPr>
      <w:ind w:left="680"/>
    </w:pPr>
  </w:style>
  <w:style w:type="paragraph" w:customStyle="1" w:styleId="710">
    <w:name w:val="כותרת 7_10"/>
    <w:basedOn w:val="a0"/>
    <w:qFormat/>
    <w:rsid w:val="00774E68"/>
    <w:pPr>
      <w:ind w:left="1191"/>
    </w:pPr>
  </w:style>
  <w:style w:type="paragraph" w:customStyle="1" w:styleId="ad">
    <w:name w:val="הזחה שנייה ללא מספר"/>
    <w:basedOn w:val="a9"/>
    <w:link w:val="Char0"/>
    <w:qFormat/>
    <w:rsid w:val="00D053C2"/>
  </w:style>
  <w:style w:type="character" w:customStyle="1" w:styleId="Char">
    <w:name w:val="הזחה שנייה ריק Char"/>
    <w:basedOn w:val="BodyTextIndentChar"/>
    <w:link w:val="a9"/>
    <w:rsid w:val="008A78F7"/>
    <w:rPr>
      <w:rFonts w:ascii="Tahoma" w:hAnsi="Tahoma" w:cs="Tahoma"/>
      <w:sz w:val="16"/>
      <w:szCs w:val="20"/>
    </w:rPr>
  </w:style>
  <w:style w:type="character" w:customStyle="1" w:styleId="Char0">
    <w:name w:val="הזחה שנייה ללא מספר Char"/>
    <w:basedOn w:val="Char"/>
    <w:link w:val="ad"/>
    <w:rsid w:val="00D053C2"/>
    <w:rPr>
      <w:rFonts w:ascii="Tahoma" w:hAnsi="Tahoma" w:cs="Tahoma"/>
      <w:sz w:val="16"/>
      <w:szCs w:val="20"/>
    </w:rPr>
  </w:style>
  <w:style w:type="paragraph" w:customStyle="1" w:styleId="ae">
    <w:name w:val="מספור הערות שוליים"/>
    <w:basedOn w:val="a7"/>
    <w:qFormat/>
    <w:rsid w:val="003B639B"/>
  </w:style>
  <w:style w:type="paragraph" w:customStyle="1" w:styleId="R">
    <w:name w:val="טקסט R טבלה"/>
    <w:basedOn w:val="Normal"/>
    <w:qFormat/>
    <w:rsid w:val="00952259"/>
    <w:pPr>
      <w:spacing w:before="40" w:after="40"/>
      <w:jc w:val="left"/>
    </w:pPr>
    <w:rPr>
      <w:rFonts w:ascii="Tahoma" w:eastAsiaTheme="minorEastAsia" w:hAnsi="Tahoma" w:cs="Tahoma"/>
      <w:szCs w:val="20"/>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f">
    <w:name w:val="כותרת טבלה"/>
    <w:basedOn w:val="Normal"/>
    <w:qFormat/>
    <w:rsid w:val="00A53FB6"/>
    <w:pPr>
      <w:spacing w:before="40" w:after="40" w:line="280" w:lineRule="exact"/>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0">
    <w:name w:val="הזחה שלישית"/>
    <w:basedOn w:val="ad"/>
    <w:qFormat/>
    <w:rsid w:val="008D42F6"/>
    <w:pPr>
      <w:ind w:left="1191"/>
    </w:pPr>
  </w:style>
  <w:style w:type="paragraph" w:customStyle="1" w:styleId="af1">
    <w:name w:val="קוביה כחולה הזחה שלישית"/>
    <w:basedOn w:val="ab"/>
    <w:qFormat/>
    <w:rsid w:val="00230B94"/>
    <w:pPr>
      <w:ind w:left="1474"/>
    </w:pPr>
  </w:style>
  <w:style w:type="paragraph" w:customStyle="1" w:styleId="12">
    <w:name w:val="קוביה הזחה 1"/>
    <w:basedOn w:val="ab"/>
    <w:qFormat/>
    <w:rsid w:val="005C2859"/>
    <w:pPr>
      <w:ind w:left="680"/>
    </w:pPr>
  </w:style>
  <w:style w:type="paragraph" w:customStyle="1" w:styleId="af2">
    <w:name w:val="הזחה ראשונה ללא מספר"/>
    <w:basedOn w:val="ad"/>
    <w:qFormat/>
    <w:rsid w:val="008203CF"/>
    <w:pPr>
      <w:ind w:left="397"/>
    </w:pPr>
  </w:style>
  <w:style w:type="paragraph" w:customStyle="1" w:styleId="af3">
    <w:name w:val="קוביה רצה"/>
    <w:basedOn w:val="ac"/>
    <w:qFormat/>
    <w:rsid w:val="000C164B"/>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3">
    <w:name w:val="הזחה בתוך קוביה"/>
    <w:basedOn w:val="af3"/>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4">
    <w:name w:val="אותיות בתוך קוביה"/>
    <w:basedOn w:val="a3"/>
    <w:rsid w:val="004F431D"/>
  </w:style>
  <w:style w:type="paragraph" w:customStyle="1" w:styleId="1">
    <w:name w:val="אותיות בתוך קוביה 1"/>
    <w:basedOn w:val="af4"/>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5"/>
    <w:uiPriority w:val="99"/>
    <w:unhideWhenUsed/>
    <w:rsid w:val="002516DF"/>
    <w:pPr>
      <w:tabs>
        <w:tab w:val="center" w:pos="4153"/>
        <w:tab w:val="right" w:pos="8306"/>
      </w:tabs>
      <w:spacing w:line="240" w:lineRule="auto"/>
    </w:pPr>
    <w:rPr>
      <w:rFonts w:eastAsia="Calibri"/>
    </w:rPr>
  </w:style>
  <w:style w:type="character" w:customStyle="1" w:styleId="af5">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6"/>
    <w:uiPriority w:val="99"/>
    <w:unhideWhenUsed/>
    <w:rsid w:val="002516DF"/>
    <w:pPr>
      <w:tabs>
        <w:tab w:val="center" w:pos="4153"/>
        <w:tab w:val="right" w:pos="8306"/>
      </w:tabs>
      <w:spacing w:line="240" w:lineRule="auto"/>
    </w:pPr>
    <w:rPr>
      <w:rFonts w:eastAsia="Calibri"/>
    </w:rPr>
  </w:style>
  <w:style w:type="character" w:customStyle="1" w:styleId="af6">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7"/>
    <w:uiPriority w:val="99"/>
    <w:unhideWhenUsed/>
    <w:rsid w:val="002516DF"/>
    <w:pPr>
      <w:spacing w:before="120" w:line="240" w:lineRule="auto"/>
    </w:pPr>
    <w:rPr>
      <w:rFonts w:eastAsia="Calibri"/>
    </w:rPr>
  </w:style>
  <w:style w:type="character" w:customStyle="1" w:styleId="af7">
    <w:name w:val="תאריך תו"/>
    <w:basedOn w:val="DefaultParagraphFont"/>
    <w:link w:val="17"/>
    <w:uiPriority w:val="99"/>
    <w:rsid w:val="002516DF"/>
    <w:rPr>
      <w:rFonts w:eastAsia="Calibri"/>
    </w:rPr>
  </w:style>
  <w:style w:type="character" w:customStyle="1" w:styleId="af8">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9">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a"/>
    <w:uiPriority w:val="99"/>
    <w:semiHidden/>
    <w:unhideWhenUsed/>
    <w:rsid w:val="002516DF"/>
    <w:pPr>
      <w:spacing w:line="240" w:lineRule="auto"/>
    </w:pPr>
    <w:rPr>
      <w:rFonts w:ascii="Tahoma" w:eastAsia="Calibri" w:hAnsi="Tahoma" w:cs="Tahoma"/>
      <w:sz w:val="18"/>
      <w:szCs w:val="18"/>
    </w:rPr>
  </w:style>
  <w:style w:type="character" w:customStyle="1" w:styleId="afa">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b">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c"/>
    <w:uiPriority w:val="99"/>
    <w:unhideWhenUsed/>
    <w:rsid w:val="002516DF"/>
    <w:pPr>
      <w:spacing w:line="240" w:lineRule="auto"/>
    </w:pPr>
    <w:rPr>
      <w:rFonts w:eastAsia="Calibri"/>
      <w:szCs w:val="20"/>
    </w:rPr>
  </w:style>
  <w:style w:type="character" w:customStyle="1" w:styleId="afc">
    <w:name w:val="טקסט הערה תו"/>
    <w:link w:val="1f1"/>
    <w:uiPriority w:val="99"/>
    <w:rsid w:val="002516DF"/>
    <w:rPr>
      <w:rFonts w:eastAsia="Calibri"/>
      <w:szCs w:val="20"/>
    </w:rPr>
  </w:style>
  <w:style w:type="paragraph" w:customStyle="1" w:styleId="1f2">
    <w:name w:val="נושא הערה1"/>
    <w:basedOn w:val="1f1"/>
    <w:next w:val="1f1"/>
    <w:link w:val="afd"/>
    <w:uiPriority w:val="99"/>
    <w:semiHidden/>
    <w:unhideWhenUsed/>
    <w:rsid w:val="002516DF"/>
    <w:rPr>
      <w:b/>
      <w:bCs/>
    </w:rPr>
  </w:style>
  <w:style w:type="character" w:customStyle="1" w:styleId="afd">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e">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
    <w:name w:val="כוכבית בתוך קוביה"/>
    <w:basedOn w:val="af3"/>
    <w:qFormat/>
    <w:rsid w:val="00391776"/>
    <w:pPr>
      <w:jc w:val="center"/>
    </w:pPr>
    <w:rPr>
      <w:rFonts w:ascii="Segoe UI Symbol" w:hAnsi="Segoe UI Symbol" w:cs="Segoe UI Symbol"/>
    </w:rPr>
  </w:style>
  <w:style w:type="paragraph" w:customStyle="1" w:styleId="a4">
    <w:name w:val="רשימה אותיות"/>
    <w:basedOn w:val="ListParagraph"/>
    <w:qFormat/>
    <w:rsid w:val="00F563CD"/>
    <w:pPr>
      <w:numPr>
        <w:numId w:val="10"/>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3E009E"/>
    <w:pPr>
      <w:numPr>
        <w:numId w:val="13"/>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chart" Target="charts/chart4.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chart" Target="charts/chart3.xm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vtanas\MVTANAS\Gov%20Min\Agaf_16\&#1491;&#1493;&#1495;&#1493;&#1514;%202019\&#1500;&#1513;&#1499;&#1514;%20&#1506;&#1493;&#1491;\&#1500;&#1511;&#1512;&#1488;&#1514;%20&#1508;&#1504;&#1497;&#1492;\&#1514;&#1512;&#1513;&#1497;&#1502;&#1497;&#1501;\&#1514;&#1511;&#1510;&#1497;&#1489;%20&#1492;&#1500;&#1513;&#1499;&#1492;%20-%20&#1492;&#1493;&#1510;&#1488;&#1492;%20&#1489;&#1508;&#1493;&#1506;&#150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mvtanas\MVTANAS\Gov%20Min\Agaf_16\&#1491;&#1493;&#1495;&#1493;&#1514;%202019\&#1500;&#1513;&#1499;&#1514;%20&#1506;&#1493;&#1491;\&#1500;&#1511;&#1512;&#1488;&#1514;%20&#1508;&#1504;&#1497;&#1492;\&#1514;&#1512;&#1513;&#1497;&#1502;&#1497;&#1501;\&#1514;&#1511;&#1510;&#1497;&#1489;&#1497;%20&#1495;&#1493;&#1489;&#1492;%20&#1493;&#1512;&#1513;&#1493;&#1514;%20&#1502;&#1506;&#1493;&#1491;&#1499;&#1503;%20&#1497;&#1504;&#1493;&#1488;&#1512;%2020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oleObject" Target="&#1495;&#1493;&#1489;&#1512;&#1514;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mvtanas\MVTANAS\Gov%20Min\Agaf_16\&#1491;&#1493;&#1495;&#1493;&#1514;%202019\&#1500;&#1513;&#1499;&#1514;%20&#1506;&#1493;&#1491;\&#1500;&#1511;&#1512;&#1488;&#1514;%20&#1508;&#1504;&#1497;&#1492;\&#1514;&#1512;&#1513;&#1497;&#1502;&#1497;&#1501;\&#1492;&#1499;&#1504;&#1505;&#1493;&#1514;%20&#1513;&#1500;%20&#1492;&#1495;&#1489;&#1512;&#1492;%20&#1492;&#1499;&#1500;&#1499;&#1500;&#1497;&#1514;%20&#1502;&#1514;&#1493;&#1511;&#150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גיליון1!$A$2</c:f>
              <c:strCache>
                <c:ptCount val="1"/>
                <c:pt idx="0">
                  <c:v>תקציב הלשכה (הוצאה בפועל)</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גיליון1!$B$1:$F$1</c:f>
              <c:numCache>
                <c:formatCode>General</c:formatCode>
                <c:ptCount val="5"/>
                <c:pt idx="0">
                  <c:v>2015</c:v>
                </c:pt>
                <c:pt idx="1">
                  <c:v>2016</c:v>
                </c:pt>
                <c:pt idx="2">
                  <c:v>2017</c:v>
                </c:pt>
                <c:pt idx="3">
                  <c:v>2018</c:v>
                </c:pt>
                <c:pt idx="4">
                  <c:v>2019</c:v>
                </c:pt>
              </c:numCache>
            </c:numRef>
          </c:cat>
          <c:val>
            <c:numRef>
              <c:f>גיליון1!$B$2:$F$2</c:f>
              <c:numCache>
                <c:formatCode>#,##0</c:formatCode>
                <c:ptCount val="5"/>
                <c:pt idx="0">
                  <c:v>70408</c:v>
                </c:pt>
                <c:pt idx="1">
                  <c:v>65021</c:v>
                </c:pt>
                <c:pt idx="2">
                  <c:v>69315</c:v>
                </c:pt>
                <c:pt idx="3">
                  <c:v>67862</c:v>
                </c:pt>
                <c:pt idx="4">
                  <c:v>69146</c:v>
                </c:pt>
              </c:numCache>
            </c:numRef>
          </c:val>
          <c:extLst>
            <c:ext xmlns:c16="http://schemas.microsoft.com/office/drawing/2014/chart" uri="{C3380CC4-5D6E-409C-BE32-E72D297353CC}">
              <c16:uniqueId val="{00000000-6087-43F1-A094-660CC2256EFF}"/>
            </c:ext>
          </c:extLst>
        </c:ser>
        <c:dLbls>
          <c:showLegendKey val="0"/>
          <c:showVal val="0"/>
          <c:showCatName val="0"/>
          <c:showSerName val="0"/>
          <c:showPercent val="0"/>
          <c:showBubbleSize val="0"/>
        </c:dLbls>
        <c:gapWidth val="219"/>
        <c:overlap val="-27"/>
        <c:axId val="270459648"/>
        <c:axId val="270461184"/>
      </c:barChart>
      <c:catAx>
        <c:axId val="270459648"/>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70461184"/>
        <c:crosses val="autoZero"/>
        <c:auto val="1"/>
        <c:lblAlgn val="ctr"/>
        <c:lblOffset val="100"/>
        <c:noMultiLvlLbl val="0"/>
      </c:catAx>
      <c:valAx>
        <c:axId val="270461184"/>
        <c:scaling>
          <c:orientation val="minMax"/>
        </c:scaling>
        <c:delete val="0"/>
        <c:axPos val="r"/>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70459648"/>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'[תקציבי חובה ורשות מעודכן ינואר 2020.xlsx]גיליון1'!$J$9</c:f>
              <c:strCache>
                <c:ptCount val="1"/>
                <c:pt idx="0">
                  <c:v>סה"כ הוצאות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'[תקציבי חובה ורשות מעודכן ינואר 2020.xlsx]גיליון1'!$I$10:$I$14</c:f>
              <c:strCache>
                <c:ptCount val="5"/>
                <c:pt idx="0">
                  <c:v>תל אביב</c:v>
                </c:pt>
                <c:pt idx="1">
                  <c:v>חיפה</c:v>
                </c:pt>
                <c:pt idx="2">
                  <c:v>ירושלים</c:v>
                </c:pt>
                <c:pt idx="3">
                  <c:v>דרום</c:v>
                </c:pt>
                <c:pt idx="4">
                  <c:v>צפון</c:v>
                </c:pt>
              </c:strCache>
            </c:strRef>
          </c:cat>
          <c:val>
            <c:numRef>
              <c:f>'[תקציבי חובה ורשות מעודכן ינואר 2020.xlsx]גיליון1'!$J$10:$J$14</c:f>
              <c:numCache>
                <c:formatCode>#,##0</c:formatCode>
                <c:ptCount val="5"/>
                <c:pt idx="0">
                  <c:v>13402</c:v>
                </c:pt>
                <c:pt idx="1">
                  <c:v>4058</c:v>
                </c:pt>
                <c:pt idx="2">
                  <c:v>4000</c:v>
                </c:pt>
                <c:pt idx="3">
                  <c:v>2914</c:v>
                </c:pt>
                <c:pt idx="4">
                  <c:v>2681</c:v>
                </c:pt>
              </c:numCache>
            </c:numRef>
          </c:val>
          <c:extLst>
            <c:ext xmlns:c16="http://schemas.microsoft.com/office/drawing/2014/chart" uri="{C3380CC4-5D6E-409C-BE32-E72D297353CC}">
              <c16:uniqueId val="{00000000-8126-45AA-A674-076484E5C5FA}"/>
            </c:ext>
          </c:extLst>
        </c:ser>
        <c:ser>
          <c:idx val="1"/>
          <c:order val="1"/>
          <c:tx>
            <c:strRef>
              <c:f>'[תקציבי חובה ורשות מעודכן ינואר 2020.xlsx]גיליון1'!$K$9</c:f>
              <c:strCache>
                <c:ptCount val="1"/>
                <c:pt idx="0">
                  <c:v>הוצאות מערך האתיקה והדין המשמעתי</c:v>
                </c:pt>
              </c:strCache>
            </c:strRef>
          </c:tx>
          <c:spPr>
            <a:solidFill>
              <a:schemeClr val="accent2"/>
            </a:solidFill>
            <a:ln>
              <a:noFill/>
            </a:ln>
            <a:effectLst/>
          </c:spPr>
          <c:invertIfNegative val="0"/>
          <c:dLbls>
            <c:dLbl>
              <c:idx val="0"/>
              <c:layout>
                <c:manualLayout>
                  <c:x val="5.5555555555555558E-3"/>
                  <c:y val="8.4875562720133283E-17"/>
                </c:manualLayout>
              </c:layout>
              <c:tx>
                <c:rich>
                  <a:bodyPr/>
                  <a:lstStyle/>
                  <a:p>
                    <a:fld id="{EA4C073E-3648-4289-BFF5-9F8908595A60}" type="CELLRANGE">
                      <a:rPr lang="en-US"/>
                      <a:pPr/>
                      <a:t>[CELLRANGE]</a:t>
                    </a:fld>
                    <a:endParaRPr lang="en-US" baseline="0"/>
                  </a:p>
                  <a:p>
                    <a:fld id="{A8A7AC4C-6D39-4457-87FD-5AA3D5812286}" type="VALUE">
                      <a:rPr lang="en-US"/>
                      <a:pPr/>
                      <a:t>[VALUE]</a:t>
                    </a:fld>
                    <a:endParaRPr lang="he-IL"/>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126-45AA-A674-076484E5C5FA}"/>
                </c:ext>
              </c:extLst>
            </c:dLbl>
            <c:dLbl>
              <c:idx val="1"/>
              <c:layout>
                <c:manualLayout>
                  <c:x val="8.3333333333333332E-3"/>
                  <c:y val="0"/>
                </c:manualLayout>
              </c:layout>
              <c:tx>
                <c:rich>
                  <a:bodyPr/>
                  <a:lstStyle/>
                  <a:p>
                    <a:fld id="{13A7BB0C-FBAF-4A22-BB4A-B850EF4FC82D}" type="CELLRANGE">
                      <a:rPr lang="en-US"/>
                      <a:pPr/>
                      <a:t>[CELLRANGE]</a:t>
                    </a:fld>
                    <a:endParaRPr lang="en-US" baseline="0"/>
                  </a:p>
                  <a:p>
                    <a:fld id="{72D77608-ADF1-4501-97B3-7BCE72A34215}" type="VALUE">
                      <a:rPr lang="en-US"/>
                      <a:pPr/>
                      <a:t>[VALUE]</a:t>
                    </a:fld>
                    <a:endParaRPr lang="he-IL"/>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8126-45AA-A674-076484E5C5FA}"/>
                </c:ext>
              </c:extLst>
            </c:dLbl>
            <c:dLbl>
              <c:idx val="2"/>
              <c:tx>
                <c:rich>
                  <a:bodyPr/>
                  <a:lstStyle/>
                  <a:p>
                    <a:fld id="{59A3CDEE-35C3-43D4-9D46-0FCFB75BB65B}" type="CELLRANGE">
                      <a:rPr lang="en-US"/>
                      <a:pPr/>
                      <a:t>[CELLRANGE]</a:t>
                    </a:fld>
                    <a:endParaRPr lang="en-US" baseline="0"/>
                  </a:p>
                  <a:p>
                    <a:fld id="{56C00DA7-89BB-4C2D-A2F3-361EF7560EF2}" type="VALUE">
                      <a:rPr lang="en-US"/>
                      <a:pPr/>
                      <a:t>[VALUE]</a:t>
                    </a:fld>
                    <a:endParaRPr lang="he-IL"/>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8126-45AA-A674-076484E5C5FA}"/>
                </c:ext>
              </c:extLst>
            </c:dLbl>
            <c:dLbl>
              <c:idx val="3"/>
              <c:tx>
                <c:rich>
                  <a:bodyPr/>
                  <a:lstStyle/>
                  <a:p>
                    <a:fld id="{0E8D913C-3035-4DC6-B480-ED2A22E5300D}" type="CELLRANGE">
                      <a:rPr lang="en-US"/>
                      <a:pPr/>
                      <a:t>[CELLRANGE]</a:t>
                    </a:fld>
                    <a:endParaRPr lang="en-US" baseline="0"/>
                  </a:p>
                  <a:p>
                    <a:fld id="{9519ADAE-024F-4A0C-BDB2-5F68712F9E56}" type="VALUE">
                      <a:rPr lang="en-US"/>
                      <a:pPr/>
                      <a:t>[VALUE]</a:t>
                    </a:fld>
                    <a:endParaRPr lang="he-IL"/>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8126-45AA-A674-076484E5C5FA}"/>
                </c:ext>
              </c:extLst>
            </c:dLbl>
            <c:dLbl>
              <c:idx val="4"/>
              <c:tx>
                <c:rich>
                  <a:bodyPr/>
                  <a:lstStyle/>
                  <a:p>
                    <a:fld id="{6D758CB3-79F0-4DBA-B59F-69C3BF05E027}" type="CELLRANGE">
                      <a:rPr lang="en-US"/>
                      <a:pPr/>
                      <a:t>[CELLRANGE]</a:t>
                    </a:fld>
                    <a:endParaRPr lang="en-US" baseline="0"/>
                  </a:p>
                  <a:p>
                    <a:fld id="{2078313E-E0A1-406A-9B71-6056682DF744}" type="VALUE">
                      <a:rPr lang="en-US"/>
                      <a:pPr/>
                      <a:t>[VALUE]</a:t>
                    </a:fld>
                    <a:endParaRPr lang="he-IL"/>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8126-45AA-A674-076484E5C5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'[תקציבי חובה ורשות מעודכן ינואר 2020.xlsx]גיליון1'!$I$10:$I$14</c:f>
              <c:strCache>
                <c:ptCount val="5"/>
                <c:pt idx="0">
                  <c:v>תל אביב</c:v>
                </c:pt>
                <c:pt idx="1">
                  <c:v>חיפה</c:v>
                </c:pt>
                <c:pt idx="2">
                  <c:v>ירושלים</c:v>
                </c:pt>
                <c:pt idx="3">
                  <c:v>דרום</c:v>
                </c:pt>
                <c:pt idx="4">
                  <c:v>צפון</c:v>
                </c:pt>
              </c:strCache>
            </c:strRef>
          </c:cat>
          <c:val>
            <c:numRef>
              <c:f>'[תקציבי חובה ורשות מעודכן ינואר 2020.xlsx]גיליון1'!$K$10:$K$14</c:f>
              <c:numCache>
                <c:formatCode>#,##0</c:formatCode>
                <c:ptCount val="5"/>
                <c:pt idx="0">
                  <c:v>3870</c:v>
                </c:pt>
                <c:pt idx="1">
                  <c:v>1232</c:v>
                </c:pt>
                <c:pt idx="2" formatCode="General">
                  <c:v>665</c:v>
                </c:pt>
                <c:pt idx="3" formatCode="General">
                  <c:v>656</c:v>
                </c:pt>
                <c:pt idx="4" formatCode="General">
                  <c:v>333</c:v>
                </c:pt>
              </c:numCache>
            </c:numRef>
          </c:val>
          <c:extLst>
            <c:ext xmlns:c15="http://schemas.microsoft.com/office/drawing/2012/chart" uri="{02D57815-91ED-43cb-92C2-25804820EDAC}">
              <c15:datalabelsRange>
                <c15:f>'[תקציבי חובה ורשות מעודכן ינואר 2020.xlsx]גיליון1'!$L$10:$L$14</c15:f>
                <c15:dlblRangeCache>
                  <c:ptCount val="5"/>
                  <c:pt idx="0">
                    <c:v>29%</c:v>
                  </c:pt>
                  <c:pt idx="1">
                    <c:v>30%</c:v>
                  </c:pt>
                  <c:pt idx="2">
                    <c:v>17%</c:v>
                  </c:pt>
                  <c:pt idx="3">
                    <c:v>23%</c:v>
                  </c:pt>
                  <c:pt idx="4">
                    <c:v>12%</c:v>
                  </c:pt>
                </c15:dlblRangeCache>
              </c15:datalabelsRange>
            </c:ext>
            <c:ext xmlns:c16="http://schemas.microsoft.com/office/drawing/2014/chart" uri="{C3380CC4-5D6E-409C-BE32-E72D297353CC}">
              <c16:uniqueId val="{00000006-8126-45AA-A674-076484E5C5FA}"/>
            </c:ext>
          </c:extLst>
        </c:ser>
        <c:dLbls>
          <c:showLegendKey val="0"/>
          <c:showVal val="0"/>
          <c:showCatName val="0"/>
          <c:showSerName val="0"/>
          <c:showPercent val="0"/>
          <c:showBubbleSize val="0"/>
        </c:dLbls>
        <c:gapWidth val="150"/>
        <c:axId val="431679064"/>
        <c:axId val="431680048"/>
      </c:barChart>
      <c:catAx>
        <c:axId val="43167906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31680048"/>
        <c:crosses val="autoZero"/>
        <c:auto val="1"/>
        <c:lblAlgn val="ctr"/>
        <c:lblOffset val="100"/>
        <c:noMultiLvlLbl val="0"/>
      </c:catAx>
      <c:valAx>
        <c:axId val="431680048"/>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31679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גיליון1!$B$1</c:f>
              <c:strCache>
                <c:ptCount val="1"/>
                <c:pt idx="0">
                  <c:v>הכנסות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גיליון1!$A$2:$A$5</c:f>
              <c:numCache>
                <c:formatCode>General</c:formatCode>
                <c:ptCount val="4"/>
                <c:pt idx="0">
                  <c:v>2014</c:v>
                </c:pt>
                <c:pt idx="1">
                  <c:v>2015</c:v>
                </c:pt>
                <c:pt idx="2">
                  <c:v>2016</c:v>
                </c:pt>
                <c:pt idx="3">
                  <c:v>2017</c:v>
                </c:pt>
              </c:numCache>
            </c:numRef>
          </c:cat>
          <c:val>
            <c:numRef>
              <c:f>גיליון1!$B$2:$B$5</c:f>
              <c:numCache>
                <c:formatCode>#,##0</c:formatCode>
                <c:ptCount val="4"/>
                <c:pt idx="0">
                  <c:v>13470</c:v>
                </c:pt>
                <c:pt idx="1">
                  <c:v>13191</c:v>
                </c:pt>
                <c:pt idx="2">
                  <c:v>14874</c:v>
                </c:pt>
                <c:pt idx="3">
                  <c:v>18796</c:v>
                </c:pt>
              </c:numCache>
            </c:numRef>
          </c:val>
          <c:extLst>
            <c:ext xmlns:c16="http://schemas.microsoft.com/office/drawing/2014/chart" uri="{C3380CC4-5D6E-409C-BE32-E72D297353CC}">
              <c16:uniqueId val="{00000000-9D94-47FC-AED3-573D0BF56B57}"/>
            </c:ext>
          </c:extLst>
        </c:ser>
        <c:ser>
          <c:idx val="1"/>
          <c:order val="1"/>
          <c:tx>
            <c:strRef>
              <c:f>גיליון1!$C$1</c:f>
              <c:strCache>
                <c:ptCount val="1"/>
                <c:pt idx="0">
                  <c:v>הפסדים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גיליון1!$A$2:$A$5</c:f>
              <c:numCache>
                <c:formatCode>General</c:formatCode>
                <c:ptCount val="4"/>
                <c:pt idx="0">
                  <c:v>2014</c:v>
                </c:pt>
                <c:pt idx="1">
                  <c:v>2015</c:v>
                </c:pt>
                <c:pt idx="2">
                  <c:v>2016</c:v>
                </c:pt>
                <c:pt idx="3">
                  <c:v>2017</c:v>
                </c:pt>
              </c:numCache>
            </c:numRef>
          </c:cat>
          <c:val>
            <c:numRef>
              <c:f>גיליון1!$C$2:$C$5</c:f>
              <c:numCache>
                <c:formatCode>#,##0</c:formatCode>
                <c:ptCount val="4"/>
                <c:pt idx="0" formatCode="General">
                  <c:v>845</c:v>
                </c:pt>
                <c:pt idx="1">
                  <c:v>1853</c:v>
                </c:pt>
                <c:pt idx="2">
                  <c:v>1639</c:v>
                </c:pt>
                <c:pt idx="3">
                  <c:v>2943</c:v>
                </c:pt>
              </c:numCache>
            </c:numRef>
          </c:val>
          <c:extLst>
            <c:ext xmlns:c16="http://schemas.microsoft.com/office/drawing/2014/chart" uri="{C3380CC4-5D6E-409C-BE32-E72D297353CC}">
              <c16:uniqueId val="{00000001-9D94-47FC-AED3-573D0BF56B57}"/>
            </c:ext>
          </c:extLst>
        </c:ser>
        <c:dLbls>
          <c:showLegendKey val="0"/>
          <c:showVal val="0"/>
          <c:showCatName val="0"/>
          <c:showSerName val="0"/>
          <c:showPercent val="0"/>
          <c:showBubbleSize val="0"/>
        </c:dLbls>
        <c:gapWidth val="219"/>
        <c:overlap val="-27"/>
        <c:axId val="200598656"/>
        <c:axId val="200600192"/>
      </c:barChart>
      <c:catAx>
        <c:axId val="200598656"/>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00600192"/>
        <c:crosses val="autoZero"/>
        <c:auto val="1"/>
        <c:lblAlgn val="ctr"/>
        <c:lblOffset val="100"/>
        <c:noMultiLvlLbl val="0"/>
      </c:catAx>
      <c:valAx>
        <c:axId val="200600192"/>
        <c:scaling>
          <c:orientation val="minMax"/>
        </c:scaling>
        <c:delete val="0"/>
        <c:axPos val="r"/>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0059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גיליון1!$B$1:$G$1</c:f>
              <c:numCache>
                <c:formatCode>General</c:formatCode>
                <c:ptCount val="6"/>
                <c:pt idx="0">
                  <c:v>2013</c:v>
                </c:pt>
                <c:pt idx="1">
                  <c:v>2014</c:v>
                </c:pt>
                <c:pt idx="2">
                  <c:v>2015</c:v>
                </c:pt>
                <c:pt idx="3">
                  <c:v>2016</c:v>
                </c:pt>
                <c:pt idx="4">
                  <c:v>2017</c:v>
                </c:pt>
                <c:pt idx="5">
                  <c:v>2018</c:v>
                </c:pt>
              </c:numCache>
            </c:numRef>
          </c:cat>
          <c:val>
            <c:numRef>
              <c:f>גיליון1!$B$2:$G$2</c:f>
              <c:numCache>
                <c:formatCode>#,##0</c:formatCode>
                <c:ptCount val="6"/>
                <c:pt idx="0">
                  <c:v>14285</c:v>
                </c:pt>
                <c:pt idx="1">
                  <c:v>13470</c:v>
                </c:pt>
                <c:pt idx="2">
                  <c:v>13191</c:v>
                </c:pt>
                <c:pt idx="3">
                  <c:v>14874</c:v>
                </c:pt>
                <c:pt idx="4">
                  <c:v>18796</c:v>
                </c:pt>
                <c:pt idx="5">
                  <c:v>20060</c:v>
                </c:pt>
              </c:numCache>
            </c:numRef>
          </c:val>
          <c:extLst>
            <c:ext xmlns:c16="http://schemas.microsoft.com/office/drawing/2014/chart" uri="{C3380CC4-5D6E-409C-BE32-E72D297353CC}">
              <c16:uniqueId val="{00000000-7C88-48B4-9627-0E45EA98738B}"/>
            </c:ext>
          </c:extLst>
        </c:ser>
        <c:dLbls>
          <c:showLegendKey val="0"/>
          <c:showVal val="0"/>
          <c:showCatName val="0"/>
          <c:showSerName val="0"/>
          <c:showPercent val="0"/>
          <c:showBubbleSize val="0"/>
        </c:dLbls>
        <c:gapWidth val="219"/>
        <c:overlap val="-27"/>
        <c:axId val="203482240"/>
        <c:axId val="203813248"/>
      </c:barChart>
      <c:catAx>
        <c:axId val="203482240"/>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03813248"/>
        <c:crosses val="autoZero"/>
        <c:auto val="1"/>
        <c:lblAlgn val="ctr"/>
        <c:lblOffset val="100"/>
        <c:noMultiLvlLbl val="0"/>
      </c:catAx>
      <c:valAx>
        <c:axId val="203813248"/>
        <c:scaling>
          <c:orientation val="minMax"/>
        </c:scaling>
        <c:delete val="0"/>
        <c:axPos val="r"/>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0348224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9D782E-4A26-4B02-B221-058C220F24FE}">
  <ds:schemaRefs>
    <ds:schemaRef ds:uri="http://schemas.openxmlformats.org/officeDocument/2006/bibliography"/>
  </ds:schemaRefs>
</ds:datastoreItem>
</file>

<file path=customXml/itemProps2.xml><?xml version="1.0" encoding="utf-8"?>
<ds:datastoreItem xmlns:ds="http://schemas.openxmlformats.org/officeDocument/2006/customXml" ds:itemID="{6CA016CA-3D61-439A-9A37-85AB1D219CB2}"/>
</file>

<file path=customXml/itemProps3.xml><?xml version="1.0" encoding="utf-8"?>
<ds:datastoreItem xmlns:ds="http://schemas.openxmlformats.org/officeDocument/2006/customXml" ds:itemID="{99581CF5-FF2F-4499-A014-BF0EC34A53FD}"/>
</file>

<file path=customXml/itemProps4.xml><?xml version="1.0" encoding="utf-8"?>
<ds:datastoreItem xmlns:ds="http://schemas.openxmlformats.org/officeDocument/2006/customXml" ds:itemID="{511CF391-BDBC-45F2-AE8C-B34A6B292BA3}"/>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TotalTime>
  <Pages>58</Pages>
  <Words>19953</Words>
  <Characters>99765</Characters>
  <Application>Microsoft Office Word</Application>
  <DocSecurity>0</DocSecurity>
  <Lines>831</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7</cp:revision>
  <cp:lastPrinted>2020-02-23T08:43:00Z</cp:lastPrinted>
  <dcterms:created xsi:type="dcterms:W3CDTF">2020-04-01T12:13:00Z</dcterms:created>
  <dcterms:modified xsi:type="dcterms:W3CDTF">2020-04-30T18:04:00Z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